
<file path=[Content_Types].xml><?xml version="1.0" encoding="utf-8"?>
<Types xmlns="http://schemas.openxmlformats.org/package/2006/content-types">
  <Default Extension="bin" ContentType="application/vnd.openxmlformats-officedocument.oleObject"/>
  <Default Extension="gif" ContentType="image/gi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drawings/drawing1.xml" ContentType="application/vnd.openxmlformats-officedocument.drawingml.chartshapes+xml"/>
  <Override PartName="/word/header3.xml" ContentType="application/vnd.openxmlformats-officedocument.wordprocessingml.header+xml"/>
  <Override PartName="/word/header4.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4.xml" ContentType="application/vnd.openxmlformats-officedocument.themeOverride+xml"/>
  <Override PartName="/word/drawings/drawing2.xml" ContentType="application/vnd.openxmlformats-officedocument.drawingml.chartshapes+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5.xml" ContentType="application/vnd.openxmlformats-officedocument.themeOverride+xml"/>
  <Override PartName="/word/drawings/drawing3.xml" ContentType="application/vnd.openxmlformats-officedocument.drawingml.chartshapes+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6.xml" ContentType="application/vnd.openxmlformats-officedocument.themeOverride+xml"/>
  <Override PartName="/word/drawings/drawing4.xml" ContentType="application/vnd.openxmlformats-officedocument.drawingml.chartshapes+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7.xml" ContentType="application/vnd.openxmlformats-officedocument.themeOverride+xml"/>
  <Override PartName="/word/drawings/drawing5.xml" ContentType="application/vnd.openxmlformats-officedocument.drawingml.chartshapes+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8.xml" ContentType="application/vnd.openxmlformats-officedocument.themeOverride+xml"/>
  <Override PartName="/word/drawings/drawing6.xml" ContentType="application/vnd.openxmlformats-officedocument.drawingml.chartshapes+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9.xml" ContentType="application/vnd.openxmlformats-officedocument.themeOverride+xml"/>
  <Override PartName="/word/drawings/drawing7.xml" ContentType="application/vnd.openxmlformats-officedocument.drawingml.chartshapes+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theme/themeOverride10.xml" ContentType="application/vnd.openxmlformats-officedocument.themeOverride+xml"/>
  <Override PartName="/word/drawings/drawing8.xml" ContentType="application/vnd.openxmlformats-officedocument.drawingml.chartshapes+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theme/themeOverride11.xml" ContentType="application/vnd.openxmlformats-officedocument.themeOverride+xml"/>
  <Override PartName="/word/drawings/drawing9.xml" ContentType="application/vnd.openxmlformats-officedocument.drawingml.chartshapes+xml"/>
  <Override PartName="/word/charts/chart12.xml" ContentType="application/vnd.openxmlformats-officedocument.drawingml.chart+xml"/>
  <Override PartName="/word/theme/themeOverride12.xml" ContentType="application/vnd.openxmlformats-officedocument.themeOverride+xml"/>
  <Override PartName="/word/drawings/drawing10.xml" ContentType="application/vnd.openxmlformats-officedocument.drawingml.chartshapes+xml"/>
  <Override PartName="/word/charts/chart13.xml" ContentType="application/vnd.openxmlformats-officedocument.drawingml.chart+xml"/>
  <Override PartName="/word/theme/themeOverride13.xml" ContentType="application/vnd.openxmlformats-officedocument.themeOverride+xml"/>
  <Override PartName="/word/drawings/drawing11.xml" ContentType="application/vnd.openxmlformats-officedocument.drawingml.chartshapes+xml"/>
  <Override PartName="/word/charts/chart14.xml" ContentType="application/vnd.openxmlformats-officedocument.drawingml.chart+xml"/>
  <Override PartName="/word/charts/style12.xml" ContentType="application/vnd.ms-office.chartstyle+xml"/>
  <Override PartName="/word/charts/colors12.xml" ContentType="application/vnd.ms-office.chartcolorstyle+xml"/>
  <Override PartName="/word/theme/themeOverride14.xml" ContentType="application/vnd.openxmlformats-officedocument.themeOverride+xml"/>
  <Override PartName="/word/charts/chart15.xml" ContentType="application/vnd.openxmlformats-officedocument.drawingml.chart+xml"/>
  <Override PartName="/word/charts/style13.xml" ContentType="application/vnd.ms-office.chartstyle+xml"/>
  <Override PartName="/word/charts/colors13.xml" ContentType="application/vnd.ms-office.chartcolorstyle+xml"/>
  <Override PartName="/word/theme/themeOverride15.xml" ContentType="application/vnd.openxmlformats-officedocument.themeOverride+xml"/>
  <Override PartName="/word/charts/chart16.xml" ContentType="application/vnd.openxmlformats-officedocument.drawingml.chart+xml"/>
  <Override PartName="/word/theme/themeOverride16.xml" ContentType="application/vnd.openxmlformats-officedocument.themeOverride+xml"/>
  <Override PartName="/word/charts/chart17.xml" ContentType="application/vnd.openxmlformats-officedocument.drawingml.chart+xml"/>
  <Override PartName="/word/charts/style14.xml" ContentType="application/vnd.ms-office.chartstyle+xml"/>
  <Override PartName="/word/charts/colors14.xml" ContentType="application/vnd.ms-office.chartcolorstyle+xml"/>
  <Override PartName="/word/theme/themeOverride17.xml" ContentType="application/vnd.openxmlformats-officedocument.themeOverride+xml"/>
  <Override PartName="/word/charts/chart18.xml" ContentType="application/vnd.openxmlformats-officedocument.drawingml.chart+xml"/>
  <Override PartName="/word/charts/style15.xml" ContentType="application/vnd.ms-office.chartstyle+xml"/>
  <Override PartName="/word/charts/colors15.xml" ContentType="application/vnd.ms-office.chartcolorstyle+xml"/>
  <Override PartName="/word/theme/themeOverride18.xml" ContentType="application/vnd.openxmlformats-officedocument.themeOverride+xml"/>
  <Override PartName="/word/charts/chart19.xml" ContentType="application/vnd.openxmlformats-officedocument.drawingml.chart+xml"/>
  <Override PartName="/word/charts/style16.xml" ContentType="application/vnd.ms-office.chartstyle+xml"/>
  <Override PartName="/word/charts/colors16.xml" ContentType="application/vnd.ms-office.chartcolorstyle+xml"/>
  <Override PartName="/word/theme/themeOverride19.xml" ContentType="application/vnd.openxmlformats-officedocument.themeOverride+xml"/>
  <Override PartName="/word/charts/chart20.xml" ContentType="application/vnd.openxmlformats-officedocument.drawingml.chart+xml"/>
  <Override PartName="/word/charts/style17.xml" ContentType="application/vnd.ms-office.chartstyle+xml"/>
  <Override PartName="/word/charts/colors17.xml" ContentType="application/vnd.ms-office.chartcolorstyle+xml"/>
  <Override PartName="/word/theme/themeOverride20.xml" ContentType="application/vnd.openxmlformats-officedocument.themeOverride+xml"/>
  <Override PartName="/word/charts/chart21.xml" ContentType="application/vnd.openxmlformats-officedocument.drawingml.chart+xml"/>
  <Override PartName="/word/charts/style18.xml" ContentType="application/vnd.ms-office.chartstyle+xml"/>
  <Override PartName="/word/charts/colors18.xml" ContentType="application/vnd.ms-office.chartcolorstyle+xml"/>
  <Override PartName="/word/theme/themeOverride21.xml" ContentType="application/vnd.openxmlformats-officedocument.themeOverride+xml"/>
  <Override PartName="/word/charts/chart22.xml" ContentType="application/vnd.openxmlformats-officedocument.drawingml.chart+xml"/>
  <Override PartName="/word/charts/style19.xml" ContentType="application/vnd.ms-office.chartstyle+xml"/>
  <Override PartName="/word/charts/colors19.xml" ContentType="application/vnd.ms-office.chartcolorstyle+xml"/>
  <Override PartName="/word/theme/themeOverride22.xml" ContentType="application/vnd.openxmlformats-officedocument.themeOverride+xml"/>
  <Override PartName="/word/charts/chart23.xml" ContentType="application/vnd.openxmlformats-officedocument.drawingml.chart+xml"/>
  <Override PartName="/word/charts/style20.xml" ContentType="application/vnd.ms-office.chartstyle+xml"/>
  <Override PartName="/word/charts/colors20.xml" ContentType="application/vnd.ms-office.chartcolorstyle+xml"/>
  <Override PartName="/word/theme/themeOverride23.xml" ContentType="application/vnd.openxmlformats-officedocument.themeOverride+xml"/>
  <Override PartName="/word/charts/chart24.xml" ContentType="application/vnd.openxmlformats-officedocument.drawingml.chart+xml"/>
  <Override PartName="/word/charts/style21.xml" ContentType="application/vnd.ms-office.chartstyle+xml"/>
  <Override PartName="/word/charts/colors21.xml" ContentType="application/vnd.ms-office.chartcolorstyle+xml"/>
  <Override PartName="/word/theme/themeOverride24.xml" ContentType="application/vnd.openxmlformats-officedocument.themeOverride+xml"/>
  <Override PartName="/word/charts/chart25.xml" ContentType="application/vnd.openxmlformats-officedocument.drawingml.chart+xml"/>
  <Override PartName="/word/charts/style22.xml" ContentType="application/vnd.ms-office.chartstyle+xml"/>
  <Override PartName="/word/charts/colors22.xml" ContentType="application/vnd.ms-office.chartcolorstyle+xml"/>
  <Override PartName="/word/theme/themeOverride25.xml" ContentType="application/vnd.openxmlformats-officedocument.themeOverride+xml"/>
  <Override PartName="/word/charts/chart26.xml" ContentType="application/vnd.openxmlformats-officedocument.drawingml.chart+xml"/>
  <Override PartName="/word/charts/style23.xml" ContentType="application/vnd.ms-office.chartstyle+xml"/>
  <Override PartName="/word/charts/colors23.xml" ContentType="application/vnd.ms-office.chartcolorstyle+xml"/>
  <Override PartName="/word/theme/themeOverride26.xml" ContentType="application/vnd.openxmlformats-officedocument.themeOverride+xml"/>
  <Override PartName="/word/charts/chart27.xml" ContentType="application/vnd.openxmlformats-officedocument.drawingml.chart+xml"/>
  <Override PartName="/word/charts/style24.xml" ContentType="application/vnd.ms-office.chartstyle+xml"/>
  <Override PartName="/word/charts/colors24.xml" ContentType="application/vnd.ms-office.chartcolorstyle+xml"/>
  <Override PartName="/word/theme/themeOverride27.xml" ContentType="application/vnd.openxmlformats-officedocument.themeOverride+xml"/>
  <Override PartName="/word/charts/chart28.xml" ContentType="application/vnd.openxmlformats-officedocument.drawingml.chart+xml"/>
  <Override PartName="/word/charts/style25.xml" ContentType="application/vnd.ms-office.chartstyle+xml"/>
  <Override PartName="/word/charts/colors25.xml" ContentType="application/vnd.ms-office.chartcolorstyle+xml"/>
  <Override PartName="/word/theme/themeOverride28.xml" ContentType="application/vnd.openxmlformats-officedocument.themeOverride+xml"/>
  <Override PartName="/word/charts/chart29.xml" ContentType="application/vnd.openxmlformats-officedocument.drawingml.chart+xml"/>
  <Override PartName="/word/charts/style26.xml" ContentType="application/vnd.ms-office.chartstyle+xml"/>
  <Override PartName="/word/charts/colors26.xml" ContentType="application/vnd.ms-office.chartcolorstyle+xml"/>
  <Override PartName="/word/theme/themeOverride29.xml" ContentType="application/vnd.openxmlformats-officedocument.themeOverride+xml"/>
  <Override PartName="/word/drawings/drawing12.xml" ContentType="application/vnd.openxmlformats-officedocument.drawingml.chartshapes+xml"/>
  <Override PartName="/word/charts/chart30.xml" ContentType="application/vnd.openxmlformats-officedocument.drawingml.chart+xml"/>
  <Override PartName="/word/charts/style27.xml" ContentType="application/vnd.ms-office.chartstyle+xml"/>
  <Override PartName="/word/charts/colors27.xml" ContentType="application/vnd.ms-office.chartcolorstyle+xml"/>
  <Override PartName="/word/theme/themeOverride30.xml" ContentType="application/vnd.openxmlformats-officedocument.themeOverride+xml"/>
  <Override PartName="/word/charts/chart31.xml" ContentType="application/vnd.openxmlformats-officedocument.drawingml.chart+xml"/>
  <Override PartName="/word/charts/style28.xml" ContentType="application/vnd.ms-office.chartstyle+xml"/>
  <Override PartName="/word/charts/colors28.xml" ContentType="application/vnd.ms-office.chartcolorstyle+xml"/>
  <Override PartName="/word/theme/themeOverride31.xml" ContentType="application/vnd.openxmlformats-officedocument.themeOverride+xml"/>
  <Override PartName="/word/charts/chart32.xml" ContentType="application/vnd.openxmlformats-officedocument.drawingml.chart+xml"/>
  <Override PartName="/word/charts/style29.xml" ContentType="application/vnd.ms-office.chartstyle+xml"/>
  <Override PartName="/word/charts/colors29.xml" ContentType="application/vnd.ms-office.chartcolorstyle+xml"/>
  <Override PartName="/word/theme/themeOverride32.xml" ContentType="application/vnd.openxmlformats-officedocument.themeOverride+xml"/>
  <Override PartName="/word/charts/chart33.xml" ContentType="application/vnd.openxmlformats-officedocument.drawingml.chart+xml"/>
  <Override PartName="/word/charts/style30.xml" ContentType="application/vnd.ms-office.chartstyle+xml"/>
  <Override PartName="/word/charts/colors30.xml" ContentType="application/vnd.ms-office.chartcolorstyle+xml"/>
  <Override PartName="/word/theme/themeOverride33.xml" ContentType="application/vnd.openxmlformats-officedocument.themeOverride+xml"/>
  <Override PartName="/word/charts/chart34.xml" ContentType="application/vnd.openxmlformats-officedocument.drawingml.chart+xml"/>
  <Override PartName="/word/charts/style31.xml" ContentType="application/vnd.ms-office.chartstyle+xml"/>
  <Override PartName="/word/charts/colors31.xml" ContentType="application/vnd.ms-office.chartcolorstyle+xml"/>
  <Override PartName="/word/theme/themeOverride34.xml" ContentType="application/vnd.openxmlformats-officedocument.themeOverride+xml"/>
  <Override PartName="/word/charts/chart35.xml" ContentType="application/vnd.openxmlformats-officedocument.drawingml.chart+xml"/>
  <Override PartName="/word/charts/style32.xml" ContentType="application/vnd.ms-office.chartstyle+xml"/>
  <Override PartName="/word/charts/colors32.xml" ContentType="application/vnd.ms-office.chartcolorstyle+xml"/>
  <Override PartName="/word/theme/themeOverride35.xml" ContentType="application/vnd.openxmlformats-officedocument.themeOverride+xml"/>
  <Override PartName="/word/charts/chart36.xml" ContentType="application/vnd.openxmlformats-officedocument.drawingml.chart+xml"/>
  <Override PartName="/word/charts/style33.xml" ContentType="application/vnd.ms-office.chartstyle+xml"/>
  <Override PartName="/word/charts/colors33.xml" ContentType="application/vnd.ms-office.chartcolorstyle+xml"/>
  <Override PartName="/word/theme/themeOverride36.xml" ContentType="application/vnd.openxmlformats-officedocument.themeOverride+xml"/>
  <Override PartName="/word/charts/chart37.xml" ContentType="application/vnd.openxmlformats-officedocument.drawingml.chart+xml"/>
  <Override PartName="/word/charts/style34.xml" ContentType="application/vnd.ms-office.chartstyle+xml"/>
  <Override PartName="/word/charts/colors34.xml" ContentType="application/vnd.ms-office.chartcolorstyle+xml"/>
  <Override PartName="/word/theme/themeOverride37.xml" ContentType="application/vnd.openxmlformats-officedocument.themeOverride+xml"/>
  <Override PartName="/word/header5.xml" ContentType="application/vnd.openxmlformats-officedocument.wordprocessingml.header+xml"/>
  <Override PartName="/word/header6.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7.xml" ContentType="application/vnd.openxmlformats-officedocument.wordprocessingml.header+xml"/>
  <Override PartName="/word/charts/chart38.xml" ContentType="application/vnd.openxmlformats-officedocument.drawingml.chart+xml"/>
  <Override PartName="/word/charts/style35.xml" ContentType="application/vnd.ms-office.chartstyle+xml"/>
  <Override PartName="/word/charts/colors35.xml" ContentType="application/vnd.ms-office.chartcolorstyle+xml"/>
  <Override PartName="/word/theme/themeOverride38.xml" ContentType="application/vnd.openxmlformats-officedocument.themeOverride+xml"/>
  <Override PartName="/word/drawings/drawing13.xml" ContentType="application/vnd.openxmlformats-officedocument.drawingml.chartshapes+xml"/>
  <Override PartName="/word/footer9.xml" ContentType="application/vnd.openxmlformats-officedocument.wordprocessingml.footer+xml"/>
  <Override PartName="/word/charts/chart39.xml" ContentType="application/vnd.openxmlformats-officedocument.drawingml.chart+xml"/>
  <Override PartName="/word/charts/style36.xml" ContentType="application/vnd.ms-office.chartstyle+xml"/>
  <Override PartName="/word/charts/colors36.xml" ContentType="application/vnd.ms-office.chartcolorstyle+xml"/>
  <Override PartName="/word/theme/themeOverride39.xml" ContentType="application/vnd.openxmlformats-officedocument.themeOverride+xml"/>
  <Override PartName="/word/drawings/drawing14.xml" ContentType="application/vnd.openxmlformats-officedocument.drawingml.chartshapes+xml"/>
  <Override PartName="/word/charts/chart40.xml" ContentType="application/vnd.openxmlformats-officedocument.drawingml.chart+xml"/>
  <Override PartName="/word/charts/style37.xml" ContentType="application/vnd.ms-office.chartstyle+xml"/>
  <Override PartName="/word/charts/colors37.xml" ContentType="application/vnd.ms-office.chartcolorstyle+xml"/>
  <Override PartName="/word/theme/themeOverride40.xml" ContentType="application/vnd.openxmlformats-officedocument.themeOverride+xml"/>
  <Override PartName="/word/drawings/drawing15.xml" ContentType="application/vnd.openxmlformats-officedocument.drawingml.chartshapes+xml"/>
  <Override PartName="/word/charts/chart41.xml" ContentType="application/vnd.openxmlformats-officedocument.drawingml.chart+xml"/>
  <Override PartName="/word/charts/style38.xml" ContentType="application/vnd.ms-office.chartstyle+xml"/>
  <Override PartName="/word/charts/colors38.xml" ContentType="application/vnd.ms-office.chartcolorstyle+xml"/>
  <Override PartName="/word/theme/themeOverride41.xml" ContentType="application/vnd.openxmlformats-officedocument.themeOverride+xml"/>
  <Override PartName="/word/drawings/drawing16.xml" ContentType="application/vnd.openxmlformats-officedocument.drawingml.chartshapes+xml"/>
  <Override PartName="/word/charts/chart42.xml" ContentType="application/vnd.openxmlformats-officedocument.drawingml.chart+xml"/>
  <Override PartName="/word/charts/style39.xml" ContentType="application/vnd.ms-office.chartstyle+xml"/>
  <Override PartName="/word/charts/colors39.xml" ContentType="application/vnd.ms-office.chartcolorstyle+xml"/>
  <Override PartName="/word/theme/themeOverride42.xml" ContentType="application/vnd.openxmlformats-officedocument.themeOverride+xml"/>
  <Override PartName="/word/charts/chart43.xml" ContentType="application/vnd.openxmlformats-officedocument.drawingml.chart+xml"/>
  <Override PartName="/word/charts/style40.xml" ContentType="application/vnd.ms-office.chartstyle+xml"/>
  <Override PartName="/word/charts/colors40.xml" ContentType="application/vnd.ms-office.chartcolorstyle+xml"/>
  <Override PartName="/word/theme/themeOverride43.xml" ContentType="application/vnd.openxmlformats-officedocument.themeOverride+xml"/>
  <Override PartName="/word/charts/chart44.xml" ContentType="application/vnd.openxmlformats-officedocument.drawingml.chart+xml"/>
  <Override PartName="/word/charts/style41.xml" ContentType="application/vnd.ms-office.chartstyle+xml"/>
  <Override PartName="/word/charts/colors41.xml" ContentType="application/vnd.ms-office.chartcolorstyle+xml"/>
  <Override PartName="/word/theme/themeOverride44.xml" ContentType="application/vnd.openxmlformats-officedocument.themeOverride+xml"/>
  <Override PartName="/word/drawings/drawing17.xml" ContentType="application/vnd.openxmlformats-officedocument.drawingml.chartshapes+xml"/>
  <Override PartName="/word/charts/chart45.xml" ContentType="application/vnd.openxmlformats-officedocument.drawingml.chart+xml"/>
  <Override PartName="/word/charts/style42.xml" ContentType="application/vnd.ms-office.chartstyle+xml"/>
  <Override PartName="/word/charts/colors42.xml" ContentType="application/vnd.ms-office.chartcolorstyle+xml"/>
  <Override PartName="/word/theme/themeOverride45.xml" ContentType="application/vnd.openxmlformats-officedocument.themeOverride+xml"/>
  <Override PartName="/word/charts/chart46.xml" ContentType="application/vnd.openxmlformats-officedocument.drawingml.chart+xml"/>
  <Override PartName="/word/charts/style43.xml" ContentType="application/vnd.ms-office.chartstyle+xml"/>
  <Override PartName="/word/charts/colors43.xml" ContentType="application/vnd.ms-office.chartcolorstyle+xml"/>
  <Override PartName="/word/theme/themeOverride46.xml" ContentType="application/vnd.openxmlformats-officedocument.themeOverride+xml"/>
  <Override PartName="/word/drawings/drawing18.xml" ContentType="application/vnd.openxmlformats-officedocument.drawingml.chartshapes+xml"/>
  <Override PartName="/word/charts/chart47.xml" ContentType="application/vnd.openxmlformats-officedocument.drawingml.chart+xml"/>
  <Override PartName="/word/charts/style44.xml" ContentType="application/vnd.ms-office.chartstyle+xml"/>
  <Override PartName="/word/charts/colors44.xml" ContentType="application/vnd.ms-office.chartcolorstyle+xml"/>
  <Override PartName="/word/theme/themeOverride47.xml" ContentType="application/vnd.openxmlformats-officedocument.themeOverride+xml"/>
  <Override PartName="/word/charts/chart48.xml" ContentType="application/vnd.openxmlformats-officedocument.drawingml.chart+xml"/>
  <Override PartName="/word/theme/themeOverride48.xml" ContentType="application/vnd.openxmlformats-officedocument.themeOverride+xml"/>
  <Override PartName="/word/charts/chart49.xml" ContentType="application/vnd.openxmlformats-officedocument.drawingml.chart+xml"/>
  <Override PartName="/word/charts/style45.xml" ContentType="application/vnd.ms-office.chartstyle+xml"/>
  <Override PartName="/word/charts/colors45.xml" ContentType="application/vnd.ms-office.chartcolorstyle+xml"/>
  <Override PartName="/word/theme/themeOverride49.xml" ContentType="application/vnd.openxmlformats-officedocument.themeOverride+xml"/>
  <Override PartName="/word/drawings/drawing19.xml" ContentType="application/vnd.openxmlformats-officedocument.drawingml.chartshapes+xml"/>
  <Override PartName="/word/charts/chart50.xml" ContentType="application/vnd.openxmlformats-officedocument.drawingml.chart+xml"/>
  <Override PartName="/word/charts/style46.xml" ContentType="application/vnd.ms-office.chartstyle+xml"/>
  <Override PartName="/word/charts/colors46.xml" ContentType="application/vnd.ms-office.chartcolorstyle+xml"/>
  <Override PartName="/word/theme/themeOverride50.xml" ContentType="application/vnd.openxmlformats-officedocument.themeOverride+xml"/>
  <Override PartName="/word/drawings/drawing20.xml" ContentType="application/vnd.openxmlformats-officedocument.drawingml.chartshapes+xml"/>
  <Override PartName="/word/header8.xml" ContentType="application/vnd.openxmlformats-officedocument.wordprocessingml.header+xml"/>
  <Override PartName="/word/header9.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header13.xml" ContentType="application/vnd.openxmlformats-officedocument.wordprocessingml.header+xml"/>
  <Override PartName="/word/charts/chart51.xml" ContentType="application/vnd.openxmlformats-officedocument.drawingml.chart+xml"/>
  <Override PartName="/word/theme/themeOverride51.xml" ContentType="application/vnd.openxmlformats-officedocument.themeOverride+xml"/>
  <Override PartName="/word/header14.xml" ContentType="application/vnd.openxmlformats-officedocument.wordprocessingml.header+xml"/>
  <Override PartName="/word/footer14.xml" ContentType="application/vnd.openxmlformats-officedocument.wordprocessingml.footer+xml"/>
  <Override PartName="/word/footer15.xml" ContentType="application/vnd.openxmlformats-officedocument.wordprocessingml.footer+xml"/>
  <Override PartName="/word/header15.xml" ContentType="application/vnd.openxmlformats-officedocument.wordprocessingml.header+xml"/>
  <Override PartName="/word/header16.xml" ContentType="application/vnd.openxmlformats-officedocument.wordprocessingml.header+xml"/>
  <Override PartName="/word/footer16.xml" ContentType="application/vnd.openxmlformats-officedocument.wordprocessingml.footer+xml"/>
  <Override PartName="/word/footer17.xml" ContentType="application/vnd.openxmlformats-officedocument.wordprocessingml.foot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footer18.xml" ContentType="application/vnd.openxmlformats-officedocument.wordprocessingml.footer+xml"/>
  <Override PartName="/word/footer19.xml" ContentType="application/vnd.openxmlformats-officedocument.wordprocessingml.foot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footer20.xml" ContentType="application/vnd.openxmlformats-officedocument.wordprocessingml.footer+xml"/>
  <Override PartName="/word/footer21.xml" ContentType="application/vnd.openxmlformats-officedocument.wordprocessingml.footer+xml"/>
  <Override PartName="/word/header23.xml" ContentType="application/vnd.openxmlformats-officedocument.wordprocessingml.header+xml"/>
  <Override PartName="/word/header24.xml" ContentType="application/vnd.openxmlformats-officedocument.wordprocessingml.header+xml"/>
  <Override PartName="/word/footer22.xml" ContentType="application/vnd.openxmlformats-officedocument.wordprocessingml.footer+xml"/>
  <Override PartName="/word/footer23.xml" ContentType="application/vnd.openxmlformats-officedocument.wordprocessingml.footer+xml"/>
  <Override PartName="/word/header25.xml" ContentType="application/vnd.openxmlformats-officedocument.wordprocessingml.header+xml"/>
  <Override PartName="/word/charts/chart52.xml" ContentType="application/vnd.openxmlformats-officedocument.drawingml.chart+xml"/>
  <Override PartName="/word/charts/style47.xml" ContentType="application/vnd.ms-office.chartstyle+xml"/>
  <Override PartName="/word/charts/colors47.xml" ContentType="application/vnd.ms-office.chartcolorstyle+xml"/>
  <Override PartName="/word/header26.xml" ContentType="application/vnd.openxmlformats-officedocument.wordprocessingml.header+xml"/>
  <Override PartName="/word/header27.xml" ContentType="application/vnd.openxmlformats-officedocument.wordprocessingml.header+xml"/>
  <Override PartName="/word/footer24.xml" ContentType="application/vnd.openxmlformats-officedocument.wordprocessingml.footer+xml"/>
  <Override PartName="/word/footer25.xml" ContentType="application/vnd.openxmlformats-officedocument.wordprocessingml.foot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footer26.xml" ContentType="application/vnd.openxmlformats-officedocument.wordprocessingml.footer+xml"/>
  <Override PartName="/word/footer27.xml" ContentType="application/vnd.openxmlformats-officedocument.wordprocessingml.footer+xml"/>
  <Override PartName="/word/header31.xml" ContentType="application/vnd.openxmlformats-officedocument.wordprocessingml.header+xml"/>
  <Override PartName="/word/header32.xml" ContentType="application/vnd.openxmlformats-officedocument.wordprocessingml.header+xml"/>
  <Override PartName="/word/header33.xml" ContentType="application/vnd.openxmlformats-officedocument.wordprocessingml.header+xml"/>
  <Override PartName="/word/footer28.xml" ContentType="application/vnd.openxmlformats-officedocument.wordprocessingml.footer+xml"/>
  <Override PartName="/word/footer29.xml" ContentType="application/vnd.openxmlformats-officedocument.wordprocessingml.footer+xml"/>
  <Override PartName="/word/header34.xml" ContentType="application/vnd.openxmlformats-officedocument.wordprocessingml.header+xml"/>
  <Override PartName="/word/charts/chart53.xml" ContentType="application/vnd.openxmlformats-officedocument.drawingml.chart+xml"/>
  <Override PartName="/word/charts/style48.xml" ContentType="application/vnd.ms-office.chartstyle+xml"/>
  <Override PartName="/word/charts/colors48.xml" ContentType="application/vnd.ms-office.chartcolorstyle+xml"/>
  <Override PartName="/word/theme/themeOverride52.xml" ContentType="application/vnd.openxmlformats-officedocument.themeOverride+xml"/>
  <Override PartName="/word/charts/chart54.xml" ContentType="application/vnd.openxmlformats-officedocument.drawingml.chart+xml"/>
  <Override PartName="/word/charts/style49.xml" ContentType="application/vnd.ms-office.chartstyle+xml"/>
  <Override PartName="/word/charts/colors49.xml" ContentType="application/vnd.ms-office.chartcolorstyle+xml"/>
  <Override PartName="/word/theme/themeOverride53.xml" ContentType="application/vnd.openxmlformats-officedocument.themeOverride+xml"/>
  <Override PartName="/word/drawings/drawing21.xml" ContentType="application/vnd.openxmlformats-officedocument.drawingml.chartshapes+xml"/>
  <Override PartName="/word/charts/chart55.xml" ContentType="application/vnd.openxmlformats-officedocument.drawingml.chart+xml"/>
  <Override PartName="/word/charts/style50.xml" ContentType="application/vnd.ms-office.chartstyle+xml"/>
  <Override PartName="/word/charts/colors50.xml" ContentType="application/vnd.ms-office.chartcolorstyle+xml"/>
  <Override PartName="/word/drawings/drawing22.xml" ContentType="application/vnd.openxmlformats-officedocument.drawingml.chartshapes+xml"/>
  <Override PartName="/word/header35.xml" ContentType="application/vnd.openxmlformats-officedocument.wordprocessingml.header+xml"/>
  <Override PartName="/word/footer30.xml" ContentType="application/vnd.openxmlformats-officedocument.wordprocessingml.footer+xml"/>
  <Override PartName="/word/footer31.xml" ContentType="application/vnd.openxmlformats-officedocument.wordprocessingml.footer+xml"/>
  <Override PartName="/word/header36.xml" ContentType="application/vnd.openxmlformats-officedocument.wordprocessingml.header+xml"/>
  <Override PartName="/word/charts/chart56.xml" ContentType="application/vnd.openxmlformats-officedocument.drawingml.chart+xml"/>
  <Override PartName="/word/theme/themeOverride54.xml" ContentType="application/vnd.openxmlformats-officedocument.themeOverride+xml"/>
  <Override PartName="/word/drawings/drawing23.xml" ContentType="application/vnd.openxmlformats-officedocument.drawingml.chartshapes+xml"/>
  <Override PartName="/word/footer32.xml" ContentType="application/vnd.openxmlformats-officedocument.wordprocessingml.footer+xml"/>
  <Override PartName="/word/footer33.xml" ContentType="application/vnd.openxmlformats-officedocument.wordprocessingml.footer+xml"/>
  <Override PartName="/word/header37.xml" ContentType="application/vnd.openxmlformats-officedocument.wordprocessingml.header+xml"/>
  <Override PartName="/word/footer34.xml" ContentType="application/vnd.openxmlformats-officedocument.wordprocessingml.footer+xml"/>
  <Override PartName="/word/footer35.xml" ContentType="application/vnd.openxmlformats-officedocument.wordprocessingml.footer+xml"/>
  <Override PartName="/word/header38.xml" ContentType="application/vnd.openxmlformats-officedocument.wordprocessingml.header+xml"/>
  <Override PartName="/word/header39.xml" ContentType="application/vnd.openxmlformats-officedocument.wordprocessingml.header+xml"/>
  <Override PartName="/word/header40.xml" ContentType="application/vnd.openxmlformats-officedocument.wordprocessingml.header+xml"/>
  <Override PartName="/word/footer36.xml" ContentType="application/vnd.openxmlformats-officedocument.wordprocessingml.footer+xml"/>
  <Override PartName="/word/footer37.xml" ContentType="application/vnd.openxmlformats-officedocument.wordprocessingml.footer+xml"/>
  <Override PartName="/word/header41.xml" ContentType="application/vnd.openxmlformats-officedocument.wordprocessingml.header+xml"/>
  <Override PartName="/word/header42.xml" ContentType="application/vnd.openxmlformats-officedocument.wordprocessingml.header+xml"/>
  <Override PartName="/word/header43.xml" ContentType="application/vnd.openxmlformats-officedocument.wordprocessingml.header+xml"/>
  <Override PartName="/word/header44.xml" ContentType="application/vnd.openxmlformats-officedocument.wordprocessingml.header+xml"/>
  <Override PartName="/word/footer38.xml" ContentType="application/vnd.openxmlformats-officedocument.wordprocessingml.footer+xml"/>
  <Override PartName="/word/footer39.xml" ContentType="application/vnd.openxmlformats-officedocument.wordprocessingml.footer+xml"/>
  <Override PartName="/word/header45.xml" ContentType="application/vnd.openxmlformats-officedocument.wordprocessingml.header+xml"/>
  <Override PartName="/word/header46.xml" ContentType="application/vnd.openxmlformats-officedocument.wordprocessingml.header+xml"/>
  <Override PartName="/word/footer40.xml" ContentType="application/vnd.openxmlformats-officedocument.wordprocessingml.footer+xml"/>
  <Override PartName="/word/footer41.xml" ContentType="application/vnd.openxmlformats-officedocument.wordprocessingml.footer+xml"/>
  <Override PartName="/word/header47.xml" ContentType="application/vnd.openxmlformats-officedocument.wordprocessingml.header+xml"/>
  <Override PartName="/word/charts/chart57.xml" ContentType="application/vnd.openxmlformats-officedocument.drawingml.chart+xml"/>
  <Override PartName="/word/charts/style51.xml" ContentType="application/vnd.ms-office.chartstyle+xml"/>
  <Override PartName="/word/charts/colors51.xml" ContentType="application/vnd.ms-office.chartcolorstyle+xml"/>
  <Override PartName="/word/drawings/drawing24.xml" ContentType="application/vnd.openxmlformats-officedocument.drawingml.chartshapes+xml"/>
  <Override PartName="/word/charts/chart58.xml" ContentType="application/vnd.openxmlformats-officedocument.drawingml.chart+xml"/>
  <Override PartName="/word/charts/style52.xml" ContentType="application/vnd.ms-office.chartstyle+xml"/>
  <Override PartName="/word/charts/colors52.xml" ContentType="application/vnd.ms-office.chartcolorstyle+xml"/>
  <Override PartName="/word/drawings/drawing25.xml" ContentType="application/vnd.openxmlformats-officedocument.drawingml.chartshapes+xml"/>
  <Override PartName="/word/charts/chart59.xml" ContentType="application/vnd.openxmlformats-officedocument.drawingml.chart+xml"/>
  <Override PartName="/word/charts/style53.xml" ContentType="application/vnd.ms-office.chartstyle+xml"/>
  <Override PartName="/word/charts/colors53.xml" ContentType="application/vnd.ms-office.chartcolorstyle+xml"/>
  <Override PartName="/word/theme/themeOverride55.xml" ContentType="application/vnd.openxmlformats-officedocument.themeOverride+xml"/>
  <Override PartName="/word/drawings/drawing26.xml" ContentType="application/vnd.openxmlformats-officedocument.drawingml.chartshapes+xml"/>
  <Override PartName="/word/charts/chart60.xml" ContentType="application/vnd.openxmlformats-officedocument.drawingml.chart+xml"/>
  <Override PartName="/word/charts/style54.xml" ContentType="application/vnd.ms-office.chartstyle+xml"/>
  <Override PartName="/word/charts/colors54.xml" ContentType="application/vnd.ms-office.chartcolorstyle+xml"/>
  <Override PartName="/word/charts/chart61.xml" ContentType="application/vnd.openxmlformats-officedocument.drawingml.chart+xml"/>
  <Override PartName="/word/charts/style55.xml" ContentType="application/vnd.ms-office.chartstyle+xml"/>
  <Override PartName="/word/charts/colors55.xml" ContentType="application/vnd.ms-office.chartcolorstyle+xml"/>
  <Override PartName="/word/charts/chart62.xml" ContentType="application/vnd.openxmlformats-officedocument.drawingml.chart+xml"/>
  <Override PartName="/word/charts/style56.xml" ContentType="application/vnd.ms-office.chartstyle+xml"/>
  <Override PartName="/word/charts/colors56.xml" ContentType="application/vnd.ms-office.chartcolorstyle+xml"/>
  <Override PartName="/word/drawings/drawing27.xml" ContentType="application/vnd.openxmlformats-officedocument.drawingml.chartshapes+xml"/>
  <Override PartName="/word/header48.xml" ContentType="application/vnd.openxmlformats-officedocument.wordprocessingml.header+xml"/>
  <Override PartName="/word/header49.xml" ContentType="application/vnd.openxmlformats-officedocument.wordprocessingml.header+xml"/>
  <Override PartName="/word/footer42.xml" ContentType="application/vnd.openxmlformats-officedocument.wordprocessingml.footer+xml"/>
  <Override PartName="/word/footer43.xml" ContentType="application/vnd.openxmlformats-officedocument.wordprocessingml.footer+xml"/>
  <Override PartName="/word/header50.xml" ContentType="application/vnd.openxmlformats-officedocument.wordprocessingml.header+xml"/>
  <Override PartName="/word/charts/chart63.xml" ContentType="application/vnd.openxmlformats-officedocument.drawingml.chart+xml"/>
  <Override PartName="/word/theme/themeOverride56.xml" ContentType="application/vnd.openxmlformats-officedocument.themeOverride+xml"/>
  <Override PartName="/word/charts/chart64.xml" ContentType="application/vnd.openxmlformats-officedocument.drawingml.chart+xml"/>
  <Override PartName="/word/theme/themeOverride57.xml" ContentType="application/vnd.openxmlformats-officedocument.themeOverride+xml"/>
  <Override PartName="/word/charts/chart65.xml" ContentType="application/vnd.openxmlformats-officedocument.drawingml.chart+xml"/>
  <Override PartName="/word/theme/themeOverride58.xml" ContentType="application/vnd.openxmlformats-officedocument.themeOverride+xml"/>
  <Override PartName="/word/charts/chart66.xml" ContentType="application/vnd.openxmlformats-officedocument.drawingml.chart+xml"/>
  <Override PartName="/word/charts/chart67.xml" ContentType="application/vnd.openxmlformats-officedocument.drawingml.chart+xml"/>
  <Override PartName="/word/theme/themeOverride59.xml" ContentType="application/vnd.openxmlformats-officedocument.themeOverride+xml"/>
  <Override PartName="/word/charts/chart68.xml" ContentType="application/vnd.openxmlformats-officedocument.drawingml.chart+xml"/>
  <Override PartName="/word/charts/chart69.xml" ContentType="application/vnd.openxmlformats-officedocument.drawingml.chart+xml"/>
  <Override PartName="/word/theme/themeOverride60.xml" ContentType="application/vnd.openxmlformats-officedocument.themeOverride+xml"/>
  <Override PartName="/word/charts/chart70.xml" ContentType="application/vnd.openxmlformats-officedocument.drawingml.chart+xml"/>
  <Override PartName="/word/charts/chart71.xml" ContentType="application/vnd.openxmlformats-officedocument.drawingml.chart+xml"/>
  <Override PartName="/word/charts/chart72.xml" ContentType="application/vnd.openxmlformats-officedocument.drawingml.chart+xml"/>
  <Override PartName="/word/theme/themeOverride61.xml" ContentType="application/vnd.openxmlformats-officedocument.themeOverride+xml"/>
  <Override PartName="/word/charts/chart73.xml" ContentType="application/vnd.openxmlformats-officedocument.drawingml.chart+xml"/>
  <Override PartName="/word/theme/themeOverride62.xml" ContentType="application/vnd.openxmlformats-officedocument.themeOverride+xml"/>
  <Override PartName="/word/charts/chart74.xml" ContentType="application/vnd.openxmlformats-officedocument.drawingml.chart+xml"/>
  <Override PartName="/word/charts/chart75.xml" ContentType="application/vnd.openxmlformats-officedocument.drawingml.chart+xml"/>
  <Override PartName="/word/charts/style57.xml" ContentType="application/vnd.ms-office.chartstyle+xml"/>
  <Override PartName="/word/charts/colors57.xml" ContentType="application/vnd.ms-office.chartcolorstyle+xml"/>
  <Override PartName="/word/charts/chart76.xml" ContentType="application/vnd.openxmlformats-officedocument.drawingml.chart+xml"/>
  <Override PartName="/word/theme/themeOverride63.xml" ContentType="application/vnd.openxmlformats-officedocument.themeOverride+xml"/>
  <Override PartName="/word/charts/chart77.xml" ContentType="application/vnd.openxmlformats-officedocument.drawingml.chart+xml"/>
  <Override PartName="/word/charts/style58.xml" ContentType="application/vnd.ms-office.chartstyle+xml"/>
  <Override PartName="/word/charts/colors58.xml" ContentType="application/vnd.ms-office.chartcolorstyle+xml"/>
  <Override PartName="/word/header51.xml" ContentType="application/vnd.openxmlformats-officedocument.wordprocessingml.header+xml"/>
  <Override PartName="/word/header52.xml" ContentType="application/vnd.openxmlformats-officedocument.wordprocessingml.header+xml"/>
  <Override PartName="/word/footer44.xml" ContentType="application/vnd.openxmlformats-officedocument.wordprocessingml.footer+xml"/>
  <Override PartName="/word/footer45.xml" ContentType="application/vnd.openxmlformats-officedocument.wordprocessingml.footer+xml"/>
  <Override PartName="/word/header53.xml" ContentType="application/vnd.openxmlformats-officedocument.wordprocessingml.header+xml"/>
  <Override PartName="/word/footer4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B064D0F" w14:textId="572BD47E" w:rsidR="00C55154" w:rsidRPr="00646254" w:rsidRDefault="0074219F" w:rsidP="00B46CA9">
      <w:pPr>
        <w:spacing w:before="240"/>
        <w:ind w:firstLine="720"/>
        <w:rPr>
          <w:rFonts w:cstheme="minorHAnsi"/>
          <w:sz w:val="48"/>
          <w:szCs w:val="64"/>
          <w:lang w:val="sr-Cyrl-CS"/>
        </w:rPr>
      </w:pPr>
      <w:r w:rsidRPr="00646254">
        <w:rPr>
          <w:rFonts w:ascii="Calibri" w:eastAsia="Calibri" w:hAnsi="Calibri" w:cs="Calibri"/>
          <w:bCs/>
          <w:color w:val="44546A"/>
          <w:szCs w:val="72"/>
          <w:lang w:val="sr-Cyrl-CS"/>
        </w:rPr>
        <w:t>На основу члана 27в став 1. и члана 31. став 1.</w:t>
      </w:r>
      <w:r w:rsidR="00FD7F91" w:rsidRPr="00646254">
        <w:rPr>
          <w:rFonts w:ascii="Calibri" w:eastAsia="Calibri" w:hAnsi="Calibri" w:cs="Calibri"/>
          <w:bCs/>
          <w:color w:val="44546A"/>
          <w:szCs w:val="72"/>
          <w:lang w:val="sr-Cyrl-CS"/>
        </w:rPr>
        <w:t xml:space="preserve"> </w:t>
      </w:r>
      <w:r w:rsidR="001D190B" w:rsidRPr="00646254">
        <w:rPr>
          <w:rFonts w:ascii="Calibri" w:eastAsia="Calibri" w:hAnsi="Calibri" w:cs="Calibri"/>
          <w:bCs/>
          <w:color w:val="44546A"/>
          <w:szCs w:val="72"/>
          <w:lang w:val="sr-Cyrl-CS"/>
        </w:rPr>
        <w:t>тачка 1) подтач. (13</w:t>
      </w:r>
      <w:r w:rsidR="00FD7F91" w:rsidRPr="00646254">
        <w:rPr>
          <w:rFonts w:ascii="Calibri" w:eastAsia="Calibri" w:hAnsi="Calibri" w:cs="Calibri"/>
          <w:bCs/>
          <w:color w:val="44546A"/>
          <w:szCs w:val="72"/>
          <w:lang w:val="sr-Cyrl-CS"/>
        </w:rPr>
        <w:t>)</w:t>
      </w:r>
      <w:r w:rsidRPr="00646254">
        <w:rPr>
          <w:rFonts w:ascii="Calibri" w:eastAsia="Calibri" w:hAnsi="Calibri" w:cs="Calibri"/>
          <w:bCs/>
          <w:color w:val="44546A"/>
          <w:szCs w:val="72"/>
          <w:lang w:val="sr-Cyrl-CS"/>
        </w:rPr>
        <w:t xml:space="preserve"> </w:t>
      </w:r>
      <w:r w:rsidR="001D190B" w:rsidRPr="00646254">
        <w:rPr>
          <w:rFonts w:ascii="Calibri" w:eastAsia="Calibri" w:hAnsi="Calibri" w:cs="Calibri"/>
          <w:bCs/>
          <w:color w:val="44546A"/>
          <w:szCs w:val="72"/>
          <w:lang w:val="sr-Cyrl-CS"/>
        </w:rPr>
        <w:t xml:space="preserve">и (14) </w:t>
      </w:r>
      <w:r w:rsidRPr="00646254">
        <w:rPr>
          <w:rFonts w:ascii="Calibri" w:eastAsia="Calibri" w:hAnsi="Calibri" w:cs="Calibri"/>
          <w:bCs/>
          <w:color w:val="44546A"/>
          <w:szCs w:val="72"/>
          <w:lang w:val="sr-Cyrl-CS"/>
        </w:rPr>
        <w:t xml:space="preserve">Закона о буџетском систему </w:t>
      </w:r>
      <w:r w:rsidR="00FD7F91" w:rsidRPr="00646254">
        <w:rPr>
          <w:rFonts w:ascii="Calibri" w:eastAsia="Calibri" w:hAnsi="Calibri" w:cs="Calibri"/>
          <w:bCs/>
          <w:color w:val="44546A"/>
          <w:szCs w:val="72"/>
          <w:lang w:val="sr-Cyrl-CS"/>
        </w:rPr>
        <w:t>(„Службени гласник РС”, бр. 54/09, 73/10, 101/10, 101/11, 93/12, 62/13, 63/13-исправка, 108/13, 142/14, 68/15-др. закон, 103/15, 99/16, 113/17, 95/18, 31/19, 72/19 и 149/20)</w:t>
      </w:r>
      <w:r w:rsidR="00C55154" w:rsidRPr="00646254">
        <w:rPr>
          <w:rFonts w:cstheme="minorHAnsi"/>
          <w:bCs/>
          <w:szCs w:val="72"/>
          <w:lang w:val="sr-Cyrl-CS"/>
        </w:rPr>
        <w:t>,</w:t>
      </w:r>
    </w:p>
    <w:p w14:paraId="0BC6F837" w14:textId="525B84E5" w:rsidR="00C55154" w:rsidRPr="00646254" w:rsidRDefault="00B46CA9" w:rsidP="00B46CA9">
      <w:pPr>
        <w:ind w:firstLine="720"/>
        <w:rPr>
          <w:rFonts w:cstheme="minorHAnsi"/>
          <w:bCs/>
          <w:szCs w:val="72"/>
          <w:lang w:val="sr-Cyrl-CS"/>
        </w:rPr>
      </w:pPr>
      <w:r w:rsidRPr="00646254">
        <w:rPr>
          <w:rFonts w:cstheme="minorHAnsi"/>
          <w:bCs/>
          <w:szCs w:val="72"/>
          <w:lang w:val="sr-Cyrl-CS"/>
        </w:rPr>
        <w:t>Влада усваја</w:t>
      </w:r>
    </w:p>
    <w:p w14:paraId="6B2D1F8F" w14:textId="09AB64A9" w:rsidR="00C55154" w:rsidRPr="00646254" w:rsidRDefault="002A6CF0" w:rsidP="008420D4">
      <w:pPr>
        <w:spacing w:after="0" w:line="240" w:lineRule="auto"/>
        <w:jc w:val="center"/>
        <w:rPr>
          <w:rFonts w:cstheme="minorHAnsi"/>
          <w:b/>
          <w:bCs/>
          <w:sz w:val="26"/>
          <w:szCs w:val="26"/>
          <w:lang w:val="sr-Cyrl-CS"/>
        </w:rPr>
      </w:pPr>
      <w:r w:rsidRPr="00646254">
        <w:rPr>
          <w:rFonts w:cstheme="minorHAnsi"/>
          <w:b/>
          <w:bCs/>
          <w:sz w:val="26"/>
          <w:szCs w:val="26"/>
          <w:lang w:val="sr-Cyrl-CS"/>
        </w:rPr>
        <w:t xml:space="preserve">РЕВИДИРАНУ </w:t>
      </w:r>
      <w:r w:rsidR="00C55154" w:rsidRPr="00646254">
        <w:rPr>
          <w:rFonts w:cstheme="minorHAnsi"/>
          <w:b/>
          <w:bCs/>
          <w:sz w:val="26"/>
          <w:szCs w:val="26"/>
          <w:lang w:val="sr-Cyrl-CS"/>
        </w:rPr>
        <w:t>ФИСКАЛНУ СТРАТЕГИЈУ</w:t>
      </w:r>
    </w:p>
    <w:p w14:paraId="3D209906" w14:textId="4B237A4D" w:rsidR="00C55154" w:rsidRPr="00646254" w:rsidRDefault="00C55154" w:rsidP="008420D4">
      <w:pPr>
        <w:spacing w:after="0" w:line="240" w:lineRule="auto"/>
        <w:jc w:val="center"/>
        <w:rPr>
          <w:rFonts w:cstheme="minorHAnsi"/>
          <w:b/>
          <w:bCs/>
          <w:sz w:val="26"/>
          <w:szCs w:val="26"/>
          <w:lang w:val="sr-Cyrl-CS"/>
        </w:rPr>
      </w:pPr>
      <w:r w:rsidRPr="00646254">
        <w:rPr>
          <w:rFonts w:cstheme="minorHAnsi"/>
          <w:b/>
          <w:bCs/>
          <w:sz w:val="26"/>
          <w:szCs w:val="26"/>
          <w:lang w:val="sr-Cyrl-CS"/>
        </w:rPr>
        <w:t>ЗА 202</w:t>
      </w:r>
      <w:r w:rsidR="00E33066" w:rsidRPr="00646254">
        <w:rPr>
          <w:rFonts w:cstheme="minorHAnsi"/>
          <w:b/>
          <w:bCs/>
          <w:sz w:val="26"/>
          <w:szCs w:val="26"/>
          <w:lang w:val="sr-Cyrl-CS"/>
        </w:rPr>
        <w:t>2</w:t>
      </w:r>
      <w:r w:rsidRPr="00646254">
        <w:rPr>
          <w:rFonts w:cstheme="minorHAnsi"/>
          <w:b/>
          <w:bCs/>
          <w:sz w:val="26"/>
          <w:szCs w:val="26"/>
          <w:lang w:val="sr-Cyrl-CS"/>
        </w:rPr>
        <w:t>. ГОДИНУ СА ПРОЈЕКЦИЈАМА ЗА 202</w:t>
      </w:r>
      <w:r w:rsidR="00E33066" w:rsidRPr="00646254">
        <w:rPr>
          <w:rFonts w:cstheme="minorHAnsi"/>
          <w:b/>
          <w:bCs/>
          <w:sz w:val="26"/>
          <w:szCs w:val="26"/>
          <w:lang w:val="sr-Cyrl-CS"/>
        </w:rPr>
        <w:t>3</w:t>
      </w:r>
      <w:r w:rsidRPr="00646254">
        <w:rPr>
          <w:rFonts w:cstheme="minorHAnsi"/>
          <w:b/>
          <w:bCs/>
          <w:sz w:val="26"/>
          <w:szCs w:val="26"/>
          <w:lang w:val="sr-Cyrl-CS"/>
        </w:rPr>
        <w:t>. И 202</w:t>
      </w:r>
      <w:r w:rsidR="00E33066" w:rsidRPr="00646254">
        <w:rPr>
          <w:rFonts w:cstheme="minorHAnsi"/>
          <w:b/>
          <w:bCs/>
          <w:sz w:val="26"/>
          <w:szCs w:val="26"/>
          <w:lang w:val="sr-Cyrl-CS"/>
        </w:rPr>
        <w:t>4</w:t>
      </w:r>
      <w:r w:rsidRPr="00646254">
        <w:rPr>
          <w:rFonts w:cstheme="minorHAnsi"/>
          <w:b/>
          <w:bCs/>
          <w:sz w:val="26"/>
          <w:szCs w:val="26"/>
          <w:lang w:val="sr-Cyrl-CS"/>
        </w:rPr>
        <w:t>. ГОДИНУ</w:t>
      </w:r>
    </w:p>
    <w:p w14:paraId="269B608F" w14:textId="77777777" w:rsidR="00C55154" w:rsidRPr="00646254" w:rsidRDefault="00C55154" w:rsidP="008420D4">
      <w:pPr>
        <w:spacing w:after="0" w:line="240" w:lineRule="auto"/>
        <w:jc w:val="center"/>
        <w:rPr>
          <w:rFonts w:cstheme="minorHAnsi"/>
          <w:b/>
          <w:bCs/>
          <w:sz w:val="24"/>
          <w:szCs w:val="72"/>
          <w:lang w:val="sr-Cyrl-CS"/>
        </w:rPr>
      </w:pPr>
    </w:p>
    <w:p w14:paraId="31D41E93" w14:textId="6317FE4F" w:rsidR="00C55154" w:rsidRPr="00646254" w:rsidRDefault="00C55154" w:rsidP="00D20C27">
      <w:pPr>
        <w:pStyle w:val="Heading1"/>
        <w:jc w:val="center"/>
        <w:rPr>
          <w:rFonts w:asciiTheme="minorHAnsi" w:hAnsiTheme="minorHAnsi" w:cstheme="minorHAnsi"/>
          <w:b/>
          <w:sz w:val="26"/>
          <w:szCs w:val="26"/>
          <w:lang w:val="sr-Cyrl-CS"/>
        </w:rPr>
      </w:pPr>
      <w:bookmarkStart w:id="0" w:name="_Toc86650467"/>
      <w:r w:rsidRPr="00646254">
        <w:rPr>
          <w:rFonts w:asciiTheme="minorHAnsi" w:hAnsiTheme="minorHAnsi" w:cstheme="minorHAnsi"/>
          <w:b/>
          <w:sz w:val="26"/>
          <w:szCs w:val="26"/>
          <w:lang w:val="sr-Cyrl-CS"/>
        </w:rPr>
        <w:t>I. МАКРОЕКОНОМСКИ ОКВИР ЗА ПЕРИОД ОД 202</w:t>
      </w:r>
      <w:r w:rsidR="00E33066" w:rsidRPr="00646254">
        <w:rPr>
          <w:rFonts w:asciiTheme="minorHAnsi" w:hAnsiTheme="minorHAnsi" w:cstheme="minorHAnsi"/>
          <w:b/>
          <w:sz w:val="26"/>
          <w:szCs w:val="26"/>
          <w:lang w:val="sr-Cyrl-CS"/>
        </w:rPr>
        <w:t>2</w:t>
      </w:r>
      <w:r w:rsidRPr="00646254">
        <w:rPr>
          <w:rFonts w:asciiTheme="minorHAnsi" w:hAnsiTheme="minorHAnsi" w:cstheme="minorHAnsi"/>
          <w:b/>
          <w:sz w:val="26"/>
          <w:szCs w:val="26"/>
          <w:lang w:val="sr-Cyrl-CS"/>
        </w:rPr>
        <w:t>. ДО 202</w:t>
      </w:r>
      <w:r w:rsidR="00E33066" w:rsidRPr="00646254">
        <w:rPr>
          <w:rFonts w:asciiTheme="minorHAnsi" w:hAnsiTheme="minorHAnsi" w:cstheme="minorHAnsi"/>
          <w:b/>
          <w:sz w:val="26"/>
          <w:szCs w:val="26"/>
          <w:lang w:val="sr-Cyrl-CS"/>
        </w:rPr>
        <w:t>4</w:t>
      </w:r>
      <w:r w:rsidRPr="00646254">
        <w:rPr>
          <w:rFonts w:asciiTheme="minorHAnsi" w:hAnsiTheme="minorHAnsi" w:cstheme="minorHAnsi"/>
          <w:b/>
          <w:sz w:val="26"/>
          <w:szCs w:val="26"/>
          <w:lang w:val="sr-Cyrl-CS"/>
        </w:rPr>
        <w:t>. ГОДИНЕ</w:t>
      </w:r>
      <w:bookmarkEnd w:id="0"/>
    </w:p>
    <w:p w14:paraId="31A5B1F7" w14:textId="77777777" w:rsidR="00C55154" w:rsidRPr="00646254" w:rsidRDefault="00C55154" w:rsidP="00087CD9">
      <w:pPr>
        <w:spacing w:after="120"/>
        <w:jc w:val="center"/>
        <w:rPr>
          <w:rFonts w:cstheme="minorHAnsi"/>
          <w:color w:val="2F5496" w:themeColor="accent1" w:themeShade="BF"/>
          <w:sz w:val="18"/>
          <w:lang w:val="sr-Cyrl-CS"/>
        </w:rPr>
      </w:pPr>
    </w:p>
    <w:p w14:paraId="3CA90BED" w14:textId="77777777" w:rsidR="00C55154" w:rsidRPr="00646254" w:rsidRDefault="00C55154" w:rsidP="00D20C27">
      <w:pPr>
        <w:pStyle w:val="Heading2"/>
        <w:jc w:val="center"/>
        <w:rPr>
          <w:rFonts w:asciiTheme="minorHAnsi" w:hAnsiTheme="minorHAnsi" w:cstheme="minorHAnsi"/>
          <w:b/>
          <w:sz w:val="24"/>
          <w:lang w:val="sr-Cyrl-CS"/>
        </w:rPr>
      </w:pPr>
      <w:bookmarkStart w:id="1" w:name="_Toc86650468"/>
      <w:r w:rsidRPr="00646254">
        <w:rPr>
          <w:rFonts w:asciiTheme="minorHAnsi" w:hAnsiTheme="minorHAnsi" w:cstheme="minorHAnsi"/>
          <w:b/>
          <w:sz w:val="22"/>
          <w:lang w:val="sr-Cyrl-CS"/>
        </w:rPr>
        <w:t xml:space="preserve">1. </w:t>
      </w:r>
      <w:r w:rsidRPr="00646254">
        <w:rPr>
          <w:rFonts w:asciiTheme="minorHAnsi" w:hAnsiTheme="minorHAnsi" w:cstheme="minorHAnsi"/>
          <w:b/>
          <w:sz w:val="24"/>
          <w:lang w:val="sr-Cyrl-CS"/>
        </w:rPr>
        <w:t>Општи оквир и главни циљеви и смернице економске политике</w:t>
      </w:r>
      <w:bookmarkEnd w:id="1"/>
    </w:p>
    <w:p w14:paraId="3C3B499B" w14:textId="77777777" w:rsidR="00C55154" w:rsidRPr="00646254" w:rsidRDefault="00C55154" w:rsidP="00AF2359">
      <w:pPr>
        <w:rPr>
          <w:rFonts w:cstheme="minorHAnsi"/>
          <w:color w:val="auto"/>
          <w:sz w:val="18"/>
          <w:lang w:val="sr-Cyrl-CS"/>
        </w:rPr>
      </w:pPr>
    </w:p>
    <w:p w14:paraId="4983963A" w14:textId="77777777" w:rsidR="00C55154" w:rsidRPr="00646254" w:rsidRDefault="00C55154" w:rsidP="00AF2359">
      <w:pPr>
        <w:rPr>
          <w:rFonts w:cstheme="minorHAnsi"/>
          <w:color w:val="auto"/>
          <w:lang w:val="sr-Cyrl-CS"/>
        </w:rPr>
        <w:sectPr w:rsidR="00C55154" w:rsidRPr="00646254" w:rsidSect="00766A90">
          <w:footerReference w:type="default" r:id="rId8"/>
          <w:pgSz w:w="12240" w:h="15840" w:code="1"/>
          <w:pgMar w:top="1440" w:right="1440" w:bottom="1440" w:left="1440" w:header="720" w:footer="720" w:gutter="0"/>
          <w:pgNumType w:start="1"/>
          <w:cols w:space="720"/>
          <w:titlePg/>
          <w:docGrid w:linePitch="360"/>
        </w:sectPr>
      </w:pPr>
    </w:p>
    <w:p w14:paraId="149D82E0" w14:textId="7D1BFF80" w:rsidR="001E1EFD" w:rsidRPr="00646254" w:rsidRDefault="001E1EFD" w:rsidP="001E1EFD">
      <w:pPr>
        <w:rPr>
          <w:rFonts w:ascii="Calibri" w:eastAsia="Calibri" w:hAnsi="Calibri" w:cs="Calibri"/>
          <w:bCs/>
          <w:color w:val="4472C4"/>
          <w:szCs w:val="72"/>
          <w:lang w:val="sr-Cyrl-CS"/>
        </w:rPr>
      </w:pPr>
      <w:r w:rsidRPr="00646254">
        <w:rPr>
          <w:rFonts w:ascii="Calibri" w:eastAsia="Calibri" w:hAnsi="Calibri" w:cs="Calibri"/>
          <w:b/>
          <w:bCs/>
          <w:color w:val="4472C4"/>
          <w:szCs w:val="72"/>
          <w:lang w:val="sr-Cyrl-CS"/>
        </w:rPr>
        <w:t>Економска политика у Републици Србији дала је адекватан одговор на кризу изазвану пандемијом коро</w:t>
      </w:r>
      <w:r w:rsidR="00F752BB" w:rsidRPr="00646254">
        <w:rPr>
          <w:rFonts w:ascii="Calibri" w:eastAsia="Calibri" w:hAnsi="Calibri" w:cs="Calibri"/>
          <w:b/>
          <w:bCs/>
          <w:color w:val="4472C4"/>
          <w:szCs w:val="72"/>
          <w:lang w:val="sr-Cyrl-CS"/>
        </w:rPr>
        <w:t>на</w:t>
      </w:r>
      <w:r w:rsidRPr="00646254">
        <w:rPr>
          <w:rFonts w:ascii="Calibri" w:eastAsia="Calibri" w:hAnsi="Calibri" w:cs="Calibri"/>
          <w:b/>
          <w:bCs/>
          <w:color w:val="4472C4"/>
          <w:szCs w:val="72"/>
          <w:lang w:val="sr-Cyrl-CS"/>
        </w:rPr>
        <w:t>вируса.</w:t>
      </w:r>
      <w:r w:rsidRPr="00646254">
        <w:rPr>
          <w:rFonts w:ascii="Calibri" w:eastAsia="Calibri" w:hAnsi="Calibri" w:cs="Calibri"/>
          <w:bCs/>
          <w:color w:val="4472C4"/>
          <w:szCs w:val="72"/>
          <w:lang w:val="sr-Cyrl-CS"/>
        </w:rPr>
        <w:t xml:space="preserve"> Две године борбе на здравственом и економском плану дале су задовољавајуће резултате. Захваљујући </w:t>
      </w:r>
      <w:r w:rsidR="006D0904" w:rsidRPr="00646254">
        <w:rPr>
          <w:rFonts w:ascii="Calibri" w:eastAsia="Calibri" w:hAnsi="Calibri" w:cs="Calibri"/>
          <w:bCs/>
          <w:color w:val="4472C4"/>
          <w:szCs w:val="72"/>
          <w:lang w:val="sr-Cyrl-CS"/>
        </w:rPr>
        <w:t xml:space="preserve">претходно </w:t>
      </w:r>
      <w:r w:rsidRPr="00646254">
        <w:rPr>
          <w:rFonts w:ascii="Calibri" w:eastAsia="Calibri" w:hAnsi="Calibri" w:cs="Calibri"/>
          <w:bCs/>
          <w:color w:val="4472C4"/>
          <w:szCs w:val="72"/>
          <w:lang w:val="sr-Cyrl-CS"/>
        </w:rPr>
        <w:t xml:space="preserve">постигнутој макроекономској стабилности створен је простор да одговор економске политике буде адекватан по обиму и структури. Фискалном политиком обезбеђен је свеобухватан пакет мера којим је пружена помоћ привреди </w:t>
      </w:r>
      <w:r w:rsidR="006D0904" w:rsidRPr="00646254">
        <w:rPr>
          <w:rFonts w:ascii="Calibri" w:eastAsia="Calibri" w:hAnsi="Calibri" w:cs="Calibri"/>
          <w:bCs/>
          <w:color w:val="4472C4"/>
          <w:szCs w:val="72"/>
          <w:lang w:val="sr-Cyrl-CS"/>
        </w:rPr>
        <w:t xml:space="preserve">и становништву </w:t>
      </w:r>
      <w:r w:rsidRPr="00646254">
        <w:rPr>
          <w:rFonts w:ascii="Calibri" w:eastAsia="Calibri" w:hAnsi="Calibri" w:cs="Calibri"/>
          <w:bCs/>
          <w:color w:val="4472C4"/>
          <w:szCs w:val="72"/>
          <w:lang w:val="sr-Cyrl-CS"/>
        </w:rPr>
        <w:t>и чији се позитивни ефекти одражавају на макроекономске показатеље. Обезбеђена вредност пакета мера помоћи привреди и становништву у 2020. години процењена је на 12,</w:t>
      </w:r>
      <w:r w:rsidR="00E1500D" w:rsidRPr="00646254">
        <w:rPr>
          <w:rFonts w:ascii="Calibri" w:eastAsia="Calibri" w:hAnsi="Calibri" w:cs="Calibri"/>
          <w:bCs/>
          <w:color w:val="4472C4"/>
          <w:szCs w:val="72"/>
          <w:lang w:val="sr-Cyrl-CS"/>
        </w:rPr>
        <w:t>8</w:t>
      </w:r>
      <w:r w:rsidRPr="00646254">
        <w:rPr>
          <w:rFonts w:ascii="Calibri" w:eastAsia="Calibri" w:hAnsi="Calibri" w:cs="Calibri"/>
          <w:bCs/>
          <w:color w:val="4472C4"/>
          <w:szCs w:val="72"/>
          <w:lang w:val="sr-Cyrl-CS"/>
        </w:rPr>
        <w:t xml:space="preserve">% бруто домаћег производа (у даљем тексту: БДП). Продужено трајање неповољне епидемијске ситуације у 2021. години условило је још једну, по обиму значајну помоћ привреди и становништву, како би се уз масовну вакцинацију становништва и стављање епидемије под контролу, обезбедили услови за потпун опоравак и раст економије. Пакет помоћи обезбеђен у 2021. </w:t>
      </w:r>
      <w:r w:rsidR="003C1E44" w:rsidRPr="00646254">
        <w:rPr>
          <w:rFonts w:ascii="Calibri" w:eastAsia="Calibri" w:hAnsi="Calibri" w:cs="Calibri"/>
          <w:bCs/>
          <w:color w:val="4472C4"/>
          <w:szCs w:val="72"/>
          <w:lang w:val="sr-Cyrl-CS"/>
        </w:rPr>
        <w:t>години процењује се на 4,</w:t>
      </w:r>
      <w:r w:rsidR="00E1500D" w:rsidRPr="00646254">
        <w:rPr>
          <w:rFonts w:ascii="Calibri" w:eastAsia="Calibri" w:hAnsi="Calibri" w:cs="Calibri"/>
          <w:bCs/>
          <w:color w:val="4472C4"/>
          <w:szCs w:val="72"/>
          <w:lang w:val="sr-Cyrl-CS"/>
        </w:rPr>
        <w:t>2</w:t>
      </w:r>
      <w:r w:rsidR="003C1E44" w:rsidRPr="00646254">
        <w:rPr>
          <w:rFonts w:ascii="Calibri" w:eastAsia="Calibri" w:hAnsi="Calibri" w:cs="Calibri"/>
          <w:bCs/>
          <w:color w:val="4472C4"/>
          <w:szCs w:val="72"/>
          <w:lang w:val="sr-Cyrl-CS"/>
        </w:rPr>
        <w:t>% БДП.</w:t>
      </w:r>
    </w:p>
    <w:p w14:paraId="79B2794E" w14:textId="68C368F4" w:rsidR="001E1EFD" w:rsidRPr="00646254" w:rsidRDefault="001E1EFD" w:rsidP="001E1EFD">
      <w:pPr>
        <w:rPr>
          <w:rFonts w:ascii="Calibri" w:eastAsia="Calibri" w:hAnsi="Calibri" w:cs="Calibri"/>
          <w:bCs/>
          <w:color w:val="4472C4"/>
          <w:szCs w:val="72"/>
          <w:lang w:val="sr-Cyrl-CS"/>
        </w:rPr>
      </w:pPr>
      <w:r w:rsidRPr="00646254">
        <w:rPr>
          <w:rFonts w:ascii="Calibri" w:eastAsia="Calibri" w:hAnsi="Calibri" w:cs="Calibri"/>
          <w:b/>
          <w:bCs/>
          <w:color w:val="4472C4"/>
          <w:szCs w:val="72"/>
          <w:lang w:val="sr-Cyrl-CS"/>
        </w:rPr>
        <w:t>Основни циљеви постављени усвојеним Програмом економских мера за подршку привреди Србије испуњени су. Очувани су привредни капацитети и пружена подршка у одржавању ликвидности привреде у току трајања ових ванредних околности.</w:t>
      </w:r>
      <w:r w:rsidRPr="00646254">
        <w:rPr>
          <w:rFonts w:ascii="Calibri" w:eastAsia="Calibri" w:hAnsi="Calibri" w:cs="Calibri"/>
          <w:bCs/>
          <w:color w:val="4472C4"/>
          <w:szCs w:val="72"/>
          <w:lang w:val="sr-Cyrl-CS"/>
        </w:rPr>
        <w:t xml:space="preserve"> Захваљујући адекватном одговору, привреда Републике Србије остварила добре резултате чак и у току 2020. </w:t>
      </w:r>
      <w:r w:rsidRPr="00646254">
        <w:rPr>
          <w:rFonts w:ascii="Calibri" w:eastAsia="Calibri" w:hAnsi="Calibri" w:cs="Calibri"/>
          <w:bCs/>
          <w:color w:val="4472C4"/>
          <w:szCs w:val="72"/>
          <w:lang w:val="sr-Cyrl-CS"/>
        </w:rPr>
        <w:t>године, упркос, до сада невиђеним ограничавајућим факторима по раст економије. У 2021. години очекује се потпуни опоравак и раст привреде</w:t>
      </w:r>
      <w:r w:rsidR="00E1500D" w:rsidRPr="00646254">
        <w:rPr>
          <w:rFonts w:ascii="Calibri" w:eastAsia="Calibri" w:hAnsi="Calibri" w:cs="Calibri"/>
          <w:bCs/>
          <w:color w:val="4472C4"/>
          <w:szCs w:val="72"/>
          <w:lang w:val="sr-Cyrl-CS"/>
        </w:rPr>
        <w:t xml:space="preserve"> изнад првобитно очекиваног.</w:t>
      </w:r>
    </w:p>
    <w:p w14:paraId="4EE48C70" w14:textId="08B6C0DA" w:rsidR="001E1EFD" w:rsidRPr="00646254" w:rsidRDefault="001E1EFD" w:rsidP="001E1EFD">
      <w:pPr>
        <w:rPr>
          <w:rFonts w:ascii="Calibri" w:eastAsia="Calibri" w:hAnsi="Calibri" w:cs="Calibri"/>
          <w:bCs/>
          <w:color w:val="4472C4"/>
          <w:szCs w:val="72"/>
          <w:lang w:val="sr-Cyrl-CS"/>
        </w:rPr>
      </w:pPr>
      <w:r w:rsidRPr="00646254">
        <w:rPr>
          <w:rFonts w:ascii="Calibri" w:eastAsia="Calibri" w:hAnsi="Calibri" w:cs="Calibri"/>
          <w:b/>
          <w:bCs/>
          <w:color w:val="4472C4"/>
          <w:szCs w:val="72"/>
          <w:lang w:val="sr-Cyrl-CS"/>
        </w:rPr>
        <w:t>Фискална стратегија у средњем року предвиђа постепену стабилизацију јавних финансија и усмеравање фискалног простора на јавне</w:t>
      </w:r>
      <w:r w:rsidRPr="00646254">
        <w:rPr>
          <w:rFonts w:ascii="Calibri" w:eastAsia="Calibri" w:hAnsi="Calibri" w:cs="Calibri"/>
          <w:bCs/>
          <w:color w:val="4472C4"/>
          <w:szCs w:val="72"/>
          <w:lang w:val="sr-Cyrl-CS"/>
        </w:rPr>
        <w:t xml:space="preserve"> </w:t>
      </w:r>
      <w:r w:rsidRPr="00646254">
        <w:rPr>
          <w:rFonts w:ascii="Calibri" w:eastAsia="Calibri" w:hAnsi="Calibri" w:cs="Calibri"/>
          <w:b/>
          <w:bCs/>
          <w:color w:val="4472C4"/>
          <w:szCs w:val="72"/>
          <w:lang w:val="sr-Cyrl-CS"/>
        </w:rPr>
        <w:t>инвестиције у циљу опоравка и раста привреде</w:t>
      </w:r>
      <w:r w:rsidRPr="00646254">
        <w:rPr>
          <w:rFonts w:ascii="Calibri" w:eastAsia="Calibri" w:hAnsi="Calibri" w:cs="Calibri"/>
          <w:bCs/>
          <w:color w:val="4472C4"/>
          <w:szCs w:val="72"/>
          <w:lang w:val="sr-Cyrl-CS"/>
        </w:rPr>
        <w:t>. Борба против пандемије и њених економских последица привремено је погоршала фискалну позицију земље. Основни сценарио економских кретања у средњем року претпоставља окончање здравствене кризе и економски опоравак. Под тим претпоставкама средњорочна путања дефицита је опадајућа и приближна одрживом нивоу на крају посматраног периода. Изузетно, повећано учешће јавног дуга у БДП у 2020. и 2021. години, имајући у виду пројектоване фискалне резултате, од 2022. године и на даље се смањује и враћа у одрживе оквире. Искуство у претходном периоду нам показује да су стабилне јавне финансије нужне не само као претпоставка одрживог раста, већ пре свега, као предуслов адекватне реакције државе у ванредним околностима попут ове изазване пандемијом коронавируса. Расположив фискални простор у наредном средњорочном периоду усмерава се одржање достигнутог нивоа јавних улагања. Јавне инвестиције кључан су фактор бржег опоравка привреде и стварања основа за динамичан привредни раст.</w:t>
      </w:r>
    </w:p>
    <w:p w14:paraId="36E8D41D" w14:textId="78A738F3" w:rsidR="00BA5C3A" w:rsidRPr="00646254" w:rsidRDefault="001E1EFD" w:rsidP="001E1EFD">
      <w:pPr>
        <w:rPr>
          <w:rFonts w:cstheme="minorHAnsi"/>
          <w:bCs/>
          <w:color w:val="4472C4" w:themeColor="accent1"/>
          <w:szCs w:val="72"/>
          <w:lang w:val="sr-Cyrl-CS"/>
        </w:rPr>
      </w:pPr>
      <w:r w:rsidRPr="00646254">
        <w:rPr>
          <w:rFonts w:ascii="Calibri" w:eastAsia="Calibri" w:hAnsi="Calibri" w:cs="Calibri"/>
          <w:b/>
          <w:bCs/>
          <w:color w:val="4472C4"/>
          <w:szCs w:val="72"/>
          <w:lang w:val="sr-Cyrl-CS"/>
        </w:rPr>
        <w:t>Макроекономски и фискални ризици по представљени основни сценарио су значајни.</w:t>
      </w:r>
      <w:r w:rsidRPr="00646254">
        <w:rPr>
          <w:rFonts w:ascii="Calibri" w:eastAsia="Calibri" w:hAnsi="Calibri" w:cs="Calibri"/>
          <w:bCs/>
          <w:color w:val="4472C4"/>
          <w:szCs w:val="72"/>
          <w:lang w:val="sr-Cyrl-CS"/>
        </w:rPr>
        <w:t xml:space="preserve"> И </w:t>
      </w:r>
      <w:r w:rsidRPr="00646254">
        <w:rPr>
          <w:rFonts w:ascii="Calibri" w:eastAsia="Calibri" w:hAnsi="Calibri" w:cs="Calibri"/>
          <w:bCs/>
          <w:color w:val="4472C4"/>
          <w:szCs w:val="72"/>
          <w:lang w:val="sr-Cyrl-CS"/>
        </w:rPr>
        <w:lastRenderedPageBreak/>
        <w:t xml:space="preserve">даље су присутне неизвесности у вези са током и трајањем пандемије, брзином масовне имунизације, начином и брзином којом ће се привреде опорављати, потребе за додатном </w:t>
      </w:r>
      <w:r w:rsidRPr="00646254">
        <w:rPr>
          <w:rFonts w:ascii="Calibri" w:eastAsia="Calibri" w:hAnsi="Calibri" w:cs="Calibri"/>
          <w:bCs/>
          <w:color w:val="4472C4"/>
          <w:szCs w:val="72"/>
          <w:lang w:val="sr-Cyrl-CS"/>
        </w:rPr>
        <w:t>помоћи привреди, као и бројне обавезе које могу проистећи из имплицитних и експлицитних гаранција државе датих као подршка привреди у току пандемије.</w:t>
      </w:r>
    </w:p>
    <w:p w14:paraId="179C9167" w14:textId="77777777" w:rsidR="00C32463" w:rsidRPr="00646254" w:rsidRDefault="00C32463" w:rsidP="00BA5C3A">
      <w:pPr>
        <w:rPr>
          <w:rFonts w:cstheme="minorHAnsi"/>
          <w:bCs/>
          <w:color w:val="4472C4" w:themeColor="accent1"/>
          <w:szCs w:val="72"/>
          <w:lang w:val="sr-Cyrl-CS"/>
        </w:rPr>
        <w:sectPr w:rsidR="00C32463" w:rsidRPr="00646254" w:rsidSect="007E6EA3">
          <w:footerReference w:type="default" r:id="rId9"/>
          <w:type w:val="continuous"/>
          <w:pgSz w:w="12240" w:h="15840" w:code="1"/>
          <w:pgMar w:top="1440" w:right="1440" w:bottom="1440" w:left="1440" w:header="720" w:footer="720" w:gutter="0"/>
          <w:cols w:num="2" w:space="720"/>
          <w:titlePg/>
          <w:docGrid w:linePitch="360"/>
        </w:sectPr>
      </w:pPr>
    </w:p>
    <w:p w14:paraId="0D4B9D98" w14:textId="77777777" w:rsidR="007A529E" w:rsidRPr="00646254" w:rsidRDefault="007A529E">
      <w:pPr>
        <w:jc w:val="left"/>
        <w:rPr>
          <w:rFonts w:eastAsiaTheme="majorEastAsia" w:cstheme="minorHAnsi"/>
          <w:b/>
          <w:color w:val="2E74B5" w:themeColor="accent5" w:themeShade="BF"/>
          <w:sz w:val="24"/>
          <w:szCs w:val="26"/>
          <w:lang w:val="sr-Cyrl-CS"/>
        </w:rPr>
      </w:pPr>
      <w:bookmarkStart w:id="2" w:name="_Toc57013542"/>
      <w:bookmarkStart w:id="3" w:name="_Toc23342461"/>
      <w:bookmarkStart w:id="4" w:name="_Toc530041993"/>
      <w:r w:rsidRPr="00646254">
        <w:rPr>
          <w:rFonts w:cstheme="minorHAnsi"/>
          <w:b/>
          <w:color w:val="2E74B5" w:themeColor="accent5" w:themeShade="BF"/>
          <w:sz w:val="24"/>
          <w:lang w:val="sr-Cyrl-CS"/>
        </w:rPr>
        <w:br w:type="page"/>
      </w:r>
    </w:p>
    <w:p w14:paraId="02562BF8" w14:textId="77777777" w:rsidR="004D0357" w:rsidRPr="00646254" w:rsidRDefault="004D0357" w:rsidP="00CE729E">
      <w:pPr>
        <w:pStyle w:val="Heading2"/>
        <w:jc w:val="center"/>
        <w:rPr>
          <w:rFonts w:asciiTheme="minorHAnsi" w:hAnsiTheme="minorHAnsi" w:cstheme="minorHAnsi"/>
          <w:b/>
          <w:sz w:val="24"/>
          <w:lang w:val="sr-Cyrl-CS"/>
        </w:rPr>
      </w:pPr>
      <w:bookmarkStart w:id="5" w:name="_Toc86650469"/>
      <w:r w:rsidRPr="00646254">
        <w:rPr>
          <w:rFonts w:asciiTheme="minorHAnsi" w:hAnsiTheme="minorHAnsi" w:cstheme="minorHAnsi"/>
          <w:b/>
          <w:sz w:val="24"/>
          <w:lang w:val="sr-Cyrl-CS"/>
        </w:rPr>
        <w:lastRenderedPageBreak/>
        <w:t>2. Процене међународног економског окружења</w:t>
      </w:r>
      <w:bookmarkEnd w:id="5"/>
    </w:p>
    <w:p w14:paraId="3EE18184" w14:textId="77777777" w:rsidR="004D0357" w:rsidRPr="00646254" w:rsidRDefault="004D0357" w:rsidP="00CE729E">
      <w:pPr>
        <w:spacing w:before="40" w:after="0"/>
        <w:rPr>
          <w:lang w:val="sr-Cyrl-CS"/>
        </w:rPr>
      </w:pPr>
      <w:r w:rsidRPr="00646254">
        <w:rPr>
          <w:rFonts w:cstheme="minorHAnsi"/>
          <w:b/>
          <w:noProof/>
          <w:sz w:val="24"/>
        </w:rPr>
        <mc:AlternateContent>
          <mc:Choice Requires="wps">
            <w:drawing>
              <wp:anchor distT="0" distB="0" distL="114300" distR="114300" simplePos="0" relativeHeight="251672064" behindDoc="1" locked="0" layoutInCell="1" allowOverlap="1" wp14:anchorId="42AC9420" wp14:editId="58CCDFC2">
                <wp:simplePos x="0" y="0"/>
                <wp:positionH relativeFrom="margin">
                  <wp:posOffset>-90805</wp:posOffset>
                </wp:positionH>
                <wp:positionV relativeFrom="paragraph">
                  <wp:posOffset>165736</wp:posOffset>
                </wp:positionV>
                <wp:extent cx="6140263" cy="3733800"/>
                <wp:effectExtent l="0" t="0" r="0" b="0"/>
                <wp:wrapNone/>
                <wp:docPr id="63" name="Rectangle 63"/>
                <wp:cNvGraphicFramePr/>
                <a:graphic xmlns:a="http://schemas.openxmlformats.org/drawingml/2006/main">
                  <a:graphicData uri="http://schemas.microsoft.com/office/word/2010/wordprocessingShape">
                    <wps:wsp>
                      <wps:cNvSpPr/>
                      <wps:spPr>
                        <a:xfrm>
                          <a:off x="0" y="0"/>
                          <a:ext cx="6140263" cy="3733800"/>
                        </a:xfrm>
                        <a:prstGeom prst="rect">
                          <a:avLst/>
                        </a:prstGeom>
                        <a:pattFill prst="pct25">
                          <a:fgClr>
                            <a:schemeClr val="bg1">
                              <a:lumMod val="85000"/>
                            </a:schemeClr>
                          </a:fgClr>
                          <a:bgClr>
                            <a:schemeClr val="bg1"/>
                          </a:bgClr>
                        </a:patt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E30AD2D" id="Rectangle 63" o:spid="_x0000_s1026" style="position:absolute;margin-left:-7.15pt;margin-top:13.05pt;width:483.5pt;height:294pt;z-index:-2516444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" fillcolor="#d8d8d8 [2732]" stroked="f" strokeweight="1pt">
                <v:fill r:id="rId18" o:title="" color2="white [3212]" type="pattern"/>
                <w10:wrap anchorx="margin"/>
              </v:rect>
            </w:pict>
          </mc:Fallback>
        </mc:AlternateContent>
      </w:r>
    </w:p>
    <w:p w14:paraId="6C32762D" w14:textId="77777777" w:rsidR="004D0357" w:rsidRPr="00646254" w:rsidRDefault="004D0357" w:rsidP="00CE729E">
      <w:pPr>
        <w:spacing w:before="40" w:after="0"/>
        <w:rPr>
          <w:lang w:val="sr-Cyrl-CS"/>
        </w:rPr>
        <w:sectPr w:rsidR="004D0357" w:rsidRPr="00646254" w:rsidSect="00426178">
          <w:headerReference w:type="default" r:id="rId19"/>
          <w:type w:val="continuous"/>
          <w:pgSz w:w="12240" w:h="15840" w:code="1"/>
          <w:pgMar w:top="1418" w:right="1418" w:bottom="1418" w:left="1418" w:header="720" w:footer="720" w:gutter="0"/>
          <w:cols w:space="720"/>
          <w:docGrid w:linePitch="272"/>
        </w:sectPr>
      </w:pPr>
    </w:p>
    <w:p w14:paraId="66EC894B" w14:textId="578412A8" w:rsidR="004D0357" w:rsidRPr="00646254" w:rsidRDefault="004D0357" w:rsidP="00F95294">
      <w:pPr>
        <w:spacing w:after="600"/>
        <w:rPr>
          <w:rFonts w:cstheme="minorHAnsi"/>
          <w:bCs/>
          <w:color w:val="0070C0"/>
          <w:szCs w:val="72"/>
          <w:lang w:val="sr-Cyrl-CS"/>
        </w:rPr>
      </w:pPr>
      <w:r w:rsidRPr="00646254">
        <w:rPr>
          <w:rFonts w:cstheme="minorHAnsi"/>
          <w:bCs/>
          <w:color w:val="0070C0"/>
          <w:szCs w:val="72"/>
          <w:lang w:val="sr-Cyrl-CS"/>
        </w:rPr>
        <w:t>Глобални економски опоравак се наставља и поред нових таласа вируса, уз очекивање да ће борба против пандемије ипак оставити негативне ефекте на економски раст у средњем року. Брзо ширење Делта соја и опасност од нових варијанти вируса довело је до повећане неизвесности у вези са брзином превазилажења пандемије. Разлике у динамици економског опоравка међу земљама последица су различите доступности вакцина, као и разлика у обиму и дужини трајања економских пакета подршке. Правовремено доношење политика отежано је у условима ограниченог раста запослености, растуће инфлације, потенцијалног дугорочног утицаја пандемије на акумулацију људског капитала, као и борбе против климатских промена. Јаз у очекиваном опоравку међу економским групама земаља проширио се у односу на јулску прогнозу.</w:t>
      </w:r>
      <w:r w:rsidRPr="00646254">
        <w:rPr>
          <w:lang w:val="sr-Cyrl-CS"/>
        </w:rPr>
        <w:t xml:space="preserve"> </w:t>
      </w:r>
      <w:r w:rsidRPr="00646254">
        <w:rPr>
          <w:rFonts w:cstheme="minorHAnsi"/>
          <w:bCs/>
          <w:color w:val="0070C0"/>
          <w:szCs w:val="72"/>
          <w:lang w:val="sr-Cyrl-CS"/>
        </w:rPr>
        <w:t xml:space="preserve">Очекује се да ће група развијених тржишних економија достићи своју предпандемијску путању раста у 2022. години, а да ће је премашити за 0,9% у 2024. години. Насупрот томе, за земље у развоју (искључујући Кину) се </w:t>
      </w:r>
      <w:r w:rsidRPr="00646254">
        <w:rPr>
          <w:rFonts w:cstheme="minorHAnsi"/>
          <w:bCs/>
          <w:color w:val="0070C0"/>
          <w:szCs w:val="72"/>
          <w:lang w:val="sr-Cyrl-CS"/>
        </w:rPr>
        <w:t xml:space="preserve">очекује да укупан ниво БДП у 2024. години и даље буде испод нивоа који је пројектован пре пандемије и то за 5,5%. Ублажавање епидемиолошких мера је утицало на снажан раст тражња за робом и сировинама, док су фактори на страни агрегатне понуде остали ограничени. Ово је довело до значајног раста цена добара, јачања инфлаторних притисака и неизвесности у погледу будућих економских кретања. Осим напора усмерених ка обуздавању здравствене кризе и процесу нормализације, будући изазови </w:t>
      </w:r>
      <w:r w:rsidR="00076F3A" w:rsidRPr="00646254">
        <w:rPr>
          <w:rFonts w:cstheme="minorHAnsi"/>
          <w:bCs/>
          <w:color w:val="0070C0"/>
          <w:szCs w:val="72"/>
          <w:lang w:val="sr-Cyrl-CS"/>
        </w:rPr>
        <w:t>пред доносиоцима одлука ће бити</w:t>
      </w:r>
      <w:r w:rsidRPr="00646254">
        <w:rPr>
          <w:rFonts w:cstheme="minorHAnsi"/>
          <w:bCs/>
          <w:color w:val="0070C0"/>
          <w:szCs w:val="72"/>
          <w:lang w:val="sr-Cyrl-CS"/>
        </w:rPr>
        <w:t xml:space="preserve"> изналажење нових извора раста продуктивности и БДП, имплементација зелене технологије и дигитализација, као и смањивање неједнакости. Да би се то остварило, неопходна је значајна међународна сарадња, као и усклађивање монетарне и фискалне политике у циљу сузбијања дугорочних последица кризе и евентуалних будућих здравствених криза као и решавање дугорочног проблема климатских промена.</w:t>
      </w:r>
    </w:p>
    <w:p w14:paraId="1B5BE049" w14:textId="77777777" w:rsidR="004D0357" w:rsidRPr="00646254" w:rsidRDefault="004D0357" w:rsidP="00CE729E">
      <w:pPr>
        <w:spacing w:after="240"/>
        <w:rPr>
          <w:rFonts w:cstheme="minorHAnsi"/>
          <w:bCs/>
          <w:color w:val="0070C0"/>
          <w:lang w:val="sr-Cyrl-CS"/>
        </w:rPr>
        <w:sectPr w:rsidR="004D0357" w:rsidRPr="00646254" w:rsidSect="00CE729E">
          <w:type w:val="continuous"/>
          <w:pgSz w:w="12240" w:h="15840" w:code="1"/>
          <w:pgMar w:top="1440" w:right="1440" w:bottom="1440" w:left="1440" w:header="720" w:footer="720" w:gutter="0"/>
          <w:cols w:num="2" w:space="720"/>
          <w:docGrid w:linePitch="360"/>
        </w:sectPr>
      </w:pPr>
    </w:p>
    <w:p w14:paraId="2EB8026C" w14:textId="77777777" w:rsidR="004D0357" w:rsidRPr="00646254" w:rsidRDefault="004D0357" w:rsidP="00CE729E">
      <w:pPr>
        <w:jc w:val="left"/>
        <w:rPr>
          <w:rFonts w:cstheme="minorHAnsi"/>
          <w:b/>
          <w:color w:val="2F5496" w:themeColor="accent1" w:themeShade="BF"/>
          <w:sz w:val="22"/>
          <w:lang w:val="sr-Cyrl-CS"/>
        </w:rPr>
      </w:pPr>
      <w:r w:rsidRPr="00646254">
        <w:rPr>
          <w:rFonts w:cstheme="minorHAnsi"/>
          <w:b/>
          <w:color w:val="2F5496" w:themeColor="accent1" w:themeShade="BF"/>
          <w:sz w:val="22"/>
          <w:lang w:val="sr-Cyrl-CS"/>
        </w:rPr>
        <w:t>Макроекономске процене Међународног монетарног фонда</w:t>
      </w:r>
    </w:p>
    <w:p w14:paraId="6441C206" w14:textId="3FCB20EF" w:rsidR="004D0357" w:rsidRPr="00646254" w:rsidRDefault="004D0357" w:rsidP="00426178">
      <w:pPr>
        <w:rPr>
          <w:rFonts w:cstheme="minorHAnsi"/>
          <w:bCs/>
          <w:szCs w:val="72"/>
          <w:lang w:val="sr-Cyrl-CS"/>
        </w:rPr>
      </w:pPr>
      <w:r w:rsidRPr="00646254">
        <w:rPr>
          <w:rFonts w:cstheme="minorHAnsi"/>
          <w:bCs/>
          <w:szCs w:val="72"/>
          <w:lang w:val="sr-Cyrl-CS"/>
        </w:rPr>
        <w:t>Након глобалног шока изазваног „великим закључавањем” економски опоравак се наставља, али је изгубио на снази услед појаве нових сојева вируса који се брже преносе.</w:t>
      </w:r>
      <w:r w:rsidRPr="00646254">
        <w:rPr>
          <w:lang w:val="sr-Cyrl-CS"/>
        </w:rPr>
        <w:t xml:space="preserve"> </w:t>
      </w:r>
      <w:r w:rsidRPr="00646254">
        <w:rPr>
          <w:rFonts w:cstheme="minorHAnsi"/>
          <w:bCs/>
          <w:szCs w:val="72"/>
          <w:lang w:val="sr-Cyrl-CS"/>
        </w:rPr>
        <w:t>То је довело и до дужих поремећаја у глобалним ланцима снабдевања у односу на првобитна очекивања, што је додатно подстакло инфлацију у многим земљама. Према октобарским пројекцијама</w:t>
      </w:r>
      <w:r w:rsidRPr="00646254">
        <w:rPr>
          <w:lang w:val="sr-Cyrl-CS"/>
        </w:rPr>
        <w:t xml:space="preserve"> </w:t>
      </w:r>
      <w:r w:rsidRPr="00646254">
        <w:rPr>
          <w:rFonts w:cstheme="minorHAnsi"/>
          <w:bCs/>
          <w:szCs w:val="72"/>
          <w:lang w:val="sr-Cyrl-CS"/>
        </w:rPr>
        <w:t xml:space="preserve">Међународног монетарног фонда (у даљем тексту: ММФ), глобални раст за 2021. годину у односу на јулску пројекцију благо је ревидиран наниже, са 6% на 5,9%, док су изгледи за 2022. годину остали непромењени уз очекивани раст од 4,9%. Иако су очекивања у погледу кретања глобалне економије готово непромењена, изгледи по појединим земљама претрпели су значајније измене. Главни разлози за ревизију пројектоване путање економског опоравка међу земљама се односе на разлике у доступности вакцина, као и на разлике у обиму мера економске подршке. Скоро 60% </w:t>
      </w:r>
      <w:r w:rsidRPr="00646254">
        <w:rPr>
          <w:rFonts w:cstheme="minorHAnsi"/>
          <w:bCs/>
          <w:szCs w:val="72"/>
          <w:lang w:val="sr-Cyrl-CS"/>
        </w:rPr>
        <w:t>становништва у развијеним земљама је вакцинисано, док проценат невакцинисаних у неразвијеним земљама износи око 96%. Значајна фискална подршка се наставља у развијеним економијама, док многе економије у успону смањују мере подршке због ограниченог фискалн</w:t>
      </w:r>
      <w:r w:rsidR="00AA66E7" w:rsidRPr="00646254">
        <w:rPr>
          <w:rFonts w:cstheme="minorHAnsi"/>
          <w:bCs/>
          <w:szCs w:val="72"/>
          <w:lang w:val="sr-Cyrl-CS"/>
        </w:rPr>
        <w:t>ог</w:t>
      </w:r>
      <w:r w:rsidRPr="00646254">
        <w:rPr>
          <w:rFonts w:cstheme="minorHAnsi"/>
          <w:bCs/>
          <w:szCs w:val="72"/>
          <w:lang w:val="sr-Cyrl-CS"/>
        </w:rPr>
        <w:t xml:space="preserve"> простор</w:t>
      </w:r>
      <w:r w:rsidR="00AA66E7" w:rsidRPr="00646254">
        <w:rPr>
          <w:rFonts w:cstheme="minorHAnsi"/>
          <w:bCs/>
          <w:szCs w:val="72"/>
          <w:lang w:val="sr-Cyrl-CS"/>
        </w:rPr>
        <w:t>а</w:t>
      </w:r>
      <w:r w:rsidRPr="00646254">
        <w:rPr>
          <w:rFonts w:cstheme="minorHAnsi"/>
          <w:bCs/>
          <w:szCs w:val="72"/>
          <w:lang w:val="sr-Cyrl-CS"/>
        </w:rPr>
        <w:t>.</w:t>
      </w:r>
    </w:p>
    <w:p w14:paraId="49BD4362" w14:textId="3C139ED9" w:rsidR="004D0357" w:rsidRPr="00646254" w:rsidRDefault="004D0357" w:rsidP="00426178">
      <w:pPr>
        <w:spacing w:after="400"/>
        <w:rPr>
          <w:lang w:val="sr-Cyrl-CS"/>
        </w:rPr>
      </w:pPr>
      <w:r w:rsidRPr="00646254">
        <w:rPr>
          <w:rFonts w:cstheme="minorHAnsi"/>
          <w:lang w:val="sr-Cyrl-CS"/>
        </w:rPr>
        <w:t>Ризици за остваривање пројекција и даље су велики, па је све теже правити компромисе у доношењу мера и њиховој примени. Главни извор забринутости је могућност појаве агресивније варијанте вируса пре завршетка масовне вакцинације већине становништва. Раст инфлације, скок цена сировина и енергената, представљају ризик</w:t>
      </w:r>
      <w:r w:rsidR="00CE7FFD" w:rsidRPr="00646254">
        <w:rPr>
          <w:rFonts w:cstheme="minorHAnsi"/>
          <w:lang w:val="sr-Cyrl-CS"/>
        </w:rPr>
        <w:t>е</w:t>
      </w:r>
      <w:r w:rsidRPr="00646254">
        <w:rPr>
          <w:rFonts w:cstheme="minorHAnsi"/>
          <w:lang w:val="sr-Cyrl-CS"/>
        </w:rPr>
        <w:t xml:space="preserve"> чија је материјализација извесна уколико отклањање уских грла између понуде и тражње буде трајало предуго. Снажна међународна сарадња остаје кључни чинилац за опоравак, нарочито приликом производње и расподеле вакцина, али и код приступа глобалном финансијском тржишту и подршке у борби против климатских промена.</w:t>
      </w:r>
    </w:p>
    <w:p w14:paraId="7CCEF352" w14:textId="77777777" w:rsidR="004D0357" w:rsidRPr="00646254" w:rsidRDefault="004D0357" w:rsidP="00426178">
      <w:pPr>
        <w:spacing w:after="400"/>
        <w:rPr>
          <w:rFonts w:cstheme="minorHAnsi"/>
          <w:lang w:val="sr-Cyrl-CS"/>
        </w:rPr>
        <w:sectPr w:rsidR="004D0357" w:rsidRPr="00646254" w:rsidSect="00CE729E">
          <w:type w:val="continuous"/>
          <w:pgSz w:w="12240" w:h="15840" w:code="1"/>
          <w:pgMar w:top="1440" w:right="1440" w:bottom="1440" w:left="1440" w:header="720" w:footer="720" w:gutter="0"/>
          <w:cols w:num="2" w:space="720"/>
          <w:docGrid w:linePitch="360"/>
        </w:sectPr>
      </w:pPr>
    </w:p>
    <w:tbl>
      <w:tblPr>
        <w:tblStyle w:val="TableGrid"/>
        <w:tblW w:w="5006"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61"/>
        <w:gridCol w:w="1042"/>
        <w:gridCol w:w="1042"/>
        <w:gridCol w:w="1042"/>
        <w:gridCol w:w="1042"/>
        <w:gridCol w:w="1042"/>
      </w:tblGrid>
      <w:tr w:rsidR="00A66DC7" w:rsidRPr="00646254" w14:paraId="6DD798A5" w14:textId="77777777" w:rsidTr="00A66DC7">
        <w:trPr>
          <w:trHeight w:val="351"/>
        </w:trPr>
        <w:tc>
          <w:tcPr>
            <w:tcW w:w="5000" w:type="pct"/>
            <w:gridSpan w:val="6"/>
            <w:tcBorders>
              <w:bottom w:val="single" w:sz="4" w:space="0" w:color="002060"/>
            </w:tcBorders>
            <w:vAlign w:val="center"/>
          </w:tcPr>
          <w:p w14:paraId="46956F32" w14:textId="787CEA64" w:rsidR="00A66DC7" w:rsidRPr="00646254" w:rsidRDefault="00A66DC7" w:rsidP="00CE729E">
            <w:pPr>
              <w:jc w:val="center"/>
              <w:rPr>
                <w:rFonts w:cstheme="minorHAnsi"/>
                <w:b/>
                <w:color w:val="002060"/>
                <w:lang w:val="sr-Cyrl-CS"/>
              </w:rPr>
            </w:pPr>
            <w:r w:rsidRPr="00646254">
              <w:rPr>
                <w:rFonts w:cstheme="minorHAnsi"/>
                <w:b/>
                <w:color w:val="002060"/>
                <w:lang w:val="sr-Cyrl-CS"/>
              </w:rPr>
              <w:lastRenderedPageBreak/>
              <w:t>Табела 1. Међународно окружење – макроекономски показатељи</w:t>
            </w:r>
          </w:p>
        </w:tc>
      </w:tr>
      <w:tr w:rsidR="004D0357" w:rsidRPr="00646254" w14:paraId="7AD0767B" w14:textId="77777777" w:rsidTr="007C29E4">
        <w:trPr>
          <w:trHeight w:val="180"/>
        </w:trPr>
        <w:tc>
          <w:tcPr>
            <w:tcW w:w="2220" w:type="pct"/>
            <w:tcBorders>
              <w:top w:val="single" w:sz="4" w:space="0" w:color="002060"/>
            </w:tcBorders>
          </w:tcPr>
          <w:p w14:paraId="0307D6B9" w14:textId="77777777" w:rsidR="004D0357" w:rsidRPr="00646254" w:rsidRDefault="004D0357" w:rsidP="007C29E4">
            <w:pPr>
              <w:rPr>
                <w:rFonts w:cstheme="minorHAnsi"/>
                <w:color w:val="002060"/>
                <w:sz w:val="18"/>
                <w:lang w:val="sr-Cyrl-CS"/>
              </w:rPr>
            </w:pPr>
          </w:p>
        </w:tc>
        <w:tc>
          <w:tcPr>
            <w:tcW w:w="556" w:type="pct"/>
            <w:tcBorders>
              <w:top w:val="single" w:sz="4" w:space="0" w:color="002060"/>
              <w:left w:val="nil"/>
              <w:bottom w:val="single" w:sz="4" w:space="0" w:color="002060"/>
            </w:tcBorders>
          </w:tcPr>
          <w:p w14:paraId="5EC53685" w14:textId="77777777" w:rsidR="004D0357" w:rsidRPr="00646254" w:rsidRDefault="004D0357" w:rsidP="00CE729E">
            <w:pPr>
              <w:jc w:val="center"/>
              <w:rPr>
                <w:rFonts w:cstheme="minorHAnsi"/>
                <w:color w:val="002060"/>
                <w:sz w:val="18"/>
                <w:lang w:val="sr-Cyrl-CS"/>
              </w:rPr>
            </w:pPr>
            <w:r w:rsidRPr="00646254">
              <w:rPr>
                <w:rFonts w:cstheme="minorHAnsi"/>
                <w:color w:val="002060"/>
                <w:sz w:val="18"/>
                <w:lang w:val="sr-Cyrl-CS"/>
              </w:rPr>
              <w:t>2020</w:t>
            </w:r>
          </w:p>
        </w:tc>
        <w:tc>
          <w:tcPr>
            <w:tcW w:w="556" w:type="pct"/>
            <w:tcBorders>
              <w:top w:val="single" w:sz="4" w:space="0" w:color="002060"/>
              <w:bottom w:val="single" w:sz="4" w:space="0" w:color="002060"/>
            </w:tcBorders>
          </w:tcPr>
          <w:p w14:paraId="4EC978D0" w14:textId="77777777" w:rsidR="004D0357" w:rsidRPr="00646254" w:rsidRDefault="004D0357" w:rsidP="00CE729E">
            <w:pPr>
              <w:jc w:val="center"/>
              <w:rPr>
                <w:rFonts w:cstheme="minorHAnsi"/>
                <w:color w:val="002060"/>
                <w:sz w:val="18"/>
                <w:lang w:val="sr-Cyrl-CS"/>
              </w:rPr>
            </w:pPr>
            <w:r w:rsidRPr="00646254">
              <w:rPr>
                <w:rFonts w:cstheme="minorHAnsi"/>
                <w:color w:val="002060"/>
                <w:sz w:val="18"/>
                <w:lang w:val="sr-Cyrl-CS"/>
              </w:rPr>
              <w:t>2021</w:t>
            </w:r>
          </w:p>
        </w:tc>
        <w:tc>
          <w:tcPr>
            <w:tcW w:w="556" w:type="pct"/>
            <w:tcBorders>
              <w:top w:val="single" w:sz="4" w:space="0" w:color="002060"/>
              <w:bottom w:val="single" w:sz="4" w:space="0" w:color="002060"/>
            </w:tcBorders>
          </w:tcPr>
          <w:p w14:paraId="222CB502" w14:textId="77777777" w:rsidR="004D0357" w:rsidRPr="00646254" w:rsidRDefault="004D0357" w:rsidP="00CE729E">
            <w:pPr>
              <w:jc w:val="center"/>
              <w:rPr>
                <w:rFonts w:cstheme="minorHAnsi"/>
                <w:color w:val="002060"/>
                <w:sz w:val="18"/>
                <w:lang w:val="sr-Cyrl-CS"/>
              </w:rPr>
            </w:pPr>
            <w:r w:rsidRPr="00646254">
              <w:rPr>
                <w:rFonts w:cstheme="minorHAnsi"/>
                <w:color w:val="002060"/>
                <w:sz w:val="18"/>
                <w:lang w:val="sr-Cyrl-CS"/>
              </w:rPr>
              <w:t>2022</w:t>
            </w:r>
          </w:p>
        </w:tc>
        <w:tc>
          <w:tcPr>
            <w:tcW w:w="556" w:type="pct"/>
            <w:tcBorders>
              <w:top w:val="single" w:sz="4" w:space="0" w:color="002060"/>
              <w:bottom w:val="single" w:sz="4" w:space="0" w:color="002060"/>
            </w:tcBorders>
          </w:tcPr>
          <w:p w14:paraId="2828C15B" w14:textId="77777777" w:rsidR="004D0357" w:rsidRPr="00646254" w:rsidRDefault="004D0357" w:rsidP="00CE729E">
            <w:pPr>
              <w:jc w:val="center"/>
              <w:rPr>
                <w:rFonts w:cstheme="minorHAnsi"/>
                <w:color w:val="002060"/>
                <w:sz w:val="18"/>
                <w:lang w:val="sr-Cyrl-CS"/>
              </w:rPr>
            </w:pPr>
            <w:r w:rsidRPr="00646254">
              <w:rPr>
                <w:rFonts w:cstheme="minorHAnsi"/>
                <w:color w:val="002060"/>
                <w:sz w:val="18"/>
                <w:lang w:val="sr-Cyrl-CS"/>
              </w:rPr>
              <w:t>2023</w:t>
            </w:r>
          </w:p>
        </w:tc>
        <w:tc>
          <w:tcPr>
            <w:tcW w:w="557" w:type="pct"/>
            <w:tcBorders>
              <w:top w:val="single" w:sz="4" w:space="0" w:color="002060"/>
              <w:bottom w:val="single" w:sz="4" w:space="0" w:color="002060"/>
            </w:tcBorders>
          </w:tcPr>
          <w:p w14:paraId="3E8E794E" w14:textId="77777777" w:rsidR="004D0357" w:rsidRPr="00646254" w:rsidRDefault="004D0357" w:rsidP="00CE729E">
            <w:pPr>
              <w:jc w:val="center"/>
              <w:rPr>
                <w:rFonts w:cstheme="minorHAnsi"/>
                <w:color w:val="002060"/>
                <w:sz w:val="18"/>
                <w:lang w:val="sr-Cyrl-CS"/>
              </w:rPr>
            </w:pPr>
            <w:r w:rsidRPr="00646254">
              <w:rPr>
                <w:rFonts w:cstheme="minorHAnsi"/>
                <w:color w:val="002060"/>
                <w:sz w:val="18"/>
                <w:lang w:val="sr-Cyrl-CS"/>
              </w:rPr>
              <w:t>2024</w:t>
            </w:r>
          </w:p>
        </w:tc>
      </w:tr>
      <w:tr w:rsidR="007C29E4" w:rsidRPr="00646254" w14:paraId="7D17A509" w14:textId="77777777" w:rsidTr="007C29E4">
        <w:trPr>
          <w:trHeight w:val="190"/>
        </w:trPr>
        <w:tc>
          <w:tcPr>
            <w:tcW w:w="2220" w:type="pct"/>
            <w:shd w:val="clear" w:color="auto" w:fill="E7E6E6" w:themeFill="background2"/>
          </w:tcPr>
          <w:p w14:paraId="518A698E" w14:textId="77777777" w:rsidR="007C29E4" w:rsidRPr="00646254" w:rsidRDefault="007C29E4" w:rsidP="007C29E4">
            <w:pPr>
              <w:rPr>
                <w:rFonts w:cstheme="minorHAnsi"/>
                <w:color w:val="002060"/>
                <w:sz w:val="18"/>
                <w:lang w:val="sr-Cyrl-CS"/>
              </w:rPr>
            </w:pPr>
            <w:r w:rsidRPr="00646254">
              <w:rPr>
                <w:rFonts w:cstheme="minorHAnsi"/>
                <w:color w:val="002060"/>
                <w:sz w:val="18"/>
                <w:lang w:val="sr-Cyrl-CS"/>
              </w:rPr>
              <w:t>Реални раст БДП</w:t>
            </w:r>
            <w:r w:rsidRPr="00646254">
              <w:rPr>
                <w:rFonts w:cstheme="minorHAnsi"/>
                <w:color w:val="002060"/>
                <w:sz w:val="18"/>
                <w:vertAlign w:val="superscript"/>
                <w:lang w:val="sr-Cyrl-CS"/>
              </w:rPr>
              <w:t>1</w:t>
            </w:r>
            <w:r w:rsidRPr="00646254">
              <w:rPr>
                <w:rFonts w:cstheme="minorHAnsi"/>
                <w:color w:val="002060"/>
                <w:sz w:val="18"/>
                <w:lang w:val="sr-Cyrl-CS"/>
              </w:rPr>
              <w:t>, %</w:t>
            </w:r>
          </w:p>
        </w:tc>
        <w:tc>
          <w:tcPr>
            <w:tcW w:w="556" w:type="pct"/>
            <w:tcBorders>
              <w:top w:val="single" w:sz="2" w:space="0" w:color="FFFFFF" w:themeColor="background1"/>
            </w:tcBorders>
            <w:shd w:val="clear" w:color="auto" w:fill="E7E6E6" w:themeFill="background2"/>
          </w:tcPr>
          <w:p w14:paraId="4600581C" w14:textId="77777777" w:rsidR="007C29E4" w:rsidRPr="00646254" w:rsidRDefault="007C29E4" w:rsidP="007C29E4">
            <w:pPr>
              <w:rPr>
                <w:rFonts w:cstheme="minorHAnsi"/>
                <w:color w:val="002060"/>
                <w:sz w:val="18"/>
                <w:lang w:val="sr-Cyrl-CS"/>
              </w:rPr>
            </w:pPr>
          </w:p>
        </w:tc>
        <w:tc>
          <w:tcPr>
            <w:tcW w:w="556" w:type="pct"/>
            <w:tcBorders>
              <w:top w:val="single" w:sz="2" w:space="0" w:color="FFFFFF" w:themeColor="background1"/>
            </w:tcBorders>
            <w:shd w:val="clear" w:color="auto" w:fill="E7E6E6" w:themeFill="background2"/>
          </w:tcPr>
          <w:p w14:paraId="1640F6C0" w14:textId="77777777" w:rsidR="007C29E4" w:rsidRPr="00646254" w:rsidRDefault="007C29E4" w:rsidP="007C29E4">
            <w:pPr>
              <w:rPr>
                <w:rFonts w:cstheme="minorHAnsi"/>
                <w:color w:val="002060"/>
                <w:sz w:val="18"/>
                <w:lang w:val="sr-Cyrl-CS"/>
              </w:rPr>
            </w:pPr>
          </w:p>
        </w:tc>
        <w:tc>
          <w:tcPr>
            <w:tcW w:w="556" w:type="pct"/>
            <w:tcBorders>
              <w:top w:val="single" w:sz="2" w:space="0" w:color="FFFFFF" w:themeColor="background1"/>
            </w:tcBorders>
            <w:shd w:val="clear" w:color="auto" w:fill="E7E6E6" w:themeFill="background2"/>
          </w:tcPr>
          <w:p w14:paraId="5546EFA7" w14:textId="77777777" w:rsidR="007C29E4" w:rsidRPr="00646254" w:rsidRDefault="007C29E4" w:rsidP="007C29E4">
            <w:pPr>
              <w:rPr>
                <w:rFonts w:cstheme="minorHAnsi"/>
                <w:color w:val="002060"/>
                <w:sz w:val="18"/>
                <w:lang w:val="sr-Cyrl-CS"/>
              </w:rPr>
            </w:pPr>
          </w:p>
        </w:tc>
        <w:tc>
          <w:tcPr>
            <w:tcW w:w="556" w:type="pct"/>
            <w:tcBorders>
              <w:top w:val="single" w:sz="2" w:space="0" w:color="FFFFFF" w:themeColor="background1"/>
            </w:tcBorders>
            <w:shd w:val="clear" w:color="auto" w:fill="E7E6E6" w:themeFill="background2"/>
          </w:tcPr>
          <w:p w14:paraId="1D64B396" w14:textId="77777777" w:rsidR="007C29E4" w:rsidRPr="00646254" w:rsidRDefault="007C29E4" w:rsidP="007C29E4">
            <w:pPr>
              <w:rPr>
                <w:rFonts w:cstheme="minorHAnsi"/>
                <w:color w:val="002060"/>
                <w:sz w:val="18"/>
                <w:lang w:val="sr-Cyrl-CS"/>
              </w:rPr>
            </w:pPr>
          </w:p>
        </w:tc>
        <w:tc>
          <w:tcPr>
            <w:tcW w:w="557" w:type="pct"/>
            <w:tcBorders>
              <w:top w:val="single" w:sz="2" w:space="0" w:color="FFFFFF" w:themeColor="background1"/>
            </w:tcBorders>
            <w:shd w:val="clear" w:color="auto" w:fill="E7E6E6" w:themeFill="background2"/>
          </w:tcPr>
          <w:p w14:paraId="2A5E4206" w14:textId="13983733" w:rsidR="007C29E4" w:rsidRPr="00646254" w:rsidRDefault="007C29E4" w:rsidP="007C29E4">
            <w:pPr>
              <w:rPr>
                <w:rFonts w:cstheme="minorHAnsi"/>
                <w:color w:val="002060"/>
                <w:sz w:val="18"/>
                <w:lang w:val="sr-Cyrl-CS"/>
              </w:rPr>
            </w:pPr>
          </w:p>
        </w:tc>
      </w:tr>
      <w:tr w:rsidR="004D0357" w:rsidRPr="00646254" w14:paraId="36715E29" w14:textId="77777777" w:rsidTr="007C29E4">
        <w:trPr>
          <w:trHeight w:val="190"/>
        </w:trPr>
        <w:tc>
          <w:tcPr>
            <w:tcW w:w="2220" w:type="pct"/>
          </w:tcPr>
          <w:p w14:paraId="0F2347B4" w14:textId="77777777" w:rsidR="004D0357" w:rsidRPr="00646254" w:rsidRDefault="004D0357" w:rsidP="00CE729E">
            <w:pPr>
              <w:ind w:left="255"/>
              <w:rPr>
                <w:rFonts w:cstheme="minorHAnsi"/>
                <w:color w:val="002060"/>
                <w:sz w:val="18"/>
                <w:lang w:val="sr-Cyrl-CS"/>
              </w:rPr>
            </w:pPr>
            <w:r w:rsidRPr="00646254">
              <w:rPr>
                <w:rFonts w:cstheme="minorHAnsi"/>
                <w:color w:val="002060"/>
                <w:sz w:val="18"/>
                <w:lang w:val="sr-Cyrl-CS"/>
              </w:rPr>
              <w:t>Свет укупно</w:t>
            </w:r>
          </w:p>
        </w:tc>
        <w:tc>
          <w:tcPr>
            <w:tcW w:w="556" w:type="pct"/>
          </w:tcPr>
          <w:p w14:paraId="57827A90" w14:textId="77777777" w:rsidR="004D0357" w:rsidRPr="00646254" w:rsidRDefault="004D0357" w:rsidP="00CE729E">
            <w:pPr>
              <w:jc w:val="center"/>
              <w:rPr>
                <w:rFonts w:cstheme="minorHAnsi"/>
                <w:color w:val="002060"/>
                <w:sz w:val="18"/>
                <w:lang w:val="sr-Cyrl-CS"/>
              </w:rPr>
            </w:pPr>
            <w:r w:rsidRPr="00646254">
              <w:rPr>
                <w:rFonts w:cstheme="minorHAnsi"/>
                <w:color w:val="002060"/>
                <w:sz w:val="18"/>
                <w:lang w:val="sr-Cyrl-CS"/>
              </w:rPr>
              <w:t>-3,1</w:t>
            </w:r>
          </w:p>
        </w:tc>
        <w:tc>
          <w:tcPr>
            <w:tcW w:w="556" w:type="pct"/>
          </w:tcPr>
          <w:p w14:paraId="43A4CCAA" w14:textId="77777777" w:rsidR="004D0357" w:rsidRPr="00646254" w:rsidRDefault="004D0357" w:rsidP="00426178">
            <w:pPr>
              <w:jc w:val="center"/>
              <w:rPr>
                <w:rFonts w:cstheme="minorHAnsi"/>
                <w:color w:val="002060"/>
                <w:sz w:val="18"/>
                <w:lang w:val="sr-Cyrl-CS"/>
              </w:rPr>
            </w:pPr>
            <w:r w:rsidRPr="00646254">
              <w:rPr>
                <w:rFonts w:cstheme="minorHAnsi"/>
                <w:color w:val="002060"/>
                <w:sz w:val="18"/>
                <w:lang w:val="sr-Cyrl-CS"/>
              </w:rPr>
              <w:t>5,9</w:t>
            </w:r>
          </w:p>
        </w:tc>
        <w:tc>
          <w:tcPr>
            <w:tcW w:w="556" w:type="pct"/>
          </w:tcPr>
          <w:p w14:paraId="244C743F" w14:textId="77777777" w:rsidR="004D0357" w:rsidRPr="00646254" w:rsidRDefault="004D0357" w:rsidP="00426178">
            <w:pPr>
              <w:jc w:val="center"/>
              <w:rPr>
                <w:rFonts w:cstheme="minorHAnsi"/>
                <w:color w:val="002060"/>
                <w:sz w:val="18"/>
                <w:lang w:val="sr-Cyrl-CS"/>
              </w:rPr>
            </w:pPr>
            <w:r w:rsidRPr="00646254">
              <w:rPr>
                <w:rFonts w:cstheme="minorHAnsi"/>
                <w:color w:val="002060"/>
                <w:sz w:val="18"/>
                <w:lang w:val="sr-Cyrl-CS"/>
              </w:rPr>
              <w:t>4,9</w:t>
            </w:r>
          </w:p>
        </w:tc>
        <w:tc>
          <w:tcPr>
            <w:tcW w:w="556" w:type="pct"/>
          </w:tcPr>
          <w:p w14:paraId="24144A3D" w14:textId="77777777" w:rsidR="004D0357" w:rsidRPr="00646254" w:rsidRDefault="004D0357" w:rsidP="00426178">
            <w:pPr>
              <w:jc w:val="center"/>
              <w:rPr>
                <w:rFonts w:cstheme="minorHAnsi"/>
                <w:color w:val="002060"/>
                <w:sz w:val="18"/>
                <w:lang w:val="sr-Cyrl-CS"/>
              </w:rPr>
            </w:pPr>
            <w:r w:rsidRPr="00646254">
              <w:rPr>
                <w:rFonts w:cstheme="minorHAnsi"/>
                <w:color w:val="002060"/>
                <w:sz w:val="18"/>
                <w:lang w:val="sr-Cyrl-CS"/>
              </w:rPr>
              <w:t>3,6</w:t>
            </w:r>
          </w:p>
        </w:tc>
        <w:tc>
          <w:tcPr>
            <w:tcW w:w="557" w:type="pct"/>
          </w:tcPr>
          <w:p w14:paraId="3970C639" w14:textId="77777777" w:rsidR="004D0357" w:rsidRPr="00646254" w:rsidRDefault="004D0357" w:rsidP="00426178">
            <w:pPr>
              <w:jc w:val="center"/>
              <w:rPr>
                <w:rFonts w:cstheme="minorHAnsi"/>
                <w:color w:val="002060"/>
                <w:sz w:val="18"/>
                <w:lang w:val="sr-Cyrl-CS"/>
              </w:rPr>
            </w:pPr>
            <w:r w:rsidRPr="00646254">
              <w:rPr>
                <w:rFonts w:cstheme="minorHAnsi"/>
                <w:color w:val="002060"/>
                <w:sz w:val="18"/>
                <w:lang w:val="sr-Cyrl-CS"/>
              </w:rPr>
              <w:t>3,4</w:t>
            </w:r>
          </w:p>
        </w:tc>
      </w:tr>
      <w:tr w:rsidR="004D0357" w:rsidRPr="00646254" w14:paraId="6E32D9F8" w14:textId="77777777" w:rsidTr="007C29E4">
        <w:trPr>
          <w:trHeight w:val="180"/>
        </w:trPr>
        <w:tc>
          <w:tcPr>
            <w:tcW w:w="2220" w:type="pct"/>
          </w:tcPr>
          <w:p w14:paraId="3636227D" w14:textId="77777777" w:rsidR="004D0357" w:rsidRPr="00646254" w:rsidRDefault="004D0357" w:rsidP="00CE729E">
            <w:pPr>
              <w:ind w:left="255"/>
              <w:rPr>
                <w:rFonts w:cstheme="minorHAnsi"/>
                <w:color w:val="002060"/>
                <w:sz w:val="18"/>
                <w:lang w:val="sr-Cyrl-CS"/>
              </w:rPr>
            </w:pPr>
            <w:r w:rsidRPr="00646254">
              <w:rPr>
                <w:rFonts w:cstheme="minorHAnsi"/>
                <w:color w:val="002060"/>
                <w:sz w:val="18"/>
                <w:lang w:val="sr-Cyrl-CS"/>
              </w:rPr>
              <w:t>Развијене економије</w:t>
            </w:r>
          </w:p>
        </w:tc>
        <w:tc>
          <w:tcPr>
            <w:tcW w:w="556" w:type="pct"/>
          </w:tcPr>
          <w:p w14:paraId="55D5D5D9" w14:textId="77777777" w:rsidR="004D0357" w:rsidRPr="00646254" w:rsidRDefault="004D0357" w:rsidP="00CE729E">
            <w:pPr>
              <w:jc w:val="center"/>
              <w:rPr>
                <w:rFonts w:cstheme="minorHAnsi"/>
                <w:color w:val="002060"/>
                <w:sz w:val="18"/>
                <w:lang w:val="sr-Cyrl-CS"/>
              </w:rPr>
            </w:pPr>
            <w:r w:rsidRPr="00646254">
              <w:rPr>
                <w:rFonts w:cstheme="minorHAnsi"/>
                <w:color w:val="002060"/>
                <w:sz w:val="18"/>
                <w:lang w:val="sr-Cyrl-CS"/>
              </w:rPr>
              <w:t>-4,5</w:t>
            </w:r>
          </w:p>
        </w:tc>
        <w:tc>
          <w:tcPr>
            <w:tcW w:w="556" w:type="pct"/>
          </w:tcPr>
          <w:p w14:paraId="0779C7C4" w14:textId="77777777" w:rsidR="004D0357" w:rsidRPr="00646254" w:rsidRDefault="004D0357" w:rsidP="00426178">
            <w:pPr>
              <w:jc w:val="center"/>
              <w:rPr>
                <w:rFonts w:cstheme="minorHAnsi"/>
                <w:color w:val="002060"/>
                <w:sz w:val="18"/>
                <w:lang w:val="sr-Cyrl-CS"/>
              </w:rPr>
            </w:pPr>
            <w:r w:rsidRPr="00646254">
              <w:rPr>
                <w:rFonts w:cstheme="minorHAnsi"/>
                <w:color w:val="002060"/>
                <w:sz w:val="18"/>
                <w:lang w:val="sr-Cyrl-CS"/>
              </w:rPr>
              <w:t>5,2</w:t>
            </w:r>
          </w:p>
        </w:tc>
        <w:tc>
          <w:tcPr>
            <w:tcW w:w="556" w:type="pct"/>
          </w:tcPr>
          <w:p w14:paraId="65F16D30" w14:textId="77777777" w:rsidR="004D0357" w:rsidRPr="00646254" w:rsidRDefault="004D0357" w:rsidP="00426178">
            <w:pPr>
              <w:jc w:val="center"/>
              <w:rPr>
                <w:rFonts w:cstheme="minorHAnsi"/>
                <w:color w:val="002060"/>
                <w:sz w:val="18"/>
                <w:lang w:val="sr-Cyrl-CS"/>
              </w:rPr>
            </w:pPr>
            <w:r w:rsidRPr="00646254">
              <w:rPr>
                <w:rFonts w:cstheme="minorHAnsi"/>
                <w:color w:val="002060"/>
                <w:sz w:val="18"/>
                <w:lang w:val="sr-Cyrl-CS"/>
              </w:rPr>
              <w:t>4,5</w:t>
            </w:r>
          </w:p>
        </w:tc>
        <w:tc>
          <w:tcPr>
            <w:tcW w:w="556" w:type="pct"/>
          </w:tcPr>
          <w:p w14:paraId="79F6B31C" w14:textId="77777777" w:rsidR="004D0357" w:rsidRPr="00646254" w:rsidRDefault="004D0357" w:rsidP="00426178">
            <w:pPr>
              <w:jc w:val="center"/>
              <w:rPr>
                <w:rFonts w:cstheme="minorHAnsi"/>
                <w:color w:val="002060"/>
                <w:sz w:val="18"/>
                <w:lang w:val="sr-Cyrl-CS"/>
              </w:rPr>
            </w:pPr>
            <w:r w:rsidRPr="00646254">
              <w:rPr>
                <w:rFonts w:cstheme="minorHAnsi"/>
                <w:color w:val="002060"/>
                <w:sz w:val="18"/>
                <w:lang w:val="sr-Cyrl-CS"/>
              </w:rPr>
              <w:t>2,2</w:t>
            </w:r>
          </w:p>
        </w:tc>
        <w:tc>
          <w:tcPr>
            <w:tcW w:w="557" w:type="pct"/>
          </w:tcPr>
          <w:p w14:paraId="08422FDD" w14:textId="77777777" w:rsidR="004D0357" w:rsidRPr="00646254" w:rsidRDefault="004D0357" w:rsidP="00426178">
            <w:pPr>
              <w:jc w:val="center"/>
              <w:rPr>
                <w:rFonts w:cstheme="minorHAnsi"/>
                <w:color w:val="002060"/>
                <w:sz w:val="18"/>
                <w:lang w:val="sr-Cyrl-CS"/>
              </w:rPr>
            </w:pPr>
            <w:r w:rsidRPr="00646254">
              <w:rPr>
                <w:rFonts w:cstheme="minorHAnsi"/>
                <w:color w:val="002060"/>
                <w:sz w:val="18"/>
                <w:lang w:val="sr-Cyrl-CS"/>
              </w:rPr>
              <w:t>1,7</w:t>
            </w:r>
          </w:p>
        </w:tc>
      </w:tr>
      <w:tr w:rsidR="004D0357" w:rsidRPr="00646254" w14:paraId="0D305F4B" w14:textId="77777777" w:rsidTr="007C29E4">
        <w:trPr>
          <w:trHeight w:val="190"/>
        </w:trPr>
        <w:tc>
          <w:tcPr>
            <w:tcW w:w="2220" w:type="pct"/>
          </w:tcPr>
          <w:p w14:paraId="2FE0F123" w14:textId="77777777" w:rsidR="004D0357" w:rsidRPr="00646254" w:rsidRDefault="004D0357" w:rsidP="00CE729E">
            <w:pPr>
              <w:ind w:left="615" w:hanging="180"/>
              <w:rPr>
                <w:rFonts w:cstheme="minorHAnsi"/>
                <w:color w:val="002060"/>
                <w:sz w:val="18"/>
                <w:lang w:val="sr-Cyrl-CS"/>
              </w:rPr>
            </w:pPr>
            <w:r w:rsidRPr="00646254">
              <w:rPr>
                <w:rFonts w:cstheme="minorHAnsi"/>
                <w:color w:val="002060"/>
                <w:sz w:val="18"/>
                <w:lang w:val="sr-Cyrl-CS"/>
              </w:rPr>
              <w:t>САД</w:t>
            </w:r>
          </w:p>
        </w:tc>
        <w:tc>
          <w:tcPr>
            <w:tcW w:w="556" w:type="pct"/>
          </w:tcPr>
          <w:p w14:paraId="638F90DF" w14:textId="77777777" w:rsidR="004D0357" w:rsidRPr="00646254" w:rsidRDefault="004D0357" w:rsidP="00426178">
            <w:pPr>
              <w:jc w:val="center"/>
              <w:rPr>
                <w:rFonts w:cstheme="minorHAnsi"/>
                <w:color w:val="002060"/>
                <w:sz w:val="18"/>
                <w:lang w:val="sr-Cyrl-CS"/>
              </w:rPr>
            </w:pPr>
            <w:r w:rsidRPr="00646254">
              <w:rPr>
                <w:rFonts w:cstheme="minorHAnsi"/>
                <w:color w:val="002060"/>
                <w:sz w:val="18"/>
                <w:lang w:val="sr-Cyrl-CS"/>
              </w:rPr>
              <w:t>-3,4</w:t>
            </w:r>
          </w:p>
        </w:tc>
        <w:tc>
          <w:tcPr>
            <w:tcW w:w="556" w:type="pct"/>
          </w:tcPr>
          <w:p w14:paraId="15B5ADF4" w14:textId="77777777" w:rsidR="004D0357" w:rsidRPr="00646254" w:rsidRDefault="004D0357" w:rsidP="00426178">
            <w:pPr>
              <w:jc w:val="center"/>
              <w:rPr>
                <w:rFonts w:cstheme="minorHAnsi"/>
                <w:color w:val="002060"/>
                <w:sz w:val="18"/>
                <w:lang w:val="sr-Cyrl-CS"/>
              </w:rPr>
            </w:pPr>
            <w:r w:rsidRPr="00646254">
              <w:rPr>
                <w:rFonts w:cstheme="minorHAnsi"/>
                <w:color w:val="002060"/>
                <w:sz w:val="18"/>
                <w:lang w:val="sr-Cyrl-CS"/>
              </w:rPr>
              <w:t>6,0</w:t>
            </w:r>
          </w:p>
        </w:tc>
        <w:tc>
          <w:tcPr>
            <w:tcW w:w="556" w:type="pct"/>
          </w:tcPr>
          <w:p w14:paraId="75DF358A" w14:textId="77777777" w:rsidR="004D0357" w:rsidRPr="00646254" w:rsidRDefault="004D0357" w:rsidP="00426178">
            <w:pPr>
              <w:jc w:val="center"/>
              <w:rPr>
                <w:rFonts w:cstheme="minorHAnsi"/>
                <w:color w:val="002060"/>
                <w:sz w:val="18"/>
                <w:lang w:val="sr-Cyrl-CS"/>
              </w:rPr>
            </w:pPr>
            <w:r w:rsidRPr="00646254">
              <w:rPr>
                <w:rFonts w:cstheme="minorHAnsi"/>
                <w:color w:val="002060"/>
                <w:sz w:val="18"/>
                <w:lang w:val="sr-Cyrl-CS"/>
              </w:rPr>
              <w:t>5,2</w:t>
            </w:r>
          </w:p>
        </w:tc>
        <w:tc>
          <w:tcPr>
            <w:tcW w:w="556" w:type="pct"/>
          </w:tcPr>
          <w:p w14:paraId="0F15EF6A" w14:textId="77777777" w:rsidR="004D0357" w:rsidRPr="00646254" w:rsidRDefault="004D0357" w:rsidP="00426178">
            <w:pPr>
              <w:jc w:val="center"/>
              <w:rPr>
                <w:rFonts w:cstheme="minorHAnsi"/>
                <w:color w:val="002060"/>
                <w:sz w:val="18"/>
                <w:lang w:val="sr-Cyrl-CS"/>
              </w:rPr>
            </w:pPr>
            <w:r w:rsidRPr="00646254">
              <w:rPr>
                <w:rFonts w:cstheme="minorHAnsi"/>
                <w:color w:val="002060"/>
                <w:sz w:val="18"/>
                <w:lang w:val="sr-Cyrl-CS"/>
              </w:rPr>
              <w:t>2,2</w:t>
            </w:r>
          </w:p>
        </w:tc>
        <w:tc>
          <w:tcPr>
            <w:tcW w:w="557" w:type="pct"/>
          </w:tcPr>
          <w:p w14:paraId="578E67C9" w14:textId="77777777" w:rsidR="004D0357" w:rsidRPr="00646254" w:rsidRDefault="004D0357" w:rsidP="00426178">
            <w:pPr>
              <w:jc w:val="center"/>
              <w:rPr>
                <w:rFonts w:cstheme="minorHAnsi"/>
                <w:color w:val="002060"/>
                <w:sz w:val="18"/>
                <w:lang w:val="sr-Cyrl-CS"/>
              </w:rPr>
            </w:pPr>
            <w:r w:rsidRPr="00646254">
              <w:rPr>
                <w:rFonts w:cstheme="minorHAnsi"/>
                <w:color w:val="002060"/>
                <w:sz w:val="18"/>
                <w:lang w:val="sr-Cyrl-CS"/>
              </w:rPr>
              <w:t>1,7</w:t>
            </w:r>
          </w:p>
        </w:tc>
      </w:tr>
      <w:tr w:rsidR="004D0357" w:rsidRPr="00646254" w14:paraId="28495E59" w14:textId="77777777" w:rsidTr="007C29E4">
        <w:trPr>
          <w:trHeight w:val="180"/>
        </w:trPr>
        <w:tc>
          <w:tcPr>
            <w:tcW w:w="2220" w:type="pct"/>
          </w:tcPr>
          <w:p w14:paraId="13C4687C" w14:textId="77777777" w:rsidR="004D0357" w:rsidRPr="00646254" w:rsidRDefault="004D0357" w:rsidP="00CE729E">
            <w:pPr>
              <w:ind w:left="615" w:hanging="180"/>
              <w:rPr>
                <w:rFonts w:cstheme="minorHAnsi"/>
                <w:color w:val="002060"/>
                <w:sz w:val="18"/>
                <w:lang w:val="sr-Cyrl-CS"/>
              </w:rPr>
            </w:pPr>
            <w:r w:rsidRPr="00646254">
              <w:rPr>
                <w:rFonts w:cstheme="minorHAnsi"/>
                <w:color w:val="002060"/>
                <w:sz w:val="18"/>
                <w:lang w:val="sr-Cyrl-CS"/>
              </w:rPr>
              <w:t>Еврозона</w:t>
            </w:r>
          </w:p>
        </w:tc>
        <w:tc>
          <w:tcPr>
            <w:tcW w:w="556" w:type="pct"/>
          </w:tcPr>
          <w:p w14:paraId="70E92546" w14:textId="77777777" w:rsidR="004D0357" w:rsidRPr="00646254" w:rsidRDefault="004D0357" w:rsidP="00CE729E">
            <w:pPr>
              <w:jc w:val="center"/>
              <w:rPr>
                <w:rFonts w:cstheme="minorHAnsi"/>
                <w:color w:val="002060"/>
                <w:sz w:val="18"/>
                <w:lang w:val="sr-Cyrl-CS"/>
              </w:rPr>
            </w:pPr>
            <w:r w:rsidRPr="00646254">
              <w:rPr>
                <w:rFonts w:cstheme="minorHAnsi"/>
                <w:color w:val="002060"/>
                <w:sz w:val="18"/>
                <w:lang w:val="sr-Cyrl-CS"/>
              </w:rPr>
              <w:t>-6,3</w:t>
            </w:r>
          </w:p>
        </w:tc>
        <w:tc>
          <w:tcPr>
            <w:tcW w:w="556" w:type="pct"/>
          </w:tcPr>
          <w:p w14:paraId="3B47F287" w14:textId="77777777" w:rsidR="004D0357" w:rsidRPr="00646254" w:rsidRDefault="004D0357" w:rsidP="00426178">
            <w:pPr>
              <w:jc w:val="center"/>
              <w:rPr>
                <w:rFonts w:cstheme="minorHAnsi"/>
                <w:color w:val="002060"/>
                <w:sz w:val="18"/>
                <w:lang w:val="sr-Cyrl-CS"/>
              </w:rPr>
            </w:pPr>
            <w:r w:rsidRPr="00646254">
              <w:rPr>
                <w:rFonts w:cstheme="minorHAnsi"/>
                <w:color w:val="002060"/>
                <w:sz w:val="18"/>
                <w:lang w:val="sr-Cyrl-CS"/>
              </w:rPr>
              <w:t>5,0</w:t>
            </w:r>
          </w:p>
        </w:tc>
        <w:tc>
          <w:tcPr>
            <w:tcW w:w="556" w:type="pct"/>
          </w:tcPr>
          <w:p w14:paraId="523007DF" w14:textId="77777777" w:rsidR="004D0357" w:rsidRPr="00646254" w:rsidRDefault="004D0357" w:rsidP="00426178">
            <w:pPr>
              <w:jc w:val="center"/>
              <w:rPr>
                <w:rFonts w:cstheme="minorHAnsi"/>
                <w:color w:val="002060"/>
                <w:sz w:val="18"/>
                <w:lang w:val="sr-Cyrl-CS"/>
              </w:rPr>
            </w:pPr>
            <w:r w:rsidRPr="00646254">
              <w:rPr>
                <w:rFonts w:cstheme="minorHAnsi"/>
                <w:color w:val="002060"/>
                <w:sz w:val="18"/>
                <w:lang w:val="sr-Cyrl-CS"/>
              </w:rPr>
              <w:t>4,3</w:t>
            </w:r>
          </w:p>
        </w:tc>
        <w:tc>
          <w:tcPr>
            <w:tcW w:w="556" w:type="pct"/>
          </w:tcPr>
          <w:p w14:paraId="17AAE642" w14:textId="77777777" w:rsidR="004D0357" w:rsidRPr="00646254" w:rsidRDefault="004D0357" w:rsidP="00426178">
            <w:pPr>
              <w:jc w:val="center"/>
              <w:rPr>
                <w:rFonts w:cstheme="minorHAnsi"/>
                <w:color w:val="002060"/>
                <w:sz w:val="18"/>
                <w:lang w:val="sr-Cyrl-CS"/>
              </w:rPr>
            </w:pPr>
            <w:r w:rsidRPr="00646254">
              <w:rPr>
                <w:rFonts w:cstheme="minorHAnsi"/>
                <w:color w:val="002060"/>
                <w:sz w:val="18"/>
                <w:lang w:val="sr-Cyrl-CS"/>
              </w:rPr>
              <w:t>2,0</w:t>
            </w:r>
          </w:p>
        </w:tc>
        <w:tc>
          <w:tcPr>
            <w:tcW w:w="557" w:type="pct"/>
          </w:tcPr>
          <w:p w14:paraId="12502934" w14:textId="77777777" w:rsidR="004D0357" w:rsidRPr="00646254" w:rsidRDefault="004D0357" w:rsidP="00426178">
            <w:pPr>
              <w:jc w:val="center"/>
              <w:rPr>
                <w:rFonts w:cstheme="minorHAnsi"/>
                <w:color w:val="002060"/>
                <w:sz w:val="18"/>
                <w:lang w:val="sr-Cyrl-CS"/>
              </w:rPr>
            </w:pPr>
            <w:r w:rsidRPr="00646254">
              <w:rPr>
                <w:rFonts w:cstheme="minorHAnsi"/>
                <w:color w:val="002060"/>
                <w:sz w:val="18"/>
                <w:lang w:val="sr-Cyrl-CS"/>
              </w:rPr>
              <w:t>1,6</w:t>
            </w:r>
          </w:p>
        </w:tc>
      </w:tr>
      <w:tr w:rsidR="004D0357" w:rsidRPr="00646254" w14:paraId="65851444" w14:textId="77777777" w:rsidTr="007C29E4">
        <w:trPr>
          <w:trHeight w:val="190"/>
        </w:trPr>
        <w:tc>
          <w:tcPr>
            <w:tcW w:w="2220" w:type="pct"/>
          </w:tcPr>
          <w:p w14:paraId="21B5477D" w14:textId="77777777" w:rsidR="004D0357" w:rsidRPr="00646254" w:rsidRDefault="004D0357" w:rsidP="00CE729E">
            <w:pPr>
              <w:ind w:left="345" w:hanging="90"/>
              <w:rPr>
                <w:rFonts w:cstheme="minorHAnsi"/>
                <w:color w:val="002060"/>
                <w:sz w:val="18"/>
                <w:lang w:val="sr-Cyrl-CS"/>
              </w:rPr>
            </w:pPr>
            <w:r w:rsidRPr="00646254">
              <w:rPr>
                <w:rFonts w:cstheme="minorHAnsi"/>
                <w:color w:val="002060"/>
                <w:sz w:val="18"/>
                <w:lang w:val="sr-Cyrl-CS"/>
              </w:rPr>
              <w:t>Земље у успону</w:t>
            </w:r>
          </w:p>
        </w:tc>
        <w:tc>
          <w:tcPr>
            <w:tcW w:w="556" w:type="pct"/>
          </w:tcPr>
          <w:p w14:paraId="42844101" w14:textId="77777777" w:rsidR="004D0357" w:rsidRPr="00646254" w:rsidRDefault="004D0357" w:rsidP="00426178">
            <w:pPr>
              <w:jc w:val="center"/>
              <w:rPr>
                <w:rFonts w:cstheme="minorHAnsi"/>
                <w:color w:val="002060"/>
                <w:sz w:val="18"/>
                <w:lang w:val="sr-Cyrl-CS"/>
              </w:rPr>
            </w:pPr>
            <w:r w:rsidRPr="00646254">
              <w:rPr>
                <w:rFonts w:cstheme="minorHAnsi"/>
                <w:color w:val="002060"/>
                <w:sz w:val="18"/>
                <w:lang w:val="sr-Cyrl-CS"/>
              </w:rPr>
              <w:t>-2,1</w:t>
            </w:r>
          </w:p>
        </w:tc>
        <w:tc>
          <w:tcPr>
            <w:tcW w:w="556" w:type="pct"/>
          </w:tcPr>
          <w:p w14:paraId="66BE9ED9" w14:textId="77777777" w:rsidR="004D0357" w:rsidRPr="00646254" w:rsidRDefault="004D0357" w:rsidP="00426178">
            <w:pPr>
              <w:jc w:val="center"/>
              <w:rPr>
                <w:rFonts w:cstheme="minorHAnsi"/>
                <w:color w:val="002060"/>
                <w:sz w:val="18"/>
                <w:lang w:val="sr-Cyrl-CS"/>
              </w:rPr>
            </w:pPr>
            <w:r w:rsidRPr="00646254">
              <w:rPr>
                <w:rFonts w:cstheme="minorHAnsi"/>
                <w:color w:val="002060"/>
                <w:sz w:val="18"/>
                <w:lang w:val="sr-Cyrl-CS"/>
              </w:rPr>
              <w:t>6,4</w:t>
            </w:r>
          </w:p>
        </w:tc>
        <w:tc>
          <w:tcPr>
            <w:tcW w:w="556" w:type="pct"/>
          </w:tcPr>
          <w:p w14:paraId="39E0E2B8" w14:textId="77777777" w:rsidR="004D0357" w:rsidRPr="00646254" w:rsidRDefault="004D0357" w:rsidP="00426178">
            <w:pPr>
              <w:jc w:val="center"/>
              <w:rPr>
                <w:rFonts w:cstheme="minorHAnsi"/>
                <w:color w:val="002060"/>
                <w:sz w:val="18"/>
                <w:lang w:val="sr-Cyrl-CS"/>
              </w:rPr>
            </w:pPr>
            <w:r w:rsidRPr="00646254">
              <w:rPr>
                <w:rFonts w:cstheme="minorHAnsi"/>
                <w:color w:val="002060"/>
                <w:sz w:val="18"/>
                <w:lang w:val="sr-Cyrl-CS"/>
              </w:rPr>
              <w:t>5,1</w:t>
            </w:r>
          </w:p>
        </w:tc>
        <w:tc>
          <w:tcPr>
            <w:tcW w:w="556" w:type="pct"/>
          </w:tcPr>
          <w:p w14:paraId="0366784D" w14:textId="77777777" w:rsidR="004D0357" w:rsidRPr="00646254" w:rsidRDefault="004D0357" w:rsidP="00CE729E">
            <w:pPr>
              <w:jc w:val="center"/>
              <w:rPr>
                <w:rFonts w:cstheme="minorHAnsi"/>
                <w:color w:val="002060"/>
                <w:sz w:val="18"/>
                <w:lang w:val="sr-Cyrl-CS"/>
              </w:rPr>
            </w:pPr>
            <w:r w:rsidRPr="00646254">
              <w:rPr>
                <w:rFonts w:cstheme="minorHAnsi"/>
                <w:color w:val="002060"/>
                <w:sz w:val="18"/>
                <w:lang w:val="sr-Cyrl-CS"/>
              </w:rPr>
              <w:t>4,6</w:t>
            </w:r>
          </w:p>
        </w:tc>
        <w:tc>
          <w:tcPr>
            <w:tcW w:w="557" w:type="pct"/>
          </w:tcPr>
          <w:p w14:paraId="0D21D214" w14:textId="77777777" w:rsidR="004D0357" w:rsidRPr="00646254" w:rsidRDefault="004D0357" w:rsidP="00CE729E">
            <w:pPr>
              <w:jc w:val="center"/>
              <w:rPr>
                <w:rFonts w:cstheme="minorHAnsi"/>
                <w:color w:val="002060"/>
                <w:sz w:val="18"/>
                <w:lang w:val="sr-Cyrl-CS"/>
              </w:rPr>
            </w:pPr>
            <w:r w:rsidRPr="00646254">
              <w:rPr>
                <w:rFonts w:cstheme="minorHAnsi"/>
                <w:color w:val="002060"/>
                <w:sz w:val="18"/>
                <w:lang w:val="sr-Cyrl-CS"/>
              </w:rPr>
              <w:t>4,5</w:t>
            </w:r>
          </w:p>
        </w:tc>
      </w:tr>
      <w:tr w:rsidR="004D0357" w:rsidRPr="00646254" w14:paraId="045AEE9D" w14:textId="77777777" w:rsidTr="007C29E4">
        <w:trPr>
          <w:trHeight w:val="180"/>
        </w:trPr>
        <w:tc>
          <w:tcPr>
            <w:tcW w:w="2220" w:type="pct"/>
          </w:tcPr>
          <w:p w14:paraId="3D676E16" w14:textId="77777777" w:rsidR="004D0357" w:rsidRPr="00646254" w:rsidRDefault="004D0357" w:rsidP="00CE729E">
            <w:pPr>
              <w:ind w:left="615" w:hanging="180"/>
              <w:rPr>
                <w:rFonts w:cstheme="minorHAnsi"/>
                <w:color w:val="002060"/>
                <w:sz w:val="18"/>
                <w:lang w:val="sr-Cyrl-CS"/>
              </w:rPr>
            </w:pPr>
            <w:r w:rsidRPr="00646254">
              <w:rPr>
                <w:rFonts w:cstheme="minorHAnsi"/>
                <w:color w:val="002060"/>
                <w:sz w:val="18"/>
                <w:lang w:val="sr-Cyrl-CS"/>
              </w:rPr>
              <w:t>Кина</w:t>
            </w:r>
          </w:p>
        </w:tc>
        <w:tc>
          <w:tcPr>
            <w:tcW w:w="556" w:type="pct"/>
          </w:tcPr>
          <w:p w14:paraId="43F725B9" w14:textId="77777777" w:rsidR="004D0357" w:rsidRPr="00646254" w:rsidRDefault="004D0357" w:rsidP="00CE729E">
            <w:pPr>
              <w:jc w:val="center"/>
              <w:rPr>
                <w:rFonts w:cstheme="minorHAnsi"/>
                <w:color w:val="002060"/>
                <w:sz w:val="18"/>
                <w:lang w:val="sr-Cyrl-CS"/>
              </w:rPr>
            </w:pPr>
            <w:r w:rsidRPr="00646254">
              <w:rPr>
                <w:rFonts w:cstheme="minorHAnsi"/>
                <w:color w:val="002060"/>
                <w:sz w:val="18"/>
                <w:lang w:val="sr-Cyrl-CS"/>
              </w:rPr>
              <w:t>2,3</w:t>
            </w:r>
          </w:p>
        </w:tc>
        <w:tc>
          <w:tcPr>
            <w:tcW w:w="556" w:type="pct"/>
          </w:tcPr>
          <w:p w14:paraId="7B6EFAFA" w14:textId="77777777" w:rsidR="004D0357" w:rsidRPr="00646254" w:rsidRDefault="004D0357" w:rsidP="00CE729E">
            <w:pPr>
              <w:jc w:val="center"/>
              <w:rPr>
                <w:rFonts w:cstheme="minorHAnsi"/>
                <w:color w:val="002060"/>
                <w:sz w:val="18"/>
                <w:lang w:val="sr-Cyrl-CS"/>
              </w:rPr>
            </w:pPr>
            <w:r w:rsidRPr="00646254">
              <w:rPr>
                <w:rFonts w:cstheme="minorHAnsi"/>
                <w:color w:val="002060"/>
                <w:sz w:val="18"/>
                <w:lang w:val="sr-Cyrl-CS"/>
              </w:rPr>
              <w:t>8,0</w:t>
            </w:r>
          </w:p>
        </w:tc>
        <w:tc>
          <w:tcPr>
            <w:tcW w:w="556" w:type="pct"/>
          </w:tcPr>
          <w:p w14:paraId="6B9F41AD" w14:textId="77777777" w:rsidR="004D0357" w:rsidRPr="00646254" w:rsidRDefault="004D0357" w:rsidP="00CE729E">
            <w:pPr>
              <w:jc w:val="center"/>
              <w:rPr>
                <w:rFonts w:cstheme="minorHAnsi"/>
                <w:color w:val="002060"/>
                <w:sz w:val="18"/>
                <w:lang w:val="sr-Cyrl-CS"/>
              </w:rPr>
            </w:pPr>
            <w:r w:rsidRPr="00646254">
              <w:rPr>
                <w:rFonts w:cstheme="minorHAnsi"/>
                <w:color w:val="002060"/>
                <w:sz w:val="18"/>
                <w:lang w:val="sr-Cyrl-CS"/>
              </w:rPr>
              <w:t>5,6</w:t>
            </w:r>
          </w:p>
        </w:tc>
        <w:tc>
          <w:tcPr>
            <w:tcW w:w="556" w:type="pct"/>
          </w:tcPr>
          <w:p w14:paraId="57A78999" w14:textId="77777777" w:rsidR="004D0357" w:rsidRPr="00646254" w:rsidRDefault="004D0357" w:rsidP="00CE729E">
            <w:pPr>
              <w:jc w:val="center"/>
              <w:rPr>
                <w:rFonts w:cstheme="minorHAnsi"/>
                <w:color w:val="002060"/>
                <w:sz w:val="18"/>
                <w:lang w:val="sr-Cyrl-CS"/>
              </w:rPr>
            </w:pPr>
            <w:r w:rsidRPr="00646254">
              <w:rPr>
                <w:rFonts w:cstheme="minorHAnsi"/>
                <w:color w:val="002060"/>
                <w:sz w:val="18"/>
                <w:lang w:val="sr-Cyrl-CS"/>
              </w:rPr>
              <w:t>5,3</w:t>
            </w:r>
          </w:p>
        </w:tc>
        <w:tc>
          <w:tcPr>
            <w:tcW w:w="557" w:type="pct"/>
          </w:tcPr>
          <w:p w14:paraId="5156A73F" w14:textId="77777777" w:rsidR="004D0357" w:rsidRPr="00646254" w:rsidRDefault="004D0357" w:rsidP="00CE729E">
            <w:pPr>
              <w:jc w:val="center"/>
              <w:rPr>
                <w:rFonts w:cstheme="minorHAnsi"/>
                <w:color w:val="002060"/>
                <w:sz w:val="18"/>
                <w:lang w:val="sr-Cyrl-CS"/>
              </w:rPr>
            </w:pPr>
            <w:r w:rsidRPr="00646254">
              <w:rPr>
                <w:rFonts w:cstheme="minorHAnsi"/>
                <w:color w:val="002060"/>
                <w:sz w:val="18"/>
                <w:lang w:val="sr-Cyrl-CS"/>
              </w:rPr>
              <w:t>5,2</w:t>
            </w:r>
          </w:p>
        </w:tc>
      </w:tr>
      <w:tr w:rsidR="004D0357" w:rsidRPr="00646254" w14:paraId="1A285879" w14:textId="77777777" w:rsidTr="007C29E4">
        <w:trPr>
          <w:trHeight w:val="190"/>
        </w:trPr>
        <w:tc>
          <w:tcPr>
            <w:tcW w:w="2220" w:type="pct"/>
          </w:tcPr>
          <w:p w14:paraId="2F809E88" w14:textId="77777777" w:rsidR="004D0357" w:rsidRPr="00646254" w:rsidRDefault="004D0357" w:rsidP="00CE729E">
            <w:pPr>
              <w:ind w:left="615" w:hanging="180"/>
              <w:rPr>
                <w:rFonts w:cstheme="minorHAnsi"/>
                <w:color w:val="002060"/>
                <w:sz w:val="18"/>
                <w:lang w:val="sr-Cyrl-CS"/>
              </w:rPr>
            </w:pPr>
            <w:r w:rsidRPr="00646254">
              <w:rPr>
                <w:rFonts w:cstheme="minorHAnsi"/>
                <w:color w:val="002060"/>
                <w:sz w:val="18"/>
                <w:lang w:val="sr-Cyrl-CS"/>
              </w:rPr>
              <w:t xml:space="preserve">Русија </w:t>
            </w:r>
          </w:p>
        </w:tc>
        <w:tc>
          <w:tcPr>
            <w:tcW w:w="556" w:type="pct"/>
          </w:tcPr>
          <w:p w14:paraId="744E824C" w14:textId="77777777" w:rsidR="004D0357" w:rsidRPr="00646254" w:rsidRDefault="004D0357" w:rsidP="00426178">
            <w:pPr>
              <w:jc w:val="center"/>
              <w:rPr>
                <w:rFonts w:cstheme="minorHAnsi"/>
                <w:color w:val="002060"/>
                <w:sz w:val="18"/>
                <w:lang w:val="sr-Cyrl-CS"/>
              </w:rPr>
            </w:pPr>
            <w:r w:rsidRPr="00646254">
              <w:rPr>
                <w:rFonts w:cstheme="minorHAnsi"/>
                <w:color w:val="002060"/>
                <w:sz w:val="18"/>
                <w:lang w:val="sr-Cyrl-CS"/>
              </w:rPr>
              <w:t>-3,0</w:t>
            </w:r>
          </w:p>
        </w:tc>
        <w:tc>
          <w:tcPr>
            <w:tcW w:w="556" w:type="pct"/>
          </w:tcPr>
          <w:p w14:paraId="02E994F9" w14:textId="77777777" w:rsidR="004D0357" w:rsidRPr="00646254" w:rsidRDefault="004D0357" w:rsidP="00426178">
            <w:pPr>
              <w:jc w:val="center"/>
              <w:rPr>
                <w:rFonts w:cstheme="minorHAnsi"/>
                <w:color w:val="002060"/>
                <w:sz w:val="18"/>
                <w:lang w:val="sr-Cyrl-CS"/>
              </w:rPr>
            </w:pPr>
            <w:r w:rsidRPr="00646254">
              <w:rPr>
                <w:rFonts w:cstheme="minorHAnsi"/>
                <w:color w:val="002060"/>
                <w:sz w:val="18"/>
                <w:lang w:val="sr-Cyrl-CS"/>
              </w:rPr>
              <w:t>4,7</w:t>
            </w:r>
          </w:p>
        </w:tc>
        <w:tc>
          <w:tcPr>
            <w:tcW w:w="556" w:type="pct"/>
          </w:tcPr>
          <w:p w14:paraId="5604D592" w14:textId="77777777" w:rsidR="004D0357" w:rsidRPr="00646254" w:rsidRDefault="004D0357" w:rsidP="00426178">
            <w:pPr>
              <w:jc w:val="center"/>
              <w:rPr>
                <w:rFonts w:cstheme="minorHAnsi"/>
                <w:color w:val="002060"/>
                <w:sz w:val="18"/>
                <w:lang w:val="sr-Cyrl-CS"/>
              </w:rPr>
            </w:pPr>
            <w:r w:rsidRPr="00646254">
              <w:rPr>
                <w:rFonts w:cstheme="minorHAnsi"/>
                <w:color w:val="002060"/>
                <w:sz w:val="18"/>
                <w:lang w:val="sr-Cyrl-CS"/>
              </w:rPr>
              <w:t>2,9</w:t>
            </w:r>
          </w:p>
        </w:tc>
        <w:tc>
          <w:tcPr>
            <w:tcW w:w="556" w:type="pct"/>
          </w:tcPr>
          <w:p w14:paraId="128215F7" w14:textId="77777777" w:rsidR="004D0357" w:rsidRPr="00646254" w:rsidRDefault="004D0357" w:rsidP="00CE729E">
            <w:pPr>
              <w:jc w:val="center"/>
              <w:rPr>
                <w:rFonts w:cstheme="minorHAnsi"/>
                <w:color w:val="002060"/>
                <w:sz w:val="18"/>
                <w:lang w:val="sr-Cyrl-CS"/>
              </w:rPr>
            </w:pPr>
            <w:r w:rsidRPr="00646254">
              <w:rPr>
                <w:rFonts w:cstheme="minorHAnsi"/>
                <w:color w:val="002060"/>
                <w:sz w:val="18"/>
                <w:lang w:val="sr-Cyrl-CS"/>
              </w:rPr>
              <w:t>2,0</w:t>
            </w:r>
          </w:p>
        </w:tc>
        <w:tc>
          <w:tcPr>
            <w:tcW w:w="557" w:type="pct"/>
          </w:tcPr>
          <w:p w14:paraId="239159A2" w14:textId="77777777" w:rsidR="004D0357" w:rsidRPr="00646254" w:rsidRDefault="004D0357" w:rsidP="00CE729E">
            <w:pPr>
              <w:jc w:val="center"/>
              <w:rPr>
                <w:rFonts w:cstheme="minorHAnsi"/>
                <w:color w:val="002060"/>
                <w:sz w:val="18"/>
                <w:lang w:val="sr-Cyrl-CS"/>
              </w:rPr>
            </w:pPr>
            <w:r w:rsidRPr="00646254">
              <w:rPr>
                <w:rFonts w:cstheme="minorHAnsi"/>
                <w:color w:val="002060"/>
                <w:sz w:val="18"/>
                <w:lang w:val="sr-Cyrl-CS"/>
              </w:rPr>
              <w:t>1,8</w:t>
            </w:r>
          </w:p>
        </w:tc>
      </w:tr>
      <w:tr w:rsidR="004D0357" w:rsidRPr="00646254" w14:paraId="11A30080" w14:textId="77777777" w:rsidTr="007C29E4">
        <w:trPr>
          <w:trHeight w:val="180"/>
        </w:trPr>
        <w:tc>
          <w:tcPr>
            <w:tcW w:w="2220" w:type="pct"/>
          </w:tcPr>
          <w:p w14:paraId="18D6CB6A" w14:textId="77777777" w:rsidR="004D0357" w:rsidRPr="00646254" w:rsidRDefault="004D0357" w:rsidP="00CE729E">
            <w:pPr>
              <w:ind w:left="345" w:hanging="90"/>
              <w:rPr>
                <w:rFonts w:cstheme="minorHAnsi"/>
                <w:color w:val="002060"/>
                <w:sz w:val="18"/>
                <w:lang w:val="sr-Cyrl-CS"/>
              </w:rPr>
            </w:pPr>
            <w:r w:rsidRPr="00646254">
              <w:rPr>
                <w:rFonts w:cstheme="minorHAnsi"/>
                <w:color w:val="002060"/>
                <w:sz w:val="18"/>
                <w:lang w:val="sr-Cyrl-CS"/>
              </w:rPr>
              <w:t>Раст светске трговине, %</w:t>
            </w:r>
          </w:p>
        </w:tc>
        <w:tc>
          <w:tcPr>
            <w:tcW w:w="556" w:type="pct"/>
          </w:tcPr>
          <w:p w14:paraId="0346507E" w14:textId="77777777" w:rsidR="004D0357" w:rsidRPr="00646254" w:rsidRDefault="004D0357" w:rsidP="00CE729E">
            <w:pPr>
              <w:jc w:val="center"/>
              <w:rPr>
                <w:rFonts w:cstheme="minorHAnsi"/>
                <w:color w:val="002060"/>
                <w:sz w:val="18"/>
                <w:lang w:val="sr-Cyrl-CS"/>
              </w:rPr>
            </w:pPr>
            <w:r w:rsidRPr="00646254">
              <w:rPr>
                <w:rFonts w:cstheme="minorHAnsi"/>
                <w:color w:val="002060"/>
                <w:sz w:val="18"/>
                <w:lang w:val="sr-Cyrl-CS"/>
              </w:rPr>
              <w:t>-8,2</w:t>
            </w:r>
          </w:p>
        </w:tc>
        <w:tc>
          <w:tcPr>
            <w:tcW w:w="556" w:type="pct"/>
          </w:tcPr>
          <w:p w14:paraId="3B8AA0FB" w14:textId="77777777" w:rsidR="004D0357" w:rsidRPr="00646254" w:rsidRDefault="004D0357" w:rsidP="00426178">
            <w:pPr>
              <w:jc w:val="center"/>
              <w:rPr>
                <w:rFonts w:cstheme="minorHAnsi"/>
                <w:color w:val="002060"/>
                <w:sz w:val="18"/>
                <w:lang w:val="sr-Cyrl-CS"/>
              </w:rPr>
            </w:pPr>
            <w:r w:rsidRPr="00646254">
              <w:rPr>
                <w:rFonts w:cstheme="minorHAnsi"/>
                <w:color w:val="002060"/>
                <w:sz w:val="18"/>
                <w:lang w:val="sr-Cyrl-CS"/>
              </w:rPr>
              <w:t>9,7</w:t>
            </w:r>
          </w:p>
        </w:tc>
        <w:tc>
          <w:tcPr>
            <w:tcW w:w="556" w:type="pct"/>
          </w:tcPr>
          <w:p w14:paraId="504E814C" w14:textId="77777777" w:rsidR="004D0357" w:rsidRPr="00646254" w:rsidRDefault="004D0357" w:rsidP="00426178">
            <w:pPr>
              <w:jc w:val="center"/>
              <w:rPr>
                <w:rFonts w:cstheme="minorHAnsi"/>
                <w:color w:val="002060"/>
                <w:sz w:val="18"/>
                <w:lang w:val="sr-Cyrl-CS"/>
              </w:rPr>
            </w:pPr>
            <w:r w:rsidRPr="00646254">
              <w:rPr>
                <w:rFonts w:cstheme="minorHAnsi"/>
                <w:color w:val="002060"/>
                <w:sz w:val="18"/>
                <w:lang w:val="sr-Cyrl-CS"/>
              </w:rPr>
              <w:t>6,7</w:t>
            </w:r>
          </w:p>
        </w:tc>
        <w:tc>
          <w:tcPr>
            <w:tcW w:w="556" w:type="pct"/>
          </w:tcPr>
          <w:p w14:paraId="6EC30F5B" w14:textId="77777777" w:rsidR="004D0357" w:rsidRPr="00646254" w:rsidRDefault="004D0357" w:rsidP="00426178">
            <w:pPr>
              <w:jc w:val="center"/>
              <w:rPr>
                <w:rFonts w:cstheme="minorHAnsi"/>
                <w:color w:val="002060"/>
                <w:sz w:val="18"/>
                <w:lang w:val="sr-Cyrl-CS"/>
              </w:rPr>
            </w:pPr>
            <w:r w:rsidRPr="00646254">
              <w:rPr>
                <w:rFonts w:cstheme="minorHAnsi"/>
                <w:color w:val="002060"/>
                <w:sz w:val="18"/>
                <w:lang w:val="sr-Cyrl-CS"/>
              </w:rPr>
              <w:t>4,5</w:t>
            </w:r>
          </w:p>
        </w:tc>
        <w:tc>
          <w:tcPr>
            <w:tcW w:w="557" w:type="pct"/>
          </w:tcPr>
          <w:p w14:paraId="4C311297" w14:textId="77777777" w:rsidR="004D0357" w:rsidRPr="00646254" w:rsidRDefault="004D0357" w:rsidP="00426178">
            <w:pPr>
              <w:jc w:val="center"/>
              <w:rPr>
                <w:rFonts w:cstheme="minorHAnsi"/>
                <w:color w:val="002060"/>
                <w:sz w:val="18"/>
                <w:lang w:val="sr-Cyrl-CS"/>
              </w:rPr>
            </w:pPr>
            <w:r w:rsidRPr="00646254">
              <w:rPr>
                <w:rFonts w:cstheme="minorHAnsi"/>
                <w:color w:val="002060"/>
                <w:sz w:val="18"/>
                <w:lang w:val="sr-Cyrl-CS"/>
              </w:rPr>
              <w:t>3,8</w:t>
            </w:r>
          </w:p>
        </w:tc>
      </w:tr>
      <w:tr w:rsidR="007C29E4" w:rsidRPr="00646254" w14:paraId="080BD7BA" w14:textId="77777777" w:rsidTr="007C29E4">
        <w:trPr>
          <w:trHeight w:val="190"/>
        </w:trPr>
        <w:tc>
          <w:tcPr>
            <w:tcW w:w="2220" w:type="pct"/>
            <w:shd w:val="clear" w:color="auto" w:fill="E7E6E6" w:themeFill="background2"/>
          </w:tcPr>
          <w:p w14:paraId="2B5CA352" w14:textId="77777777" w:rsidR="007C29E4" w:rsidRPr="00646254" w:rsidRDefault="007C29E4" w:rsidP="00CE729E">
            <w:pPr>
              <w:rPr>
                <w:rFonts w:cstheme="minorHAnsi"/>
                <w:color w:val="002060"/>
                <w:sz w:val="18"/>
                <w:lang w:val="sr-Cyrl-CS"/>
              </w:rPr>
            </w:pPr>
            <w:r w:rsidRPr="00646254">
              <w:rPr>
                <w:rFonts w:cstheme="minorHAnsi"/>
                <w:color w:val="002060"/>
                <w:sz w:val="18"/>
                <w:lang w:val="sr-Cyrl-CS"/>
              </w:rPr>
              <w:t>Стопа незапослености, %</w:t>
            </w:r>
          </w:p>
        </w:tc>
        <w:tc>
          <w:tcPr>
            <w:tcW w:w="556" w:type="pct"/>
            <w:shd w:val="clear" w:color="auto" w:fill="E7E6E6" w:themeFill="background2"/>
          </w:tcPr>
          <w:p w14:paraId="1BF24F8B" w14:textId="77777777" w:rsidR="007C29E4" w:rsidRPr="00646254" w:rsidRDefault="007C29E4" w:rsidP="00CE729E">
            <w:pPr>
              <w:rPr>
                <w:rFonts w:cstheme="minorHAnsi"/>
                <w:color w:val="002060"/>
                <w:sz w:val="18"/>
                <w:lang w:val="sr-Cyrl-CS"/>
              </w:rPr>
            </w:pPr>
          </w:p>
        </w:tc>
        <w:tc>
          <w:tcPr>
            <w:tcW w:w="556" w:type="pct"/>
            <w:shd w:val="clear" w:color="auto" w:fill="E7E6E6" w:themeFill="background2"/>
          </w:tcPr>
          <w:p w14:paraId="39E2374D" w14:textId="77777777" w:rsidR="007C29E4" w:rsidRPr="00646254" w:rsidRDefault="007C29E4" w:rsidP="00CE729E">
            <w:pPr>
              <w:rPr>
                <w:rFonts w:cstheme="minorHAnsi"/>
                <w:color w:val="002060"/>
                <w:sz w:val="18"/>
                <w:lang w:val="sr-Cyrl-CS"/>
              </w:rPr>
            </w:pPr>
          </w:p>
        </w:tc>
        <w:tc>
          <w:tcPr>
            <w:tcW w:w="556" w:type="pct"/>
            <w:shd w:val="clear" w:color="auto" w:fill="E7E6E6" w:themeFill="background2"/>
          </w:tcPr>
          <w:p w14:paraId="36705A77" w14:textId="77777777" w:rsidR="007C29E4" w:rsidRPr="00646254" w:rsidRDefault="007C29E4" w:rsidP="00CE729E">
            <w:pPr>
              <w:rPr>
                <w:rFonts w:cstheme="minorHAnsi"/>
                <w:color w:val="002060"/>
                <w:sz w:val="18"/>
                <w:lang w:val="sr-Cyrl-CS"/>
              </w:rPr>
            </w:pPr>
          </w:p>
        </w:tc>
        <w:tc>
          <w:tcPr>
            <w:tcW w:w="556" w:type="pct"/>
            <w:shd w:val="clear" w:color="auto" w:fill="E7E6E6" w:themeFill="background2"/>
          </w:tcPr>
          <w:p w14:paraId="3556F994" w14:textId="74D85C5F" w:rsidR="007C29E4" w:rsidRPr="00646254" w:rsidRDefault="007C29E4" w:rsidP="00CE729E">
            <w:pPr>
              <w:rPr>
                <w:rFonts w:cstheme="minorHAnsi"/>
                <w:color w:val="002060"/>
                <w:sz w:val="18"/>
                <w:lang w:val="sr-Cyrl-CS"/>
              </w:rPr>
            </w:pPr>
          </w:p>
        </w:tc>
        <w:tc>
          <w:tcPr>
            <w:tcW w:w="557" w:type="pct"/>
            <w:shd w:val="clear" w:color="auto" w:fill="E7E6E6" w:themeFill="background2"/>
          </w:tcPr>
          <w:p w14:paraId="64B17CC1" w14:textId="77777777" w:rsidR="007C29E4" w:rsidRPr="00646254" w:rsidRDefault="007C29E4" w:rsidP="00CE729E">
            <w:pPr>
              <w:rPr>
                <w:rFonts w:cstheme="minorHAnsi"/>
                <w:color w:val="002060"/>
                <w:sz w:val="18"/>
                <w:lang w:val="sr-Cyrl-CS"/>
              </w:rPr>
            </w:pPr>
          </w:p>
        </w:tc>
      </w:tr>
      <w:tr w:rsidR="004D0357" w:rsidRPr="00646254" w14:paraId="4DB605C7" w14:textId="77777777" w:rsidTr="007C29E4">
        <w:trPr>
          <w:trHeight w:val="190"/>
        </w:trPr>
        <w:tc>
          <w:tcPr>
            <w:tcW w:w="2220" w:type="pct"/>
          </w:tcPr>
          <w:p w14:paraId="495FA55B" w14:textId="77777777" w:rsidR="004D0357" w:rsidRPr="00646254" w:rsidRDefault="004D0357" w:rsidP="00CE729E">
            <w:pPr>
              <w:ind w:left="440" w:hanging="180"/>
              <w:rPr>
                <w:rFonts w:cstheme="minorHAnsi"/>
                <w:color w:val="002060"/>
                <w:sz w:val="18"/>
                <w:lang w:val="sr-Cyrl-CS"/>
              </w:rPr>
            </w:pPr>
            <w:r w:rsidRPr="00646254">
              <w:rPr>
                <w:rFonts w:cstheme="minorHAnsi"/>
                <w:color w:val="002060"/>
                <w:sz w:val="18"/>
                <w:lang w:val="sr-Cyrl-CS"/>
              </w:rPr>
              <w:t>Еврозона</w:t>
            </w:r>
          </w:p>
        </w:tc>
        <w:tc>
          <w:tcPr>
            <w:tcW w:w="556" w:type="pct"/>
          </w:tcPr>
          <w:p w14:paraId="75576308" w14:textId="77777777" w:rsidR="004D0357" w:rsidRPr="00646254" w:rsidRDefault="004D0357" w:rsidP="00CE729E">
            <w:pPr>
              <w:jc w:val="center"/>
              <w:rPr>
                <w:rFonts w:cstheme="minorHAnsi"/>
                <w:color w:val="002060"/>
                <w:sz w:val="18"/>
                <w:lang w:val="sr-Cyrl-CS"/>
              </w:rPr>
            </w:pPr>
            <w:r w:rsidRPr="00646254">
              <w:rPr>
                <w:rFonts w:cstheme="minorHAnsi"/>
                <w:color w:val="002060"/>
                <w:sz w:val="18"/>
                <w:lang w:val="sr-Cyrl-CS"/>
              </w:rPr>
              <w:t>7,9</w:t>
            </w:r>
          </w:p>
        </w:tc>
        <w:tc>
          <w:tcPr>
            <w:tcW w:w="556" w:type="pct"/>
          </w:tcPr>
          <w:p w14:paraId="347F14FB" w14:textId="77777777" w:rsidR="004D0357" w:rsidRPr="00646254" w:rsidRDefault="004D0357" w:rsidP="00CE729E">
            <w:pPr>
              <w:jc w:val="center"/>
              <w:rPr>
                <w:rFonts w:cstheme="minorHAnsi"/>
                <w:color w:val="002060"/>
                <w:sz w:val="18"/>
                <w:lang w:val="sr-Cyrl-CS"/>
              </w:rPr>
            </w:pPr>
            <w:r w:rsidRPr="00646254">
              <w:rPr>
                <w:rFonts w:cstheme="minorHAnsi"/>
                <w:color w:val="002060"/>
                <w:sz w:val="18"/>
                <w:lang w:val="sr-Cyrl-CS"/>
              </w:rPr>
              <w:t>8,0</w:t>
            </w:r>
          </w:p>
        </w:tc>
        <w:tc>
          <w:tcPr>
            <w:tcW w:w="556" w:type="pct"/>
          </w:tcPr>
          <w:p w14:paraId="0A54AA64" w14:textId="77777777" w:rsidR="004D0357" w:rsidRPr="00646254" w:rsidRDefault="004D0357" w:rsidP="00426178">
            <w:pPr>
              <w:jc w:val="center"/>
              <w:rPr>
                <w:rFonts w:cstheme="minorHAnsi"/>
                <w:color w:val="002060"/>
                <w:sz w:val="18"/>
                <w:lang w:val="sr-Cyrl-CS"/>
              </w:rPr>
            </w:pPr>
            <w:r w:rsidRPr="00646254">
              <w:rPr>
                <w:rFonts w:cstheme="minorHAnsi"/>
                <w:color w:val="002060"/>
                <w:sz w:val="18"/>
                <w:lang w:val="sr-Cyrl-CS"/>
              </w:rPr>
              <w:t>8,1</w:t>
            </w:r>
          </w:p>
        </w:tc>
        <w:tc>
          <w:tcPr>
            <w:tcW w:w="556" w:type="pct"/>
          </w:tcPr>
          <w:p w14:paraId="6D19838F" w14:textId="77777777" w:rsidR="004D0357" w:rsidRPr="00646254" w:rsidRDefault="004D0357" w:rsidP="00426178">
            <w:pPr>
              <w:jc w:val="center"/>
              <w:rPr>
                <w:rFonts w:cstheme="minorHAnsi"/>
                <w:color w:val="002060"/>
                <w:sz w:val="18"/>
                <w:lang w:val="sr-Cyrl-CS"/>
              </w:rPr>
            </w:pPr>
            <w:r w:rsidRPr="00646254">
              <w:rPr>
                <w:rFonts w:cstheme="minorHAnsi"/>
                <w:color w:val="002060"/>
                <w:sz w:val="18"/>
                <w:lang w:val="sr-Cyrl-CS"/>
              </w:rPr>
              <w:t>7,8</w:t>
            </w:r>
          </w:p>
        </w:tc>
        <w:tc>
          <w:tcPr>
            <w:tcW w:w="557" w:type="pct"/>
          </w:tcPr>
          <w:p w14:paraId="06D8FEDD" w14:textId="77777777" w:rsidR="004D0357" w:rsidRPr="00646254" w:rsidRDefault="004D0357" w:rsidP="00426178">
            <w:pPr>
              <w:jc w:val="center"/>
              <w:rPr>
                <w:rFonts w:cstheme="minorHAnsi"/>
                <w:color w:val="002060"/>
                <w:sz w:val="18"/>
                <w:lang w:val="sr-Cyrl-CS"/>
              </w:rPr>
            </w:pPr>
            <w:r w:rsidRPr="00646254">
              <w:rPr>
                <w:rFonts w:cstheme="minorHAnsi"/>
                <w:color w:val="002060"/>
                <w:sz w:val="18"/>
                <w:lang w:val="sr-Cyrl-CS"/>
              </w:rPr>
              <w:t>7,6</w:t>
            </w:r>
          </w:p>
        </w:tc>
      </w:tr>
      <w:tr w:rsidR="004D0357" w:rsidRPr="00646254" w14:paraId="29032FDC" w14:textId="77777777" w:rsidTr="007C29E4">
        <w:trPr>
          <w:trHeight w:val="180"/>
        </w:trPr>
        <w:tc>
          <w:tcPr>
            <w:tcW w:w="2220" w:type="pct"/>
          </w:tcPr>
          <w:p w14:paraId="5B08848C" w14:textId="77777777" w:rsidR="004D0357" w:rsidRPr="00646254" w:rsidRDefault="004D0357" w:rsidP="00CE729E">
            <w:pPr>
              <w:ind w:left="440" w:hanging="180"/>
              <w:rPr>
                <w:rFonts w:cstheme="minorHAnsi"/>
                <w:color w:val="002060"/>
                <w:sz w:val="18"/>
                <w:lang w:val="sr-Cyrl-CS"/>
              </w:rPr>
            </w:pPr>
            <w:r w:rsidRPr="00646254">
              <w:rPr>
                <w:rFonts w:cstheme="minorHAnsi"/>
                <w:color w:val="002060"/>
                <w:sz w:val="18"/>
                <w:lang w:val="sr-Cyrl-CS"/>
              </w:rPr>
              <w:t>САД</w:t>
            </w:r>
          </w:p>
        </w:tc>
        <w:tc>
          <w:tcPr>
            <w:tcW w:w="556" w:type="pct"/>
          </w:tcPr>
          <w:p w14:paraId="70D1E638" w14:textId="77777777" w:rsidR="004D0357" w:rsidRPr="00646254" w:rsidRDefault="004D0357" w:rsidP="00CE729E">
            <w:pPr>
              <w:jc w:val="center"/>
              <w:rPr>
                <w:rFonts w:cstheme="minorHAnsi"/>
                <w:color w:val="002060"/>
                <w:sz w:val="18"/>
                <w:lang w:val="sr-Cyrl-CS"/>
              </w:rPr>
            </w:pPr>
            <w:r w:rsidRPr="00646254">
              <w:rPr>
                <w:rFonts w:cstheme="minorHAnsi"/>
                <w:color w:val="002060"/>
                <w:sz w:val="18"/>
                <w:lang w:val="sr-Cyrl-CS"/>
              </w:rPr>
              <w:t>8,1</w:t>
            </w:r>
          </w:p>
        </w:tc>
        <w:tc>
          <w:tcPr>
            <w:tcW w:w="556" w:type="pct"/>
          </w:tcPr>
          <w:p w14:paraId="3F79D9BF" w14:textId="77777777" w:rsidR="004D0357" w:rsidRPr="00646254" w:rsidRDefault="004D0357" w:rsidP="00426178">
            <w:pPr>
              <w:jc w:val="center"/>
              <w:rPr>
                <w:rFonts w:cstheme="minorHAnsi"/>
                <w:color w:val="002060"/>
                <w:sz w:val="18"/>
                <w:lang w:val="sr-Cyrl-CS"/>
              </w:rPr>
            </w:pPr>
            <w:r w:rsidRPr="00646254">
              <w:rPr>
                <w:rFonts w:cstheme="minorHAnsi"/>
                <w:color w:val="002060"/>
                <w:sz w:val="18"/>
                <w:lang w:val="sr-Cyrl-CS"/>
              </w:rPr>
              <w:t>5,4</w:t>
            </w:r>
          </w:p>
        </w:tc>
        <w:tc>
          <w:tcPr>
            <w:tcW w:w="556" w:type="pct"/>
          </w:tcPr>
          <w:p w14:paraId="40A34157" w14:textId="77777777" w:rsidR="004D0357" w:rsidRPr="00646254" w:rsidRDefault="004D0357" w:rsidP="00426178">
            <w:pPr>
              <w:jc w:val="center"/>
              <w:rPr>
                <w:rFonts w:cstheme="minorHAnsi"/>
                <w:color w:val="002060"/>
                <w:sz w:val="18"/>
                <w:lang w:val="sr-Cyrl-CS"/>
              </w:rPr>
            </w:pPr>
            <w:r w:rsidRPr="00646254">
              <w:rPr>
                <w:rFonts w:cstheme="minorHAnsi"/>
                <w:color w:val="002060"/>
                <w:sz w:val="18"/>
                <w:lang w:val="sr-Cyrl-CS"/>
              </w:rPr>
              <w:t>3,5</w:t>
            </w:r>
          </w:p>
        </w:tc>
        <w:tc>
          <w:tcPr>
            <w:tcW w:w="556" w:type="pct"/>
          </w:tcPr>
          <w:p w14:paraId="520E6EFC" w14:textId="77777777" w:rsidR="004D0357" w:rsidRPr="00646254" w:rsidRDefault="004D0357" w:rsidP="00426178">
            <w:pPr>
              <w:jc w:val="center"/>
              <w:rPr>
                <w:rFonts w:cstheme="minorHAnsi"/>
                <w:color w:val="002060"/>
                <w:sz w:val="18"/>
                <w:lang w:val="sr-Cyrl-CS"/>
              </w:rPr>
            </w:pPr>
            <w:r w:rsidRPr="00646254">
              <w:rPr>
                <w:rFonts w:cstheme="minorHAnsi"/>
                <w:color w:val="002060"/>
                <w:sz w:val="18"/>
                <w:lang w:val="sr-Cyrl-CS"/>
              </w:rPr>
              <w:t>3,0</w:t>
            </w:r>
          </w:p>
        </w:tc>
        <w:tc>
          <w:tcPr>
            <w:tcW w:w="557" w:type="pct"/>
          </w:tcPr>
          <w:p w14:paraId="0EC4A539" w14:textId="77777777" w:rsidR="004D0357" w:rsidRPr="00646254" w:rsidRDefault="004D0357" w:rsidP="00426178">
            <w:pPr>
              <w:jc w:val="center"/>
              <w:rPr>
                <w:rFonts w:cstheme="minorHAnsi"/>
                <w:color w:val="002060"/>
                <w:sz w:val="18"/>
                <w:lang w:val="sr-Cyrl-CS"/>
              </w:rPr>
            </w:pPr>
            <w:r w:rsidRPr="00646254">
              <w:rPr>
                <w:rFonts w:cstheme="minorHAnsi"/>
                <w:color w:val="002060"/>
                <w:sz w:val="18"/>
                <w:lang w:val="sr-Cyrl-CS"/>
              </w:rPr>
              <w:t>3,0</w:t>
            </w:r>
          </w:p>
        </w:tc>
      </w:tr>
      <w:tr w:rsidR="007C29E4" w:rsidRPr="00646254" w14:paraId="5585B17E" w14:textId="77777777" w:rsidTr="007C29E4">
        <w:trPr>
          <w:trHeight w:val="190"/>
        </w:trPr>
        <w:tc>
          <w:tcPr>
            <w:tcW w:w="2220" w:type="pct"/>
            <w:shd w:val="clear" w:color="auto" w:fill="E7E6E6" w:themeFill="background2"/>
          </w:tcPr>
          <w:p w14:paraId="3A8C268C" w14:textId="77777777" w:rsidR="007C29E4" w:rsidRPr="00646254" w:rsidRDefault="007C29E4" w:rsidP="00CE729E">
            <w:pPr>
              <w:rPr>
                <w:rFonts w:cstheme="minorHAnsi"/>
                <w:color w:val="002060"/>
                <w:sz w:val="18"/>
                <w:lang w:val="sr-Cyrl-CS"/>
              </w:rPr>
            </w:pPr>
            <w:r w:rsidRPr="00646254">
              <w:rPr>
                <w:rFonts w:cstheme="minorHAnsi"/>
                <w:color w:val="002060"/>
                <w:sz w:val="18"/>
                <w:lang w:val="sr-Cyrl-CS"/>
              </w:rPr>
              <w:t>Потрошачке цене, просек периода, %</w:t>
            </w:r>
          </w:p>
        </w:tc>
        <w:tc>
          <w:tcPr>
            <w:tcW w:w="556" w:type="pct"/>
            <w:shd w:val="clear" w:color="auto" w:fill="E7E6E6" w:themeFill="background2"/>
          </w:tcPr>
          <w:p w14:paraId="2DAF940D" w14:textId="77777777" w:rsidR="007C29E4" w:rsidRPr="00646254" w:rsidRDefault="007C29E4" w:rsidP="00CE729E">
            <w:pPr>
              <w:rPr>
                <w:rFonts w:cstheme="minorHAnsi"/>
                <w:color w:val="002060"/>
                <w:sz w:val="18"/>
                <w:lang w:val="sr-Cyrl-CS"/>
              </w:rPr>
            </w:pPr>
          </w:p>
        </w:tc>
        <w:tc>
          <w:tcPr>
            <w:tcW w:w="556" w:type="pct"/>
            <w:shd w:val="clear" w:color="auto" w:fill="E7E6E6" w:themeFill="background2"/>
          </w:tcPr>
          <w:p w14:paraId="43CF87F2" w14:textId="77777777" w:rsidR="007C29E4" w:rsidRPr="00646254" w:rsidRDefault="007C29E4" w:rsidP="00CE729E">
            <w:pPr>
              <w:rPr>
                <w:rFonts w:cstheme="minorHAnsi"/>
                <w:color w:val="002060"/>
                <w:sz w:val="18"/>
                <w:lang w:val="sr-Cyrl-CS"/>
              </w:rPr>
            </w:pPr>
          </w:p>
        </w:tc>
        <w:tc>
          <w:tcPr>
            <w:tcW w:w="556" w:type="pct"/>
            <w:shd w:val="clear" w:color="auto" w:fill="E7E6E6" w:themeFill="background2"/>
          </w:tcPr>
          <w:p w14:paraId="0B9F24DC" w14:textId="77777777" w:rsidR="007C29E4" w:rsidRPr="00646254" w:rsidRDefault="007C29E4" w:rsidP="00CE729E">
            <w:pPr>
              <w:rPr>
                <w:rFonts w:cstheme="minorHAnsi"/>
                <w:color w:val="002060"/>
                <w:sz w:val="18"/>
                <w:lang w:val="sr-Cyrl-CS"/>
              </w:rPr>
            </w:pPr>
          </w:p>
        </w:tc>
        <w:tc>
          <w:tcPr>
            <w:tcW w:w="556" w:type="pct"/>
            <w:shd w:val="clear" w:color="auto" w:fill="E7E6E6" w:themeFill="background2"/>
          </w:tcPr>
          <w:p w14:paraId="7A4FCE94" w14:textId="32F34ADF" w:rsidR="007C29E4" w:rsidRPr="00646254" w:rsidRDefault="007C29E4" w:rsidP="00CE729E">
            <w:pPr>
              <w:rPr>
                <w:rFonts w:cstheme="minorHAnsi"/>
                <w:color w:val="002060"/>
                <w:sz w:val="18"/>
                <w:lang w:val="sr-Cyrl-CS"/>
              </w:rPr>
            </w:pPr>
          </w:p>
        </w:tc>
        <w:tc>
          <w:tcPr>
            <w:tcW w:w="557" w:type="pct"/>
            <w:shd w:val="clear" w:color="auto" w:fill="E7E6E6" w:themeFill="background2"/>
          </w:tcPr>
          <w:p w14:paraId="62B504CA" w14:textId="77777777" w:rsidR="007C29E4" w:rsidRPr="00646254" w:rsidRDefault="007C29E4" w:rsidP="00CE729E">
            <w:pPr>
              <w:rPr>
                <w:rFonts w:cstheme="minorHAnsi"/>
                <w:color w:val="002060"/>
                <w:sz w:val="18"/>
                <w:lang w:val="sr-Cyrl-CS"/>
              </w:rPr>
            </w:pPr>
          </w:p>
        </w:tc>
      </w:tr>
      <w:tr w:rsidR="004D0357" w:rsidRPr="00646254" w14:paraId="4890D405" w14:textId="77777777" w:rsidTr="007C29E4">
        <w:trPr>
          <w:trHeight w:val="180"/>
        </w:trPr>
        <w:tc>
          <w:tcPr>
            <w:tcW w:w="2220" w:type="pct"/>
          </w:tcPr>
          <w:p w14:paraId="04F70F23" w14:textId="77777777" w:rsidR="004D0357" w:rsidRPr="00646254" w:rsidRDefault="004D0357" w:rsidP="00CE729E">
            <w:pPr>
              <w:ind w:left="350" w:hanging="90"/>
              <w:rPr>
                <w:rFonts w:cstheme="minorHAnsi"/>
                <w:color w:val="002060"/>
                <w:sz w:val="18"/>
                <w:lang w:val="sr-Cyrl-CS"/>
              </w:rPr>
            </w:pPr>
            <w:r w:rsidRPr="00646254">
              <w:rPr>
                <w:rFonts w:cstheme="minorHAnsi"/>
                <w:color w:val="002060"/>
                <w:sz w:val="18"/>
                <w:lang w:val="sr-Cyrl-CS"/>
              </w:rPr>
              <w:t>Еврозона</w:t>
            </w:r>
          </w:p>
        </w:tc>
        <w:tc>
          <w:tcPr>
            <w:tcW w:w="556" w:type="pct"/>
          </w:tcPr>
          <w:p w14:paraId="150C5575" w14:textId="77777777" w:rsidR="004D0357" w:rsidRPr="00646254" w:rsidRDefault="004D0357" w:rsidP="00CE729E">
            <w:pPr>
              <w:jc w:val="center"/>
              <w:rPr>
                <w:rFonts w:cstheme="minorHAnsi"/>
                <w:color w:val="002060"/>
                <w:sz w:val="18"/>
                <w:lang w:val="sr-Cyrl-CS"/>
              </w:rPr>
            </w:pPr>
            <w:r w:rsidRPr="00646254">
              <w:rPr>
                <w:rFonts w:cstheme="minorHAnsi"/>
                <w:color w:val="002060"/>
                <w:sz w:val="18"/>
                <w:lang w:val="sr-Cyrl-CS"/>
              </w:rPr>
              <w:t>0,3</w:t>
            </w:r>
          </w:p>
        </w:tc>
        <w:tc>
          <w:tcPr>
            <w:tcW w:w="556" w:type="pct"/>
          </w:tcPr>
          <w:p w14:paraId="153735A2" w14:textId="77777777" w:rsidR="004D0357" w:rsidRPr="00646254" w:rsidRDefault="004D0357" w:rsidP="00426178">
            <w:pPr>
              <w:jc w:val="center"/>
              <w:rPr>
                <w:rFonts w:cstheme="minorHAnsi"/>
                <w:color w:val="002060"/>
                <w:sz w:val="18"/>
                <w:lang w:val="sr-Cyrl-CS"/>
              </w:rPr>
            </w:pPr>
            <w:r w:rsidRPr="00646254">
              <w:rPr>
                <w:rFonts w:cstheme="minorHAnsi"/>
                <w:color w:val="002060"/>
                <w:sz w:val="18"/>
                <w:lang w:val="sr-Cyrl-CS"/>
              </w:rPr>
              <w:t>2,2</w:t>
            </w:r>
          </w:p>
        </w:tc>
        <w:tc>
          <w:tcPr>
            <w:tcW w:w="556" w:type="pct"/>
          </w:tcPr>
          <w:p w14:paraId="02115050" w14:textId="77777777" w:rsidR="004D0357" w:rsidRPr="00646254" w:rsidRDefault="004D0357" w:rsidP="00426178">
            <w:pPr>
              <w:jc w:val="center"/>
              <w:rPr>
                <w:rFonts w:cstheme="minorHAnsi"/>
                <w:color w:val="002060"/>
                <w:sz w:val="18"/>
                <w:lang w:val="sr-Cyrl-CS"/>
              </w:rPr>
            </w:pPr>
            <w:r w:rsidRPr="00646254">
              <w:rPr>
                <w:rFonts w:cstheme="minorHAnsi"/>
                <w:color w:val="002060"/>
                <w:sz w:val="18"/>
                <w:lang w:val="sr-Cyrl-CS"/>
              </w:rPr>
              <w:t>1,7</w:t>
            </w:r>
          </w:p>
        </w:tc>
        <w:tc>
          <w:tcPr>
            <w:tcW w:w="556" w:type="pct"/>
          </w:tcPr>
          <w:p w14:paraId="6D42B2F9" w14:textId="77777777" w:rsidR="004D0357" w:rsidRPr="00646254" w:rsidRDefault="004D0357" w:rsidP="00CE729E">
            <w:pPr>
              <w:jc w:val="center"/>
              <w:rPr>
                <w:rFonts w:cstheme="minorHAnsi"/>
                <w:color w:val="002060"/>
                <w:sz w:val="18"/>
                <w:lang w:val="sr-Cyrl-CS"/>
              </w:rPr>
            </w:pPr>
            <w:r w:rsidRPr="00646254">
              <w:rPr>
                <w:rFonts w:cstheme="minorHAnsi"/>
                <w:color w:val="002060"/>
                <w:sz w:val="18"/>
                <w:lang w:val="sr-Cyrl-CS"/>
              </w:rPr>
              <w:t>1,4</w:t>
            </w:r>
          </w:p>
        </w:tc>
        <w:tc>
          <w:tcPr>
            <w:tcW w:w="557" w:type="pct"/>
          </w:tcPr>
          <w:p w14:paraId="32D8F737" w14:textId="77777777" w:rsidR="004D0357" w:rsidRPr="00646254" w:rsidRDefault="004D0357" w:rsidP="00CE729E">
            <w:pPr>
              <w:jc w:val="center"/>
              <w:rPr>
                <w:rFonts w:cstheme="minorHAnsi"/>
                <w:color w:val="002060"/>
                <w:sz w:val="18"/>
                <w:lang w:val="sr-Cyrl-CS"/>
              </w:rPr>
            </w:pPr>
            <w:r w:rsidRPr="00646254">
              <w:rPr>
                <w:rFonts w:cstheme="minorHAnsi"/>
                <w:color w:val="002060"/>
                <w:sz w:val="18"/>
                <w:lang w:val="sr-Cyrl-CS"/>
              </w:rPr>
              <w:t>1,5</w:t>
            </w:r>
          </w:p>
        </w:tc>
      </w:tr>
      <w:tr w:rsidR="004D0357" w:rsidRPr="00646254" w14:paraId="417BF84F" w14:textId="77777777" w:rsidTr="007C29E4">
        <w:trPr>
          <w:trHeight w:val="190"/>
        </w:trPr>
        <w:tc>
          <w:tcPr>
            <w:tcW w:w="2220" w:type="pct"/>
          </w:tcPr>
          <w:p w14:paraId="772291E3" w14:textId="77777777" w:rsidR="004D0357" w:rsidRPr="00646254" w:rsidRDefault="004D0357" w:rsidP="00CE729E">
            <w:pPr>
              <w:ind w:left="350" w:hanging="90"/>
              <w:rPr>
                <w:rFonts w:cstheme="minorHAnsi"/>
                <w:color w:val="002060"/>
                <w:sz w:val="18"/>
                <w:lang w:val="sr-Cyrl-CS"/>
              </w:rPr>
            </w:pPr>
            <w:r w:rsidRPr="00646254">
              <w:rPr>
                <w:rFonts w:cstheme="minorHAnsi"/>
                <w:color w:val="002060"/>
                <w:sz w:val="18"/>
                <w:lang w:val="sr-Cyrl-CS"/>
              </w:rPr>
              <w:t>Развијене економије</w:t>
            </w:r>
          </w:p>
        </w:tc>
        <w:tc>
          <w:tcPr>
            <w:tcW w:w="556" w:type="pct"/>
          </w:tcPr>
          <w:p w14:paraId="0443BC03" w14:textId="77777777" w:rsidR="004D0357" w:rsidRPr="00646254" w:rsidRDefault="004D0357" w:rsidP="00CE729E">
            <w:pPr>
              <w:jc w:val="center"/>
              <w:rPr>
                <w:rFonts w:cstheme="minorHAnsi"/>
                <w:color w:val="002060"/>
                <w:sz w:val="18"/>
                <w:lang w:val="sr-Cyrl-CS"/>
              </w:rPr>
            </w:pPr>
            <w:r w:rsidRPr="00646254">
              <w:rPr>
                <w:rFonts w:cstheme="minorHAnsi"/>
                <w:color w:val="002060"/>
                <w:sz w:val="18"/>
                <w:lang w:val="sr-Cyrl-CS"/>
              </w:rPr>
              <w:t>0,7</w:t>
            </w:r>
          </w:p>
        </w:tc>
        <w:tc>
          <w:tcPr>
            <w:tcW w:w="556" w:type="pct"/>
          </w:tcPr>
          <w:p w14:paraId="35906D06" w14:textId="77777777" w:rsidR="004D0357" w:rsidRPr="00646254" w:rsidRDefault="004D0357" w:rsidP="00426178">
            <w:pPr>
              <w:jc w:val="center"/>
              <w:rPr>
                <w:rFonts w:cstheme="minorHAnsi"/>
                <w:color w:val="002060"/>
                <w:sz w:val="18"/>
                <w:lang w:val="sr-Cyrl-CS"/>
              </w:rPr>
            </w:pPr>
            <w:r w:rsidRPr="00646254">
              <w:rPr>
                <w:rFonts w:cstheme="minorHAnsi"/>
                <w:color w:val="002060"/>
                <w:sz w:val="18"/>
                <w:lang w:val="sr-Cyrl-CS"/>
              </w:rPr>
              <w:t>2,8</w:t>
            </w:r>
          </w:p>
        </w:tc>
        <w:tc>
          <w:tcPr>
            <w:tcW w:w="556" w:type="pct"/>
          </w:tcPr>
          <w:p w14:paraId="00B33FEC" w14:textId="77777777" w:rsidR="004D0357" w:rsidRPr="00646254" w:rsidRDefault="004D0357" w:rsidP="00426178">
            <w:pPr>
              <w:jc w:val="center"/>
              <w:rPr>
                <w:rFonts w:cstheme="minorHAnsi"/>
                <w:color w:val="002060"/>
                <w:sz w:val="18"/>
                <w:lang w:val="sr-Cyrl-CS"/>
              </w:rPr>
            </w:pPr>
            <w:r w:rsidRPr="00646254">
              <w:rPr>
                <w:rFonts w:cstheme="minorHAnsi"/>
                <w:color w:val="002060"/>
                <w:sz w:val="18"/>
                <w:lang w:val="sr-Cyrl-CS"/>
              </w:rPr>
              <w:t>2,3</w:t>
            </w:r>
          </w:p>
        </w:tc>
        <w:tc>
          <w:tcPr>
            <w:tcW w:w="556" w:type="pct"/>
          </w:tcPr>
          <w:p w14:paraId="77A7F1CF" w14:textId="77777777" w:rsidR="004D0357" w:rsidRPr="00646254" w:rsidRDefault="004D0357" w:rsidP="00426178">
            <w:pPr>
              <w:jc w:val="center"/>
              <w:rPr>
                <w:rFonts w:cstheme="minorHAnsi"/>
                <w:color w:val="002060"/>
                <w:sz w:val="18"/>
                <w:lang w:val="sr-Cyrl-CS"/>
              </w:rPr>
            </w:pPr>
            <w:r w:rsidRPr="00646254">
              <w:rPr>
                <w:rFonts w:cstheme="minorHAnsi"/>
                <w:color w:val="002060"/>
                <w:sz w:val="18"/>
                <w:lang w:val="sr-Cyrl-CS"/>
              </w:rPr>
              <w:t>1,9</w:t>
            </w:r>
          </w:p>
        </w:tc>
        <w:tc>
          <w:tcPr>
            <w:tcW w:w="557" w:type="pct"/>
          </w:tcPr>
          <w:p w14:paraId="00F4916F" w14:textId="77777777" w:rsidR="004D0357" w:rsidRPr="00646254" w:rsidRDefault="004D0357" w:rsidP="00426178">
            <w:pPr>
              <w:jc w:val="center"/>
              <w:rPr>
                <w:rFonts w:cstheme="minorHAnsi"/>
                <w:color w:val="002060"/>
                <w:sz w:val="18"/>
                <w:lang w:val="sr-Cyrl-CS"/>
              </w:rPr>
            </w:pPr>
            <w:r w:rsidRPr="00646254">
              <w:rPr>
                <w:rFonts w:cstheme="minorHAnsi"/>
                <w:color w:val="002060"/>
                <w:sz w:val="18"/>
                <w:lang w:val="sr-Cyrl-CS"/>
              </w:rPr>
              <w:t>2,0</w:t>
            </w:r>
          </w:p>
        </w:tc>
      </w:tr>
      <w:tr w:rsidR="004D0357" w:rsidRPr="00646254" w14:paraId="720516AC" w14:textId="77777777" w:rsidTr="007C29E4">
        <w:trPr>
          <w:trHeight w:val="70"/>
        </w:trPr>
        <w:tc>
          <w:tcPr>
            <w:tcW w:w="2220" w:type="pct"/>
          </w:tcPr>
          <w:p w14:paraId="4BF1D640" w14:textId="77777777" w:rsidR="004D0357" w:rsidRPr="00646254" w:rsidRDefault="004D0357" w:rsidP="00CE729E">
            <w:pPr>
              <w:ind w:left="350" w:hanging="90"/>
              <w:rPr>
                <w:rFonts w:cstheme="minorHAnsi"/>
                <w:color w:val="002060"/>
                <w:sz w:val="18"/>
                <w:lang w:val="sr-Cyrl-CS"/>
              </w:rPr>
            </w:pPr>
            <w:r w:rsidRPr="00646254">
              <w:rPr>
                <w:rFonts w:cstheme="minorHAnsi"/>
                <w:color w:val="002060"/>
                <w:sz w:val="18"/>
                <w:lang w:val="sr-Cyrl-CS"/>
              </w:rPr>
              <w:t>Земље у успону</w:t>
            </w:r>
          </w:p>
        </w:tc>
        <w:tc>
          <w:tcPr>
            <w:tcW w:w="556" w:type="pct"/>
          </w:tcPr>
          <w:p w14:paraId="17B53B9B" w14:textId="77777777" w:rsidR="004D0357" w:rsidRPr="00646254" w:rsidRDefault="004D0357" w:rsidP="00CE729E">
            <w:pPr>
              <w:jc w:val="center"/>
              <w:rPr>
                <w:rFonts w:cstheme="minorHAnsi"/>
                <w:color w:val="002060"/>
                <w:sz w:val="18"/>
                <w:lang w:val="sr-Cyrl-CS"/>
              </w:rPr>
            </w:pPr>
            <w:r w:rsidRPr="00646254">
              <w:rPr>
                <w:rFonts w:cstheme="minorHAnsi"/>
                <w:color w:val="002060"/>
                <w:sz w:val="18"/>
                <w:lang w:val="sr-Cyrl-CS"/>
              </w:rPr>
              <w:t>5,1</w:t>
            </w:r>
          </w:p>
        </w:tc>
        <w:tc>
          <w:tcPr>
            <w:tcW w:w="556" w:type="pct"/>
          </w:tcPr>
          <w:p w14:paraId="1EBC616F" w14:textId="77777777" w:rsidR="004D0357" w:rsidRPr="00646254" w:rsidRDefault="004D0357" w:rsidP="00426178">
            <w:pPr>
              <w:jc w:val="center"/>
              <w:rPr>
                <w:rFonts w:cstheme="minorHAnsi"/>
                <w:color w:val="002060"/>
                <w:sz w:val="18"/>
                <w:lang w:val="sr-Cyrl-CS"/>
              </w:rPr>
            </w:pPr>
            <w:r w:rsidRPr="00646254">
              <w:rPr>
                <w:rFonts w:cstheme="minorHAnsi"/>
                <w:color w:val="002060"/>
                <w:sz w:val="18"/>
                <w:lang w:val="sr-Cyrl-CS"/>
              </w:rPr>
              <w:t>5,5</w:t>
            </w:r>
          </w:p>
        </w:tc>
        <w:tc>
          <w:tcPr>
            <w:tcW w:w="556" w:type="pct"/>
          </w:tcPr>
          <w:p w14:paraId="3BF294AC" w14:textId="77777777" w:rsidR="004D0357" w:rsidRPr="00646254" w:rsidRDefault="004D0357" w:rsidP="00426178">
            <w:pPr>
              <w:jc w:val="center"/>
              <w:rPr>
                <w:rFonts w:cstheme="minorHAnsi"/>
                <w:color w:val="002060"/>
                <w:sz w:val="18"/>
                <w:lang w:val="sr-Cyrl-CS"/>
              </w:rPr>
            </w:pPr>
            <w:r w:rsidRPr="00646254">
              <w:rPr>
                <w:rFonts w:cstheme="minorHAnsi"/>
                <w:color w:val="002060"/>
                <w:sz w:val="18"/>
                <w:lang w:val="sr-Cyrl-CS"/>
              </w:rPr>
              <w:t>4,9</w:t>
            </w:r>
          </w:p>
        </w:tc>
        <w:tc>
          <w:tcPr>
            <w:tcW w:w="556" w:type="pct"/>
          </w:tcPr>
          <w:p w14:paraId="643E70E9" w14:textId="77777777" w:rsidR="004D0357" w:rsidRPr="00646254" w:rsidRDefault="004D0357" w:rsidP="00426178">
            <w:pPr>
              <w:jc w:val="center"/>
              <w:rPr>
                <w:rFonts w:cstheme="minorHAnsi"/>
                <w:color w:val="002060"/>
                <w:sz w:val="18"/>
                <w:lang w:val="sr-Cyrl-CS"/>
              </w:rPr>
            </w:pPr>
            <w:r w:rsidRPr="00646254">
              <w:rPr>
                <w:rFonts w:cstheme="minorHAnsi"/>
                <w:color w:val="002060"/>
                <w:sz w:val="18"/>
                <w:lang w:val="sr-Cyrl-CS"/>
              </w:rPr>
              <w:t>4,3</w:t>
            </w:r>
          </w:p>
        </w:tc>
        <w:tc>
          <w:tcPr>
            <w:tcW w:w="557" w:type="pct"/>
          </w:tcPr>
          <w:p w14:paraId="4A7E8019" w14:textId="77777777" w:rsidR="004D0357" w:rsidRPr="00646254" w:rsidRDefault="004D0357" w:rsidP="00426178">
            <w:pPr>
              <w:jc w:val="center"/>
              <w:rPr>
                <w:rFonts w:cstheme="minorHAnsi"/>
                <w:color w:val="002060"/>
                <w:sz w:val="18"/>
                <w:lang w:val="sr-Cyrl-CS"/>
              </w:rPr>
            </w:pPr>
            <w:r w:rsidRPr="00646254">
              <w:rPr>
                <w:rFonts w:cstheme="minorHAnsi"/>
                <w:color w:val="002060"/>
                <w:sz w:val="18"/>
                <w:lang w:val="sr-Cyrl-CS"/>
              </w:rPr>
              <w:t>4,1</w:t>
            </w:r>
          </w:p>
        </w:tc>
      </w:tr>
      <w:tr w:rsidR="004D0357" w:rsidRPr="00646254" w14:paraId="3D35C913" w14:textId="77777777" w:rsidTr="007C29E4">
        <w:trPr>
          <w:trHeight w:val="20"/>
        </w:trPr>
        <w:tc>
          <w:tcPr>
            <w:tcW w:w="2220" w:type="pct"/>
          </w:tcPr>
          <w:p w14:paraId="4843AB49" w14:textId="77777777" w:rsidR="004D0357" w:rsidRPr="00646254" w:rsidRDefault="004D0357" w:rsidP="00CE729E">
            <w:pPr>
              <w:rPr>
                <w:rFonts w:cstheme="minorHAnsi"/>
                <w:color w:val="002060"/>
                <w:sz w:val="18"/>
                <w:lang w:val="sr-Cyrl-CS"/>
              </w:rPr>
            </w:pPr>
          </w:p>
        </w:tc>
        <w:tc>
          <w:tcPr>
            <w:tcW w:w="556" w:type="pct"/>
          </w:tcPr>
          <w:p w14:paraId="670EF173" w14:textId="77777777" w:rsidR="004D0357" w:rsidRPr="00646254" w:rsidRDefault="004D0357" w:rsidP="00CE729E">
            <w:pPr>
              <w:rPr>
                <w:rFonts w:cstheme="minorHAnsi"/>
                <w:color w:val="002060"/>
                <w:sz w:val="18"/>
                <w:lang w:val="sr-Cyrl-CS"/>
              </w:rPr>
            </w:pPr>
          </w:p>
        </w:tc>
        <w:tc>
          <w:tcPr>
            <w:tcW w:w="556" w:type="pct"/>
          </w:tcPr>
          <w:p w14:paraId="4351B220" w14:textId="77777777" w:rsidR="004D0357" w:rsidRPr="00646254" w:rsidRDefault="004D0357" w:rsidP="00CE729E">
            <w:pPr>
              <w:rPr>
                <w:rFonts w:cstheme="minorHAnsi"/>
                <w:color w:val="002060"/>
                <w:sz w:val="18"/>
                <w:lang w:val="sr-Cyrl-CS"/>
              </w:rPr>
            </w:pPr>
          </w:p>
        </w:tc>
        <w:tc>
          <w:tcPr>
            <w:tcW w:w="556" w:type="pct"/>
          </w:tcPr>
          <w:p w14:paraId="302B5E4D" w14:textId="77777777" w:rsidR="004D0357" w:rsidRPr="00646254" w:rsidRDefault="004D0357" w:rsidP="00CE729E">
            <w:pPr>
              <w:rPr>
                <w:rFonts w:cstheme="minorHAnsi"/>
                <w:color w:val="002060"/>
                <w:sz w:val="18"/>
                <w:lang w:val="sr-Cyrl-CS"/>
              </w:rPr>
            </w:pPr>
          </w:p>
        </w:tc>
        <w:tc>
          <w:tcPr>
            <w:tcW w:w="556" w:type="pct"/>
          </w:tcPr>
          <w:p w14:paraId="0ACD804D" w14:textId="77777777" w:rsidR="004D0357" w:rsidRPr="00646254" w:rsidRDefault="004D0357" w:rsidP="00CE729E">
            <w:pPr>
              <w:rPr>
                <w:rFonts w:cstheme="minorHAnsi"/>
                <w:color w:val="002060"/>
                <w:sz w:val="18"/>
                <w:lang w:val="sr-Cyrl-CS"/>
              </w:rPr>
            </w:pPr>
          </w:p>
        </w:tc>
        <w:tc>
          <w:tcPr>
            <w:tcW w:w="557" w:type="pct"/>
          </w:tcPr>
          <w:p w14:paraId="08BFB2AA" w14:textId="77777777" w:rsidR="004D0357" w:rsidRPr="00646254" w:rsidRDefault="004D0357" w:rsidP="00CE729E">
            <w:pPr>
              <w:rPr>
                <w:rFonts w:cstheme="minorHAnsi"/>
                <w:color w:val="002060"/>
                <w:sz w:val="18"/>
                <w:lang w:val="sr-Cyrl-CS"/>
              </w:rPr>
            </w:pPr>
          </w:p>
        </w:tc>
      </w:tr>
      <w:tr w:rsidR="004D0357" w:rsidRPr="00646254" w14:paraId="4F7FFF10" w14:textId="77777777" w:rsidTr="007C29E4">
        <w:trPr>
          <w:trHeight w:val="70"/>
        </w:trPr>
        <w:tc>
          <w:tcPr>
            <w:tcW w:w="2220" w:type="pct"/>
          </w:tcPr>
          <w:p w14:paraId="536FA2E9" w14:textId="77777777" w:rsidR="004D0357" w:rsidRPr="00646254" w:rsidRDefault="004D0357" w:rsidP="00CE729E">
            <w:pPr>
              <w:rPr>
                <w:rFonts w:cstheme="minorHAnsi"/>
                <w:color w:val="002060"/>
                <w:sz w:val="18"/>
                <w:lang w:val="sr-Cyrl-CS"/>
              </w:rPr>
            </w:pPr>
            <w:r w:rsidRPr="00646254">
              <w:rPr>
                <w:rFonts w:cstheme="minorHAnsi"/>
                <w:color w:val="002060"/>
                <w:sz w:val="18"/>
                <w:lang w:val="sr-Cyrl-CS"/>
              </w:rPr>
              <w:t>Девизни курс, евро/долар, крај периода</w:t>
            </w:r>
          </w:p>
        </w:tc>
        <w:tc>
          <w:tcPr>
            <w:tcW w:w="556" w:type="pct"/>
          </w:tcPr>
          <w:p w14:paraId="7CC9A9A5" w14:textId="77777777" w:rsidR="004D0357" w:rsidRPr="00646254" w:rsidRDefault="004D0357" w:rsidP="00CE729E">
            <w:pPr>
              <w:jc w:val="center"/>
              <w:rPr>
                <w:rFonts w:cstheme="minorHAnsi"/>
                <w:color w:val="002060"/>
                <w:sz w:val="18"/>
                <w:lang w:val="sr-Cyrl-CS"/>
              </w:rPr>
            </w:pPr>
            <w:r w:rsidRPr="00646254">
              <w:rPr>
                <w:rFonts w:cstheme="minorHAnsi"/>
                <w:color w:val="002060"/>
                <w:sz w:val="18"/>
                <w:lang w:val="sr-Cyrl-CS"/>
              </w:rPr>
              <w:t>1,1</w:t>
            </w:r>
          </w:p>
        </w:tc>
        <w:tc>
          <w:tcPr>
            <w:tcW w:w="556" w:type="pct"/>
          </w:tcPr>
          <w:p w14:paraId="5F7E1973" w14:textId="77777777" w:rsidR="004D0357" w:rsidRPr="00646254" w:rsidRDefault="004D0357" w:rsidP="00CE729E">
            <w:pPr>
              <w:jc w:val="center"/>
              <w:rPr>
                <w:rFonts w:cstheme="minorHAnsi"/>
                <w:color w:val="002060"/>
                <w:sz w:val="18"/>
                <w:lang w:val="sr-Cyrl-CS"/>
              </w:rPr>
            </w:pPr>
            <w:r w:rsidRPr="00646254">
              <w:rPr>
                <w:rFonts w:cstheme="minorHAnsi"/>
                <w:color w:val="002060"/>
                <w:sz w:val="18"/>
                <w:lang w:val="sr-Cyrl-CS"/>
              </w:rPr>
              <w:t>1,2</w:t>
            </w:r>
          </w:p>
        </w:tc>
        <w:tc>
          <w:tcPr>
            <w:tcW w:w="556" w:type="pct"/>
          </w:tcPr>
          <w:p w14:paraId="03A32A05" w14:textId="77777777" w:rsidR="004D0357" w:rsidRPr="00646254" w:rsidRDefault="004D0357" w:rsidP="00CE729E">
            <w:pPr>
              <w:jc w:val="center"/>
              <w:rPr>
                <w:rFonts w:cstheme="minorHAnsi"/>
                <w:color w:val="002060"/>
                <w:sz w:val="18"/>
                <w:lang w:val="sr-Cyrl-CS"/>
              </w:rPr>
            </w:pPr>
            <w:r w:rsidRPr="00646254">
              <w:rPr>
                <w:rFonts w:cstheme="minorHAnsi"/>
                <w:color w:val="002060"/>
                <w:sz w:val="18"/>
                <w:lang w:val="sr-Cyrl-CS"/>
              </w:rPr>
              <w:t>1,2</w:t>
            </w:r>
          </w:p>
        </w:tc>
        <w:tc>
          <w:tcPr>
            <w:tcW w:w="556" w:type="pct"/>
          </w:tcPr>
          <w:p w14:paraId="258FC21B" w14:textId="77777777" w:rsidR="004D0357" w:rsidRPr="00646254" w:rsidRDefault="004D0357" w:rsidP="00CE729E">
            <w:pPr>
              <w:jc w:val="center"/>
              <w:rPr>
                <w:rFonts w:cstheme="minorHAnsi"/>
                <w:color w:val="002060"/>
                <w:sz w:val="18"/>
                <w:lang w:val="sr-Cyrl-CS"/>
              </w:rPr>
            </w:pPr>
            <w:r w:rsidRPr="00646254">
              <w:rPr>
                <w:rFonts w:cstheme="minorHAnsi"/>
                <w:color w:val="002060"/>
                <w:sz w:val="18"/>
                <w:lang w:val="sr-Cyrl-CS"/>
              </w:rPr>
              <w:t>–</w:t>
            </w:r>
          </w:p>
        </w:tc>
        <w:tc>
          <w:tcPr>
            <w:tcW w:w="557" w:type="pct"/>
          </w:tcPr>
          <w:p w14:paraId="171659CE" w14:textId="77777777" w:rsidR="004D0357" w:rsidRPr="00646254" w:rsidRDefault="004D0357" w:rsidP="00CE729E">
            <w:pPr>
              <w:jc w:val="center"/>
              <w:rPr>
                <w:rFonts w:cstheme="minorHAnsi"/>
                <w:color w:val="002060"/>
                <w:sz w:val="18"/>
                <w:lang w:val="sr-Cyrl-CS"/>
              </w:rPr>
            </w:pPr>
            <w:r w:rsidRPr="00646254">
              <w:rPr>
                <w:rFonts w:cstheme="minorHAnsi"/>
                <w:color w:val="002060"/>
                <w:sz w:val="18"/>
                <w:lang w:val="sr-Cyrl-CS"/>
              </w:rPr>
              <w:t>-</w:t>
            </w:r>
          </w:p>
        </w:tc>
      </w:tr>
      <w:tr w:rsidR="004D0357" w:rsidRPr="00646254" w14:paraId="4F7AA654" w14:textId="77777777" w:rsidTr="007C29E4">
        <w:trPr>
          <w:trHeight w:val="135"/>
        </w:trPr>
        <w:tc>
          <w:tcPr>
            <w:tcW w:w="2220" w:type="pct"/>
          </w:tcPr>
          <w:p w14:paraId="7C68F0BC" w14:textId="77777777" w:rsidR="004D0357" w:rsidRPr="00646254" w:rsidRDefault="004D0357" w:rsidP="00CE729E">
            <w:pPr>
              <w:rPr>
                <w:rFonts w:cstheme="minorHAnsi"/>
                <w:color w:val="002060"/>
                <w:sz w:val="18"/>
                <w:lang w:val="sr-Cyrl-CS"/>
              </w:rPr>
            </w:pPr>
            <w:r w:rsidRPr="00646254">
              <w:rPr>
                <w:rFonts w:cstheme="minorHAnsi"/>
                <w:color w:val="002060"/>
                <w:sz w:val="18"/>
                <w:lang w:val="sr-Cyrl-CS"/>
              </w:rPr>
              <w:t>Цене житарица, у доларима, годишње промене</w:t>
            </w:r>
            <w:r w:rsidRPr="00646254">
              <w:rPr>
                <w:rFonts w:cstheme="minorHAnsi"/>
                <w:color w:val="002060"/>
                <w:sz w:val="18"/>
                <w:vertAlign w:val="superscript"/>
                <w:lang w:val="sr-Cyrl-CS"/>
              </w:rPr>
              <w:t>2</w:t>
            </w:r>
          </w:p>
        </w:tc>
        <w:tc>
          <w:tcPr>
            <w:tcW w:w="556" w:type="pct"/>
          </w:tcPr>
          <w:p w14:paraId="60E85A06" w14:textId="77777777" w:rsidR="004D0357" w:rsidRPr="00646254" w:rsidRDefault="004D0357" w:rsidP="00CE729E">
            <w:pPr>
              <w:jc w:val="center"/>
              <w:rPr>
                <w:rFonts w:cstheme="minorHAnsi"/>
                <w:color w:val="002060"/>
                <w:sz w:val="18"/>
                <w:lang w:val="sr-Cyrl-CS"/>
              </w:rPr>
            </w:pPr>
            <w:r w:rsidRPr="00646254">
              <w:rPr>
                <w:rFonts w:cstheme="minorHAnsi"/>
                <w:color w:val="002060"/>
                <w:sz w:val="18"/>
                <w:lang w:val="sr-Cyrl-CS"/>
              </w:rPr>
              <w:t>8,4</w:t>
            </w:r>
          </w:p>
        </w:tc>
        <w:tc>
          <w:tcPr>
            <w:tcW w:w="556" w:type="pct"/>
          </w:tcPr>
          <w:p w14:paraId="4CD29097" w14:textId="77777777" w:rsidR="004D0357" w:rsidRPr="00646254" w:rsidRDefault="004D0357" w:rsidP="00CE729E">
            <w:pPr>
              <w:jc w:val="center"/>
              <w:rPr>
                <w:rFonts w:cstheme="minorHAnsi"/>
                <w:color w:val="002060"/>
                <w:sz w:val="18"/>
                <w:lang w:val="sr-Cyrl-CS"/>
              </w:rPr>
            </w:pPr>
            <w:r w:rsidRPr="00646254">
              <w:rPr>
                <w:rFonts w:cstheme="minorHAnsi"/>
                <w:color w:val="002060"/>
                <w:sz w:val="18"/>
                <w:lang w:val="sr-Cyrl-CS"/>
              </w:rPr>
              <w:t>40,2</w:t>
            </w:r>
          </w:p>
        </w:tc>
        <w:tc>
          <w:tcPr>
            <w:tcW w:w="556" w:type="pct"/>
          </w:tcPr>
          <w:p w14:paraId="4501C6B9" w14:textId="77777777" w:rsidR="004D0357" w:rsidRPr="00646254" w:rsidRDefault="004D0357" w:rsidP="00426178">
            <w:pPr>
              <w:jc w:val="center"/>
              <w:rPr>
                <w:rFonts w:cstheme="minorHAnsi"/>
                <w:color w:val="002060"/>
                <w:sz w:val="18"/>
                <w:lang w:val="sr-Cyrl-CS"/>
              </w:rPr>
            </w:pPr>
            <w:r w:rsidRPr="00646254">
              <w:rPr>
                <w:rFonts w:cstheme="minorHAnsi"/>
                <w:color w:val="002060"/>
                <w:sz w:val="18"/>
                <w:lang w:val="sr-Cyrl-CS"/>
              </w:rPr>
              <w:t>4,1</w:t>
            </w:r>
          </w:p>
        </w:tc>
        <w:tc>
          <w:tcPr>
            <w:tcW w:w="556" w:type="pct"/>
          </w:tcPr>
          <w:p w14:paraId="70318730" w14:textId="77777777" w:rsidR="004D0357" w:rsidRPr="00646254" w:rsidRDefault="004D0357" w:rsidP="00426178">
            <w:pPr>
              <w:jc w:val="center"/>
              <w:rPr>
                <w:rFonts w:cstheme="minorHAnsi"/>
                <w:color w:val="002060"/>
                <w:sz w:val="18"/>
                <w:lang w:val="sr-Cyrl-CS"/>
              </w:rPr>
            </w:pPr>
            <w:r w:rsidRPr="00646254">
              <w:rPr>
                <w:rFonts w:cstheme="minorHAnsi"/>
                <w:color w:val="002060"/>
                <w:sz w:val="18"/>
                <w:lang w:val="sr-Cyrl-CS"/>
              </w:rPr>
              <w:t>-4,9</w:t>
            </w:r>
          </w:p>
        </w:tc>
        <w:tc>
          <w:tcPr>
            <w:tcW w:w="557" w:type="pct"/>
          </w:tcPr>
          <w:p w14:paraId="371C306D" w14:textId="77777777" w:rsidR="004D0357" w:rsidRPr="00646254" w:rsidRDefault="004D0357" w:rsidP="00426178">
            <w:pPr>
              <w:jc w:val="center"/>
              <w:rPr>
                <w:rFonts w:cstheme="minorHAnsi"/>
                <w:color w:val="002060"/>
                <w:sz w:val="18"/>
                <w:lang w:val="sr-Cyrl-CS"/>
              </w:rPr>
            </w:pPr>
            <w:r w:rsidRPr="00646254">
              <w:rPr>
                <w:rFonts w:cstheme="minorHAnsi"/>
                <w:color w:val="002060"/>
                <w:sz w:val="18"/>
                <w:lang w:val="sr-Cyrl-CS"/>
              </w:rPr>
              <w:t>-4,8</w:t>
            </w:r>
          </w:p>
        </w:tc>
      </w:tr>
      <w:tr w:rsidR="004D0357" w:rsidRPr="00646254" w14:paraId="57D4F685" w14:textId="77777777" w:rsidTr="007C29E4">
        <w:trPr>
          <w:trHeight w:val="167"/>
        </w:trPr>
        <w:tc>
          <w:tcPr>
            <w:tcW w:w="2220" w:type="pct"/>
          </w:tcPr>
          <w:p w14:paraId="2F4BD176" w14:textId="77777777" w:rsidR="004D0357" w:rsidRPr="00646254" w:rsidRDefault="004D0357" w:rsidP="00CE729E">
            <w:pPr>
              <w:rPr>
                <w:rFonts w:cstheme="minorHAnsi"/>
                <w:color w:val="002060"/>
                <w:sz w:val="18"/>
                <w:lang w:val="sr-Cyrl-CS"/>
              </w:rPr>
            </w:pPr>
            <w:r w:rsidRPr="00646254">
              <w:rPr>
                <w:rFonts w:cstheme="minorHAnsi"/>
                <w:color w:val="002060"/>
                <w:sz w:val="18"/>
                <w:lang w:val="sr-Cyrl-CS"/>
              </w:rPr>
              <w:t>Цене метала, у доларима, годишње промене</w:t>
            </w:r>
            <w:r w:rsidRPr="00646254">
              <w:rPr>
                <w:rFonts w:cstheme="minorHAnsi"/>
                <w:color w:val="002060"/>
                <w:sz w:val="18"/>
                <w:vertAlign w:val="superscript"/>
                <w:lang w:val="sr-Cyrl-CS"/>
              </w:rPr>
              <w:t>3</w:t>
            </w:r>
          </w:p>
        </w:tc>
        <w:tc>
          <w:tcPr>
            <w:tcW w:w="556" w:type="pct"/>
          </w:tcPr>
          <w:p w14:paraId="0AAF79C2" w14:textId="77777777" w:rsidR="004D0357" w:rsidRPr="00646254" w:rsidRDefault="004D0357" w:rsidP="00CE729E">
            <w:pPr>
              <w:jc w:val="center"/>
              <w:rPr>
                <w:rFonts w:cstheme="minorHAnsi"/>
                <w:color w:val="002060"/>
                <w:sz w:val="18"/>
                <w:lang w:val="sr-Cyrl-CS"/>
              </w:rPr>
            </w:pPr>
            <w:r w:rsidRPr="00646254">
              <w:rPr>
                <w:rFonts w:cstheme="minorHAnsi"/>
                <w:color w:val="002060"/>
                <w:sz w:val="18"/>
                <w:lang w:val="sr-Cyrl-CS"/>
              </w:rPr>
              <w:t>3,5</w:t>
            </w:r>
          </w:p>
        </w:tc>
        <w:tc>
          <w:tcPr>
            <w:tcW w:w="556" w:type="pct"/>
          </w:tcPr>
          <w:p w14:paraId="08DEAB72" w14:textId="77777777" w:rsidR="004D0357" w:rsidRPr="00646254" w:rsidRDefault="004D0357" w:rsidP="00426178">
            <w:pPr>
              <w:jc w:val="center"/>
              <w:rPr>
                <w:rFonts w:cstheme="minorHAnsi"/>
                <w:color w:val="002060"/>
                <w:sz w:val="18"/>
                <w:lang w:val="sr-Cyrl-CS"/>
              </w:rPr>
            </w:pPr>
            <w:r w:rsidRPr="00646254">
              <w:rPr>
                <w:rFonts w:cstheme="minorHAnsi"/>
                <w:color w:val="002060"/>
                <w:sz w:val="18"/>
                <w:lang w:val="sr-Cyrl-CS"/>
              </w:rPr>
              <w:t>49,7</w:t>
            </w:r>
          </w:p>
        </w:tc>
        <w:tc>
          <w:tcPr>
            <w:tcW w:w="556" w:type="pct"/>
          </w:tcPr>
          <w:p w14:paraId="6163EF15" w14:textId="77777777" w:rsidR="004D0357" w:rsidRPr="00646254" w:rsidRDefault="004D0357" w:rsidP="00426178">
            <w:pPr>
              <w:jc w:val="center"/>
              <w:rPr>
                <w:rFonts w:cstheme="minorHAnsi"/>
                <w:color w:val="002060"/>
                <w:sz w:val="18"/>
                <w:lang w:val="sr-Cyrl-CS"/>
              </w:rPr>
            </w:pPr>
            <w:r w:rsidRPr="00646254">
              <w:rPr>
                <w:rFonts w:cstheme="minorHAnsi"/>
                <w:color w:val="002060"/>
                <w:sz w:val="18"/>
                <w:lang w:val="sr-Cyrl-CS"/>
              </w:rPr>
              <w:t>-6,5</w:t>
            </w:r>
          </w:p>
        </w:tc>
        <w:tc>
          <w:tcPr>
            <w:tcW w:w="556" w:type="pct"/>
          </w:tcPr>
          <w:p w14:paraId="51D7DB15" w14:textId="77777777" w:rsidR="004D0357" w:rsidRPr="00646254" w:rsidRDefault="004D0357" w:rsidP="00CE729E">
            <w:pPr>
              <w:jc w:val="center"/>
              <w:rPr>
                <w:rFonts w:cstheme="minorHAnsi"/>
                <w:color w:val="002060"/>
                <w:sz w:val="18"/>
                <w:lang w:val="sr-Cyrl-CS"/>
              </w:rPr>
            </w:pPr>
            <w:r w:rsidRPr="00646254">
              <w:rPr>
                <w:rFonts w:cstheme="minorHAnsi"/>
                <w:color w:val="002060"/>
                <w:sz w:val="18"/>
                <w:lang w:val="sr-Cyrl-CS"/>
              </w:rPr>
              <w:t>-0,4</w:t>
            </w:r>
          </w:p>
        </w:tc>
        <w:tc>
          <w:tcPr>
            <w:tcW w:w="557" w:type="pct"/>
          </w:tcPr>
          <w:p w14:paraId="60FCA864" w14:textId="77777777" w:rsidR="004D0357" w:rsidRPr="00646254" w:rsidRDefault="004D0357" w:rsidP="00CE729E">
            <w:pPr>
              <w:jc w:val="center"/>
              <w:rPr>
                <w:rFonts w:cstheme="minorHAnsi"/>
                <w:color w:val="002060"/>
                <w:sz w:val="18"/>
                <w:lang w:val="sr-Cyrl-CS"/>
              </w:rPr>
            </w:pPr>
            <w:r w:rsidRPr="00646254">
              <w:rPr>
                <w:rFonts w:cstheme="minorHAnsi"/>
                <w:color w:val="002060"/>
                <w:sz w:val="18"/>
                <w:lang w:val="sr-Cyrl-CS"/>
              </w:rPr>
              <w:t>-0,5</w:t>
            </w:r>
          </w:p>
        </w:tc>
      </w:tr>
      <w:tr w:rsidR="004D0357" w:rsidRPr="00646254" w14:paraId="025C33F2" w14:textId="77777777" w:rsidTr="007C29E4">
        <w:trPr>
          <w:trHeight w:val="70"/>
        </w:trPr>
        <w:tc>
          <w:tcPr>
            <w:tcW w:w="2220" w:type="pct"/>
          </w:tcPr>
          <w:p w14:paraId="20021F44" w14:textId="77777777" w:rsidR="004D0357" w:rsidRPr="00646254" w:rsidRDefault="004D0357" w:rsidP="00CE729E">
            <w:pPr>
              <w:rPr>
                <w:rFonts w:cstheme="minorHAnsi"/>
                <w:color w:val="002060"/>
                <w:sz w:val="18"/>
                <w:lang w:val="sr-Cyrl-CS"/>
              </w:rPr>
            </w:pPr>
            <w:r w:rsidRPr="00646254">
              <w:rPr>
                <w:rFonts w:cstheme="minorHAnsi"/>
                <w:color w:val="002060"/>
                <w:sz w:val="18"/>
                <w:lang w:val="sr-Cyrl-CS"/>
              </w:rPr>
              <w:t>Цена руде гвожђа, у доларима</w:t>
            </w:r>
            <w:r w:rsidRPr="00646254">
              <w:rPr>
                <w:rFonts w:cstheme="minorHAnsi"/>
                <w:color w:val="002060"/>
                <w:sz w:val="18"/>
                <w:vertAlign w:val="superscript"/>
                <w:lang w:val="sr-Cyrl-CS"/>
              </w:rPr>
              <w:t>4</w:t>
            </w:r>
          </w:p>
        </w:tc>
        <w:tc>
          <w:tcPr>
            <w:tcW w:w="556" w:type="pct"/>
          </w:tcPr>
          <w:p w14:paraId="0C762A1B" w14:textId="77777777" w:rsidR="004D0357" w:rsidRPr="00646254" w:rsidRDefault="004D0357" w:rsidP="00CE729E">
            <w:pPr>
              <w:jc w:val="center"/>
              <w:rPr>
                <w:rFonts w:cstheme="minorHAnsi"/>
                <w:color w:val="002060"/>
                <w:sz w:val="18"/>
                <w:lang w:val="sr-Cyrl-CS"/>
              </w:rPr>
            </w:pPr>
            <w:r w:rsidRPr="00646254">
              <w:rPr>
                <w:rFonts w:cstheme="minorHAnsi"/>
                <w:color w:val="002060"/>
                <w:sz w:val="18"/>
                <w:lang w:val="sr-Cyrl-CS"/>
              </w:rPr>
              <w:t>108,1</w:t>
            </w:r>
          </w:p>
        </w:tc>
        <w:tc>
          <w:tcPr>
            <w:tcW w:w="556" w:type="pct"/>
          </w:tcPr>
          <w:p w14:paraId="2C39FC57" w14:textId="77777777" w:rsidR="004D0357" w:rsidRPr="00646254" w:rsidRDefault="004D0357" w:rsidP="00426178">
            <w:pPr>
              <w:jc w:val="center"/>
              <w:rPr>
                <w:rFonts w:cstheme="minorHAnsi"/>
                <w:color w:val="002060"/>
                <w:sz w:val="18"/>
                <w:lang w:val="sr-Cyrl-CS"/>
              </w:rPr>
            </w:pPr>
            <w:r w:rsidRPr="00646254">
              <w:rPr>
                <w:rFonts w:cstheme="minorHAnsi"/>
                <w:color w:val="002060"/>
                <w:sz w:val="18"/>
                <w:lang w:val="sr-Cyrl-CS"/>
              </w:rPr>
              <w:t>171,0</w:t>
            </w:r>
          </w:p>
        </w:tc>
        <w:tc>
          <w:tcPr>
            <w:tcW w:w="556" w:type="pct"/>
          </w:tcPr>
          <w:p w14:paraId="479267BA" w14:textId="77777777" w:rsidR="004D0357" w:rsidRPr="00646254" w:rsidRDefault="004D0357" w:rsidP="00426178">
            <w:pPr>
              <w:jc w:val="center"/>
              <w:rPr>
                <w:rFonts w:cstheme="minorHAnsi"/>
                <w:color w:val="002060"/>
                <w:sz w:val="18"/>
                <w:lang w:val="sr-Cyrl-CS"/>
              </w:rPr>
            </w:pPr>
            <w:r w:rsidRPr="00646254">
              <w:rPr>
                <w:rFonts w:cstheme="minorHAnsi"/>
                <w:color w:val="002060"/>
                <w:sz w:val="18"/>
                <w:lang w:val="sr-Cyrl-CS"/>
              </w:rPr>
              <w:t>135,0</w:t>
            </w:r>
          </w:p>
        </w:tc>
        <w:tc>
          <w:tcPr>
            <w:tcW w:w="556" w:type="pct"/>
          </w:tcPr>
          <w:p w14:paraId="56A22768" w14:textId="77777777" w:rsidR="004D0357" w:rsidRPr="00646254" w:rsidRDefault="004D0357" w:rsidP="00426178">
            <w:pPr>
              <w:jc w:val="center"/>
              <w:rPr>
                <w:rFonts w:cstheme="minorHAnsi"/>
                <w:color w:val="002060"/>
                <w:sz w:val="18"/>
                <w:lang w:val="sr-Cyrl-CS"/>
              </w:rPr>
            </w:pPr>
            <w:r w:rsidRPr="00646254">
              <w:rPr>
                <w:rFonts w:cstheme="minorHAnsi"/>
                <w:color w:val="002060"/>
                <w:sz w:val="18"/>
                <w:lang w:val="sr-Cyrl-CS"/>
              </w:rPr>
              <w:t>135,0</w:t>
            </w:r>
          </w:p>
        </w:tc>
        <w:tc>
          <w:tcPr>
            <w:tcW w:w="557" w:type="pct"/>
          </w:tcPr>
          <w:p w14:paraId="25CE9CA5" w14:textId="77777777" w:rsidR="004D0357" w:rsidRPr="00646254" w:rsidRDefault="004D0357" w:rsidP="00426178">
            <w:pPr>
              <w:jc w:val="center"/>
              <w:rPr>
                <w:rFonts w:cstheme="minorHAnsi"/>
                <w:color w:val="002060"/>
                <w:sz w:val="18"/>
                <w:lang w:val="sr-Cyrl-CS"/>
              </w:rPr>
            </w:pPr>
            <w:r w:rsidRPr="00646254">
              <w:rPr>
                <w:rFonts w:cstheme="minorHAnsi"/>
                <w:color w:val="002060"/>
                <w:sz w:val="18"/>
                <w:lang w:val="sr-Cyrl-CS"/>
              </w:rPr>
              <w:t>135,0</w:t>
            </w:r>
          </w:p>
        </w:tc>
      </w:tr>
      <w:tr w:rsidR="004D0357" w:rsidRPr="00646254" w14:paraId="0E65AD66" w14:textId="77777777" w:rsidTr="007C29E4">
        <w:trPr>
          <w:trHeight w:val="173"/>
        </w:trPr>
        <w:tc>
          <w:tcPr>
            <w:tcW w:w="2220" w:type="pct"/>
            <w:tcBorders>
              <w:bottom w:val="single" w:sz="4" w:space="0" w:color="002060"/>
            </w:tcBorders>
          </w:tcPr>
          <w:p w14:paraId="264181C3" w14:textId="77777777" w:rsidR="004D0357" w:rsidRPr="00646254" w:rsidRDefault="004D0357" w:rsidP="00CE729E">
            <w:pPr>
              <w:rPr>
                <w:rFonts w:cstheme="minorHAnsi"/>
                <w:color w:val="002060"/>
                <w:sz w:val="18"/>
                <w:lang w:val="sr-Cyrl-CS"/>
              </w:rPr>
            </w:pPr>
            <w:r w:rsidRPr="00646254">
              <w:rPr>
                <w:rFonts w:cstheme="minorHAnsi"/>
                <w:color w:val="002060"/>
                <w:sz w:val="18"/>
                <w:lang w:val="sr-Cyrl-CS"/>
              </w:rPr>
              <w:t>Цене нафте, у доларима, годишње промене, %</w:t>
            </w:r>
          </w:p>
        </w:tc>
        <w:tc>
          <w:tcPr>
            <w:tcW w:w="556" w:type="pct"/>
            <w:tcBorders>
              <w:bottom w:val="single" w:sz="4" w:space="0" w:color="002060"/>
            </w:tcBorders>
          </w:tcPr>
          <w:p w14:paraId="3A1BEE2F" w14:textId="77777777" w:rsidR="004D0357" w:rsidRPr="00646254" w:rsidRDefault="004D0357" w:rsidP="00CE729E">
            <w:pPr>
              <w:jc w:val="center"/>
              <w:rPr>
                <w:rFonts w:cstheme="minorHAnsi"/>
                <w:color w:val="002060"/>
                <w:sz w:val="18"/>
                <w:lang w:val="sr-Cyrl-CS"/>
              </w:rPr>
            </w:pPr>
            <w:r w:rsidRPr="00646254">
              <w:rPr>
                <w:rFonts w:cstheme="minorHAnsi"/>
                <w:color w:val="002060"/>
                <w:sz w:val="18"/>
                <w:lang w:val="sr-Cyrl-CS"/>
              </w:rPr>
              <w:t>-32,7</w:t>
            </w:r>
          </w:p>
        </w:tc>
        <w:tc>
          <w:tcPr>
            <w:tcW w:w="556" w:type="pct"/>
            <w:tcBorders>
              <w:bottom w:val="single" w:sz="4" w:space="0" w:color="002060"/>
            </w:tcBorders>
          </w:tcPr>
          <w:p w14:paraId="5C8D5179" w14:textId="77777777" w:rsidR="004D0357" w:rsidRPr="00646254" w:rsidRDefault="004D0357" w:rsidP="00426178">
            <w:pPr>
              <w:jc w:val="center"/>
              <w:rPr>
                <w:rFonts w:cstheme="minorHAnsi"/>
                <w:color w:val="002060"/>
                <w:sz w:val="18"/>
                <w:lang w:val="sr-Cyrl-CS"/>
              </w:rPr>
            </w:pPr>
            <w:r w:rsidRPr="00646254">
              <w:rPr>
                <w:rFonts w:cstheme="minorHAnsi"/>
                <w:color w:val="002060"/>
                <w:sz w:val="18"/>
                <w:lang w:val="sr-Cyrl-CS"/>
              </w:rPr>
              <w:t>59,1</w:t>
            </w:r>
          </w:p>
        </w:tc>
        <w:tc>
          <w:tcPr>
            <w:tcW w:w="556" w:type="pct"/>
            <w:tcBorders>
              <w:bottom w:val="single" w:sz="4" w:space="0" w:color="002060"/>
            </w:tcBorders>
          </w:tcPr>
          <w:p w14:paraId="347B64FA" w14:textId="77777777" w:rsidR="004D0357" w:rsidRPr="00646254" w:rsidRDefault="004D0357" w:rsidP="00426178">
            <w:pPr>
              <w:jc w:val="center"/>
              <w:rPr>
                <w:rFonts w:cstheme="minorHAnsi"/>
                <w:color w:val="002060"/>
                <w:sz w:val="18"/>
                <w:lang w:val="sr-Cyrl-CS"/>
              </w:rPr>
            </w:pPr>
            <w:r w:rsidRPr="00646254">
              <w:rPr>
                <w:rFonts w:cstheme="minorHAnsi"/>
                <w:color w:val="002060"/>
                <w:sz w:val="18"/>
                <w:lang w:val="sr-Cyrl-CS"/>
              </w:rPr>
              <w:t>-1,8</w:t>
            </w:r>
          </w:p>
        </w:tc>
        <w:tc>
          <w:tcPr>
            <w:tcW w:w="556" w:type="pct"/>
            <w:tcBorders>
              <w:bottom w:val="single" w:sz="4" w:space="0" w:color="002060"/>
            </w:tcBorders>
          </w:tcPr>
          <w:p w14:paraId="7CDD9260" w14:textId="77777777" w:rsidR="004D0357" w:rsidRPr="00646254" w:rsidRDefault="004D0357" w:rsidP="00426178">
            <w:pPr>
              <w:jc w:val="center"/>
              <w:rPr>
                <w:rFonts w:cstheme="minorHAnsi"/>
                <w:color w:val="002060"/>
                <w:sz w:val="18"/>
                <w:lang w:val="sr-Cyrl-CS"/>
              </w:rPr>
            </w:pPr>
            <w:r w:rsidRPr="00646254">
              <w:rPr>
                <w:rFonts w:cstheme="minorHAnsi"/>
                <w:color w:val="002060"/>
                <w:sz w:val="18"/>
                <w:lang w:val="sr-Cyrl-CS"/>
              </w:rPr>
              <w:t>-5,0</w:t>
            </w:r>
          </w:p>
        </w:tc>
        <w:tc>
          <w:tcPr>
            <w:tcW w:w="557" w:type="pct"/>
            <w:tcBorders>
              <w:bottom w:val="single" w:sz="4" w:space="0" w:color="002060"/>
            </w:tcBorders>
          </w:tcPr>
          <w:p w14:paraId="5B45589F" w14:textId="77777777" w:rsidR="004D0357" w:rsidRPr="00646254" w:rsidRDefault="004D0357" w:rsidP="00426178">
            <w:pPr>
              <w:jc w:val="center"/>
              <w:rPr>
                <w:rFonts w:cstheme="minorHAnsi"/>
                <w:color w:val="002060"/>
                <w:sz w:val="18"/>
                <w:lang w:val="sr-Cyrl-CS"/>
              </w:rPr>
            </w:pPr>
            <w:r w:rsidRPr="00646254">
              <w:rPr>
                <w:rFonts w:cstheme="minorHAnsi"/>
                <w:color w:val="002060"/>
                <w:sz w:val="18"/>
                <w:lang w:val="sr-Cyrl-CS"/>
              </w:rPr>
              <w:t>-3,8</w:t>
            </w:r>
          </w:p>
        </w:tc>
      </w:tr>
      <w:tr w:rsidR="00A66DC7" w:rsidRPr="00646254" w14:paraId="14785CC6" w14:textId="77777777" w:rsidTr="00A66DC7">
        <w:trPr>
          <w:trHeight w:val="159"/>
        </w:trPr>
        <w:tc>
          <w:tcPr>
            <w:tcW w:w="5000" w:type="pct"/>
            <w:gridSpan w:val="6"/>
            <w:tcBorders>
              <w:top w:val="single" w:sz="4" w:space="0" w:color="002060"/>
            </w:tcBorders>
          </w:tcPr>
          <w:p w14:paraId="0B67496C" w14:textId="3F552231" w:rsidR="00A66DC7" w:rsidRPr="00646254" w:rsidRDefault="00A66DC7" w:rsidP="00426178">
            <w:pPr>
              <w:rPr>
                <w:rFonts w:cstheme="minorHAnsi"/>
                <w:bCs/>
                <w:sz w:val="16"/>
                <w:szCs w:val="72"/>
                <w:lang w:val="sr-Cyrl-CS"/>
              </w:rPr>
            </w:pPr>
            <w:r w:rsidRPr="00646254">
              <w:rPr>
                <w:rFonts w:cstheme="minorHAnsi"/>
                <w:bCs/>
                <w:sz w:val="16"/>
                <w:szCs w:val="72"/>
                <w:lang w:val="sr-Cyrl-CS"/>
              </w:rPr>
              <w:t xml:space="preserve">Извор: ММФ, </w:t>
            </w:r>
            <w:r w:rsidRPr="00646254">
              <w:rPr>
                <w:rFonts w:cstheme="minorHAnsi"/>
                <w:bCs/>
                <w:i/>
                <w:sz w:val="16"/>
                <w:szCs w:val="72"/>
                <w:lang w:val="sr-Cyrl-CS"/>
              </w:rPr>
              <w:t>World Economic Outlook</w:t>
            </w:r>
            <w:r w:rsidRPr="00646254">
              <w:rPr>
                <w:rFonts w:cstheme="minorHAnsi"/>
                <w:bCs/>
                <w:sz w:val="16"/>
                <w:szCs w:val="72"/>
                <w:lang w:val="sr-Cyrl-CS"/>
              </w:rPr>
              <w:t>, октобар 2021.</w:t>
            </w:r>
          </w:p>
        </w:tc>
      </w:tr>
      <w:tr w:rsidR="00A66DC7" w:rsidRPr="00646254" w14:paraId="37945257" w14:textId="77777777" w:rsidTr="00A66DC7">
        <w:trPr>
          <w:trHeight w:val="535"/>
        </w:trPr>
        <w:tc>
          <w:tcPr>
            <w:tcW w:w="5000" w:type="pct"/>
            <w:gridSpan w:val="6"/>
          </w:tcPr>
          <w:p w14:paraId="250283B6" w14:textId="77777777" w:rsidR="00A66DC7" w:rsidRPr="00646254" w:rsidRDefault="00A66DC7" w:rsidP="00CE729E">
            <w:pPr>
              <w:rPr>
                <w:rFonts w:cstheme="minorHAnsi"/>
                <w:bCs/>
                <w:sz w:val="16"/>
                <w:szCs w:val="72"/>
                <w:lang w:val="sr-Cyrl-CS"/>
              </w:rPr>
            </w:pPr>
            <w:r w:rsidRPr="00646254">
              <w:rPr>
                <w:rFonts w:cstheme="minorHAnsi"/>
                <w:bCs/>
                <w:sz w:val="16"/>
                <w:szCs w:val="72"/>
                <w:vertAlign w:val="superscript"/>
                <w:lang w:val="sr-Cyrl-CS"/>
              </w:rPr>
              <w:t>1</w:t>
            </w:r>
            <w:r w:rsidRPr="00646254">
              <w:rPr>
                <w:rFonts w:cstheme="minorHAnsi"/>
                <w:bCs/>
                <w:sz w:val="16"/>
                <w:szCs w:val="72"/>
                <w:lang w:val="sr-Cyrl-CS"/>
              </w:rPr>
              <w:t xml:space="preserve"> Светски БДП израчунат је према паритету куповне моћи.</w:t>
            </w:r>
          </w:p>
          <w:p w14:paraId="6C83A38C" w14:textId="77777777" w:rsidR="00A66DC7" w:rsidRPr="00646254" w:rsidRDefault="00A66DC7" w:rsidP="00CE729E">
            <w:pPr>
              <w:rPr>
                <w:rFonts w:cstheme="minorHAnsi"/>
                <w:bCs/>
                <w:sz w:val="16"/>
                <w:szCs w:val="72"/>
                <w:lang w:val="sr-Cyrl-CS"/>
              </w:rPr>
            </w:pPr>
            <w:r w:rsidRPr="00646254">
              <w:rPr>
                <w:rFonts w:cstheme="minorHAnsi"/>
                <w:bCs/>
                <w:sz w:val="16"/>
                <w:szCs w:val="72"/>
                <w:vertAlign w:val="superscript"/>
                <w:lang w:val="sr-Cyrl-CS"/>
              </w:rPr>
              <w:t>2</w:t>
            </w:r>
            <w:r w:rsidRPr="00646254">
              <w:rPr>
                <w:rFonts w:cstheme="minorHAnsi"/>
                <w:bCs/>
                <w:sz w:val="16"/>
                <w:szCs w:val="72"/>
                <w:lang w:val="sr-Cyrl-CS"/>
              </w:rPr>
              <w:t xml:space="preserve"> Цена житарица добијена као пондерисани просек цена пшенице, кукуруза, соје, пиринча и јечма.</w:t>
            </w:r>
          </w:p>
          <w:p w14:paraId="1126282D" w14:textId="77777777" w:rsidR="00A66DC7" w:rsidRPr="00646254" w:rsidRDefault="00A66DC7" w:rsidP="00CE729E">
            <w:pPr>
              <w:rPr>
                <w:rFonts w:cstheme="minorHAnsi"/>
                <w:bCs/>
                <w:sz w:val="16"/>
                <w:szCs w:val="72"/>
                <w:lang w:val="sr-Cyrl-CS"/>
              </w:rPr>
            </w:pPr>
            <w:r w:rsidRPr="00646254">
              <w:rPr>
                <w:rFonts w:cstheme="minorHAnsi"/>
                <w:bCs/>
                <w:sz w:val="16"/>
                <w:szCs w:val="72"/>
                <w:vertAlign w:val="superscript"/>
                <w:lang w:val="sr-Cyrl-CS"/>
              </w:rPr>
              <w:t>3</w:t>
            </w:r>
            <w:r w:rsidRPr="00646254">
              <w:rPr>
                <w:rFonts w:cstheme="minorHAnsi"/>
                <w:bCs/>
                <w:sz w:val="16"/>
                <w:szCs w:val="72"/>
                <w:lang w:val="sr-Cyrl-CS"/>
              </w:rPr>
              <w:t xml:space="preserve"> Цена метала добијена као пондерисани просек цена бакра, алуминијума, руде гвожђа, калаја, никла, цинка, олова и уранијума.</w:t>
            </w:r>
          </w:p>
          <w:p w14:paraId="265F783C" w14:textId="7FDFF2A0" w:rsidR="00A66DC7" w:rsidRPr="00646254" w:rsidRDefault="00A66DC7" w:rsidP="00CE729E">
            <w:pPr>
              <w:rPr>
                <w:rFonts w:cstheme="minorHAnsi"/>
                <w:bCs/>
                <w:sz w:val="16"/>
                <w:szCs w:val="72"/>
                <w:vertAlign w:val="superscript"/>
                <w:lang w:val="sr-Cyrl-CS"/>
              </w:rPr>
            </w:pPr>
            <w:r w:rsidRPr="00646254">
              <w:rPr>
                <w:rFonts w:cstheme="minorHAnsi"/>
                <w:bCs/>
                <w:sz w:val="16"/>
                <w:szCs w:val="72"/>
                <w:vertAlign w:val="superscript"/>
                <w:lang w:val="sr-Cyrl-CS"/>
              </w:rPr>
              <w:t>4</w:t>
            </w:r>
            <w:r w:rsidRPr="00646254">
              <w:rPr>
                <w:rFonts w:cstheme="minorHAnsi"/>
                <w:bCs/>
                <w:sz w:val="16"/>
                <w:szCs w:val="72"/>
                <w:lang w:val="sr-Cyrl-CS"/>
              </w:rPr>
              <w:t xml:space="preserve"> Цена руде гвожђа (садржај гвожђа од 62%) за увоз у Кини, лука Тиан Јан, у доларима по метричкој тони.</w:t>
            </w:r>
          </w:p>
        </w:tc>
      </w:tr>
    </w:tbl>
    <w:p w14:paraId="5027A474" w14:textId="77777777" w:rsidR="004D0357" w:rsidRPr="00646254" w:rsidRDefault="004D0357" w:rsidP="00CE729E">
      <w:pPr>
        <w:rPr>
          <w:rFonts w:cstheme="minorHAnsi"/>
          <w:bCs/>
          <w:szCs w:val="72"/>
          <w:lang w:val="sr-Cyrl-CS"/>
        </w:rPr>
        <w:sectPr w:rsidR="004D0357" w:rsidRPr="00646254" w:rsidSect="00CE729E">
          <w:headerReference w:type="even" r:id="rId20"/>
          <w:footerReference w:type="even" r:id="rId21"/>
          <w:footerReference w:type="default" r:id="rId22"/>
          <w:pgSz w:w="12240" w:h="15840"/>
          <w:pgMar w:top="1440" w:right="1440" w:bottom="1440" w:left="1440" w:header="708" w:footer="708" w:gutter="0"/>
          <w:cols w:space="708"/>
          <w:docGrid w:linePitch="360"/>
        </w:sectPr>
      </w:pPr>
    </w:p>
    <w:p w14:paraId="1BDCCF9C" w14:textId="3D9E34DC" w:rsidR="004D0357" w:rsidRPr="00646254" w:rsidRDefault="004D0357" w:rsidP="00CE729E">
      <w:pPr>
        <w:rPr>
          <w:rFonts w:cstheme="minorHAnsi"/>
          <w:bCs/>
          <w:szCs w:val="72"/>
          <w:lang w:val="sr-Cyrl-CS"/>
        </w:rPr>
      </w:pPr>
      <w:r w:rsidRPr="00646254">
        <w:rPr>
          <w:rFonts w:cstheme="minorHAnsi"/>
          <w:bCs/>
          <w:szCs w:val="72"/>
          <w:lang w:val="sr-Cyrl-CS"/>
        </w:rPr>
        <w:t xml:space="preserve">Према октобарским проценама ММФ, раст глобалне економије у 2021. години процењује се на 5,9%, што је ревизија наниже за 0,1 п.п. у односу на претходну процену из јула. Благо погоршање изгледа </w:t>
      </w:r>
      <w:r w:rsidR="00CE7FFD" w:rsidRPr="00646254">
        <w:rPr>
          <w:rFonts w:cstheme="minorHAnsi"/>
          <w:bCs/>
          <w:szCs w:val="72"/>
          <w:lang w:val="sr-Cyrl-CS"/>
        </w:rPr>
        <w:t xml:space="preserve">раста </w:t>
      </w:r>
      <w:r w:rsidRPr="00646254">
        <w:rPr>
          <w:rFonts w:cstheme="minorHAnsi"/>
          <w:bCs/>
          <w:szCs w:val="72"/>
          <w:lang w:val="sr-Cyrl-CS"/>
        </w:rPr>
        <w:t xml:space="preserve">последица је прекида у ланцима снабдевања у развијеним земљама, као и неповољног развоја ситуације у вези са пандемијом у земљама у успону. У односу на претходни извештај ММФ, пројекције раста за 2022. годину остале су непромењене, одражавајући очекиване позитивне ефекте вакцинације, фискалну подршку и наставак повољних услова финансирања, али и негативне ефекте пандемије. Раст групе развијених земаља за 2021. годину ревидиран је наниже за 0,4 п.п. у односу на прошлу пројекцију. Разлог томе су поремећаји у снабдевању сектора производње у САД и Немачкој, као и затварање привреде Јапана током трећег квартала због новог таласа пандемије. Најављене мере подршке у области инфраструктуре и животног стандарда у САД и очекивани план опоравка ЕУ, заједно са наставком процеса вакцинације становништва, благо су </w:t>
      </w:r>
      <w:r w:rsidRPr="00646254">
        <w:rPr>
          <w:rFonts w:cstheme="minorHAnsi"/>
          <w:bCs/>
          <w:szCs w:val="72"/>
          <w:lang w:val="sr-Cyrl-CS"/>
        </w:rPr>
        <w:t>погурали навише пројекцију раста развијених земаља за 2022. годину на 4,5%. С друге стране, очекивани раст земаља у успону за 2021. годину је благо ревидиран навише, захваљујући бољим резултатима региона оријентисаних ка извозу добара (Латинска Америка, Блиски Исток и Централна Азија) који су надоместили последице изазване пандемијом. Међутим, поједине земље у успону попут Бразила, Мексика и Русије се с</w:t>
      </w:r>
      <w:r w:rsidR="00076F3A" w:rsidRPr="00646254">
        <w:rPr>
          <w:rFonts w:cstheme="minorHAnsi"/>
          <w:bCs/>
          <w:szCs w:val="72"/>
          <w:lang w:val="sr-Cyrl-CS"/>
        </w:rPr>
        <w:t>уочавају са заоштравањем услова</w:t>
      </w:r>
      <w:r w:rsidRPr="00646254">
        <w:rPr>
          <w:rFonts w:cstheme="minorHAnsi"/>
          <w:bCs/>
          <w:szCs w:val="72"/>
          <w:lang w:val="sr-Cyrl-CS"/>
        </w:rPr>
        <w:t xml:space="preserve"> финансирања и већим ризиком од инфлаторних притисака, те сужавају простор за подршку у борби против пандемије. Изгледи за азијске земље у развоју су ревидирани наниже и за 2021. и за 2022. годину, услед пораста броја заражених. Такође, услед бржег смањења јавних инвестиција, благо је смањена и процена раста Кине за исти период. У средњем року се очекује стабилизација глобалног раста на око 3,3%, а раст ће зависити од брзине и броја вакцинисаних, као и од примене даљих мера подршке привреди.</w:t>
      </w:r>
    </w:p>
    <w:p w14:paraId="01154282" w14:textId="77777777" w:rsidR="004D0357" w:rsidRPr="00646254" w:rsidRDefault="004D0357" w:rsidP="00CE729E">
      <w:pPr>
        <w:pStyle w:val="Caption"/>
        <w:keepNext/>
        <w:rPr>
          <w:rFonts w:cstheme="minorHAnsi"/>
          <w:b w:val="0"/>
          <w:i/>
          <w:iCs w:val="0"/>
          <w:szCs w:val="22"/>
          <w:lang w:val="sr-Cyrl-CS"/>
        </w:rPr>
      </w:pPr>
      <w:r w:rsidRPr="00646254">
        <w:rPr>
          <w:rFonts w:cstheme="minorHAnsi"/>
          <w:iCs w:val="0"/>
          <w:szCs w:val="22"/>
          <w:lang w:val="sr-Cyrl-CS"/>
        </w:rPr>
        <w:lastRenderedPageBreak/>
        <w:t>Глобални економски раст, п.п.</w:t>
      </w:r>
    </w:p>
    <w:p w14:paraId="27A5167F" w14:textId="77777777" w:rsidR="004D0357" w:rsidRPr="00646254" w:rsidRDefault="004D0357" w:rsidP="00CE729E">
      <w:pPr>
        <w:rPr>
          <w:lang w:val="sr-Cyrl-CS"/>
        </w:rPr>
      </w:pPr>
      <w:r w:rsidRPr="00646254">
        <w:rPr>
          <w:noProof/>
        </w:rPr>
        <w:drawing>
          <wp:inline distT="0" distB="0" distL="0" distR="0" wp14:anchorId="3D794F86" wp14:editId="71ECA184">
            <wp:extent cx="2743200" cy="2394000"/>
            <wp:effectExtent l="0" t="0" r="0" b="6350"/>
            <wp:docPr id="1" name="Chart 1">
              <a:extLst xmlns:a="http://schemas.openxmlformats.org/drawingml/2006/main">
                <a:ext uri="{FF2B5EF4-FFF2-40B4-BE49-F238E27FC236}">
                  <a16:creationId xmlns:a16="http://schemas.microsoft.com/office/drawing/2014/main" id="{00000000-0008-0000-0600-00000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r w:rsidRPr="00646254">
        <w:rPr>
          <w:rFonts w:cstheme="minorHAnsi"/>
          <w:bCs/>
          <w:sz w:val="16"/>
          <w:szCs w:val="72"/>
          <w:lang w:val="sr-Cyrl-CS"/>
        </w:rPr>
        <w:t xml:space="preserve">Извор: ММФ, </w:t>
      </w:r>
      <w:r w:rsidRPr="00646254">
        <w:rPr>
          <w:rFonts w:cstheme="minorHAnsi"/>
          <w:bCs/>
          <w:i/>
          <w:sz w:val="16"/>
          <w:szCs w:val="72"/>
          <w:lang w:val="sr-Cyrl-CS"/>
        </w:rPr>
        <w:t>World Economic Outlook</w:t>
      </w:r>
      <w:r w:rsidRPr="00646254">
        <w:rPr>
          <w:rFonts w:cstheme="minorHAnsi"/>
          <w:bCs/>
          <w:sz w:val="16"/>
          <w:szCs w:val="72"/>
          <w:lang w:val="sr-Cyrl-CS"/>
        </w:rPr>
        <w:t>, октобар 2021.</w:t>
      </w:r>
    </w:p>
    <w:p w14:paraId="035CD27E" w14:textId="77777777" w:rsidR="004D0357" w:rsidRPr="00646254" w:rsidRDefault="004D0357" w:rsidP="00CE729E">
      <w:pPr>
        <w:pStyle w:val="Caption"/>
        <w:jc w:val="both"/>
        <w:rPr>
          <w:rFonts w:cstheme="minorHAnsi"/>
          <w:b w:val="0"/>
          <w:bCs/>
          <w:iCs w:val="0"/>
          <w:color w:val="44546A" w:themeColor="text2"/>
          <w:szCs w:val="72"/>
          <w:lang w:val="sr-Cyrl-CS"/>
        </w:rPr>
      </w:pPr>
      <w:r w:rsidRPr="00646254">
        <w:rPr>
          <w:rFonts w:cstheme="minorHAnsi"/>
          <w:b w:val="0"/>
          <w:bCs/>
          <w:iCs w:val="0"/>
          <w:color w:val="44546A" w:themeColor="text2"/>
          <w:szCs w:val="72"/>
          <w:lang w:val="sr-Cyrl-CS"/>
        </w:rPr>
        <w:t>Изгледи за инфлацију углавном одражавају наведене изгледе за раст и очекивано кретање цена примарних производа. У развијеним економијама инфлација ће благо опасти са 2,8% у 2021. години на 1,9% у 2023. години, након чега се предвиђа углавном непромењена стопа раста у средњорочном периоду. Земље у успону ће, након раста цена од 5,5% у 2021. години, забележити благо успоравање инфлације у наредним годинама. Према октобарским пројекцијама ММФ, очекује се да ће цена нафте у 2021. години износити 65,7 $/барел, што је повећање од 59,1% у односу на 2020. годину, након чега се очекује постепени пад.</w:t>
      </w:r>
    </w:p>
    <w:p w14:paraId="1B03EE46" w14:textId="77777777" w:rsidR="004D0357" w:rsidRPr="00646254" w:rsidRDefault="004D0357" w:rsidP="00CE729E">
      <w:pPr>
        <w:pStyle w:val="Caption"/>
        <w:keepNext/>
        <w:rPr>
          <w:rFonts w:cstheme="minorHAnsi"/>
          <w:b w:val="0"/>
          <w:i/>
          <w:iCs w:val="0"/>
          <w:szCs w:val="22"/>
          <w:lang w:val="sr-Cyrl-CS"/>
        </w:rPr>
      </w:pPr>
      <w:r w:rsidRPr="00646254">
        <w:rPr>
          <w:rFonts w:cstheme="minorHAnsi"/>
          <w:iCs w:val="0"/>
          <w:szCs w:val="22"/>
          <w:lang w:val="sr-Cyrl-CS"/>
        </w:rPr>
        <w:t>Пројекција кретања цене нафте, УСД по барелу</w:t>
      </w:r>
    </w:p>
    <w:p w14:paraId="00D8C1FF" w14:textId="77777777" w:rsidR="004D0357" w:rsidRPr="00646254" w:rsidRDefault="004D0357" w:rsidP="00CE729E">
      <w:pPr>
        <w:rPr>
          <w:rFonts w:cstheme="minorHAnsi"/>
          <w:szCs w:val="72"/>
          <w:lang w:val="sr-Cyrl-CS"/>
        </w:rPr>
      </w:pPr>
      <w:r w:rsidRPr="00646254">
        <w:rPr>
          <w:noProof/>
        </w:rPr>
        <w:drawing>
          <wp:inline distT="0" distB="0" distL="0" distR="0" wp14:anchorId="1DFD3CFE" wp14:editId="17198F74">
            <wp:extent cx="2747010" cy="1395663"/>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762701" cy="1403635"/>
                    </a:xfrm>
                    <a:prstGeom prst="rect">
                      <a:avLst/>
                    </a:prstGeom>
                  </pic:spPr>
                </pic:pic>
              </a:graphicData>
            </a:graphic>
          </wp:inline>
        </w:drawing>
      </w:r>
      <w:r w:rsidRPr="00646254">
        <w:rPr>
          <w:rFonts w:cstheme="minorHAnsi"/>
          <w:bCs/>
          <w:sz w:val="16"/>
          <w:szCs w:val="72"/>
          <w:lang w:val="sr-Cyrl-CS"/>
        </w:rPr>
        <w:t xml:space="preserve">Извор: ММФ, </w:t>
      </w:r>
      <w:r w:rsidRPr="00646254">
        <w:rPr>
          <w:rFonts w:cstheme="minorHAnsi"/>
          <w:bCs/>
          <w:i/>
          <w:sz w:val="16"/>
          <w:szCs w:val="72"/>
          <w:lang w:val="sr-Cyrl-CS"/>
        </w:rPr>
        <w:t>World Economic Outlook</w:t>
      </w:r>
      <w:r w:rsidRPr="00646254">
        <w:rPr>
          <w:rFonts w:cstheme="minorHAnsi"/>
          <w:bCs/>
          <w:sz w:val="16"/>
          <w:szCs w:val="72"/>
          <w:lang w:val="sr-Cyrl-CS"/>
        </w:rPr>
        <w:t>, октобар 2021.</w:t>
      </w:r>
    </w:p>
    <w:p w14:paraId="16970534" w14:textId="77777777" w:rsidR="004D0357" w:rsidRPr="00646254" w:rsidRDefault="004D0357" w:rsidP="00CE729E">
      <w:pPr>
        <w:rPr>
          <w:rFonts w:cstheme="minorHAnsi"/>
          <w:bCs/>
          <w:szCs w:val="72"/>
          <w:lang w:val="sr-Cyrl-CS"/>
        </w:rPr>
      </w:pPr>
      <w:r w:rsidRPr="00646254">
        <w:rPr>
          <w:rFonts w:cstheme="minorHAnsi"/>
          <w:bCs/>
          <w:szCs w:val="72"/>
          <w:lang w:val="sr-Cyrl-CS"/>
        </w:rPr>
        <w:t xml:space="preserve">Пројектује се да ће цене основних метала забележити снажан раст од 49,7% у 2021. години вођен опоравком глобалне производње, док се за наредни период предвиђа стабилизација и умерен пад цена. Након раста цене гвожђа од </w:t>
      </w:r>
      <w:r w:rsidRPr="00646254">
        <w:rPr>
          <w:rFonts w:cstheme="minorHAnsi"/>
          <w:bCs/>
          <w:szCs w:val="72"/>
          <w:lang w:val="sr-Cyrl-CS"/>
        </w:rPr>
        <w:t>скоро 60% у 2021. години, пројектује се пад од 21% у 2022. години и стагнација у средњем року. За цене житарица, после наглог скока у 2021. години очекује се благи раст и у 2022. години и потом тренд опадања у средњорочном периоду. Каматна стопа на тромесечне депозите деноминоване у еврима остаће на непромењеном нивоу од -0,5% у 2021. и 2022. години, док ће стопа на шестомесечне депозите деноминоване у доларима износити 0,2% и 0,4%, респективно.</w:t>
      </w:r>
    </w:p>
    <w:p w14:paraId="3AAF6882" w14:textId="77777777" w:rsidR="004D0357" w:rsidRPr="00646254" w:rsidRDefault="004D0357" w:rsidP="00CE729E">
      <w:pPr>
        <w:pStyle w:val="Caption"/>
        <w:keepNext/>
        <w:rPr>
          <w:rFonts w:cstheme="minorHAnsi"/>
          <w:b w:val="0"/>
          <w:i/>
          <w:iCs w:val="0"/>
          <w:szCs w:val="22"/>
          <w:lang w:val="sr-Cyrl-CS"/>
        </w:rPr>
      </w:pPr>
      <w:r w:rsidRPr="00646254">
        <w:rPr>
          <w:rFonts w:cstheme="minorHAnsi"/>
          <w:iCs w:val="0"/>
          <w:szCs w:val="22"/>
          <w:lang w:val="sr-Cyrl-CS"/>
        </w:rPr>
        <w:t>Кретање цена, индекси, 2014=100</w:t>
      </w:r>
    </w:p>
    <w:p w14:paraId="76490AEE" w14:textId="77777777" w:rsidR="004D0357" w:rsidRPr="00646254" w:rsidRDefault="004D0357" w:rsidP="00CE729E">
      <w:pPr>
        <w:rPr>
          <w:lang w:val="sr-Cyrl-CS"/>
        </w:rPr>
      </w:pPr>
      <w:r w:rsidRPr="00646254">
        <w:rPr>
          <w:noProof/>
        </w:rPr>
        <w:drawing>
          <wp:inline distT="0" distB="0" distL="0" distR="0" wp14:anchorId="4AA10AF0" wp14:editId="1F2D8310">
            <wp:extent cx="2743200" cy="1998000"/>
            <wp:effectExtent l="0" t="0" r="0" b="2540"/>
            <wp:docPr id="2" name="Chart 2">
              <a:extLst xmlns:a="http://schemas.openxmlformats.org/drawingml/2006/main">
                <a:ext uri="{FF2B5EF4-FFF2-40B4-BE49-F238E27FC236}">
                  <a16:creationId xmlns:a16="http://schemas.microsoft.com/office/drawing/2014/main" id="{00000000-0008-0000-0100-00000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r w:rsidRPr="00646254">
        <w:rPr>
          <w:rFonts w:cstheme="minorHAnsi"/>
          <w:bCs/>
          <w:sz w:val="16"/>
          <w:szCs w:val="72"/>
          <w:lang w:val="sr-Cyrl-CS"/>
        </w:rPr>
        <w:t xml:space="preserve">Извор: ММФ, </w:t>
      </w:r>
      <w:r w:rsidRPr="00646254">
        <w:rPr>
          <w:rFonts w:cstheme="minorHAnsi"/>
          <w:bCs/>
          <w:i/>
          <w:sz w:val="16"/>
          <w:szCs w:val="72"/>
          <w:lang w:val="sr-Cyrl-CS"/>
        </w:rPr>
        <w:t>World Economic Outlook</w:t>
      </w:r>
      <w:r w:rsidRPr="00646254">
        <w:rPr>
          <w:rFonts w:cstheme="minorHAnsi"/>
          <w:bCs/>
          <w:sz w:val="16"/>
          <w:szCs w:val="72"/>
          <w:lang w:val="sr-Cyrl-CS"/>
        </w:rPr>
        <w:t>, октобар 2021.</w:t>
      </w:r>
    </w:p>
    <w:p w14:paraId="6B354624" w14:textId="77777777" w:rsidR="004D0357" w:rsidRPr="00646254" w:rsidRDefault="004D0357" w:rsidP="00D520B2">
      <w:pPr>
        <w:pStyle w:val="Caption"/>
        <w:keepNext/>
        <w:spacing w:after="40"/>
        <w:rPr>
          <w:rFonts w:cstheme="minorHAnsi"/>
          <w:b w:val="0"/>
          <w:i/>
          <w:iCs w:val="0"/>
          <w:szCs w:val="22"/>
          <w:lang w:val="sr-Cyrl-CS"/>
        </w:rPr>
      </w:pPr>
      <w:r w:rsidRPr="00646254">
        <w:rPr>
          <w:rFonts w:cstheme="minorHAnsi"/>
          <w:iCs w:val="0"/>
          <w:szCs w:val="22"/>
          <w:lang w:val="sr-Cyrl-CS"/>
        </w:rPr>
        <w:t>Пројекција кретања цена, индекси, 2019=100</w:t>
      </w:r>
    </w:p>
    <w:p w14:paraId="75D0D2AE" w14:textId="77777777" w:rsidR="004D0357" w:rsidRPr="00646254" w:rsidRDefault="004D0357" w:rsidP="00D520B2">
      <w:pPr>
        <w:spacing w:after="120"/>
        <w:rPr>
          <w:lang w:val="sr-Cyrl-CS"/>
        </w:rPr>
      </w:pPr>
      <w:r w:rsidRPr="00646254">
        <w:rPr>
          <w:noProof/>
        </w:rPr>
        <w:drawing>
          <wp:inline distT="0" distB="0" distL="0" distR="0" wp14:anchorId="3009C98A" wp14:editId="02858CFA">
            <wp:extent cx="2743200" cy="2171700"/>
            <wp:effectExtent l="0" t="0" r="0" b="0"/>
            <wp:docPr id="3" name="Chart 3">
              <a:extLst xmlns:a="http://schemas.openxmlformats.org/drawingml/2006/main">
                <a:ext uri="{FF2B5EF4-FFF2-40B4-BE49-F238E27FC236}">
                  <a16:creationId xmlns:a16="http://schemas.microsoft.com/office/drawing/2014/main" id="{00000000-0008-0000-0200-00000A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672F43F0" w14:textId="77777777" w:rsidR="004D0357" w:rsidRPr="00646254" w:rsidRDefault="004D0357" w:rsidP="00CE729E">
      <w:pPr>
        <w:rPr>
          <w:rFonts w:cstheme="minorHAnsi"/>
          <w:szCs w:val="72"/>
          <w:lang w:val="sr-Cyrl-CS"/>
        </w:rPr>
      </w:pPr>
      <w:r w:rsidRPr="00646254">
        <w:rPr>
          <w:rFonts w:cstheme="minorHAnsi"/>
          <w:bCs/>
          <w:sz w:val="16"/>
          <w:szCs w:val="72"/>
          <w:lang w:val="sr-Cyrl-CS"/>
        </w:rPr>
        <w:t xml:space="preserve">Извор: ММФ, </w:t>
      </w:r>
      <w:r w:rsidRPr="00646254">
        <w:rPr>
          <w:rFonts w:cstheme="minorHAnsi"/>
          <w:bCs/>
          <w:i/>
          <w:sz w:val="16"/>
          <w:szCs w:val="72"/>
          <w:lang w:val="sr-Cyrl-CS"/>
        </w:rPr>
        <w:t>World Economic Outlook</w:t>
      </w:r>
      <w:r w:rsidRPr="00646254">
        <w:rPr>
          <w:rFonts w:cstheme="minorHAnsi"/>
          <w:bCs/>
          <w:sz w:val="16"/>
          <w:szCs w:val="72"/>
          <w:lang w:val="sr-Cyrl-CS"/>
        </w:rPr>
        <w:t>, октобар 2021.</w:t>
      </w:r>
    </w:p>
    <w:p w14:paraId="1B4E293A" w14:textId="77777777" w:rsidR="004D0357" w:rsidRPr="00646254" w:rsidRDefault="004D0357" w:rsidP="00D520B2">
      <w:pPr>
        <w:spacing w:after="120"/>
        <w:rPr>
          <w:rFonts w:cstheme="minorHAnsi"/>
          <w:bCs/>
          <w:szCs w:val="72"/>
          <w:lang w:val="sr-Cyrl-CS"/>
        </w:rPr>
      </w:pPr>
      <w:r w:rsidRPr="00646254">
        <w:rPr>
          <w:rFonts w:cstheme="minorHAnsi"/>
          <w:bCs/>
          <w:szCs w:val="72"/>
          <w:lang w:val="sr-Cyrl-CS"/>
        </w:rPr>
        <w:t xml:space="preserve">Систем федералних резерви САД (у даљем тексту: ФЕД) је у септембру задржао циљани распон за каматну стопу на нивоу од 0% до 0,25%, у складу са променом стратегије монетарне политике ка циљању просечне инфлације од 2%, што сигнализира да ће се основна каматна стопа </w:t>
      </w:r>
      <w:r w:rsidRPr="00646254">
        <w:rPr>
          <w:rFonts w:cstheme="minorHAnsi"/>
          <w:bCs/>
          <w:szCs w:val="72"/>
          <w:lang w:val="sr-Cyrl-CS"/>
        </w:rPr>
        <w:lastRenderedPageBreak/>
        <w:t>задржати на ниском нивоу, али уз индикације да ће у 2022. години доћи до благог повећања.</w:t>
      </w:r>
    </w:p>
    <w:p w14:paraId="20906426" w14:textId="77777777" w:rsidR="004D0357" w:rsidRPr="00646254" w:rsidRDefault="004D0357" w:rsidP="00D520B2">
      <w:pPr>
        <w:pStyle w:val="Caption"/>
        <w:keepNext/>
        <w:spacing w:after="40"/>
        <w:rPr>
          <w:rFonts w:cstheme="minorHAnsi"/>
          <w:iCs w:val="0"/>
          <w:spacing w:val="-2"/>
          <w:szCs w:val="22"/>
          <w:lang w:val="sr-Cyrl-CS"/>
        </w:rPr>
      </w:pPr>
      <w:r w:rsidRPr="00646254">
        <w:rPr>
          <w:rFonts w:cstheme="minorHAnsi"/>
          <w:iCs w:val="0"/>
          <w:spacing w:val="-2"/>
          <w:szCs w:val="22"/>
          <w:lang w:val="sr-Cyrl-CS"/>
        </w:rPr>
        <w:t>Очекивана кретања референтне каматне стопе, %</w:t>
      </w:r>
    </w:p>
    <w:p w14:paraId="5E5EC39E" w14:textId="77777777" w:rsidR="004D0357" w:rsidRPr="00646254" w:rsidRDefault="004D0357" w:rsidP="00426178">
      <w:pPr>
        <w:spacing w:after="120"/>
        <w:jc w:val="center"/>
        <w:rPr>
          <w:lang w:val="sr-Cyrl-CS"/>
        </w:rPr>
      </w:pPr>
      <w:r w:rsidRPr="00646254">
        <w:rPr>
          <w:noProof/>
        </w:rPr>
        <w:drawing>
          <wp:inline distT="0" distB="0" distL="0" distR="0" wp14:anchorId="587DFE21" wp14:editId="748B1161">
            <wp:extent cx="1807535" cy="2060590"/>
            <wp:effectExtent l="0" t="0" r="254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WEORefKS.PNG"/>
                    <pic:cNvPicPr/>
                  </pic:nvPicPr>
                  <pic:blipFill>
                    <a:blip r:embed="rId27">
                      <a:extLst>
                        <a:ext uri="{28A0092B-C50C-407E-A947-70E740481C1C}">
                          <a14:useLocalDpi xmlns:a14="http://schemas.microsoft.com/office/drawing/2010/main" val="0"/>
                        </a:ext>
                      </a:extLst>
                    </a:blip>
                    <a:stretch>
                      <a:fillRect/>
                    </a:stretch>
                  </pic:blipFill>
                  <pic:spPr>
                    <a:xfrm>
                      <a:off x="0" y="0"/>
                      <a:ext cx="1822184" cy="2077289"/>
                    </a:xfrm>
                    <a:prstGeom prst="rect">
                      <a:avLst/>
                    </a:prstGeom>
                  </pic:spPr>
                </pic:pic>
              </a:graphicData>
            </a:graphic>
          </wp:inline>
        </w:drawing>
      </w:r>
    </w:p>
    <w:p w14:paraId="74837EFA" w14:textId="77777777" w:rsidR="004D0357" w:rsidRPr="00646254" w:rsidRDefault="004D0357" w:rsidP="00CE729E">
      <w:pPr>
        <w:rPr>
          <w:rFonts w:cstheme="minorHAnsi"/>
          <w:szCs w:val="72"/>
          <w:lang w:val="sr-Cyrl-CS"/>
        </w:rPr>
      </w:pPr>
      <w:r w:rsidRPr="00646254">
        <w:rPr>
          <w:rFonts w:cstheme="minorHAnsi"/>
          <w:bCs/>
          <w:sz w:val="16"/>
          <w:szCs w:val="72"/>
          <w:lang w:val="sr-Cyrl-CS"/>
        </w:rPr>
        <w:t xml:space="preserve">Извор: ММФ, </w:t>
      </w:r>
      <w:r w:rsidRPr="00646254">
        <w:rPr>
          <w:rFonts w:cstheme="minorHAnsi"/>
          <w:bCs/>
          <w:i/>
          <w:sz w:val="16"/>
          <w:szCs w:val="72"/>
          <w:lang w:val="sr-Cyrl-CS"/>
        </w:rPr>
        <w:t>World Economic Outlook</w:t>
      </w:r>
      <w:r w:rsidRPr="00646254">
        <w:rPr>
          <w:rFonts w:cstheme="minorHAnsi"/>
          <w:bCs/>
          <w:sz w:val="16"/>
          <w:szCs w:val="72"/>
          <w:lang w:val="sr-Cyrl-CS"/>
        </w:rPr>
        <w:t>, октобар 2021.</w:t>
      </w:r>
    </w:p>
    <w:p w14:paraId="73AB4350" w14:textId="77777777" w:rsidR="004D0357" w:rsidRPr="00646254" w:rsidRDefault="004D0357" w:rsidP="00CE729E">
      <w:pPr>
        <w:rPr>
          <w:rFonts w:cstheme="minorHAnsi"/>
          <w:bCs/>
          <w:szCs w:val="72"/>
          <w:lang w:val="sr-Cyrl-CS"/>
        </w:rPr>
      </w:pPr>
      <w:r w:rsidRPr="00646254">
        <w:rPr>
          <w:rFonts w:cstheme="minorHAnsi"/>
          <w:bCs/>
          <w:szCs w:val="72"/>
          <w:lang w:val="sr-Cyrl-CS"/>
        </w:rPr>
        <w:t>Неизвесност око будућег тока пандемије је највећи ризик по пројекцију раста ММФ. Појава нових сојева вируса који се брже преносе, даља неусклађеност глобалне понуде и тражње, инфлаторни притисци, пооштравање монетарне политике, друштвени немири, геополитичке тензије као и учестале временске, климатске и природне непогоде, и даље су присутни као ризици по глобални раст и стабилност. Са друге стране, бржа производња, дистрибуција и примена вакцина и нагли раст продуктивности услед већег степена аутоматизације радних места и ослањања на нове технологије, допринели би убрзању глобалног опоравка и нормализацији економске активности.</w:t>
      </w:r>
    </w:p>
    <w:p w14:paraId="0C425611" w14:textId="77777777" w:rsidR="004D0357" w:rsidRPr="00646254" w:rsidRDefault="004D0357" w:rsidP="00CE729E">
      <w:pPr>
        <w:rPr>
          <w:b/>
          <w:color w:val="2F5496" w:themeColor="accent1" w:themeShade="BF"/>
          <w:lang w:val="sr-Cyrl-CS"/>
        </w:rPr>
      </w:pPr>
      <w:r w:rsidRPr="00646254">
        <w:rPr>
          <w:b/>
          <w:color w:val="2F5496" w:themeColor="accent1" w:themeShade="BF"/>
          <w:lang w:val="sr-Cyrl-CS"/>
        </w:rPr>
        <w:t>Макроекономске процене ЕЦБ за подручје еврозоне</w:t>
      </w:r>
    </w:p>
    <w:p w14:paraId="67EC8358" w14:textId="77777777" w:rsidR="004D0357" w:rsidRPr="00646254" w:rsidRDefault="004D0357" w:rsidP="009B49C0">
      <w:pPr>
        <w:rPr>
          <w:rFonts w:cstheme="minorHAnsi"/>
          <w:bCs/>
          <w:szCs w:val="72"/>
          <w:lang w:val="sr-Cyrl-CS"/>
        </w:rPr>
      </w:pPr>
      <w:r w:rsidRPr="00646254">
        <w:rPr>
          <w:rFonts w:cstheme="minorHAnsi"/>
          <w:bCs/>
          <w:szCs w:val="72"/>
          <w:lang w:val="sr-Cyrl-CS"/>
        </w:rPr>
        <w:t xml:space="preserve">Према септембарским проценама Европске централне банке, упркос неизвесностима везаним за пандемију и уским грлима на страни понуде, економска активност еврозоне се брзо опоравља. У другом кварталу 2021. године опоравак је био бржи од очекиваног, а предвиђа се наставак убрзаног раста и током друге половине године, те се очекује да предпандемијски ниво буде достигнут крајем 2021. године. Очекивана путања опоравка заснована је на неколико претпоставки: брза релаксација рестриктивних мера у другој половини године, постепено нестајање уских грла у снабдевању почетком 2022. године, значајна </w:t>
      </w:r>
      <w:r w:rsidRPr="00646254">
        <w:rPr>
          <w:rFonts w:cstheme="minorHAnsi"/>
          <w:bCs/>
          <w:szCs w:val="72"/>
          <w:lang w:val="sr-Cyrl-CS"/>
        </w:rPr>
        <w:t>фискална и монетарна подршка и наставак глобалног опоравка.</w:t>
      </w:r>
    </w:p>
    <w:p w14:paraId="7777B782" w14:textId="77777777" w:rsidR="004D0357" w:rsidRPr="00646254" w:rsidRDefault="004D0357" w:rsidP="009B49C0">
      <w:pPr>
        <w:rPr>
          <w:rFonts w:cs="Times New Roman"/>
          <w:lang w:val="sr-Cyrl-CS"/>
        </w:rPr>
      </w:pPr>
      <w:r w:rsidRPr="00646254">
        <w:rPr>
          <w:rFonts w:cs="Times New Roman"/>
          <w:lang w:val="sr-Cyrl-CS"/>
        </w:rPr>
        <w:t>Према пројекцијама ЕЦБ, привреда еврозоне ће након пада од 6,5% у 2020. години забележити раст од 5,0% и 4,6% у 2021. и 2022. години, респективно. Раст БДП у еврозони ће бити вођен приватном потрошњом, која ће забележити снажан раст (3,6% и 7,0% у 2021. и 2022. години, респективно) и премашити преткризни ниво почетком 2022. године. Очекује се успоравање раста инвестиција у стамбене објекте у посматраном периоду, док ће пословне инвестиције остварити значајан опоравак у другој половини године, па ће укупне инвестиције забележити раст од 7,2% и 5,3% у 2021. и 2022. години, респективно. Предвиђа се робустан раст извоза (8,9% и 6,7% у 2021. и 2022. години, респективно) како би се отклонили застоји у снабдевању настали услед пандемије тј. несташица, високих транспортних трошкова и дужег времена испоруке добара и услуга.</w:t>
      </w:r>
    </w:p>
    <w:p w14:paraId="46C7EFAF" w14:textId="77777777" w:rsidR="004D0357" w:rsidRPr="00646254" w:rsidRDefault="004D0357" w:rsidP="009B49C0">
      <w:pPr>
        <w:rPr>
          <w:rFonts w:cstheme="minorHAnsi"/>
          <w:bCs/>
          <w:spacing w:val="-2"/>
          <w:szCs w:val="72"/>
          <w:lang w:val="sr-Cyrl-CS"/>
        </w:rPr>
      </w:pPr>
      <w:r w:rsidRPr="00646254">
        <w:rPr>
          <w:rFonts w:cstheme="minorHAnsi"/>
          <w:bCs/>
          <w:spacing w:val="-2"/>
          <w:szCs w:val="72"/>
          <w:lang w:val="sr-Cyrl-CS"/>
        </w:rPr>
        <w:t>Стопа незапослености је опала у другом кварталу 2021. године и очекује се да ће углавном остати непромењена до краја године, након чега ће почетком 2023. године пасти на ниво пре кризе. Такође, предвиђа се нагли скок продуктивности рада по запосленом у 2021. години, а затим следи постепена нормализација током остатка пројектованог периода.</w:t>
      </w:r>
    </w:p>
    <w:p w14:paraId="7F42F758" w14:textId="67D2329F" w:rsidR="004D0357" w:rsidRPr="00646254" w:rsidRDefault="004D0357" w:rsidP="009B49C0">
      <w:pPr>
        <w:rPr>
          <w:rFonts w:cstheme="minorHAnsi"/>
          <w:bCs/>
          <w:spacing w:val="-2"/>
          <w:szCs w:val="72"/>
          <w:lang w:val="sr-Cyrl-CS"/>
        </w:rPr>
      </w:pPr>
      <w:r w:rsidRPr="00646254">
        <w:rPr>
          <w:rFonts w:cstheme="minorHAnsi"/>
          <w:bCs/>
          <w:spacing w:val="-2"/>
          <w:szCs w:val="72"/>
          <w:lang w:val="sr-Cyrl-CS"/>
        </w:rPr>
        <w:t xml:space="preserve">Након нешто виших стопа инфлације у 2021. години од 2,2%, очекује се успоравање раста инфлације у наредним годинама услед постепеног ишчезавања једнократних фактора, попут базног ефекта високе цене енергената и </w:t>
      </w:r>
      <w:r w:rsidR="007A69D5" w:rsidRPr="00646254">
        <w:rPr>
          <w:rFonts w:cstheme="minorHAnsi"/>
          <w:bCs/>
          <w:spacing w:val="-2"/>
          <w:szCs w:val="72"/>
          <w:lang w:val="sr-Cyrl-CS"/>
        </w:rPr>
        <w:t>враћања</w:t>
      </w:r>
      <w:r w:rsidRPr="00646254">
        <w:rPr>
          <w:rFonts w:cstheme="minorHAnsi"/>
          <w:bCs/>
          <w:spacing w:val="-2"/>
          <w:szCs w:val="72"/>
          <w:lang w:val="sr-Cyrl-CS"/>
        </w:rPr>
        <w:t xml:space="preserve"> стопе ПДВ у Немачкој</w:t>
      </w:r>
      <w:r w:rsidR="007A69D5" w:rsidRPr="00646254">
        <w:rPr>
          <w:rFonts w:cstheme="minorHAnsi"/>
          <w:bCs/>
          <w:spacing w:val="-2"/>
          <w:szCs w:val="72"/>
          <w:lang w:val="sr-Cyrl-CS"/>
        </w:rPr>
        <w:t xml:space="preserve"> на предпандемијски ниво</w:t>
      </w:r>
      <w:r w:rsidRPr="00646254">
        <w:rPr>
          <w:rFonts w:cstheme="minorHAnsi"/>
          <w:bCs/>
          <w:spacing w:val="-2"/>
          <w:szCs w:val="72"/>
          <w:lang w:val="sr-Cyrl-CS"/>
        </w:rPr>
        <w:t>. Пројекција укупне инфлације је благо ревидирана навише у односу на претходну пројекцију, што одражава очекивани раст инфлаторних притисака на базну инфлацију, раст цене енергената, али и цена хране.</w:t>
      </w:r>
    </w:p>
    <w:p w14:paraId="4717E4F4" w14:textId="58C88801" w:rsidR="004D0357" w:rsidRPr="00646254" w:rsidRDefault="004D0357" w:rsidP="009B49C0">
      <w:pPr>
        <w:rPr>
          <w:rFonts w:cstheme="minorHAnsi"/>
          <w:bCs/>
          <w:szCs w:val="72"/>
          <w:lang w:val="sr-Cyrl-CS"/>
        </w:rPr>
      </w:pPr>
      <w:r w:rsidRPr="00646254">
        <w:rPr>
          <w:rStyle w:val="jlqj4b"/>
          <w:lang w:val="sr-Cyrl-CS"/>
        </w:rPr>
        <w:t>Након изразито експанзивне фискалне политике током 2020. године, очекује се ограничени наставак фискалне подршке у 2021. години. Већина додатних мера је привремена и очекује се њихово укидање и заокрет ка рестриктивној политици током 2022. године.</w:t>
      </w:r>
      <w:r w:rsidRPr="00646254">
        <w:rPr>
          <w:lang w:val="sr-Cyrl-CS"/>
        </w:rPr>
        <w:t xml:space="preserve"> </w:t>
      </w:r>
      <w:r w:rsidRPr="00646254">
        <w:rPr>
          <w:rStyle w:val="jlqj4b"/>
          <w:lang w:val="sr-Cyrl-CS"/>
        </w:rPr>
        <w:t xml:space="preserve">Након значајног фискалног дефицита у 2020. години од 7,3% БДП, </w:t>
      </w:r>
      <w:r w:rsidRPr="00646254">
        <w:rPr>
          <w:rStyle w:val="jlqj4b"/>
          <w:lang w:val="sr-Cyrl-CS"/>
        </w:rPr>
        <w:lastRenderedPageBreak/>
        <w:t>предвиђа се да ће се фискални биланс еврозоне благо побољшати у 2021. године на -7,1% БДП, да би се п</w:t>
      </w:r>
      <w:r w:rsidR="004120FF" w:rsidRPr="00646254">
        <w:rPr>
          <w:rStyle w:val="jlqj4b"/>
          <w:lang w:val="sr-Cyrl-CS"/>
        </w:rPr>
        <w:t>отом дефицит смањио на 3,0%</w:t>
      </w:r>
      <w:r w:rsidRPr="00646254">
        <w:rPr>
          <w:rStyle w:val="jlqj4b"/>
          <w:lang w:val="sr-Cyrl-CS"/>
        </w:rPr>
        <w:t>, односно 2,1% БДП у 2022. и 2023. години, респективно. Предвиђа се да ће удео дуга у БДП у еврозони достићи врхунац 2021. године (98,7%), да би након тога почео благо да опада као резултат повољних разлика између каматних стопа и стопа економског раста које више него компензују, постојане, мада све мање примарне дефиците.</w:t>
      </w:r>
    </w:p>
    <w:p w14:paraId="7AB73363" w14:textId="77777777" w:rsidR="004D0357" w:rsidRPr="00646254" w:rsidRDefault="004D0357" w:rsidP="00CE729E">
      <w:pPr>
        <w:spacing w:after="240"/>
        <w:rPr>
          <w:rStyle w:val="jlqj4b"/>
          <w:lang w:val="sr-Cyrl-CS"/>
        </w:rPr>
      </w:pPr>
      <w:r w:rsidRPr="00646254">
        <w:rPr>
          <w:rStyle w:val="jlqj4b"/>
          <w:lang w:val="sr-Cyrl-CS"/>
        </w:rPr>
        <w:t>ЕЦБ је на састанку у септембру 2021. године задржала референтну каматну стопу на рекордно ниском нивоу од 0,00%, док је каматну стопу на кредитне и депозитне олакшице задржала на 0,25% и -0,50%, респективно. Савет гувернера ЕЦБ очекује да ће референтне каматне стопе остати на тренутном или нижем нивоу све док инфлација не достигне циљаних 2,0%.</w:t>
      </w:r>
    </w:p>
    <w:p w14:paraId="613B597E" w14:textId="77777777" w:rsidR="004D0357" w:rsidRPr="00646254" w:rsidRDefault="004D0357">
      <w:pPr>
        <w:rPr>
          <w:lang w:val="sr-Cyrl-CS"/>
        </w:rPr>
        <w:sectPr w:rsidR="004D0357" w:rsidRPr="00646254" w:rsidSect="00CE729E">
          <w:type w:val="continuous"/>
          <w:pgSz w:w="12240" w:h="15840"/>
          <w:pgMar w:top="1440" w:right="1440" w:bottom="1440" w:left="1440" w:header="708" w:footer="708" w:gutter="0"/>
          <w:cols w:num="2" w:space="708"/>
          <w:docGrid w:linePitch="360"/>
        </w:sectPr>
      </w:pPr>
    </w:p>
    <w:tbl>
      <w:tblPr>
        <w:tblW w:w="5000" w:type="pct"/>
        <w:tblLook w:val="04A0" w:firstRow="1" w:lastRow="0" w:firstColumn="1" w:lastColumn="0" w:noHBand="0" w:noVBand="1"/>
      </w:tblPr>
      <w:tblGrid>
        <w:gridCol w:w="4471"/>
        <w:gridCol w:w="1234"/>
        <w:gridCol w:w="1234"/>
        <w:gridCol w:w="1234"/>
        <w:gridCol w:w="1231"/>
      </w:tblGrid>
      <w:tr w:rsidR="004D0357" w:rsidRPr="00646254" w14:paraId="3FD9EDBC" w14:textId="77777777" w:rsidTr="00CE729E">
        <w:trPr>
          <w:trHeight w:val="300"/>
        </w:trPr>
        <w:tc>
          <w:tcPr>
            <w:tcW w:w="5000" w:type="pct"/>
            <w:gridSpan w:val="5"/>
            <w:tcBorders>
              <w:bottom w:val="single" w:sz="4" w:space="0" w:color="002060"/>
            </w:tcBorders>
            <w:shd w:val="clear" w:color="auto" w:fill="auto"/>
            <w:noWrap/>
            <w:vAlign w:val="bottom"/>
            <w:hideMark/>
          </w:tcPr>
          <w:p w14:paraId="3CE532C8" w14:textId="77777777" w:rsidR="004D0357" w:rsidRPr="00646254" w:rsidRDefault="004D0357" w:rsidP="00CE729E">
            <w:pPr>
              <w:spacing w:after="0" w:line="240" w:lineRule="auto"/>
              <w:ind w:left="255"/>
              <w:jc w:val="center"/>
              <w:rPr>
                <w:rFonts w:cstheme="minorHAnsi"/>
                <w:color w:val="002060"/>
                <w:sz w:val="18"/>
                <w:lang w:val="sr-Cyrl-CS"/>
              </w:rPr>
            </w:pPr>
            <w:r w:rsidRPr="00646254">
              <w:rPr>
                <w:b/>
                <w:color w:val="002060"/>
                <w:lang w:val="sr-Cyrl-CS"/>
              </w:rPr>
              <w:t>Табела 2. Макроекономске пројекције за подручје еврозоне, промена према истом периоду претходне године, %</w:t>
            </w:r>
          </w:p>
        </w:tc>
      </w:tr>
      <w:tr w:rsidR="004D0357" w:rsidRPr="00646254" w14:paraId="30470239" w14:textId="77777777" w:rsidTr="00CE729E">
        <w:trPr>
          <w:trHeight w:val="227"/>
        </w:trPr>
        <w:tc>
          <w:tcPr>
            <w:tcW w:w="2395" w:type="pct"/>
            <w:tcBorders>
              <w:top w:val="single" w:sz="4" w:space="0" w:color="002060"/>
            </w:tcBorders>
            <w:shd w:val="clear" w:color="auto" w:fill="auto"/>
            <w:noWrap/>
            <w:vAlign w:val="center"/>
          </w:tcPr>
          <w:p w14:paraId="26821F4A" w14:textId="77777777" w:rsidR="004D0357" w:rsidRPr="00646254" w:rsidRDefault="004D0357" w:rsidP="00CE729E">
            <w:pPr>
              <w:spacing w:after="0" w:line="240" w:lineRule="auto"/>
              <w:jc w:val="center"/>
              <w:rPr>
                <w:rFonts w:eastAsia="Times New Roman" w:cs="Times New Roman"/>
                <w:color w:val="002060"/>
                <w:sz w:val="18"/>
                <w:szCs w:val="18"/>
                <w:lang w:val="sr-Cyrl-CS"/>
              </w:rPr>
            </w:pPr>
          </w:p>
        </w:tc>
        <w:tc>
          <w:tcPr>
            <w:tcW w:w="651" w:type="pct"/>
            <w:tcBorders>
              <w:top w:val="single" w:sz="4" w:space="0" w:color="002060"/>
              <w:bottom w:val="single" w:sz="4" w:space="0" w:color="002060"/>
            </w:tcBorders>
            <w:shd w:val="clear" w:color="auto" w:fill="auto"/>
            <w:noWrap/>
            <w:vAlign w:val="center"/>
          </w:tcPr>
          <w:p w14:paraId="68F71320" w14:textId="77777777" w:rsidR="004D0357" w:rsidRPr="00646254" w:rsidRDefault="004D0357" w:rsidP="00CE729E">
            <w:pPr>
              <w:spacing w:after="0" w:line="240" w:lineRule="auto"/>
              <w:jc w:val="center"/>
              <w:rPr>
                <w:rFonts w:cstheme="minorHAnsi"/>
                <w:color w:val="002060"/>
                <w:sz w:val="18"/>
                <w:lang w:val="sr-Cyrl-CS"/>
              </w:rPr>
            </w:pPr>
            <w:r w:rsidRPr="00646254">
              <w:rPr>
                <w:rFonts w:cstheme="minorHAnsi"/>
                <w:color w:val="002060"/>
                <w:sz w:val="18"/>
                <w:lang w:val="sr-Cyrl-CS"/>
              </w:rPr>
              <w:t>2020</w:t>
            </w:r>
          </w:p>
        </w:tc>
        <w:tc>
          <w:tcPr>
            <w:tcW w:w="652" w:type="pct"/>
            <w:tcBorders>
              <w:top w:val="single" w:sz="4" w:space="0" w:color="002060"/>
              <w:bottom w:val="single" w:sz="4" w:space="0" w:color="002060"/>
            </w:tcBorders>
            <w:shd w:val="clear" w:color="auto" w:fill="auto"/>
            <w:noWrap/>
            <w:vAlign w:val="center"/>
          </w:tcPr>
          <w:p w14:paraId="69A5AA22" w14:textId="77777777" w:rsidR="004D0357" w:rsidRPr="00646254" w:rsidRDefault="004D0357" w:rsidP="00CE729E">
            <w:pPr>
              <w:spacing w:after="0" w:line="240" w:lineRule="auto"/>
              <w:jc w:val="center"/>
              <w:rPr>
                <w:rFonts w:cstheme="minorHAnsi"/>
                <w:color w:val="002060"/>
                <w:sz w:val="18"/>
                <w:lang w:val="sr-Cyrl-CS"/>
              </w:rPr>
            </w:pPr>
            <w:r w:rsidRPr="00646254">
              <w:rPr>
                <w:rFonts w:cstheme="minorHAnsi"/>
                <w:color w:val="002060"/>
                <w:sz w:val="18"/>
                <w:lang w:val="sr-Cyrl-CS"/>
              </w:rPr>
              <w:t>2021</w:t>
            </w:r>
          </w:p>
        </w:tc>
        <w:tc>
          <w:tcPr>
            <w:tcW w:w="652" w:type="pct"/>
            <w:tcBorders>
              <w:top w:val="single" w:sz="4" w:space="0" w:color="002060"/>
              <w:bottom w:val="single" w:sz="4" w:space="0" w:color="002060"/>
            </w:tcBorders>
            <w:shd w:val="clear" w:color="auto" w:fill="auto"/>
            <w:noWrap/>
            <w:vAlign w:val="center"/>
          </w:tcPr>
          <w:p w14:paraId="137CCFB1" w14:textId="77777777" w:rsidR="004D0357" w:rsidRPr="00646254" w:rsidRDefault="004D0357" w:rsidP="00CE729E">
            <w:pPr>
              <w:spacing w:after="0" w:line="240" w:lineRule="auto"/>
              <w:jc w:val="center"/>
              <w:rPr>
                <w:rFonts w:cstheme="minorHAnsi"/>
                <w:color w:val="002060"/>
                <w:sz w:val="18"/>
                <w:lang w:val="sr-Cyrl-CS"/>
              </w:rPr>
            </w:pPr>
            <w:r w:rsidRPr="00646254">
              <w:rPr>
                <w:rFonts w:cstheme="minorHAnsi"/>
                <w:color w:val="002060"/>
                <w:sz w:val="18"/>
                <w:lang w:val="sr-Cyrl-CS"/>
              </w:rPr>
              <w:t>2022</w:t>
            </w:r>
          </w:p>
        </w:tc>
        <w:tc>
          <w:tcPr>
            <w:tcW w:w="651" w:type="pct"/>
            <w:tcBorders>
              <w:top w:val="single" w:sz="4" w:space="0" w:color="002060"/>
              <w:bottom w:val="single" w:sz="4" w:space="0" w:color="002060"/>
            </w:tcBorders>
            <w:shd w:val="clear" w:color="auto" w:fill="auto"/>
            <w:noWrap/>
            <w:vAlign w:val="center"/>
          </w:tcPr>
          <w:p w14:paraId="36387E03" w14:textId="77777777" w:rsidR="004D0357" w:rsidRPr="00646254" w:rsidRDefault="004D0357" w:rsidP="00CE729E">
            <w:pPr>
              <w:spacing w:after="0" w:line="240" w:lineRule="auto"/>
              <w:jc w:val="center"/>
              <w:rPr>
                <w:rFonts w:cstheme="minorHAnsi"/>
                <w:color w:val="002060"/>
                <w:sz w:val="18"/>
                <w:lang w:val="sr-Cyrl-CS"/>
              </w:rPr>
            </w:pPr>
            <w:r w:rsidRPr="00646254">
              <w:rPr>
                <w:rFonts w:cstheme="minorHAnsi"/>
                <w:color w:val="002060"/>
                <w:sz w:val="18"/>
                <w:lang w:val="sr-Cyrl-CS"/>
              </w:rPr>
              <w:t>2023</w:t>
            </w:r>
          </w:p>
        </w:tc>
      </w:tr>
      <w:tr w:rsidR="004D0357" w:rsidRPr="00646254" w14:paraId="56FE48EF" w14:textId="77777777" w:rsidTr="00CE729E">
        <w:trPr>
          <w:trHeight w:val="227"/>
        </w:trPr>
        <w:tc>
          <w:tcPr>
            <w:tcW w:w="2395" w:type="pct"/>
            <w:shd w:val="clear" w:color="auto" w:fill="auto"/>
            <w:noWrap/>
            <w:vAlign w:val="bottom"/>
            <w:hideMark/>
          </w:tcPr>
          <w:p w14:paraId="2F2D02F9" w14:textId="77777777" w:rsidR="004D0357" w:rsidRPr="00646254" w:rsidRDefault="004D0357" w:rsidP="00CE729E">
            <w:pPr>
              <w:spacing w:after="0" w:line="240" w:lineRule="auto"/>
              <w:ind w:left="255" w:hanging="360"/>
              <w:rPr>
                <w:rFonts w:cstheme="minorHAnsi"/>
                <w:color w:val="002060"/>
                <w:sz w:val="18"/>
                <w:lang w:val="sr-Cyrl-CS"/>
              </w:rPr>
            </w:pPr>
            <w:r w:rsidRPr="00646254">
              <w:rPr>
                <w:rFonts w:cstheme="minorHAnsi"/>
                <w:color w:val="002060"/>
                <w:sz w:val="18"/>
                <w:lang w:val="sr-Cyrl-CS"/>
              </w:rPr>
              <w:t>БДП</w:t>
            </w:r>
          </w:p>
        </w:tc>
        <w:tc>
          <w:tcPr>
            <w:tcW w:w="651" w:type="pct"/>
            <w:tcBorders>
              <w:top w:val="single" w:sz="4" w:space="0" w:color="002060"/>
            </w:tcBorders>
            <w:shd w:val="clear" w:color="auto" w:fill="auto"/>
            <w:noWrap/>
            <w:vAlign w:val="center"/>
            <w:hideMark/>
          </w:tcPr>
          <w:p w14:paraId="6CD7E21F" w14:textId="77777777" w:rsidR="004D0357" w:rsidRPr="00646254" w:rsidRDefault="004D0357" w:rsidP="00CE729E">
            <w:pPr>
              <w:spacing w:after="0" w:line="240" w:lineRule="auto"/>
              <w:jc w:val="center"/>
              <w:rPr>
                <w:rFonts w:cstheme="minorHAnsi"/>
                <w:color w:val="002060"/>
                <w:sz w:val="18"/>
                <w:lang w:val="sr-Cyrl-CS"/>
              </w:rPr>
            </w:pPr>
            <w:r w:rsidRPr="00646254">
              <w:rPr>
                <w:rFonts w:cstheme="minorHAnsi"/>
                <w:color w:val="002060"/>
                <w:sz w:val="18"/>
                <w:lang w:val="sr-Cyrl-CS"/>
              </w:rPr>
              <w:t>-6,5</w:t>
            </w:r>
          </w:p>
        </w:tc>
        <w:tc>
          <w:tcPr>
            <w:tcW w:w="652" w:type="pct"/>
            <w:tcBorders>
              <w:top w:val="single" w:sz="4" w:space="0" w:color="002060"/>
            </w:tcBorders>
            <w:shd w:val="clear" w:color="auto" w:fill="FFFFFF" w:themeFill="background1"/>
            <w:noWrap/>
            <w:vAlign w:val="center"/>
            <w:hideMark/>
          </w:tcPr>
          <w:p w14:paraId="310AAD08" w14:textId="77777777" w:rsidR="004D0357" w:rsidRPr="00646254" w:rsidRDefault="004D0357" w:rsidP="00CE729E">
            <w:pPr>
              <w:spacing w:after="0" w:line="240" w:lineRule="auto"/>
              <w:jc w:val="center"/>
              <w:rPr>
                <w:rFonts w:cstheme="minorHAnsi"/>
                <w:color w:val="002060"/>
                <w:sz w:val="18"/>
                <w:lang w:val="sr-Cyrl-CS"/>
              </w:rPr>
            </w:pPr>
            <w:r w:rsidRPr="00646254">
              <w:rPr>
                <w:rFonts w:cstheme="minorHAnsi"/>
                <w:color w:val="002060"/>
                <w:sz w:val="18"/>
                <w:lang w:val="sr-Cyrl-CS"/>
              </w:rPr>
              <w:t>5,0</w:t>
            </w:r>
          </w:p>
        </w:tc>
        <w:tc>
          <w:tcPr>
            <w:tcW w:w="652" w:type="pct"/>
            <w:tcBorders>
              <w:top w:val="single" w:sz="4" w:space="0" w:color="002060"/>
            </w:tcBorders>
            <w:shd w:val="clear" w:color="auto" w:fill="auto"/>
            <w:noWrap/>
            <w:vAlign w:val="center"/>
            <w:hideMark/>
          </w:tcPr>
          <w:p w14:paraId="019CE9CC" w14:textId="77777777" w:rsidR="004D0357" w:rsidRPr="00646254" w:rsidRDefault="004D0357" w:rsidP="00426178">
            <w:pPr>
              <w:spacing w:after="0" w:line="240" w:lineRule="auto"/>
              <w:jc w:val="center"/>
              <w:rPr>
                <w:rFonts w:cstheme="minorHAnsi"/>
                <w:color w:val="002060"/>
                <w:sz w:val="18"/>
                <w:lang w:val="sr-Cyrl-CS"/>
              </w:rPr>
            </w:pPr>
            <w:r w:rsidRPr="00646254">
              <w:rPr>
                <w:rFonts w:cstheme="minorHAnsi"/>
                <w:color w:val="002060"/>
                <w:sz w:val="18"/>
                <w:lang w:val="sr-Cyrl-CS"/>
              </w:rPr>
              <w:t>4,6</w:t>
            </w:r>
          </w:p>
        </w:tc>
        <w:tc>
          <w:tcPr>
            <w:tcW w:w="651" w:type="pct"/>
            <w:tcBorders>
              <w:top w:val="single" w:sz="4" w:space="0" w:color="002060"/>
            </w:tcBorders>
            <w:shd w:val="clear" w:color="auto" w:fill="auto"/>
            <w:noWrap/>
            <w:vAlign w:val="center"/>
            <w:hideMark/>
          </w:tcPr>
          <w:p w14:paraId="7BC1DB12" w14:textId="77777777" w:rsidR="004D0357" w:rsidRPr="00646254" w:rsidRDefault="004D0357" w:rsidP="00CE729E">
            <w:pPr>
              <w:spacing w:after="0" w:line="240" w:lineRule="auto"/>
              <w:jc w:val="center"/>
              <w:rPr>
                <w:rFonts w:cstheme="minorHAnsi"/>
                <w:color w:val="002060"/>
                <w:sz w:val="18"/>
                <w:lang w:val="sr-Cyrl-CS"/>
              </w:rPr>
            </w:pPr>
            <w:r w:rsidRPr="00646254">
              <w:rPr>
                <w:rFonts w:cstheme="minorHAnsi"/>
                <w:color w:val="002060"/>
                <w:sz w:val="18"/>
                <w:lang w:val="sr-Cyrl-CS"/>
              </w:rPr>
              <w:t>2,1</w:t>
            </w:r>
          </w:p>
        </w:tc>
      </w:tr>
      <w:tr w:rsidR="004D0357" w:rsidRPr="00646254" w14:paraId="3BC0CF05" w14:textId="77777777" w:rsidTr="00CE729E">
        <w:trPr>
          <w:trHeight w:val="227"/>
        </w:trPr>
        <w:tc>
          <w:tcPr>
            <w:tcW w:w="2395" w:type="pct"/>
            <w:shd w:val="clear" w:color="auto" w:fill="auto"/>
            <w:noWrap/>
            <w:vAlign w:val="bottom"/>
            <w:hideMark/>
          </w:tcPr>
          <w:p w14:paraId="7440E6E4" w14:textId="77777777" w:rsidR="004D0357" w:rsidRPr="00646254" w:rsidRDefault="004D0357" w:rsidP="00CE729E">
            <w:pPr>
              <w:spacing w:after="0" w:line="240" w:lineRule="auto"/>
              <w:ind w:left="360" w:hanging="360"/>
              <w:rPr>
                <w:rFonts w:cstheme="minorHAnsi"/>
                <w:color w:val="002060"/>
                <w:sz w:val="18"/>
                <w:lang w:val="sr-Cyrl-CS"/>
              </w:rPr>
            </w:pPr>
            <w:r w:rsidRPr="00646254">
              <w:rPr>
                <w:rFonts w:cstheme="minorHAnsi"/>
                <w:color w:val="002060"/>
                <w:sz w:val="18"/>
                <w:lang w:val="sr-Cyrl-CS"/>
              </w:rPr>
              <w:t>Лична потрошња</w:t>
            </w:r>
          </w:p>
        </w:tc>
        <w:tc>
          <w:tcPr>
            <w:tcW w:w="651" w:type="pct"/>
            <w:shd w:val="clear" w:color="auto" w:fill="auto"/>
            <w:noWrap/>
            <w:vAlign w:val="center"/>
            <w:hideMark/>
          </w:tcPr>
          <w:p w14:paraId="78E6B282" w14:textId="77777777" w:rsidR="004D0357" w:rsidRPr="00646254" w:rsidRDefault="004D0357" w:rsidP="00CE729E">
            <w:pPr>
              <w:spacing w:after="0" w:line="240" w:lineRule="auto"/>
              <w:jc w:val="center"/>
              <w:rPr>
                <w:rFonts w:cstheme="minorHAnsi"/>
                <w:color w:val="002060"/>
                <w:sz w:val="18"/>
                <w:lang w:val="sr-Cyrl-CS"/>
              </w:rPr>
            </w:pPr>
            <w:r w:rsidRPr="00646254">
              <w:rPr>
                <w:rFonts w:cstheme="minorHAnsi"/>
                <w:color w:val="002060"/>
                <w:sz w:val="18"/>
                <w:lang w:val="sr-Cyrl-CS"/>
              </w:rPr>
              <w:t>-8,0</w:t>
            </w:r>
          </w:p>
        </w:tc>
        <w:tc>
          <w:tcPr>
            <w:tcW w:w="652" w:type="pct"/>
            <w:shd w:val="clear" w:color="auto" w:fill="auto"/>
            <w:noWrap/>
            <w:vAlign w:val="center"/>
            <w:hideMark/>
          </w:tcPr>
          <w:p w14:paraId="455B24D4" w14:textId="77777777" w:rsidR="004D0357" w:rsidRPr="00646254" w:rsidRDefault="004D0357" w:rsidP="00426178">
            <w:pPr>
              <w:spacing w:after="0" w:line="240" w:lineRule="auto"/>
              <w:jc w:val="center"/>
              <w:rPr>
                <w:rFonts w:cstheme="minorHAnsi"/>
                <w:color w:val="002060"/>
                <w:sz w:val="18"/>
                <w:lang w:val="sr-Cyrl-CS"/>
              </w:rPr>
            </w:pPr>
            <w:r w:rsidRPr="00646254">
              <w:rPr>
                <w:rFonts w:cstheme="minorHAnsi"/>
                <w:color w:val="002060"/>
                <w:sz w:val="18"/>
                <w:lang w:val="sr-Cyrl-CS"/>
              </w:rPr>
              <w:t>3,6</w:t>
            </w:r>
          </w:p>
        </w:tc>
        <w:tc>
          <w:tcPr>
            <w:tcW w:w="652" w:type="pct"/>
            <w:shd w:val="clear" w:color="auto" w:fill="auto"/>
            <w:noWrap/>
            <w:vAlign w:val="center"/>
            <w:hideMark/>
          </w:tcPr>
          <w:p w14:paraId="54A0BFBE" w14:textId="77777777" w:rsidR="004D0357" w:rsidRPr="00646254" w:rsidRDefault="004D0357" w:rsidP="00426178">
            <w:pPr>
              <w:spacing w:after="0" w:line="240" w:lineRule="auto"/>
              <w:jc w:val="center"/>
              <w:rPr>
                <w:rFonts w:cstheme="minorHAnsi"/>
                <w:color w:val="002060"/>
                <w:sz w:val="18"/>
                <w:lang w:val="sr-Cyrl-CS"/>
              </w:rPr>
            </w:pPr>
            <w:r w:rsidRPr="00646254">
              <w:rPr>
                <w:rFonts w:cstheme="minorHAnsi"/>
                <w:color w:val="002060"/>
                <w:sz w:val="18"/>
                <w:lang w:val="sr-Cyrl-CS"/>
              </w:rPr>
              <w:t>7,0</w:t>
            </w:r>
          </w:p>
        </w:tc>
        <w:tc>
          <w:tcPr>
            <w:tcW w:w="651" w:type="pct"/>
            <w:shd w:val="clear" w:color="auto" w:fill="auto"/>
            <w:noWrap/>
            <w:vAlign w:val="center"/>
            <w:hideMark/>
          </w:tcPr>
          <w:p w14:paraId="35E8B6FD" w14:textId="77777777" w:rsidR="004D0357" w:rsidRPr="00646254" w:rsidRDefault="004D0357" w:rsidP="00CE729E">
            <w:pPr>
              <w:spacing w:after="0" w:line="240" w:lineRule="auto"/>
              <w:jc w:val="center"/>
              <w:rPr>
                <w:rFonts w:cstheme="minorHAnsi"/>
                <w:color w:val="002060"/>
                <w:sz w:val="18"/>
                <w:lang w:val="sr-Cyrl-CS"/>
              </w:rPr>
            </w:pPr>
            <w:r w:rsidRPr="00646254">
              <w:rPr>
                <w:rFonts w:cstheme="minorHAnsi"/>
                <w:color w:val="002060"/>
                <w:sz w:val="18"/>
                <w:lang w:val="sr-Cyrl-CS"/>
              </w:rPr>
              <w:t>2,0</w:t>
            </w:r>
          </w:p>
        </w:tc>
      </w:tr>
      <w:tr w:rsidR="004D0357" w:rsidRPr="00646254" w14:paraId="52DDBD95" w14:textId="77777777" w:rsidTr="00CE729E">
        <w:trPr>
          <w:trHeight w:val="227"/>
        </w:trPr>
        <w:tc>
          <w:tcPr>
            <w:tcW w:w="2395" w:type="pct"/>
            <w:shd w:val="clear" w:color="auto" w:fill="auto"/>
            <w:noWrap/>
            <w:vAlign w:val="bottom"/>
            <w:hideMark/>
          </w:tcPr>
          <w:p w14:paraId="6ED2B4C0" w14:textId="77777777" w:rsidR="004D0357" w:rsidRPr="00646254" w:rsidRDefault="004D0357" w:rsidP="00CE729E">
            <w:pPr>
              <w:spacing w:after="0" w:line="240" w:lineRule="auto"/>
              <w:ind w:left="360" w:hanging="360"/>
              <w:rPr>
                <w:rFonts w:cstheme="minorHAnsi"/>
                <w:color w:val="002060"/>
                <w:sz w:val="18"/>
                <w:lang w:val="sr-Cyrl-CS"/>
              </w:rPr>
            </w:pPr>
            <w:r w:rsidRPr="00646254">
              <w:rPr>
                <w:rFonts w:cstheme="minorHAnsi"/>
                <w:color w:val="002060"/>
                <w:sz w:val="18"/>
                <w:lang w:val="sr-Cyrl-CS"/>
              </w:rPr>
              <w:t>Државна потрошња</w:t>
            </w:r>
          </w:p>
        </w:tc>
        <w:tc>
          <w:tcPr>
            <w:tcW w:w="651" w:type="pct"/>
            <w:shd w:val="clear" w:color="auto" w:fill="auto"/>
            <w:noWrap/>
            <w:vAlign w:val="center"/>
            <w:hideMark/>
          </w:tcPr>
          <w:p w14:paraId="246D23F6" w14:textId="77777777" w:rsidR="004D0357" w:rsidRPr="00646254" w:rsidRDefault="004D0357" w:rsidP="00CE729E">
            <w:pPr>
              <w:spacing w:after="0" w:line="240" w:lineRule="auto"/>
              <w:jc w:val="center"/>
              <w:rPr>
                <w:rFonts w:cstheme="minorHAnsi"/>
                <w:color w:val="002060"/>
                <w:sz w:val="18"/>
                <w:lang w:val="sr-Cyrl-CS"/>
              </w:rPr>
            </w:pPr>
            <w:r w:rsidRPr="00646254">
              <w:rPr>
                <w:rFonts w:cstheme="minorHAnsi"/>
                <w:color w:val="002060"/>
                <w:sz w:val="18"/>
                <w:lang w:val="sr-Cyrl-CS"/>
              </w:rPr>
              <w:t>1,3</w:t>
            </w:r>
          </w:p>
        </w:tc>
        <w:tc>
          <w:tcPr>
            <w:tcW w:w="652" w:type="pct"/>
            <w:shd w:val="clear" w:color="auto" w:fill="auto"/>
            <w:noWrap/>
            <w:vAlign w:val="center"/>
            <w:hideMark/>
          </w:tcPr>
          <w:p w14:paraId="0A0951BD" w14:textId="77777777" w:rsidR="004D0357" w:rsidRPr="00646254" w:rsidRDefault="004D0357" w:rsidP="00CE729E">
            <w:pPr>
              <w:spacing w:after="0" w:line="240" w:lineRule="auto"/>
              <w:jc w:val="center"/>
              <w:rPr>
                <w:rFonts w:cstheme="minorHAnsi"/>
                <w:color w:val="002060"/>
                <w:sz w:val="18"/>
                <w:lang w:val="sr-Cyrl-CS"/>
              </w:rPr>
            </w:pPr>
            <w:r w:rsidRPr="00646254">
              <w:rPr>
                <w:rFonts w:cstheme="minorHAnsi"/>
                <w:color w:val="002060"/>
                <w:sz w:val="18"/>
                <w:lang w:val="sr-Cyrl-CS"/>
              </w:rPr>
              <w:t>3,4</w:t>
            </w:r>
          </w:p>
        </w:tc>
        <w:tc>
          <w:tcPr>
            <w:tcW w:w="652" w:type="pct"/>
            <w:shd w:val="clear" w:color="auto" w:fill="auto"/>
            <w:noWrap/>
            <w:vAlign w:val="center"/>
            <w:hideMark/>
          </w:tcPr>
          <w:p w14:paraId="22916A12" w14:textId="77777777" w:rsidR="004D0357" w:rsidRPr="00646254" w:rsidRDefault="004D0357" w:rsidP="00426178">
            <w:pPr>
              <w:spacing w:after="0" w:line="240" w:lineRule="auto"/>
              <w:jc w:val="center"/>
              <w:rPr>
                <w:rFonts w:cstheme="minorHAnsi"/>
                <w:color w:val="002060"/>
                <w:sz w:val="18"/>
                <w:lang w:val="sr-Cyrl-CS"/>
              </w:rPr>
            </w:pPr>
            <w:r w:rsidRPr="00646254">
              <w:rPr>
                <w:rFonts w:cstheme="minorHAnsi"/>
                <w:color w:val="002060"/>
                <w:sz w:val="18"/>
                <w:lang w:val="sr-Cyrl-CS"/>
              </w:rPr>
              <w:t>-1,2</w:t>
            </w:r>
          </w:p>
        </w:tc>
        <w:tc>
          <w:tcPr>
            <w:tcW w:w="651" w:type="pct"/>
            <w:shd w:val="clear" w:color="auto" w:fill="auto"/>
            <w:noWrap/>
            <w:vAlign w:val="center"/>
            <w:hideMark/>
          </w:tcPr>
          <w:p w14:paraId="3F9F0709" w14:textId="77777777" w:rsidR="004D0357" w:rsidRPr="00646254" w:rsidRDefault="004D0357" w:rsidP="00426178">
            <w:pPr>
              <w:spacing w:after="0" w:line="240" w:lineRule="auto"/>
              <w:jc w:val="center"/>
              <w:rPr>
                <w:rFonts w:cstheme="minorHAnsi"/>
                <w:color w:val="002060"/>
                <w:sz w:val="18"/>
                <w:lang w:val="sr-Cyrl-CS"/>
              </w:rPr>
            </w:pPr>
            <w:r w:rsidRPr="00646254">
              <w:rPr>
                <w:rFonts w:cstheme="minorHAnsi"/>
                <w:color w:val="002060"/>
                <w:sz w:val="18"/>
                <w:lang w:val="sr-Cyrl-CS"/>
              </w:rPr>
              <w:t>0,9</w:t>
            </w:r>
          </w:p>
        </w:tc>
      </w:tr>
      <w:tr w:rsidR="004D0357" w:rsidRPr="00646254" w14:paraId="133281CB" w14:textId="77777777" w:rsidTr="00CE729E">
        <w:trPr>
          <w:trHeight w:val="227"/>
        </w:trPr>
        <w:tc>
          <w:tcPr>
            <w:tcW w:w="2395" w:type="pct"/>
            <w:shd w:val="clear" w:color="auto" w:fill="auto"/>
            <w:noWrap/>
            <w:vAlign w:val="bottom"/>
            <w:hideMark/>
          </w:tcPr>
          <w:p w14:paraId="1FBEEAC0" w14:textId="77777777" w:rsidR="004D0357" w:rsidRPr="00646254" w:rsidRDefault="004D0357" w:rsidP="00CE729E">
            <w:pPr>
              <w:spacing w:after="0" w:line="240" w:lineRule="auto"/>
              <w:ind w:left="360" w:hanging="360"/>
              <w:rPr>
                <w:rFonts w:cstheme="minorHAnsi"/>
                <w:color w:val="002060"/>
                <w:sz w:val="18"/>
                <w:lang w:val="sr-Cyrl-CS"/>
              </w:rPr>
            </w:pPr>
            <w:r w:rsidRPr="00646254">
              <w:rPr>
                <w:rFonts w:cstheme="minorHAnsi"/>
                <w:color w:val="002060"/>
                <w:sz w:val="18"/>
                <w:lang w:val="sr-Cyrl-CS"/>
              </w:rPr>
              <w:t>Бруто инвестиције у основна средства</w:t>
            </w:r>
          </w:p>
        </w:tc>
        <w:tc>
          <w:tcPr>
            <w:tcW w:w="651" w:type="pct"/>
            <w:shd w:val="clear" w:color="auto" w:fill="auto"/>
            <w:noWrap/>
            <w:vAlign w:val="center"/>
            <w:hideMark/>
          </w:tcPr>
          <w:p w14:paraId="7A40979F" w14:textId="77777777" w:rsidR="004D0357" w:rsidRPr="00646254" w:rsidRDefault="004D0357" w:rsidP="00426178">
            <w:pPr>
              <w:spacing w:after="0" w:line="240" w:lineRule="auto"/>
              <w:jc w:val="center"/>
              <w:rPr>
                <w:rFonts w:cstheme="minorHAnsi"/>
                <w:color w:val="002060"/>
                <w:sz w:val="18"/>
                <w:lang w:val="sr-Cyrl-CS"/>
              </w:rPr>
            </w:pPr>
            <w:r w:rsidRPr="00646254">
              <w:rPr>
                <w:rFonts w:cstheme="minorHAnsi"/>
                <w:color w:val="002060"/>
                <w:sz w:val="18"/>
                <w:lang w:val="sr-Cyrl-CS"/>
              </w:rPr>
              <w:t>-7,5</w:t>
            </w:r>
          </w:p>
        </w:tc>
        <w:tc>
          <w:tcPr>
            <w:tcW w:w="652" w:type="pct"/>
            <w:shd w:val="clear" w:color="auto" w:fill="auto"/>
            <w:noWrap/>
            <w:vAlign w:val="center"/>
            <w:hideMark/>
          </w:tcPr>
          <w:p w14:paraId="1B05A0BB" w14:textId="77777777" w:rsidR="004D0357" w:rsidRPr="00646254" w:rsidRDefault="004D0357" w:rsidP="00426178">
            <w:pPr>
              <w:spacing w:after="0" w:line="240" w:lineRule="auto"/>
              <w:jc w:val="center"/>
              <w:rPr>
                <w:rFonts w:cstheme="minorHAnsi"/>
                <w:color w:val="002060"/>
                <w:sz w:val="18"/>
                <w:lang w:val="sr-Cyrl-CS"/>
              </w:rPr>
            </w:pPr>
            <w:r w:rsidRPr="00646254">
              <w:rPr>
                <w:rFonts w:cstheme="minorHAnsi"/>
                <w:color w:val="002060"/>
                <w:sz w:val="18"/>
                <w:lang w:val="sr-Cyrl-CS"/>
              </w:rPr>
              <w:t>7,2</w:t>
            </w:r>
          </w:p>
        </w:tc>
        <w:tc>
          <w:tcPr>
            <w:tcW w:w="652" w:type="pct"/>
            <w:shd w:val="clear" w:color="auto" w:fill="auto"/>
            <w:noWrap/>
            <w:vAlign w:val="center"/>
            <w:hideMark/>
          </w:tcPr>
          <w:p w14:paraId="41F3E40D" w14:textId="77777777" w:rsidR="004D0357" w:rsidRPr="00646254" w:rsidRDefault="004D0357" w:rsidP="00426178">
            <w:pPr>
              <w:spacing w:after="0" w:line="240" w:lineRule="auto"/>
              <w:jc w:val="center"/>
              <w:rPr>
                <w:rFonts w:cstheme="minorHAnsi"/>
                <w:color w:val="002060"/>
                <w:sz w:val="18"/>
                <w:lang w:val="sr-Cyrl-CS"/>
              </w:rPr>
            </w:pPr>
            <w:r w:rsidRPr="00646254">
              <w:rPr>
                <w:rFonts w:cstheme="minorHAnsi"/>
                <w:color w:val="002060"/>
                <w:sz w:val="18"/>
                <w:lang w:val="sr-Cyrl-CS"/>
              </w:rPr>
              <w:t>5,3</w:t>
            </w:r>
          </w:p>
        </w:tc>
        <w:tc>
          <w:tcPr>
            <w:tcW w:w="651" w:type="pct"/>
            <w:shd w:val="clear" w:color="auto" w:fill="auto"/>
            <w:noWrap/>
            <w:vAlign w:val="center"/>
            <w:hideMark/>
          </w:tcPr>
          <w:p w14:paraId="44809074" w14:textId="77777777" w:rsidR="004D0357" w:rsidRPr="00646254" w:rsidRDefault="004D0357" w:rsidP="00CE729E">
            <w:pPr>
              <w:spacing w:after="0" w:line="240" w:lineRule="auto"/>
              <w:jc w:val="center"/>
              <w:rPr>
                <w:rFonts w:cstheme="minorHAnsi"/>
                <w:color w:val="002060"/>
                <w:sz w:val="18"/>
                <w:lang w:val="sr-Cyrl-CS"/>
              </w:rPr>
            </w:pPr>
            <w:r w:rsidRPr="00646254">
              <w:rPr>
                <w:rFonts w:cstheme="minorHAnsi"/>
                <w:color w:val="002060"/>
                <w:sz w:val="18"/>
                <w:lang w:val="sr-Cyrl-CS"/>
              </w:rPr>
              <w:t>3,0</w:t>
            </w:r>
          </w:p>
        </w:tc>
      </w:tr>
      <w:tr w:rsidR="004D0357" w:rsidRPr="00646254" w14:paraId="77DF8EBF" w14:textId="77777777" w:rsidTr="00CE729E">
        <w:trPr>
          <w:trHeight w:val="227"/>
        </w:trPr>
        <w:tc>
          <w:tcPr>
            <w:tcW w:w="2395" w:type="pct"/>
            <w:shd w:val="clear" w:color="auto" w:fill="auto"/>
            <w:noWrap/>
            <w:vAlign w:val="bottom"/>
            <w:hideMark/>
          </w:tcPr>
          <w:p w14:paraId="13A9FF72" w14:textId="77777777" w:rsidR="004D0357" w:rsidRPr="00646254" w:rsidRDefault="004D0357" w:rsidP="00CE729E">
            <w:pPr>
              <w:spacing w:after="0" w:line="240" w:lineRule="auto"/>
              <w:ind w:left="360" w:hanging="360"/>
              <w:rPr>
                <w:rFonts w:cstheme="minorHAnsi"/>
                <w:color w:val="002060"/>
                <w:sz w:val="18"/>
                <w:lang w:val="sr-Cyrl-CS"/>
              </w:rPr>
            </w:pPr>
            <w:r w:rsidRPr="00646254">
              <w:rPr>
                <w:rFonts w:cstheme="minorHAnsi"/>
                <w:color w:val="002060"/>
                <w:sz w:val="18"/>
                <w:lang w:val="sr-Cyrl-CS"/>
              </w:rPr>
              <w:t>Извоз</w:t>
            </w:r>
          </w:p>
        </w:tc>
        <w:tc>
          <w:tcPr>
            <w:tcW w:w="651" w:type="pct"/>
            <w:shd w:val="clear" w:color="auto" w:fill="auto"/>
            <w:noWrap/>
            <w:vAlign w:val="center"/>
            <w:hideMark/>
          </w:tcPr>
          <w:p w14:paraId="7BB982D1" w14:textId="77777777" w:rsidR="004D0357" w:rsidRPr="00646254" w:rsidRDefault="004D0357" w:rsidP="00426178">
            <w:pPr>
              <w:spacing w:after="0" w:line="240" w:lineRule="auto"/>
              <w:jc w:val="center"/>
              <w:rPr>
                <w:rFonts w:cstheme="minorHAnsi"/>
                <w:color w:val="002060"/>
                <w:sz w:val="18"/>
                <w:lang w:val="sr-Cyrl-CS"/>
              </w:rPr>
            </w:pPr>
            <w:r w:rsidRPr="00646254">
              <w:rPr>
                <w:rFonts w:cstheme="minorHAnsi"/>
                <w:color w:val="002060"/>
                <w:sz w:val="18"/>
                <w:lang w:val="sr-Cyrl-CS"/>
              </w:rPr>
              <w:t>-9,3</w:t>
            </w:r>
          </w:p>
        </w:tc>
        <w:tc>
          <w:tcPr>
            <w:tcW w:w="652" w:type="pct"/>
            <w:shd w:val="clear" w:color="auto" w:fill="auto"/>
            <w:noWrap/>
            <w:vAlign w:val="center"/>
            <w:hideMark/>
          </w:tcPr>
          <w:p w14:paraId="16DC73EE" w14:textId="77777777" w:rsidR="004D0357" w:rsidRPr="00646254" w:rsidRDefault="004D0357" w:rsidP="00426178">
            <w:pPr>
              <w:spacing w:after="0" w:line="240" w:lineRule="auto"/>
              <w:jc w:val="center"/>
              <w:rPr>
                <w:rFonts w:cstheme="minorHAnsi"/>
                <w:color w:val="002060"/>
                <w:sz w:val="18"/>
                <w:lang w:val="sr-Cyrl-CS"/>
              </w:rPr>
            </w:pPr>
            <w:r w:rsidRPr="00646254">
              <w:rPr>
                <w:rFonts w:cstheme="minorHAnsi"/>
                <w:color w:val="002060"/>
                <w:sz w:val="18"/>
                <w:lang w:val="sr-Cyrl-CS"/>
              </w:rPr>
              <w:t>8,9</w:t>
            </w:r>
          </w:p>
        </w:tc>
        <w:tc>
          <w:tcPr>
            <w:tcW w:w="652" w:type="pct"/>
            <w:shd w:val="clear" w:color="auto" w:fill="auto"/>
            <w:noWrap/>
            <w:vAlign w:val="center"/>
            <w:hideMark/>
          </w:tcPr>
          <w:p w14:paraId="2258296F" w14:textId="77777777" w:rsidR="004D0357" w:rsidRPr="00646254" w:rsidRDefault="004D0357" w:rsidP="00426178">
            <w:pPr>
              <w:spacing w:after="0" w:line="240" w:lineRule="auto"/>
              <w:jc w:val="center"/>
              <w:rPr>
                <w:rFonts w:cstheme="minorHAnsi"/>
                <w:color w:val="002060"/>
                <w:sz w:val="18"/>
                <w:lang w:val="sr-Cyrl-CS"/>
              </w:rPr>
            </w:pPr>
            <w:r w:rsidRPr="00646254">
              <w:rPr>
                <w:rFonts w:cstheme="minorHAnsi"/>
                <w:color w:val="002060"/>
                <w:sz w:val="18"/>
                <w:lang w:val="sr-Cyrl-CS"/>
              </w:rPr>
              <w:t>6,7</w:t>
            </w:r>
          </w:p>
        </w:tc>
        <w:tc>
          <w:tcPr>
            <w:tcW w:w="651" w:type="pct"/>
            <w:shd w:val="clear" w:color="auto" w:fill="auto"/>
            <w:noWrap/>
            <w:vAlign w:val="center"/>
            <w:hideMark/>
          </w:tcPr>
          <w:p w14:paraId="2B3A551A" w14:textId="77777777" w:rsidR="004D0357" w:rsidRPr="00646254" w:rsidRDefault="004D0357" w:rsidP="00426178">
            <w:pPr>
              <w:spacing w:after="0" w:line="240" w:lineRule="auto"/>
              <w:jc w:val="center"/>
              <w:rPr>
                <w:rFonts w:cstheme="minorHAnsi"/>
                <w:color w:val="002060"/>
                <w:sz w:val="18"/>
                <w:lang w:val="sr-Cyrl-CS"/>
              </w:rPr>
            </w:pPr>
            <w:r w:rsidRPr="00646254">
              <w:rPr>
                <w:rFonts w:cstheme="minorHAnsi"/>
                <w:color w:val="002060"/>
                <w:sz w:val="18"/>
                <w:lang w:val="sr-Cyrl-CS"/>
              </w:rPr>
              <w:t>4,0</w:t>
            </w:r>
          </w:p>
        </w:tc>
      </w:tr>
      <w:tr w:rsidR="004D0357" w:rsidRPr="00646254" w14:paraId="03DA5B3C" w14:textId="77777777" w:rsidTr="00CE729E">
        <w:trPr>
          <w:trHeight w:val="227"/>
        </w:trPr>
        <w:tc>
          <w:tcPr>
            <w:tcW w:w="2395" w:type="pct"/>
            <w:shd w:val="clear" w:color="auto" w:fill="auto"/>
            <w:noWrap/>
            <w:vAlign w:val="bottom"/>
            <w:hideMark/>
          </w:tcPr>
          <w:p w14:paraId="56744074" w14:textId="77777777" w:rsidR="004D0357" w:rsidRPr="00646254" w:rsidRDefault="004D0357" w:rsidP="00CE729E">
            <w:pPr>
              <w:spacing w:after="0" w:line="240" w:lineRule="auto"/>
              <w:ind w:left="360" w:hanging="360"/>
              <w:rPr>
                <w:rFonts w:cstheme="minorHAnsi"/>
                <w:color w:val="002060"/>
                <w:sz w:val="18"/>
                <w:lang w:val="sr-Cyrl-CS"/>
              </w:rPr>
            </w:pPr>
            <w:r w:rsidRPr="00646254">
              <w:rPr>
                <w:rFonts w:cstheme="minorHAnsi"/>
                <w:color w:val="002060"/>
                <w:sz w:val="18"/>
                <w:lang w:val="sr-Cyrl-CS"/>
              </w:rPr>
              <w:t>Увоз</w:t>
            </w:r>
          </w:p>
        </w:tc>
        <w:tc>
          <w:tcPr>
            <w:tcW w:w="651" w:type="pct"/>
            <w:shd w:val="clear" w:color="auto" w:fill="auto"/>
            <w:noWrap/>
            <w:vAlign w:val="center"/>
            <w:hideMark/>
          </w:tcPr>
          <w:p w14:paraId="44D980C6" w14:textId="77777777" w:rsidR="004D0357" w:rsidRPr="00646254" w:rsidRDefault="004D0357" w:rsidP="00426178">
            <w:pPr>
              <w:spacing w:after="0" w:line="240" w:lineRule="auto"/>
              <w:jc w:val="center"/>
              <w:rPr>
                <w:rFonts w:cstheme="minorHAnsi"/>
                <w:color w:val="002060"/>
                <w:sz w:val="18"/>
                <w:lang w:val="sr-Cyrl-CS"/>
              </w:rPr>
            </w:pPr>
            <w:r w:rsidRPr="00646254">
              <w:rPr>
                <w:rFonts w:cstheme="minorHAnsi"/>
                <w:color w:val="002060"/>
                <w:sz w:val="18"/>
                <w:lang w:val="sr-Cyrl-CS"/>
              </w:rPr>
              <w:t>-9,2</w:t>
            </w:r>
          </w:p>
        </w:tc>
        <w:tc>
          <w:tcPr>
            <w:tcW w:w="652" w:type="pct"/>
            <w:shd w:val="clear" w:color="auto" w:fill="auto"/>
            <w:noWrap/>
            <w:vAlign w:val="center"/>
            <w:hideMark/>
          </w:tcPr>
          <w:p w14:paraId="672E1594" w14:textId="77777777" w:rsidR="004D0357" w:rsidRPr="00646254" w:rsidRDefault="004D0357" w:rsidP="00426178">
            <w:pPr>
              <w:spacing w:after="0" w:line="240" w:lineRule="auto"/>
              <w:jc w:val="center"/>
              <w:rPr>
                <w:rFonts w:cstheme="minorHAnsi"/>
                <w:color w:val="002060"/>
                <w:sz w:val="18"/>
                <w:lang w:val="sr-Cyrl-CS"/>
              </w:rPr>
            </w:pPr>
            <w:r w:rsidRPr="00646254">
              <w:rPr>
                <w:rFonts w:cstheme="minorHAnsi"/>
                <w:color w:val="002060"/>
                <w:sz w:val="18"/>
                <w:lang w:val="sr-Cyrl-CS"/>
              </w:rPr>
              <w:t>9,0</w:t>
            </w:r>
          </w:p>
        </w:tc>
        <w:tc>
          <w:tcPr>
            <w:tcW w:w="652" w:type="pct"/>
            <w:shd w:val="clear" w:color="auto" w:fill="auto"/>
            <w:noWrap/>
            <w:vAlign w:val="center"/>
            <w:hideMark/>
          </w:tcPr>
          <w:p w14:paraId="6DFEACF3" w14:textId="77777777" w:rsidR="004D0357" w:rsidRPr="00646254" w:rsidRDefault="004D0357" w:rsidP="00426178">
            <w:pPr>
              <w:spacing w:after="0" w:line="240" w:lineRule="auto"/>
              <w:jc w:val="center"/>
              <w:rPr>
                <w:rFonts w:cstheme="minorHAnsi"/>
                <w:color w:val="002060"/>
                <w:sz w:val="18"/>
                <w:lang w:val="sr-Cyrl-CS"/>
              </w:rPr>
            </w:pPr>
            <w:r w:rsidRPr="00646254">
              <w:rPr>
                <w:rFonts w:cstheme="minorHAnsi"/>
                <w:color w:val="002060"/>
                <w:sz w:val="18"/>
                <w:lang w:val="sr-Cyrl-CS"/>
              </w:rPr>
              <w:t>7,0</w:t>
            </w:r>
          </w:p>
        </w:tc>
        <w:tc>
          <w:tcPr>
            <w:tcW w:w="651" w:type="pct"/>
            <w:shd w:val="clear" w:color="auto" w:fill="auto"/>
            <w:noWrap/>
            <w:vAlign w:val="center"/>
            <w:hideMark/>
          </w:tcPr>
          <w:p w14:paraId="5E3DCC7A" w14:textId="77777777" w:rsidR="004D0357" w:rsidRPr="00646254" w:rsidRDefault="004D0357" w:rsidP="00426178">
            <w:pPr>
              <w:spacing w:after="0" w:line="240" w:lineRule="auto"/>
              <w:jc w:val="center"/>
              <w:rPr>
                <w:rFonts w:cstheme="minorHAnsi"/>
                <w:color w:val="002060"/>
                <w:sz w:val="18"/>
                <w:lang w:val="sr-Cyrl-CS"/>
              </w:rPr>
            </w:pPr>
            <w:r w:rsidRPr="00646254">
              <w:rPr>
                <w:rFonts w:cstheme="minorHAnsi"/>
                <w:color w:val="002060"/>
                <w:sz w:val="18"/>
                <w:lang w:val="sr-Cyrl-CS"/>
              </w:rPr>
              <w:t>3,8</w:t>
            </w:r>
          </w:p>
        </w:tc>
      </w:tr>
      <w:tr w:rsidR="004D0357" w:rsidRPr="00646254" w14:paraId="64B0F661" w14:textId="77777777" w:rsidTr="00CE729E">
        <w:trPr>
          <w:trHeight w:val="227"/>
        </w:trPr>
        <w:tc>
          <w:tcPr>
            <w:tcW w:w="2395" w:type="pct"/>
            <w:shd w:val="clear" w:color="auto" w:fill="auto"/>
            <w:noWrap/>
            <w:vAlign w:val="bottom"/>
            <w:hideMark/>
          </w:tcPr>
          <w:p w14:paraId="6AEACA63" w14:textId="77777777" w:rsidR="004D0357" w:rsidRPr="00646254" w:rsidRDefault="004D0357" w:rsidP="00CE729E">
            <w:pPr>
              <w:spacing w:after="0" w:line="240" w:lineRule="auto"/>
              <w:ind w:left="255" w:hanging="360"/>
              <w:rPr>
                <w:rFonts w:cstheme="minorHAnsi"/>
                <w:color w:val="002060"/>
                <w:sz w:val="18"/>
                <w:lang w:val="sr-Cyrl-CS"/>
              </w:rPr>
            </w:pPr>
            <w:r w:rsidRPr="00646254">
              <w:rPr>
                <w:rFonts w:cstheme="minorHAnsi"/>
                <w:color w:val="002060"/>
                <w:sz w:val="18"/>
                <w:lang w:val="sr-Cyrl-CS"/>
              </w:rPr>
              <w:t>Запосленост</w:t>
            </w:r>
          </w:p>
        </w:tc>
        <w:tc>
          <w:tcPr>
            <w:tcW w:w="651" w:type="pct"/>
            <w:shd w:val="clear" w:color="auto" w:fill="auto"/>
            <w:noWrap/>
            <w:vAlign w:val="center"/>
            <w:hideMark/>
          </w:tcPr>
          <w:p w14:paraId="4C631DA4" w14:textId="77777777" w:rsidR="004D0357" w:rsidRPr="00646254" w:rsidRDefault="004D0357" w:rsidP="00CE729E">
            <w:pPr>
              <w:spacing w:after="0" w:line="240" w:lineRule="auto"/>
              <w:jc w:val="center"/>
              <w:rPr>
                <w:rFonts w:cstheme="minorHAnsi"/>
                <w:color w:val="002060"/>
                <w:sz w:val="18"/>
                <w:lang w:val="sr-Cyrl-CS"/>
              </w:rPr>
            </w:pPr>
            <w:r w:rsidRPr="00646254">
              <w:rPr>
                <w:rFonts w:cstheme="minorHAnsi"/>
                <w:color w:val="002060"/>
                <w:sz w:val="18"/>
                <w:lang w:val="sr-Cyrl-CS"/>
              </w:rPr>
              <w:t>-1,5</w:t>
            </w:r>
          </w:p>
        </w:tc>
        <w:tc>
          <w:tcPr>
            <w:tcW w:w="652" w:type="pct"/>
            <w:shd w:val="clear" w:color="auto" w:fill="auto"/>
            <w:noWrap/>
            <w:vAlign w:val="center"/>
            <w:hideMark/>
          </w:tcPr>
          <w:p w14:paraId="11750927" w14:textId="77777777" w:rsidR="004D0357" w:rsidRPr="00646254" w:rsidRDefault="004D0357" w:rsidP="00426178">
            <w:pPr>
              <w:spacing w:after="0" w:line="240" w:lineRule="auto"/>
              <w:jc w:val="center"/>
              <w:rPr>
                <w:rFonts w:cstheme="minorHAnsi"/>
                <w:color w:val="002060"/>
                <w:sz w:val="18"/>
                <w:lang w:val="sr-Cyrl-CS"/>
              </w:rPr>
            </w:pPr>
            <w:r w:rsidRPr="00646254">
              <w:rPr>
                <w:rFonts w:cstheme="minorHAnsi"/>
                <w:color w:val="002060"/>
                <w:sz w:val="18"/>
                <w:lang w:val="sr-Cyrl-CS"/>
              </w:rPr>
              <w:t>0,5</w:t>
            </w:r>
          </w:p>
        </w:tc>
        <w:tc>
          <w:tcPr>
            <w:tcW w:w="652" w:type="pct"/>
            <w:shd w:val="clear" w:color="auto" w:fill="auto"/>
            <w:noWrap/>
            <w:vAlign w:val="center"/>
            <w:hideMark/>
          </w:tcPr>
          <w:p w14:paraId="51ECD836" w14:textId="77777777" w:rsidR="004D0357" w:rsidRPr="00646254" w:rsidRDefault="004D0357" w:rsidP="00426178">
            <w:pPr>
              <w:spacing w:after="0" w:line="240" w:lineRule="auto"/>
              <w:jc w:val="center"/>
              <w:rPr>
                <w:rFonts w:cstheme="minorHAnsi"/>
                <w:color w:val="002060"/>
                <w:sz w:val="18"/>
                <w:lang w:val="sr-Cyrl-CS"/>
              </w:rPr>
            </w:pPr>
            <w:r w:rsidRPr="00646254">
              <w:rPr>
                <w:rFonts w:cstheme="minorHAnsi"/>
                <w:color w:val="002060"/>
                <w:sz w:val="18"/>
                <w:lang w:val="sr-Cyrl-CS"/>
              </w:rPr>
              <w:t>1,2</w:t>
            </w:r>
          </w:p>
        </w:tc>
        <w:tc>
          <w:tcPr>
            <w:tcW w:w="651" w:type="pct"/>
            <w:shd w:val="clear" w:color="auto" w:fill="auto"/>
            <w:noWrap/>
            <w:vAlign w:val="center"/>
            <w:hideMark/>
          </w:tcPr>
          <w:p w14:paraId="062F6E8E" w14:textId="77777777" w:rsidR="004D0357" w:rsidRPr="00646254" w:rsidRDefault="004D0357" w:rsidP="00CE729E">
            <w:pPr>
              <w:spacing w:after="0" w:line="240" w:lineRule="auto"/>
              <w:jc w:val="center"/>
              <w:rPr>
                <w:rFonts w:cstheme="minorHAnsi"/>
                <w:color w:val="002060"/>
                <w:sz w:val="18"/>
                <w:lang w:val="sr-Cyrl-CS"/>
              </w:rPr>
            </w:pPr>
            <w:r w:rsidRPr="00646254">
              <w:rPr>
                <w:rFonts w:cstheme="minorHAnsi"/>
                <w:color w:val="002060"/>
                <w:sz w:val="18"/>
                <w:lang w:val="sr-Cyrl-CS"/>
              </w:rPr>
              <w:t>1,0</w:t>
            </w:r>
          </w:p>
        </w:tc>
      </w:tr>
      <w:tr w:rsidR="004D0357" w:rsidRPr="00646254" w14:paraId="6508DDC6" w14:textId="77777777" w:rsidTr="00CE729E">
        <w:trPr>
          <w:trHeight w:val="227"/>
        </w:trPr>
        <w:tc>
          <w:tcPr>
            <w:tcW w:w="2395" w:type="pct"/>
            <w:shd w:val="clear" w:color="auto" w:fill="auto"/>
            <w:noWrap/>
            <w:vAlign w:val="bottom"/>
            <w:hideMark/>
          </w:tcPr>
          <w:p w14:paraId="73E8DB4D" w14:textId="77777777" w:rsidR="004D0357" w:rsidRPr="00646254" w:rsidRDefault="004D0357" w:rsidP="00CE729E">
            <w:pPr>
              <w:spacing w:after="0" w:line="240" w:lineRule="auto"/>
              <w:ind w:left="255" w:hanging="360"/>
              <w:rPr>
                <w:rFonts w:cstheme="minorHAnsi"/>
                <w:color w:val="002060"/>
                <w:sz w:val="18"/>
                <w:lang w:val="sr-Cyrl-CS"/>
              </w:rPr>
            </w:pPr>
            <w:r w:rsidRPr="00646254">
              <w:rPr>
                <w:rFonts w:cstheme="minorHAnsi"/>
                <w:color w:val="002060"/>
                <w:sz w:val="18"/>
                <w:lang w:val="sr-Cyrl-CS"/>
              </w:rPr>
              <w:t>Стопа незапослености</w:t>
            </w:r>
          </w:p>
        </w:tc>
        <w:tc>
          <w:tcPr>
            <w:tcW w:w="651" w:type="pct"/>
            <w:shd w:val="clear" w:color="auto" w:fill="auto"/>
            <w:noWrap/>
            <w:vAlign w:val="center"/>
            <w:hideMark/>
          </w:tcPr>
          <w:p w14:paraId="473200AC" w14:textId="77777777" w:rsidR="004D0357" w:rsidRPr="00646254" w:rsidRDefault="004D0357" w:rsidP="00CE729E">
            <w:pPr>
              <w:spacing w:after="0" w:line="240" w:lineRule="auto"/>
              <w:jc w:val="center"/>
              <w:rPr>
                <w:rFonts w:cstheme="minorHAnsi"/>
                <w:color w:val="002060"/>
                <w:sz w:val="18"/>
                <w:lang w:val="sr-Cyrl-CS"/>
              </w:rPr>
            </w:pPr>
            <w:r w:rsidRPr="00646254">
              <w:rPr>
                <w:rFonts w:cstheme="minorHAnsi"/>
                <w:color w:val="002060"/>
                <w:sz w:val="18"/>
                <w:lang w:val="sr-Cyrl-CS"/>
              </w:rPr>
              <w:t>7,9</w:t>
            </w:r>
          </w:p>
        </w:tc>
        <w:tc>
          <w:tcPr>
            <w:tcW w:w="652" w:type="pct"/>
            <w:shd w:val="clear" w:color="auto" w:fill="auto"/>
            <w:noWrap/>
            <w:vAlign w:val="center"/>
            <w:hideMark/>
          </w:tcPr>
          <w:p w14:paraId="6450AF4F" w14:textId="77777777" w:rsidR="004D0357" w:rsidRPr="00646254" w:rsidRDefault="004D0357" w:rsidP="00426178">
            <w:pPr>
              <w:spacing w:after="0" w:line="240" w:lineRule="auto"/>
              <w:jc w:val="center"/>
              <w:rPr>
                <w:rFonts w:cstheme="minorHAnsi"/>
                <w:color w:val="002060"/>
                <w:sz w:val="18"/>
                <w:lang w:val="sr-Cyrl-CS"/>
              </w:rPr>
            </w:pPr>
            <w:r w:rsidRPr="00646254">
              <w:rPr>
                <w:rFonts w:cstheme="minorHAnsi"/>
                <w:color w:val="002060"/>
                <w:sz w:val="18"/>
                <w:lang w:val="sr-Cyrl-CS"/>
              </w:rPr>
              <w:t>7,9</w:t>
            </w:r>
          </w:p>
        </w:tc>
        <w:tc>
          <w:tcPr>
            <w:tcW w:w="652" w:type="pct"/>
            <w:shd w:val="clear" w:color="auto" w:fill="auto"/>
            <w:noWrap/>
            <w:vAlign w:val="center"/>
            <w:hideMark/>
          </w:tcPr>
          <w:p w14:paraId="066247F6" w14:textId="77777777" w:rsidR="004D0357" w:rsidRPr="00646254" w:rsidRDefault="004D0357" w:rsidP="00426178">
            <w:pPr>
              <w:spacing w:after="0" w:line="240" w:lineRule="auto"/>
              <w:jc w:val="center"/>
              <w:rPr>
                <w:rFonts w:cstheme="minorHAnsi"/>
                <w:color w:val="002060"/>
                <w:sz w:val="18"/>
                <w:lang w:val="sr-Cyrl-CS"/>
              </w:rPr>
            </w:pPr>
            <w:r w:rsidRPr="00646254">
              <w:rPr>
                <w:rFonts w:cstheme="minorHAnsi"/>
                <w:color w:val="002060"/>
                <w:sz w:val="18"/>
                <w:lang w:val="sr-Cyrl-CS"/>
              </w:rPr>
              <w:t>7,7</w:t>
            </w:r>
          </w:p>
        </w:tc>
        <w:tc>
          <w:tcPr>
            <w:tcW w:w="651" w:type="pct"/>
            <w:shd w:val="clear" w:color="auto" w:fill="auto"/>
            <w:noWrap/>
            <w:vAlign w:val="center"/>
            <w:hideMark/>
          </w:tcPr>
          <w:p w14:paraId="036F6F2E" w14:textId="77777777" w:rsidR="004D0357" w:rsidRPr="00646254" w:rsidRDefault="004D0357" w:rsidP="00CE729E">
            <w:pPr>
              <w:spacing w:after="0" w:line="240" w:lineRule="auto"/>
              <w:jc w:val="center"/>
              <w:rPr>
                <w:rFonts w:cstheme="minorHAnsi"/>
                <w:color w:val="002060"/>
                <w:sz w:val="18"/>
                <w:lang w:val="sr-Cyrl-CS"/>
              </w:rPr>
            </w:pPr>
            <w:r w:rsidRPr="00646254">
              <w:rPr>
                <w:rFonts w:cstheme="minorHAnsi"/>
                <w:color w:val="002060"/>
                <w:sz w:val="18"/>
                <w:lang w:val="sr-Cyrl-CS"/>
              </w:rPr>
              <w:t>7,3</w:t>
            </w:r>
          </w:p>
        </w:tc>
      </w:tr>
      <w:tr w:rsidR="004D0357" w:rsidRPr="00646254" w14:paraId="2936A449" w14:textId="77777777" w:rsidTr="00CE729E">
        <w:trPr>
          <w:trHeight w:val="227"/>
        </w:trPr>
        <w:tc>
          <w:tcPr>
            <w:tcW w:w="2395" w:type="pct"/>
            <w:shd w:val="clear" w:color="auto" w:fill="auto"/>
            <w:noWrap/>
            <w:vAlign w:val="bottom"/>
            <w:hideMark/>
          </w:tcPr>
          <w:p w14:paraId="2030D943" w14:textId="77777777" w:rsidR="004D0357" w:rsidRPr="00646254" w:rsidRDefault="004D0357" w:rsidP="00CE729E">
            <w:pPr>
              <w:spacing w:after="0" w:line="240" w:lineRule="auto"/>
              <w:ind w:left="255" w:hanging="360"/>
              <w:rPr>
                <w:rFonts w:cstheme="minorHAnsi"/>
                <w:color w:val="002060"/>
                <w:sz w:val="18"/>
                <w:lang w:val="sr-Cyrl-CS"/>
              </w:rPr>
            </w:pPr>
            <w:r w:rsidRPr="00646254">
              <w:rPr>
                <w:rFonts w:cstheme="minorHAnsi"/>
                <w:color w:val="002060"/>
                <w:sz w:val="18"/>
                <w:lang w:val="sr-Cyrl-CS"/>
              </w:rPr>
              <w:t>Инфлација</w:t>
            </w:r>
          </w:p>
        </w:tc>
        <w:tc>
          <w:tcPr>
            <w:tcW w:w="651" w:type="pct"/>
            <w:shd w:val="clear" w:color="auto" w:fill="auto"/>
            <w:noWrap/>
            <w:vAlign w:val="center"/>
            <w:hideMark/>
          </w:tcPr>
          <w:p w14:paraId="0D0B9B23" w14:textId="77777777" w:rsidR="004D0357" w:rsidRPr="00646254" w:rsidRDefault="004D0357" w:rsidP="00CE729E">
            <w:pPr>
              <w:spacing w:after="0" w:line="240" w:lineRule="auto"/>
              <w:jc w:val="center"/>
              <w:rPr>
                <w:rFonts w:cstheme="minorHAnsi"/>
                <w:color w:val="002060"/>
                <w:sz w:val="18"/>
                <w:lang w:val="sr-Cyrl-CS"/>
              </w:rPr>
            </w:pPr>
            <w:r w:rsidRPr="00646254">
              <w:rPr>
                <w:rFonts w:cstheme="minorHAnsi"/>
                <w:color w:val="002060"/>
                <w:sz w:val="18"/>
                <w:lang w:val="sr-Cyrl-CS"/>
              </w:rPr>
              <w:t>0,3</w:t>
            </w:r>
          </w:p>
        </w:tc>
        <w:tc>
          <w:tcPr>
            <w:tcW w:w="652" w:type="pct"/>
            <w:shd w:val="clear" w:color="auto" w:fill="auto"/>
            <w:noWrap/>
            <w:vAlign w:val="center"/>
            <w:hideMark/>
          </w:tcPr>
          <w:p w14:paraId="114B3F3F" w14:textId="77777777" w:rsidR="004D0357" w:rsidRPr="00646254" w:rsidRDefault="004D0357" w:rsidP="00426178">
            <w:pPr>
              <w:spacing w:after="0" w:line="240" w:lineRule="auto"/>
              <w:jc w:val="center"/>
              <w:rPr>
                <w:rFonts w:cstheme="minorHAnsi"/>
                <w:color w:val="002060"/>
                <w:sz w:val="18"/>
                <w:lang w:val="sr-Cyrl-CS"/>
              </w:rPr>
            </w:pPr>
            <w:r w:rsidRPr="00646254">
              <w:rPr>
                <w:rFonts w:cstheme="minorHAnsi"/>
                <w:color w:val="002060"/>
                <w:sz w:val="18"/>
                <w:lang w:val="sr-Cyrl-CS"/>
              </w:rPr>
              <w:t>2,2</w:t>
            </w:r>
          </w:p>
        </w:tc>
        <w:tc>
          <w:tcPr>
            <w:tcW w:w="652" w:type="pct"/>
            <w:shd w:val="clear" w:color="auto" w:fill="auto"/>
            <w:noWrap/>
            <w:vAlign w:val="center"/>
            <w:hideMark/>
          </w:tcPr>
          <w:p w14:paraId="0EC609D7" w14:textId="77777777" w:rsidR="004D0357" w:rsidRPr="00646254" w:rsidRDefault="004D0357" w:rsidP="00426178">
            <w:pPr>
              <w:spacing w:after="0" w:line="240" w:lineRule="auto"/>
              <w:jc w:val="center"/>
              <w:rPr>
                <w:rFonts w:cstheme="minorHAnsi"/>
                <w:color w:val="002060"/>
                <w:sz w:val="18"/>
                <w:lang w:val="sr-Cyrl-CS"/>
              </w:rPr>
            </w:pPr>
            <w:r w:rsidRPr="00646254">
              <w:rPr>
                <w:rFonts w:cstheme="minorHAnsi"/>
                <w:color w:val="002060"/>
                <w:sz w:val="18"/>
                <w:lang w:val="sr-Cyrl-CS"/>
              </w:rPr>
              <w:t>1,7</w:t>
            </w:r>
          </w:p>
        </w:tc>
        <w:tc>
          <w:tcPr>
            <w:tcW w:w="651" w:type="pct"/>
            <w:shd w:val="clear" w:color="auto" w:fill="auto"/>
            <w:noWrap/>
            <w:vAlign w:val="center"/>
            <w:hideMark/>
          </w:tcPr>
          <w:p w14:paraId="5E742830" w14:textId="77777777" w:rsidR="004D0357" w:rsidRPr="00646254" w:rsidRDefault="004D0357" w:rsidP="00CE729E">
            <w:pPr>
              <w:spacing w:after="0" w:line="240" w:lineRule="auto"/>
              <w:jc w:val="center"/>
              <w:rPr>
                <w:rFonts w:cstheme="minorHAnsi"/>
                <w:color w:val="002060"/>
                <w:sz w:val="18"/>
                <w:lang w:val="sr-Cyrl-CS"/>
              </w:rPr>
            </w:pPr>
            <w:r w:rsidRPr="00646254">
              <w:rPr>
                <w:rFonts w:cstheme="minorHAnsi"/>
                <w:color w:val="002060"/>
                <w:sz w:val="18"/>
                <w:lang w:val="sr-Cyrl-CS"/>
              </w:rPr>
              <w:t>1,5</w:t>
            </w:r>
          </w:p>
        </w:tc>
      </w:tr>
      <w:tr w:rsidR="004D0357" w:rsidRPr="00646254" w14:paraId="45203CFB" w14:textId="77777777" w:rsidTr="00CE729E">
        <w:trPr>
          <w:trHeight w:val="227"/>
        </w:trPr>
        <w:tc>
          <w:tcPr>
            <w:tcW w:w="2395" w:type="pct"/>
            <w:shd w:val="clear" w:color="auto" w:fill="auto"/>
            <w:noWrap/>
            <w:vAlign w:val="bottom"/>
            <w:hideMark/>
          </w:tcPr>
          <w:p w14:paraId="30495F1C" w14:textId="77777777" w:rsidR="004D0357" w:rsidRPr="00646254" w:rsidRDefault="004D0357" w:rsidP="00CE729E">
            <w:pPr>
              <w:spacing w:after="0" w:line="240" w:lineRule="auto"/>
              <w:ind w:left="255" w:hanging="360"/>
              <w:rPr>
                <w:rFonts w:cstheme="minorHAnsi"/>
                <w:color w:val="002060"/>
                <w:sz w:val="18"/>
                <w:lang w:val="sr-Cyrl-CS"/>
              </w:rPr>
            </w:pPr>
            <w:r w:rsidRPr="00646254">
              <w:rPr>
                <w:rFonts w:cstheme="minorHAnsi"/>
                <w:color w:val="002060"/>
                <w:sz w:val="18"/>
                <w:lang w:val="sr-Cyrl-CS"/>
              </w:rPr>
              <w:t>Јединични трошкови рада</w:t>
            </w:r>
          </w:p>
        </w:tc>
        <w:tc>
          <w:tcPr>
            <w:tcW w:w="651" w:type="pct"/>
            <w:shd w:val="clear" w:color="auto" w:fill="auto"/>
            <w:noWrap/>
            <w:vAlign w:val="center"/>
            <w:hideMark/>
          </w:tcPr>
          <w:p w14:paraId="09D27FCE" w14:textId="77777777" w:rsidR="004D0357" w:rsidRPr="00646254" w:rsidRDefault="004D0357" w:rsidP="00CE729E">
            <w:pPr>
              <w:spacing w:after="0" w:line="240" w:lineRule="auto"/>
              <w:jc w:val="center"/>
              <w:rPr>
                <w:rFonts w:cstheme="minorHAnsi"/>
                <w:color w:val="002060"/>
                <w:sz w:val="18"/>
                <w:lang w:val="sr-Cyrl-CS"/>
              </w:rPr>
            </w:pPr>
            <w:r w:rsidRPr="00646254">
              <w:rPr>
                <w:rFonts w:cstheme="minorHAnsi"/>
                <w:color w:val="002060"/>
                <w:sz w:val="18"/>
                <w:lang w:val="sr-Cyrl-CS"/>
              </w:rPr>
              <w:t>4,5</w:t>
            </w:r>
          </w:p>
        </w:tc>
        <w:tc>
          <w:tcPr>
            <w:tcW w:w="652" w:type="pct"/>
            <w:shd w:val="clear" w:color="auto" w:fill="auto"/>
            <w:noWrap/>
            <w:vAlign w:val="center"/>
            <w:hideMark/>
          </w:tcPr>
          <w:p w14:paraId="6B7DB203" w14:textId="77777777" w:rsidR="004D0357" w:rsidRPr="00646254" w:rsidRDefault="004D0357" w:rsidP="00426178">
            <w:pPr>
              <w:spacing w:after="0" w:line="240" w:lineRule="auto"/>
              <w:jc w:val="center"/>
              <w:rPr>
                <w:rFonts w:cstheme="minorHAnsi"/>
                <w:color w:val="002060"/>
                <w:sz w:val="18"/>
                <w:lang w:val="sr-Cyrl-CS"/>
              </w:rPr>
            </w:pPr>
            <w:r w:rsidRPr="00646254">
              <w:rPr>
                <w:rFonts w:cstheme="minorHAnsi"/>
                <w:color w:val="002060"/>
                <w:sz w:val="18"/>
                <w:lang w:val="sr-Cyrl-CS"/>
              </w:rPr>
              <w:t>-1,0</w:t>
            </w:r>
          </w:p>
        </w:tc>
        <w:tc>
          <w:tcPr>
            <w:tcW w:w="652" w:type="pct"/>
            <w:shd w:val="clear" w:color="auto" w:fill="auto"/>
            <w:noWrap/>
            <w:vAlign w:val="center"/>
            <w:hideMark/>
          </w:tcPr>
          <w:p w14:paraId="5023156D" w14:textId="77777777" w:rsidR="004D0357" w:rsidRPr="00646254" w:rsidRDefault="004D0357" w:rsidP="00426178">
            <w:pPr>
              <w:spacing w:after="0" w:line="240" w:lineRule="auto"/>
              <w:jc w:val="center"/>
              <w:rPr>
                <w:rFonts w:cstheme="minorHAnsi"/>
                <w:color w:val="002060"/>
                <w:sz w:val="18"/>
                <w:lang w:val="sr-Cyrl-CS"/>
              </w:rPr>
            </w:pPr>
            <w:r w:rsidRPr="00646254">
              <w:rPr>
                <w:rFonts w:cstheme="minorHAnsi"/>
                <w:color w:val="002060"/>
                <w:sz w:val="18"/>
                <w:lang w:val="sr-Cyrl-CS"/>
              </w:rPr>
              <w:t>-0,4</w:t>
            </w:r>
          </w:p>
        </w:tc>
        <w:tc>
          <w:tcPr>
            <w:tcW w:w="651" w:type="pct"/>
            <w:shd w:val="clear" w:color="auto" w:fill="auto"/>
            <w:noWrap/>
            <w:vAlign w:val="center"/>
            <w:hideMark/>
          </w:tcPr>
          <w:p w14:paraId="6CF9C5A5" w14:textId="77777777" w:rsidR="004D0357" w:rsidRPr="00646254" w:rsidRDefault="004D0357" w:rsidP="00CE729E">
            <w:pPr>
              <w:spacing w:after="0" w:line="240" w:lineRule="auto"/>
              <w:jc w:val="center"/>
              <w:rPr>
                <w:rFonts w:cstheme="minorHAnsi"/>
                <w:color w:val="002060"/>
                <w:sz w:val="18"/>
                <w:lang w:val="sr-Cyrl-CS"/>
              </w:rPr>
            </w:pPr>
            <w:r w:rsidRPr="00646254">
              <w:rPr>
                <w:rFonts w:cstheme="minorHAnsi"/>
                <w:color w:val="002060"/>
                <w:sz w:val="18"/>
                <w:lang w:val="sr-Cyrl-CS"/>
              </w:rPr>
              <w:t>1,4</w:t>
            </w:r>
          </w:p>
        </w:tc>
      </w:tr>
      <w:tr w:rsidR="004D0357" w:rsidRPr="00646254" w14:paraId="49D177C1" w14:textId="77777777" w:rsidTr="00CE729E">
        <w:trPr>
          <w:trHeight w:val="227"/>
        </w:trPr>
        <w:tc>
          <w:tcPr>
            <w:tcW w:w="2395" w:type="pct"/>
            <w:shd w:val="clear" w:color="auto" w:fill="auto"/>
            <w:noWrap/>
            <w:vAlign w:val="bottom"/>
            <w:hideMark/>
          </w:tcPr>
          <w:p w14:paraId="00D054B6" w14:textId="77777777" w:rsidR="004D0357" w:rsidRPr="00646254" w:rsidRDefault="004D0357" w:rsidP="00CE729E">
            <w:pPr>
              <w:spacing w:after="0" w:line="240" w:lineRule="auto"/>
              <w:ind w:left="255" w:hanging="360"/>
              <w:rPr>
                <w:rFonts w:cstheme="minorHAnsi"/>
                <w:color w:val="002060"/>
                <w:sz w:val="18"/>
                <w:lang w:val="sr-Cyrl-CS"/>
              </w:rPr>
            </w:pPr>
            <w:r w:rsidRPr="00646254">
              <w:rPr>
                <w:rFonts w:cstheme="minorHAnsi"/>
                <w:color w:val="002060"/>
                <w:sz w:val="18"/>
                <w:lang w:val="sr-Cyrl-CS"/>
              </w:rPr>
              <w:t>Фискални резултат опште државе, % БДП</w:t>
            </w:r>
          </w:p>
        </w:tc>
        <w:tc>
          <w:tcPr>
            <w:tcW w:w="651" w:type="pct"/>
            <w:shd w:val="clear" w:color="auto" w:fill="auto"/>
            <w:noWrap/>
            <w:vAlign w:val="center"/>
            <w:hideMark/>
          </w:tcPr>
          <w:p w14:paraId="534E7054" w14:textId="77777777" w:rsidR="004D0357" w:rsidRPr="00646254" w:rsidRDefault="004D0357" w:rsidP="00CE729E">
            <w:pPr>
              <w:spacing w:after="0" w:line="240" w:lineRule="auto"/>
              <w:jc w:val="center"/>
              <w:rPr>
                <w:rFonts w:cstheme="minorHAnsi"/>
                <w:color w:val="002060"/>
                <w:sz w:val="18"/>
                <w:lang w:val="sr-Cyrl-CS"/>
              </w:rPr>
            </w:pPr>
            <w:r w:rsidRPr="00646254">
              <w:rPr>
                <w:rFonts w:cstheme="minorHAnsi"/>
                <w:color w:val="002060"/>
                <w:sz w:val="18"/>
                <w:lang w:val="sr-Cyrl-CS"/>
              </w:rPr>
              <w:t>-7,3</w:t>
            </w:r>
          </w:p>
        </w:tc>
        <w:tc>
          <w:tcPr>
            <w:tcW w:w="652" w:type="pct"/>
            <w:shd w:val="clear" w:color="auto" w:fill="auto"/>
            <w:noWrap/>
            <w:vAlign w:val="center"/>
            <w:hideMark/>
          </w:tcPr>
          <w:p w14:paraId="033838C9" w14:textId="77777777" w:rsidR="004D0357" w:rsidRPr="00646254" w:rsidRDefault="004D0357" w:rsidP="00CE729E">
            <w:pPr>
              <w:spacing w:after="0" w:line="240" w:lineRule="auto"/>
              <w:jc w:val="center"/>
              <w:rPr>
                <w:rFonts w:cstheme="minorHAnsi"/>
                <w:color w:val="002060"/>
                <w:sz w:val="18"/>
                <w:lang w:val="sr-Cyrl-CS"/>
              </w:rPr>
            </w:pPr>
            <w:r w:rsidRPr="00646254">
              <w:rPr>
                <w:rFonts w:cstheme="minorHAnsi"/>
                <w:color w:val="002060"/>
                <w:sz w:val="18"/>
                <w:lang w:val="sr-Cyrl-CS"/>
              </w:rPr>
              <w:t>-7,1</w:t>
            </w:r>
          </w:p>
        </w:tc>
        <w:tc>
          <w:tcPr>
            <w:tcW w:w="652" w:type="pct"/>
            <w:shd w:val="clear" w:color="auto" w:fill="auto"/>
            <w:noWrap/>
            <w:vAlign w:val="center"/>
            <w:hideMark/>
          </w:tcPr>
          <w:p w14:paraId="1EE73609" w14:textId="77777777" w:rsidR="004D0357" w:rsidRPr="00646254" w:rsidRDefault="004D0357" w:rsidP="00426178">
            <w:pPr>
              <w:spacing w:after="0" w:line="240" w:lineRule="auto"/>
              <w:jc w:val="center"/>
              <w:rPr>
                <w:rFonts w:cstheme="minorHAnsi"/>
                <w:color w:val="002060"/>
                <w:sz w:val="18"/>
                <w:lang w:val="sr-Cyrl-CS"/>
              </w:rPr>
            </w:pPr>
            <w:r w:rsidRPr="00646254">
              <w:rPr>
                <w:rFonts w:cstheme="minorHAnsi"/>
                <w:color w:val="002060"/>
                <w:sz w:val="18"/>
                <w:lang w:val="sr-Cyrl-CS"/>
              </w:rPr>
              <w:t>-3,0</w:t>
            </w:r>
          </w:p>
        </w:tc>
        <w:tc>
          <w:tcPr>
            <w:tcW w:w="651" w:type="pct"/>
            <w:shd w:val="clear" w:color="auto" w:fill="auto"/>
            <w:noWrap/>
            <w:vAlign w:val="center"/>
            <w:hideMark/>
          </w:tcPr>
          <w:p w14:paraId="2710C7E6" w14:textId="77777777" w:rsidR="004D0357" w:rsidRPr="00646254" w:rsidRDefault="004D0357" w:rsidP="00CE729E">
            <w:pPr>
              <w:spacing w:after="0" w:line="240" w:lineRule="auto"/>
              <w:jc w:val="center"/>
              <w:rPr>
                <w:rFonts w:cstheme="minorHAnsi"/>
                <w:color w:val="002060"/>
                <w:sz w:val="18"/>
                <w:lang w:val="sr-Cyrl-CS"/>
              </w:rPr>
            </w:pPr>
            <w:r w:rsidRPr="00646254">
              <w:rPr>
                <w:rFonts w:cstheme="minorHAnsi"/>
                <w:color w:val="002060"/>
                <w:sz w:val="18"/>
                <w:lang w:val="sr-Cyrl-CS"/>
              </w:rPr>
              <w:t>-2,1</w:t>
            </w:r>
          </w:p>
        </w:tc>
      </w:tr>
      <w:tr w:rsidR="004D0357" w:rsidRPr="00646254" w14:paraId="52335294" w14:textId="77777777" w:rsidTr="00CE729E">
        <w:trPr>
          <w:trHeight w:val="227"/>
        </w:trPr>
        <w:tc>
          <w:tcPr>
            <w:tcW w:w="2395" w:type="pct"/>
            <w:shd w:val="clear" w:color="auto" w:fill="auto"/>
            <w:noWrap/>
            <w:vAlign w:val="bottom"/>
            <w:hideMark/>
          </w:tcPr>
          <w:p w14:paraId="03EBFF9C" w14:textId="77777777" w:rsidR="004D0357" w:rsidRPr="00646254" w:rsidRDefault="004D0357" w:rsidP="00CE729E">
            <w:pPr>
              <w:spacing w:after="0" w:line="240" w:lineRule="auto"/>
              <w:ind w:left="255" w:hanging="360"/>
              <w:rPr>
                <w:rFonts w:cstheme="minorHAnsi"/>
                <w:color w:val="002060"/>
                <w:sz w:val="18"/>
                <w:lang w:val="sr-Cyrl-CS"/>
              </w:rPr>
            </w:pPr>
            <w:r w:rsidRPr="00646254">
              <w:rPr>
                <w:rFonts w:cstheme="minorHAnsi"/>
                <w:color w:val="002060"/>
                <w:sz w:val="18"/>
                <w:lang w:val="sr-Cyrl-CS"/>
              </w:rPr>
              <w:t>Бруто дуг опште државе, % БДП</w:t>
            </w:r>
          </w:p>
        </w:tc>
        <w:tc>
          <w:tcPr>
            <w:tcW w:w="651" w:type="pct"/>
            <w:shd w:val="clear" w:color="auto" w:fill="auto"/>
            <w:noWrap/>
            <w:vAlign w:val="center"/>
            <w:hideMark/>
          </w:tcPr>
          <w:p w14:paraId="0FB9A4A5" w14:textId="77777777" w:rsidR="004D0357" w:rsidRPr="00646254" w:rsidRDefault="004D0357" w:rsidP="00CE729E">
            <w:pPr>
              <w:spacing w:after="0" w:line="240" w:lineRule="auto"/>
              <w:jc w:val="center"/>
              <w:rPr>
                <w:rFonts w:cstheme="minorHAnsi"/>
                <w:color w:val="002060"/>
                <w:sz w:val="18"/>
                <w:lang w:val="sr-Cyrl-CS"/>
              </w:rPr>
            </w:pPr>
            <w:r w:rsidRPr="00646254">
              <w:rPr>
                <w:rFonts w:cstheme="minorHAnsi"/>
                <w:color w:val="002060"/>
                <w:sz w:val="18"/>
                <w:lang w:val="sr-Cyrl-CS"/>
              </w:rPr>
              <w:t>98,0</w:t>
            </w:r>
          </w:p>
        </w:tc>
        <w:tc>
          <w:tcPr>
            <w:tcW w:w="652" w:type="pct"/>
            <w:shd w:val="clear" w:color="auto" w:fill="auto"/>
            <w:noWrap/>
            <w:vAlign w:val="center"/>
            <w:hideMark/>
          </w:tcPr>
          <w:p w14:paraId="5FEDFE6B" w14:textId="77777777" w:rsidR="004D0357" w:rsidRPr="00646254" w:rsidRDefault="004D0357" w:rsidP="00426178">
            <w:pPr>
              <w:spacing w:after="0" w:line="240" w:lineRule="auto"/>
              <w:jc w:val="center"/>
              <w:rPr>
                <w:rFonts w:cstheme="minorHAnsi"/>
                <w:color w:val="002060"/>
                <w:sz w:val="18"/>
                <w:lang w:val="sr-Cyrl-CS"/>
              </w:rPr>
            </w:pPr>
            <w:r w:rsidRPr="00646254">
              <w:rPr>
                <w:rFonts w:cstheme="minorHAnsi"/>
                <w:color w:val="002060"/>
                <w:sz w:val="18"/>
                <w:lang w:val="sr-Cyrl-CS"/>
              </w:rPr>
              <w:t>98,7</w:t>
            </w:r>
          </w:p>
        </w:tc>
        <w:tc>
          <w:tcPr>
            <w:tcW w:w="652" w:type="pct"/>
            <w:shd w:val="clear" w:color="auto" w:fill="auto"/>
            <w:noWrap/>
            <w:vAlign w:val="center"/>
            <w:hideMark/>
          </w:tcPr>
          <w:p w14:paraId="48463CB7" w14:textId="77777777" w:rsidR="004D0357" w:rsidRPr="00646254" w:rsidRDefault="004D0357" w:rsidP="00CE729E">
            <w:pPr>
              <w:spacing w:after="0" w:line="240" w:lineRule="auto"/>
              <w:jc w:val="center"/>
              <w:rPr>
                <w:rFonts w:cstheme="minorHAnsi"/>
                <w:color w:val="002060"/>
                <w:sz w:val="18"/>
                <w:lang w:val="sr-Cyrl-CS"/>
              </w:rPr>
            </w:pPr>
            <w:r w:rsidRPr="00646254">
              <w:rPr>
                <w:rFonts w:cstheme="minorHAnsi"/>
                <w:color w:val="002060"/>
                <w:sz w:val="18"/>
                <w:lang w:val="sr-Cyrl-CS"/>
              </w:rPr>
              <w:t>95,1</w:t>
            </w:r>
          </w:p>
        </w:tc>
        <w:tc>
          <w:tcPr>
            <w:tcW w:w="651" w:type="pct"/>
            <w:shd w:val="clear" w:color="auto" w:fill="auto"/>
            <w:noWrap/>
            <w:vAlign w:val="center"/>
            <w:hideMark/>
          </w:tcPr>
          <w:p w14:paraId="49941D42" w14:textId="77777777" w:rsidR="004D0357" w:rsidRPr="00646254" w:rsidRDefault="004D0357" w:rsidP="00CE729E">
            <w:pPr>
              <w:spacing w:after="0" w:line="240" w:lineRule="auto"/>
              <w:jc w:val="center"/>
              <w:rPr>
                <w:rFonts w:cstheme="minorHAnsi"/>
                <w:color w:val="002060"/>
                <w:sz w:val="18"/>
                <w:lang w:val="sr-Cyrl-CS"/>
              </w:rPr>
            </w:pPr>
            <w:r w:rsidRPr="00646254">
              <w:rPr>
                <w:rFonts w:cstheme="minorHAnsi"/>
                <w:color w:val="002060"/>
                <w:sz w:val="18"/>
                <w:lang w:val="sr-Cyrl-CS"/>
              </w:rPr>
              <w:t>93,6</w:t>
            </w:r>
          </w:p>
        </w:tc>
      </w:tr>
      <w:tr w:rsidR="004D0357" w:rsidRPr="00646254" w14:paraId="2EAD9AE8" w14:textId="77777777" w:rsidTr="00CE729E">
        <w:trPr>
          <w:trHeight w:val="227"/>
        </w:trPr>
        <w:tc>
          <w:tcPr>
            <w:tcW w:w="2395" w:type="pct"/>
            <w:tcBorders>
              <w:bottom w:val="single" w:sz="4" w:space="0" w:color="002060"/>
            </w:tcBorders>
            <w:shd w:val="clear" w:color="auto" w:fill="auto"/>
            <w:noWrap/>
            <w:vAlign w:val="bottom"/>
            <w:hideMark/>
          </w:tcPr>
          <w:p w14:paraId="15F3DD4C" w14:textId="77777777" w:rsidR="004D0357" w:rsidRPr="00646254" w:rsidRDefault="004D0357" w:rsidP="00CE729E">
            <w:pPr>
              <w:spacing w:after="0" w:line="240" w:lineRule="auto"/>
              <w:ind w:left="255" w:hanging="360"/>
              <w:rPr>
                <w:rFonts w:cstheme="minorHAnsi"/>
                <w:color w:val="002060"/>
                <w:sz w:val="18"/>
                <w:lang w:val="sr-Cyrl-CS"/>
              </w:rPr>
            </w:pPr>
            <w:r w:rsidRPr="00646254">
              <w:rPr>
                <w:rFonts w:cstheme="minorHAnsi"/>
                <w:color w:val="002060"/>
                <w:sz w:val="18"/>
                <w:lang w:val="sr-Cyrl-CS"/>
              </w:rPr>
              <w:t>Салдо текућег рачуна, %БДП</w:t>
            </w:r>
          </w:p>
        </w:tc>
        <w:tc>
          <w:tcPr>
            <w:tcW w:w="651" w:type="pct"/>
            <w:tcBorders>
              <w:bottom w:val="single" w:sz="4" w:space="0" w:color="002060"/>
            </w:tcBorders>
            <w:shd w:val="clear" w:color="auto" w:fill="auto"/>
            <w:noWrap/>
            <w:vAlign w:val="center"/>
            <w:hideMark/>
          </w:tcPr>
          <w:p w14:paraId="477D64CE" w14:textId="77777777" w:rsidR="004D0357" w:rsidRPr="00646254" w:rsidRDefault="004D0357" w:rsidP="00CE729E">
            <w:pPr>
              <w:spacing w:after="0" w:line="240" w:lineRule="auto"/>
              <w:jc w:val="center"/>
              <w:rPr>
                <w:rFonts w:cstheme="minorHAnsi"/>
                <w:color w:val="002060"/>
                <w:sz w:val="18"/>
                <w:lang w:val="sr-Cyrl-CS"/>
              </w:rPr>
            </w:pPr>
            <w:r w:rsidRPr="00646254">
              <w:rPr>
                <w:rFonts w:cstheme="minorHAnsi"/>
                <w:color w:val="002060"/>
                <w:sz w:val="18"/>
                <w:lang w:val="sr-Cyrl-CS"/>
              </w:rPr>
              <w:t>2,1</w:t>
            </w:r>
          </w:p>
        </w:tc>
        <w:tc>
          <w:tcPr>
            <w:tcW w:w="652" w:type="pct"/>
            <w:tcBorders>
              <w:bottom w:val="single" w:sz="4" w:space="0" w:color="002060"/>
            </w:tcBorders>
            <w:shd w:val="clear" w:color="auto" w:fill="auto"/>
            <w:noWrap/>
            <w:vAlign w:val="center"/>
            <w:hideMark/>
          </w:tcPr>
          <w:p w14:paraId="30911585" w14:textId="77777777" w:rsidR="004D0357" w:rsidRPr="00646254" w:rsidRDefault="004D0357" w:rsidP="00426178">
            <w:pPr>
              <w:spacing w:after="0" w:line="240" w:lineRule="auto"/>
              <w:jc w:val="center"/>
              <w:rPr>
                <w:rFonts w:cstheme="minorHAnsi"/>
                <w:color w:val="002060"/>
                <w:sz w:val="18"/>
                <w:lang w:val="sr-Cyrl-CS"/>
              </w:rPr>
            </w:pPr>
            <w:r w:rsidRPr="00646254">
              <w:rPr>
                <w:rFonts w:cstheme="minorHAnsi"/>
                <w:color w:val="002060"/>
                <w:sz w:val="18"/>
                <w:lang w:val="sr-Cyrl-CS"/>
              </w:rPr>
              <w:t>1,8</w:t>
            </w:r>
          </w:p>
        </w:tc>
        <w:tc>
          <w:tcPr>
            <w:tcW w:w="652" w:type="pct"/>
            <w:tcBorders>
              <w:bottom w:val="single" w:sz="4" w:space="0" w:color="002060"/>
            </w:tcBorders>
            <w:shd w:val="clear" w:color="auto" w:fill="auto"/>
            <w:noWrap/>
            <w:vAlign w:val="center"/>
            <w:hideMark/>
          </w:tcPr>
          <w:p w14:paraId="48F34B42" w14:textId="77777777" w:rsidR="004D0357" w:rsidRPr="00646254" w:rsidRDefault="004D0357" w:rsidP="00426178">
            <w:pPr>
              <w:spacing w:after="0" w:line="240" w:lineRule="auto"/>
              <w:jc w:val="center"/>
              <w:rPr>
                <w:rFonts w:cstheme="minorHAnsi"/>
                <w:color w:val="002060"/>
                <w:sz w:val="18"/>
                <w:lang w:val="sr-Cyrl-CS"/>
              </w:rPr>
            </w:pPr>
            <w:r w:rsidRPr="00646254">
              <w:rPr>
                <w:rFonts w:cstheme="minorHAnsi"/>
                <w:color w:val="002060"/>
                <w:sz w:val="18"/>
                <w:lang w:val="sr-Cyrl-CS"/>
              </w:rPr>
              <w:t>1,3</w:t>
            </w:r>
          </w:p>
        </w:tc>
        <w:tc>
          <w:tcPr>
            <w:tcW w:w="651" w:type="pct"/>
            <w:tcBorders>
              <w:bottom w:val="single" w:sz="4" w:space="0" w:color="002060"/>
            </w:tcBorders>
            <w:shd w:val="clear" w:color="auto" w:fill="auto"/>
            <w:noWrap/>
            <w:vAlign w:val="center"/>
            <w:hideMark/>
          </w:tcPr>
          <w:p w14:paraId="389B08CE" w14:textId="77777777" w:rsidR="004D0357" w:rsidRPr="00646254" w:rsidRDefault="004D0357" w:rsidP="00CE729E">
            <w:pPr>
              <w:spacing w:after="0" w:line="240" w:lineRule="auto"/>
              <w:jc w:val="center"/>
              <w:rPr>
                <w:rFonts w:cstheme="minorHAnsi"/>
                <w:color w:val="002060"/>
                <w:sz w:val="18"/>
                <w:lang w:val="sr-Cyrl-CS"/>
              </w:rPr>
            </w:pPr>
            <w:r w:rsidRPr="00646254">
              <w:rPr>
                <w:rFonts w:cstheme="minorHAnsi"/>
                <w:color w:val="002060"/>
                <w:sz w:val="18"/>
                <w:lang w:val="sr-Cyrl-CS"/>
              </w:rPr>
              <w:t>1,5</w:t>
            </w:r>
          </w:p>
        </w:tc>
      </w:tr>
    </w:tbl>
    <w:p w14:paraId="551C887A" w14:textId="77777777" w:rsidR="004D0357" w:rsidRPr="00646254" w:rsidRDefault="004D0357">
      <w:pPr>
        <w:rPr>
          <w:sz w:val="16"/>
          <w:lang w:val="sr-Cyrl-CS"/>
        </w:rPr>
      </w:pPr>
      <w:r w:rsidRPr="00646254">
        <w:rPr>
          <w:sz w:val="16"/>
          <w:lang w:val="sr-Cyrl-CS"/>
        </w:rPr>
        <w:t>Извор: Макроекономске пројекције стручњака ЕЦБ за подручје еврозоне, септембар 2021.</w:t>
      </w:r>
    </w:p>
    <w:p w14:paraId="1244E7DD" w14:textId="77777777" w:rsidR="002A6CF0" w:rsidRPr="00646254" w:rsidRDefault="002A6CF0">
      <w:pPr>
        <w:jc w:val="left"/>
        <w:rPr>
          <w:rFonts w:eastAsiaTheme="majorEastAsia" w:cstheme="minorHAnsi"/>
          <w:b/>
          <w:color w:val="2F5496" w:themeColor="accent1" w:themeShade="BF"/>
          <w:sz w:val="24"/>
          <w:szCs w:val="26"/>
          <w:lang w:val="sr-Cyrl-CS"/>
        </w:rPr>
      </w:pPr>
      <w:r w:rsidRPr="00646254">
        <w:rPr>
          <w:rFonts w:cstheme="minorHAnsi"/>
          <w:b/>
          <w:sz w:val="24"/>
          <w:lang w:val="sr-Cyrl-CS"/>
        </w:rPr>
        <w:br w:type="page"/>
      </w:r>
    </w:p>
    <w:p w14:paraId="29968AAB" w14:textId="77777777" w:rsidR="006C54B1" w:rsidRPr="00646254" w:rsidRDefault="006C54B1" w:rsidP="001476C8">
      <w:pPr>
        <w:pStyle w:val="Heading2"/>
        <w:jc w:val="center"/>
        <w:rPr>
          <w:rFonts w:asciiTheme="minorHAnsi" w:hAnsiTheme="minorHAnsi" w:cstheme="minorHAnsi"/>
          <w:b/>
          <w:sz w:val="24"/>
          <w:lang w:val="sr-Cyrl-CS"/>
        </w:rPr>
      </w:pPr>
      <w:bookmarkStart w:id="6" w:name="_Toc530041994"/>
      <w:bookmarkStart w:id="7" w:name="_Toc23342462"/>
      <w:bookmarkStart w:id="8" w:name="_Toc86650470"/>
      <w:bookmarkEnd w:id="2"/>
      <w:bookmarkEnd w:id="3"/>
      <w:bookmarkEnd w:id="4"/>
      <w:r w:rsidRPr="00646254">
        <w:rPr>
          <w:rFonts w:asciiTheme="minorHAnsi" w:hAnsiTheme="minorHAnsi" w:cstheme="minorHAnsi"/>
          <w:b/>
          <w:sz w:val="24"/>
          <w:lang w:val="sr-Cyrl-CS"/>
        </w:rPr>
        <w:lastRenderedPageBreak/>
        <w:t>3. Текућа макроекономска кретања у Републици Србији и изгледи</w:t>
      </w:r>
      <w:r w:rsidRPr="00646254">
        <w:rPr>
          <w:rFonts w:asciiTheme="minorHAnsi" w:hAnsiTheme="minorHAnsi" w:cstheme="minorHAnsi"/>
          <w:b/>
          <w:sz w:val="24"/>
          <w:lang w:val="sr-Cyrl-CS"/>
        </w:rPr>
        <w:br w:type="textWrapping" w:clear="all"/>
        <w:t>за период 2022–2024. године</w:t>
      </w:r>
      <w:bookmarkEnd w:id="6"/>
      <w:bookmarkEnd w:id="7"/>
      <w:bookmarkEnd w:id="8"/>
    </w:p>
    <w:p w14:paraId="0F528EC7" w14:textId="6A064F13" w:rsidR="006C54B1" w:rsidRPr="00646254" w:rsidRDefault="00003763" w:rsidP="00B435B3">
      <w:pPr>
        <w:rPr>
          <w:lang w:val="sr-Cyrl-CS"/>
        </w:rPr>
      </w:pPr>
      <w:r w:rsidRPr="00646254">
        <w:rPr>
          <w:rFonts w:cstheme="minorHAnsi"/>
          <w:bCs/>
          <w:noProof/>
          <w:color w:val="0070C0"/>
          <w:szCs w:val="72"/>
        </w:rPr>
        <mc:AlternateContent>
          <mc:Choice Requires="wps">
            <w:drawing>
              <wp:anchor distT="0" distB="0" distL="114300" distR="114300" simplePos="0" relativeHeight="251674112" behindDoc="1" locked="0" layoutInCell="1" allowOverlap="1" wp14:anchorId="0DF1419C" wp14:editId="2BD791FA">
                <wp:simplePos x="0" y="0"/>
                <wp:positionH relativeFrom="margin">
                  <wp:posOffset>-186055</wp:posOffset>
                </wp:positionH>
                <wp:positionV relativeFrom="paragraph">
                  <wp:posOffset>244475</wp:posOffset>
                </wp:positionV>
                <wp:extent cx="6334760" cy="7546340"/>
                <wp:effectExtent l="0" t="0" r="8890" b="0"/>
                <wp:wrapNone/>
                <wp:docPr id="65" name="Rectangle 65"/>
                <wp:cNvGraphicFramePr/>
                <a:graphic xmlns:a="http://schemas.openxmlformats.org/drawingml/2006/main">
                  <a:graphicData uri="http://schemas.microsoft.com/office/word/2010/wordprocessingShape">
                    <wps:wsp>
                      <wps:cNvSpPr/>
                      <wps:spPr>
                        <a:xfrm>
                          <a:off x="0" y="0"/>
                          <a:ext cx="6334760" cy="7546340"/>
                        </a:xfrm>
                        <a:prstGeom prst="rect">
                          <a:avLst/>
                        </a:prstGeom>
                        <a:pattFill prst="pct25">
                          <a:fgClr>
                            <a:schemeClr val="bg1">
                              <a:lumMod val="85000"/>
                            </a:schemeClr>
                          </a:fgClr>
                          <a:bgClr>
                            <a:schemeClr val="bg1"/>
                          </a:bgClr>
                        </a:patt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ABA0439" id="Rectangle 65" o:spid="_x0000_s1026" style="position:absolute;margin-left:-14.65pt;margin-top:19.25pt;width:498.8pt;height:594.2pt;z-index:-2516423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" fillcolor="#d8d8d8 [2732]" stroked="f" strokeweight="1pt">
                <v:fill r:id="rId28" o:title="" color2="white [3212]" type="pattern"/>
                <w10:wrap anchorx="margin"/>
              </v:rect>
            </w:pict>
          </mc:Fallback>
        </mc:AlternateContent>
      </w:r>
    </w:p>
    <w:p w14:paraId="6D3C14CC" w14:textId="77777777" w:rsidR="006C54B1" w:rsidRPr="00646254" w:rsidRDefault="006C54B1" w:rsidP="00B435B3">
      <w:pPr>
        <w:rPr>
          <w:lang w:val="sr-Cyrl-CS"/>
        </w:rPr>
        <w:sectPr w:rsidR="006C54B1" w:rsidRPr="00646254" w:rsidSect="00426178">
          <w:headerReference w:type="even" r:id="rId29"/>
          <w:headerReference w:type="default" r:id="rId30"/>
          <w:footerReference w:type="even" r:id="rId31"/>
          <w:footerReference w:type="default" r:id="rId32"/>
          <w:type w:val="continuous"/>
          <w:pgSz w:w="12240" w:h="15840" w:code="1"/>
          <w:pgMar w:top="1418" w:right="1418" w:bottom="1418" w:left="1418" w:header="720" w:footer="720" w:gutter="0"/>
          <w:cols w:space="720"/>
          <w:docGrid w:linePitch="272"/>
        </w:sectPr>
      </w:pPr>
    </w:p>
    <w:p w14:paraId="34F6D244" w14:textId="493DFC56" w:rsidR="006C54B1" w:rsidRPr="00646254" w:rsidRDefault="006C54B1" w:rsidP="00426178">
      <w:pPr>
        <w:rPr>
          <w:rFonts w:cstheme="minorHAnsi"/>
          <w:color w:val="0070C0"/>
          <w:lang w:val="sr-Cyrl-CS"/>
        </w:rPr>
      </w:pPr>
      <w:r w:rsidRPr="00646254">
        <w:rPr>
          <w:rFonts w:cstheme="minorHAnsi"/>
          <w:bCs/>
          <w:color w:val="0070C0"/>
          <w:szCs w:val="72"/>
          <w:lang w:val="sr-Cyrl-CS"/>
        </w:rPr>
        <w:t>Текућа макроекономска кретања и изгледи повољнији су од иницијално пројектованих Фискалном стратегијом. Пакет економских мера реализован током 2021. године директно је допринео повећању ликвидности привредних субјеката и олакшању пословања, посебно у оним секторима који су и даље под нешто јачим утицајем пандемије, попут туризма и путничког саобраћаја, док кроз давања становништву подстиче домаћу тражњу и на тај начин индиректно утиче на економску активност. Паралелно са економским мерама, ублажавање рестриктивних здравствених мера резултирало је и динамичнијим опоравком појединих делатности услужног сектора који су највише погођени пандемијом. Поред ових привремених фактора који су позитивно допринели економској активности дошло је и до структурних побољшања. Она се пре свега огледају у активирању нових и проширењу постојећих извозно конкурентних производних капацитета, као и у даљем убрзаном развоју путне и железничке инфраструктуре којима се трајно повећава потенцијал домаће привреде. Структурна побољшања привреде подржана мерама економске политике материјализовала су се већ у првој половини 2021. године, снажним повећањем БДП од 7,6% што је бољи резултат од иницијално пројектованог и један од главних разлога ревизије навише очекиваног раста БДП.</w:t>
      </w:r>
    </w:p>
    <w:p w14:paraId="7BED53CA" w14:textId="6344BB15" w:rsidR="006C54B1" w:rsidRPr="00646254" w:rsidRDefault="006C54B1" w:rsidP="00426178">
      <w:pPr>
        <w:rPr>
          <w:rFonts w:cstheme="minorHAnsi"/>
          <w:bCs/>
          <w:color w:val="0070C0"/>
          <w:spacing w:val="-2"/>
          <w:szCs w:val="72"/>
          <w:lang w:val="sr-Cyrl-CS"/>
        </w:rPr>
      </w:pPr>
      <w:r w:rsidRPr="00646254">
        <w:rPr>
          <w:rFonts w:cstheme="minorHAnsi"/>
          <w:bCs/>
          <w:color w:val="0070C0"/>
          <w:spacing w:val="-2"/>
          <w:szCs w:val="72"/>
          <w:lang w:val="sr-Cyrl-CS"/>
        </w:rPr>
        <w:t>Раст економске активности и пакет економске подршке резултирали су изостанком значајнијих негативних ефекта пандемије на тржиште рада. Очувана су радна места и зараде, како у приватном тако и у јавном сектору, стопа активности становништва на тржишту рада је повећана у поређењу са предпандемијским периодом, а сценарио масовног повећања незапослености је избегнут. Истовремено, повећање плата и пензија није угрозило успостављену макроекономску равнотежу и допринело је бржем опоравку домаће тражње. Поред тога, активним учешћем у социо-економском дијал</w:t>
      </w:r>
      <w:r w:rsidR="004120FF" w:rsidRPr="00646254">
        <w:rPr>
          <w:rFonts w:cstheme="minorHAnsi"/>
          <w:bCs/>
          <w:color w:val="0070C0"/>
          <w:spacing w:val="-2"/>
          <w:szCs w:val="72"/>
          <w:lang w:val="sr-Cyrl-CS"/>
        </w:rPr>
        <w:t>огу повећана је и минимална ценa</w:t>
      </w:r>
      <w:r w:rsidRPr="00646254">
        <w:rPr>
          <w:rFonts w:cstheme="minorHAnsi"/>
          <w:bCs/>
          <w:color w:val="0070C0"/>
          <w:spacing w:val="-2"/>
          <w:szCs w:val="72"/>
          <w:lang w:val="sr-Cyrl-CS"/>
        </w:rPr>
        <w:t xml:space="preserve"> рада на начин који не оптерећује додатно </w:t>
      </w:r>
      <w:r w:rsidRPr="00646254">
        <w:rPr>
          <w:rFonts w:cstheme="minorHAnsi"/>
          <w:bCs/>
          <w:color w:val="0070C0"/>
          <w:spacing w:val="-2"/>
          <w:szCs w:val="72"/>
          <w:lang w:val="sr-Cyrl-CS"/>
        </w:rPr>
        <w:t>привреду и не угрожава њену конкурентност, а са интенцијом да се обезбеди инклузивни привредни раст и креира амбијент социјалне кохезије.</w:t>
      </w:r>
    </w:p>
    <w:p w14:paraId="5AB46B76" w14:textId="77777777" w:rsidR="006C54B1" w:rsidRPr="00646254" w:rsidRDefault="006C54B1" w:rsidP="00031215">
      <w:pPr>
        <w:rPr>
          <w:rFonts w:cstheme="minorHAnsi"/>
          <w:bCs/>
          <w:color w:val="0070C0"/>
          <w:szCs w:val="72"/>
          <w:lang w:val="sr-Cyrl-CS"/>
        </w:rPr>
      </w:pPr>
      <w:r w:rsidRPr="00646254">
        <w:rPr>
          <w:rFonts w:cstheme="minorHAnsi"/>
          <w:bCs/>
          <w:color w:val="0070C0"/>
          <w:szCs w:val="72"/>
          <w:lang w:val="sr-Cyrl-CS"/>
        </w:rPr>
        <w:t>Инфлација се почетком године кретала на ниском и стабилном нивоу. Повећање инфлације од другог квартала 2021. године последица је привремених фактора, пре свега раста светских цена енергената и примарних пољопривредних производа, али и застоја у глобалним ланцима снабдевања. Са престанком њиховог дејства очекује се постепено смањење инфлације и враћање у оквиру граница циљаног распона. Ипак оваква ценовна кретања одразила су се на ревизију навише очекиване инфлације током ове и наредне године у поређењу са претходном Фискалном стратегијом.</w:t>
      </w:r>
    </w:p>
    <w:p w14:paraId="568B6A1A" w14:textId="77777777" w:rsidR="006C54B1" w:rsidRPr="00646254" w:rsidRDefault="006C54B1" w:rsidP="00031215">
      <w:pPr>
        <w:rPr>
          <w:rFonts w:cstheme="minorHAnsi"/>
          <w:color w:val="0070C0"/>
          <w:lang w:val="sr-Cyrl-CS"/>
        </w:rPr>
      </w:pPr>
      <w:r w:rsidRPr="00646254">
        <w:rPr>
          <w:rFonts w:cstheme="minorHAnsi"/>
          <w:bCs/>
          <w:color w:val="0070C0"/>
          <w:szCs w:val="72"/>
          <w:lang w:val="sr-Cyrl-CS"/>
        </w:rPr>
        <w:t>Повећана експанзивност фискалне политике није нарушила одрживост јавних финансија.</w:t>
      </w:r>
      <w:r w:rsidRPr="00646254">
        <w:rPr>
          <w:rFonts w:cstheme="minorHAnsi"/>
          <w:color w:val="0070C0"/>
          <w:lang w:val="sr-Cyrl-CS"/>
        </w:rPr>
        <w:t xml:space="preserve"> Боља наплата прихода, пре свега пореских, услед бржег од очекиваног раста привреде одразили су се и на мањи ниво дефицита и јавног дуга.</w:t>
      </w:r>
      <w:r w:rsidRPr="00646254">
        <w:rPr>
          <w:rFonts w:ascii="Times New Roman" w:hAnsi="Times New Roman" w:cs="Times New Roman"/>
          <w:bCs/>
          <w:color w:val="0070C0"/>
          <w:sz w:val="24"/>
          <w:szCs w:val="24"/>
          <w:lang w:val="sr-Cyrl-CS"/>
        </w:rPr>
        <w:t xml:space="preserve"> </w:t>
      </w:r>
      <w:r w:rsidRPr="00646254">
        <w:rPr>
          <w:rFonts w:cstheme="minorHAnsi"/>
          <w:bCs/>
          <w:color w:val="0070C0"/>
          <w:lang w:val="sr-Cyrl-CS"/>
        </w:rPr>
        <w:t>Задржавање јавног дуга испод 60% БДП је важан резултат у овој години и основно сидро за вођење фискалне политике у наредном периоду.</w:t>
      </w:r>
    </w:p>
    <w:p w14:paraId="3D72584A" w14:textId="77777777" w:rsidR="006C54B1" w:rsidRPr="00646254" w:rsidRDefault="006C54B1" w:rsidP="00031215">
      <w:pPr>
        <w:rPr>
          <w:rFonts w:cstheme="minorHAnsi"/>
          <w:color w:val="0070C0"/>
          <w:lang w:val="sr-Cyrl-CS"/>
        </w:rPr>
        <w:sectPr w:rsidR="006C54B1" w:rsidRPr="00646254" w:rsidSect="00CE5657">
          <w:type w:val="continuous"/>
          <w:pgSz w:w="12240" w:h="15840"/>
          <w:pgMar w:top="1440" w:right="1440" w:bottom="1440" w:left="1440" w:header="720" w:footer="720" w:gutter="0"/>
          <w:cols w:num="2" w:space="720"/>
          <w:docGrid w:linePitch="360"/>
          <w15:footnoteColumns w:val="1"/>
        </w:sectPr>
      </w:pPr>
      <w:r w:rsidRPr="00646254">
        <w:rPr>
          <w:rFonts w:cstheme="minorHAnsi"/>
          <w:bCs/>
          <w:color w:val="0070C0"/>
          <w:szCs w:val="72"/>
          <w:lang w:val="sr-Cyrl-CS"/>
        </w:rPr>
        <w:t>Мере које доприносе ублажавању последица епидемије остају у фокусу креатора економске политике и у наредном периоду. Поред тога, препозната је неопходност проналажења нових извора раста, па су иновације, истраживање и развој и креативне индустрије у сталном фокусу приликом дефинисања будућих политика. Како би се подржао економски раст и осигурао одрживији и еколошки прихватљивији развој један од приоритета Владе je и имплементација зелених пројеката и подршка програму зеленог раста, што је потврђено и успешном емисијом зелених обвезница на међународном финансијском тржишту у септембру. Напори су усмерени и на интензивирање реформских процеса како би се обезбедио континуитет побољшања привредног окружења и омогућило даље подизањe кредитног рејтинга земље.</w:t>
      </w:r>
    </w:p>
    <w:p w14:paraId="66B1D77C" w14:textId="77777777" w:rsidR="006C54B1" w:rsidRPr="00646254" w:rsidRDefault="006C54B1" w:rsidP="00B435B3">
      <w:pPr>
        <w:pStyle w:val="NoSpacing"/>
        <w:jc w:val="center"/>
        <w:rPr>
          <w:rFonts w:cstheme="minorHAnsi"/>
          <w:color w:val="002060"/>
          <w:spacing w:val="-6"/>
          <w:lang w:val="sr-Cyrl-CS"/>
        </w:rPr>
      </w:pPr>
      <w:r w:rsidRPr="00646254">
        <w:rPr>
          <w:rFonts w:cstheme="minorHAnsi"/>
          <w:color w:val="002060"/>
          <w:spacing w:val="-6"/>
          <w:lang w:val="sr-Cyrl-CS"/>
        </w:rPr>
        <w:lastRenderedPageBreak/>
        <w:t>Ревизија кретања основних макроекономских агрегата у односу на претходну Фискалну стратегију</w:t>
      </w:r>
    </w:p>
    <w:p w14:paraId="4FA4B0A0" w14:textId="77777777" w:rsidR="006C54B1" w:rsidRPr="00646254" w:rsidRDefault="006C54B1" w:rsidP="00B435B3">
      <w:pPr>
        <w:spacing w:after="0"/>
        <w:rPr>
          <w:color w:val="002060"/>
          <w:sz w:val="10"/>
          <w:lang w:val="sr-Cyrl-CS"/>
        </w:rPr>
      </w:pPr>
    </w:p>
    <w:p w14:paraId="7C18B846" w14:textId="77777777" w:rsidR="006C54B1" w:rsidRPr="00646254" w:rsidRDefault="006C54B1" w:rsidP="00B435B3">
      <w:pPr>
        <w:jc w:val="center"/>
        <w:rPr>
          <w:b/>
          <w:color w:val="002060"/>
          <w:szCs w:val="21"/>
          <w:lang w:val="sr-Cyrl-CS"/>
        </w:rPr>
      </w:pPr>
      <w:r w:rsidRPr="00646254">
        <w:rPr>
          <w:b/>
          <w:color w:val="002060"/>
          <w:szCs w:val="21"/>
          <w:lang w:val="sr-Cyrl-CS"/>
        </w:rPr>
        <w:t>Реални раст БДП, %</w:t>
      </w:r>
    </w:p>
    <w:p w14:paraId="5B624093" w14:textId="77777777" w:rsidR="006C54B1" w:rsidRPr="00646254" w:rsidRDefault="006C54B1" w:rsidP="00B435B3">
      <w:pPr>
        <w:spacing w:after="0"/>
        <w:rPr>
          <w:lang w:val="sr-Cyrl-CS"/>
        </w:rPr>
      </w:pPr>
      <w:r w:rsidRPr="00646254">
        <w:rPr>
          <w:noProof/>
        </w:rPr>
        <w:drawing>
          <wp:inline distT="0" distB="0" distL="0" distR="0" wp14:anchorId="62777A7D" wp14:editId="1CA30320">
            <wp:extent cx="1332000" cy="1224000"/>
            <wp:effectExtent l="0" t="0" r="0" b="0"/>
            <wp:docPr id="54" name="Chart 54">
              <a:extLst xmlns:a="http://schemas.openxmlformats.org/drawingml/2006/main">
                <a:ext uri="{FF2B5EF4-FFF2-40B4-BE49-F238E27FC236}">
                  <a16:creationId xmlns:a16="http://schemas.microsoft.com/office/drawing/2014/main" id="{00000000-0008-0000-09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r w:rsidRPr="00646254">
        <w:rPr>
          <w:lang w:val="sr-Cyrl-CS"/>
        </w:rPr>
        <w:t xml:space="preserve">  </w:t>
      </w:r>
      <w:r w:rsidRPr="00646254">
        <w:rPr>
          <w:noProof/>
        </w:rPr>
        <w:drawing>
          <wp:inline distT="0" distB="0" distL="0" distR="0" wp14:anchorId="34BBA3D0" wp14:editId="1D883D74">
            <wp:extent cx="1332000" cy="1224000"/>
            <wp:effectExtent l="0" t="0" r="0" b="0"/>
            <wp:docPr id="55" name="Chart 55">
              <a:extLst xmlns:a="http://schemas.openxmlformats.org/drawingml/2006/main">
                <a:ext uri="{FF2B5EF4-FFF2-40B4-BE49-F238E27FC236}">
                  <a16:creationId xmlns:a16="http://schemas.microsoft.com/office/drawing/2014/main" id="{00000000-0008-0000-0900-000028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63543E03" w14:textId="77777777" w:rsidR="006C54B1" w:rsidRPr="00646254" w:rsidRDefault="006C54B1" w:rsidP="00B435B3">
      <w:pPr>
        <w:spacing w:after="0"/>
        <w:rPr>
          <w:lang w:val="sr-Cyrl-CS"/>
        </w:rPr>
      </w:pPr>
    </w:p>
    <w:p w14:paraId="31DBE789" w14:textId="77777777" w:rsidR="006C54B1" w:rsidRPr="00646254" w:rsidRDefault="006C54B1" w:rsidP="00426178">
      <w:pPr>
        <w:jc w:val="center"/>
        <w:rPr>
          <w:b/>
          <w:color w:val="002060"/>
          <w:szCs w:val="21"/>
          <w:lang w:val="sr-Cyrl-CS"/>
        </w:rPr>
      </w:pPr>
      <w:r w:rsidRPr="00646254">
        <w:rPr>
          <w:b/>
          <w:color w:val="002060"/>
          <w:szCs w:val="21"/>
          <w:lang w:val="sr-Cyrl-CS"/>
        </w:rPr>
        <w:t>Салдо текућег рачуна, % БДП</w:t>
      </w:r>
    </w:p>
    <w:p w14:paraId="5C4E4291" w14:textId="77777777" w:rsidR="006C54B1" w:rsidRPr="00646254" w:rsidRDefault="006C54B1" w:rsidP="00B435B3">
      <w:pPr>
        <w:spacing w:after="0"/>
        <w:jc w:val="left"/>
        <w:rPr>
          <w:lang w:val="sr-Cyrl-CS"/>
        </w:rPr>
      </w:pPr>
      <w:r w:rsidRPr="00646254">
        <w:rPr>
          <w:noProof/>
        </w:rPr>
        <w:drawing>
          <wp:inline distT="0" distB="0" distL="0" distR="0" wp14:anchorId="0EAA4B48" wp14:editId="3616CF37">
            <wp:extent cx="1332000" cy="1224000"/>
            <wp:effectExtent l="0" t="0" r="1905" b="0"/>
            <wp:docPr id="56" name="Chart 56">
              <a:extLst xmlns:a="http://schemas.openxmlformats.org/drawingml/2006/main">
                <a:ext uri="{FF2B5EF4-FFF2-40B4-BE49-F238E27FC236}">
                  <a16:creationId xmlns:a16="http://schemas.microsoft.com/office/drawing/2014/main" id="{00000000-0008-0000-0900-00002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r w:rsidRPr="00646254">
        <w:rPr>
          <w:lang w:val="sr-Cyrl-CS"/>
        </w:rPr>
        <w:t xml:space="preserve">  </w:t>
      </w:r>
      <w:r w:rsidRPr="00646254">
        <w:rPr>
          <w:noProof/>
        </w:rPr>
        <w:drawing>
          <wp:inline distT="0" distB="0" distL="0" distR="0" wp14:anchorId="24184474" wp14:editId="5206D6F4">
            <wp:extent cx="1332000" cy="1224000"/>
            <wp:effectExtent l="0" t="0" r="1905" b="0"/>
            <wp:docPr id="57" name="Chart 57">
              <a:extLst xmlns:a="http://schemas.openxmlformats.org/drawingml/2006/main">
                <a:ext uri="{FF2B5EF4-FFF2-40B4-BE49-F238E27FC236}">
                  <a16:creationId xmlns:a16="http://schemas.microsoft.com/office/drawing/2014/main" id="{00000000-0008-0000-0900-00002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415C9FAC" w14:textId="77777777" w:rsidR="006C54B1" w:rsidRPr="00646254" w:rsidRDefault="006C54B1" w:rsidP="00B435B3">
      <w:pPr>
        <w:spacing w:after="0"/>
        <w:rPr>
          <w:lang w:val="sr-Cyrl-CS"/>
        </w:rPr>
      </w:pPr>
    </w:p>
    <w:p w14:paraId="19667203" w14:textId="77777777" w:rsidR="006C54B1" w:rsidRPr="00646254" w:rsidRDefault="006C54B1" w:rsidP="00B435B3">
      <w:pPr>
        <w:spacing w:after="0"/>
        <w:jc w:val="center"/>
        <w:rPr>
          <w:b/>
          <w:color w:val="002060"/>
          <w:szCs w:val="21"/>
          <w:lang w:val="sr-Cyrl-CS"/>
        </w:rPr>
      </w:pPr>
      <w:r w:rsidRPr="00646254">
        <w:rPr>
          <w:b/>
          <w:color w:val="002060"/>
          <w:szCs w:val="21"/>
          <w:lang w:val="sr-Cyrl-CS"/>
        </w:rPr>
        <w:t>Инфлација, просек периода, %</w:t>
      </w:r>
    </w:p>
    <w:p w14:paraId="0A309F7B" w14:textId="77777777" w:rsidR="006C54B1" w:rsidRPr="00646254" w:rsidRDefault="006C54B1" w:rsidP="00B435B3">
      <w:pPr>
        <w:spacing w:after="0"/>
        <w:rPr>
          <w:lang w:val="sr-Cyrl-CS"/>
        </w:rPr>
      </w:pPr>
      <w:r w:rsidRPr="00646254">
        <w:rPr>
          <w:noProof/>
        </w:rPr>
        <w:drawing>
          <wp:inline distT="0" distB="0" distL="0" distR="0" wp14:anchorId="6B712D0C" wp14:editId="6FDA2077">
            <wp:extent cx="1332000" cy="1008000"/>
            <wp:effectExtent l="0" t="0" r="1905" b="0"/>
            <wp:docPr id="58" name="Chart 58">
              <a:extLst xmlns:a="http://schemas.openxmlformats.org/drawingml/2006/main">
                <a:ext uri="{FF2B5EF4-FFF2-40B4-BE49-F238E27FC236}">
                  <a16:creationId xmlns:a16="http://schemas.microsoft.com/office/drawing/2014/main" id="{00000000-0008-0000-0900-00003A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r w:rsidRPr="00646254">
        <w:rPr>
          <w:lang w:val="sr-Cyrl-CS"/>
        </w:rPr>
        <w:t xml:space="preserve">  </w:t>
      </w:r>
      <w:r w:rsidRPr="00646254">
        <w:rPr>
          <w:noProof/>
        </w:rPr>
        <w:drawing>
          <wp:inline distT="0" distB="0" distL="0" distR="0" wp14:anchorId="1E1C5FDB" wp14:editId="41961A51">
            <wp:extent cx="1332000" cy="1008000"/>
            <wp:effectExtent l="0" t="0" r="1905" b="0"/>
            <wp:docPr id="59" name="Chart 59">
              <a:extLst xmlns:a="http://schemas.openxmlformats.org/drawingml/2006/main">
                <a:ext uri="{FF2B5EF4-FFF2-40B4-BE49-F238E27FC236}">
                  <a16:creationId xmlns:a16="http://schemas.microsoft.com/office/drawing/2014/main" id="{00000000-0008-0000-0900-00003C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0662E29E" w14:textId="77777777" w:rsidR="006C54B1" w:rsidRPr="00646254" w:rsidRDefault="006C54B1" w:rsidP="00B435B3">
      <w:pPr>
        <w:spacing w:after="0"/>
        <w:rPr>
          <w:rFonts w:cstheme="minorHAnsi"/>
          <w:szCs w:val="72"/>
          <w:lang w:val="sr-Cyrl-CS"/>
        </w:rPr>
      </w:pPr>
    </w:p>
    <w:p w14:paraId="1A9C6BF7" w14:textId="77777777" w:rsidR="006C54B1" w:rsidRPr="00646254" w:rsidRDefault="006C54B1" w:rsidP="00426178">
      <w:pPr>
        <w:spacing w:after="0"/>
        <w:jc w:val="center"/>
        <w:rPr>
          <w:b/>
          <w:color w:val="002060"/>
          <w:szCs w:val="21"/>
          <w:lang w:val="sr-Cyrl-CS"/>
        </w:rPr>
      </w:pPr>
      <w:r w:rsidRPr="00646254">
        <w:rPr>
          <w:b/>
          <w:color w:val="002060"/>
          <w:szCs w:val="21"/>
          <w:lang w:val="sr-Cyrl-CS"/>
        </w:rPr>
        <w:t>Фискални резултат, % БДП</w:t>
      </w:r>
    </w:p>
    <w:p w14:paraId="7DE6AEC7" w14:textId="77777777" w:rsidR="006C54B1" w:rsidRPr="00646254" w:rsidRDefault="006C54B1" w:rsidP="00B435B3">
      <w:pPr>
        <w:spacing w:after="0"/>
        <w:rPr>
          <w:lang w:val="sr-Cyrl-CS"/>
        </w:rPr>
      </w:pPr>
      <w:r w:rsidRPr="00646254">
        <w:rPr>
          <w:noProof/>
        </w:rPr>
        <w:drawing>
          <wp:inline distT="0" distB="0" distL="0" distR="0" wp14:anchorId="367C7363" wp14:editId="5F636E43">
            <wp:extent cx="1332000" cy="1224000"/>
            <wp:effectExtent l="0" t="0" r="1905" b="0"/>
            <wp:docPr id="60" name="Chart 60">
              <a:extLst xmlns:a="http://schemas.openxmlformats.org/drawingml/2006/main">
                <a:ext uri="{FF2B5EF4-FFF2-40B4-BE49-F238E27FC236}">
                  <a16:creationId xmlns:a16="http://schemas.microsoft.com/office/drawing/2014/main" id="{00000000-0008-0000-0900-00003E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r w:rsidRPr="00646254">
        <w:rPr>
          <w:lang w:val="sr-Cyrl-CS" w:eastAsia="en-GB"/>
        </w:rPr>
        <w:t xml:space="preserve">  </w:t>
      </w:r>
      <w:r w:rsidRPr="00646254">
        <w:rPr>
          <w:noProof/>
        </w:rPr>
        <w:drawing>
          <wp:inline distT="0" distB="0" distL="0" distR="0" wp14:anchorId="0489DD41" wp14:editId="37F9C315">
            <wp:extent cx="1332000" cy="1224000"/>
            <wp:effectExtent l="0" t="0" r="1905" b="0"/>
            <wp:docPr id="62" name="Chart 62">
              <a:extLst xmlns:a="http://schemas.openxmlformats.org/drawingml/2006/main">
                <a:ext uri="{FF2B5EF4-FFF2-40B4-BE49-F238E27FC236}">
                  <a16:creationId xmlns:a16="http://schemas.microsoft.com/office/drawing/2014/main" id="{00000000-0008-0000-0900-000040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15CC1683" w14:textId="77777777" w:rsidR="006C54B1" w:rsidRPr="00646254" w:rsidRDefault="006C54B1" w:rsidP="00B435B3">
      <w:pPr>
        <w:spacing w:after="0"/>
        <w:rPr>
          <w:lang w:val="sr-Cyrl-CS"/>
        </w:rPr>
      </w:pPr>
    </w:p>
    <w:p w14:paraId="518849C6" w14:textId="77777777" w:rsidR="006C54B1" w:rsidRPr="00646254" w:rsidRDefault="006C54B1" w:rsidP="00426178">
      <w:pPr>
        <w:spacing w:after="0"/>
        <w:jc w:val="center"/>
        <w:rPr>
          <w:b/>
          <w:color w:val="002060"/>
          <w:szCs w:val="21"/>
          <w:lang w:val="sr-Cyrl-CS"/>
        </w:rPr>
      </w:pPr>
      <w:r w:rsidRPr="00646254">
        <w:rPr>
          <w:b/>
          <w:color w:val="002060"/>
          <w:szCs w:val="21"/>
          <w:lang w:val="sr-Cyrl-CS"/>
        </w:rPr>
        <w:t>Јавни дуг опште државе, % БДП</w:t>
      </w:r>
    </w:p>
    <w:p w14:paraId="748314E2" w14:textId="77777777" w:rsidR="006C54B1" w:rsidRPr="00646254" w:rsidRDefault="006C54B1" w:rsidP="00426178">
      <w:pPr>
        <w:spacing w:after="0"/>
        <w:jc w:val="center"/>
        <w:rPr>
          <w:lang w:val="sr-Cyrl-CS"/>
        </w:rPr>
      </w:pPr>
      <w:r w:rsidRPr="00646254">
        <w:rPr>
          <w:noProof/>
        </w:rPr>
        <w:drawing>
          <wp:inline distT="0" distB="0" distL="0" distR="0" wp14:anchorId="03BDC683" wp14:editId="227546D0">
            <wp:extent cx="1332000" cy="1224000"/>
            <wp:effectExtent l="0" t="0" r="0" b="0"/>
            <wp:docPr id="11" name="Chart 11">
              <a:extLst xmlns:a="http://schemas.openxmlformats.org/drawingml/2006/main">
                <a:ext uri="{FF2B5EF4-FFF2-40B4-BE49-F238E27FC236}">
                  <a16:creationId xmlns:a16="http://schemas.microsoft.com/office/drawing/2014/main" id="{00000000-0008-0000-0900-000041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r w:rsidRPr="00646254">
        <w:rPr>
          <w:lang w:val="sr-Cyrl-CS"/>
        </w:rPr>
        <w:t xml:space="preserve">  </w:t>
      </w:r>
      <w:r w:rsidRPr="00646254">
        <w:rPr>
          <w:noProof/>
        </w:rPr>
        <w:drawing>
          <wp:inline distT="0" distB="0" distL="0" distR="0" wp14:anchorId="082A6E63" wp14:editId="5ED970C1">
            <wp:extent cx="1332000" cy="1224000"/>
            <wp:effectExtent l="0" t="0" r="0" b="0"/>
            <wp:docPr id="4" name="Chart 4">
              <a:extLst xmlns:a="http://schemas.openxmlformats.org/drawingml/2006/main">
                <a:ext uri="{FF2B5EF4-FFF2-40B4-BE49-F238E27FC236}">
                  <a16:creationId xmlns:a16="http://schemas.microsoft.com/office/drawing/2014/main" id="{00000000-0008-0000-0900-00004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63C507C7" w14:textId="77777777" w:rsidR="006C54B1" w:rsidRPr="00646254" w:rsidRDefault="006C54B1" w:rsidP="00426178">
      <w:pPr>
        <w:spacing w:before="240"/>
        <w:jc w:val="left"/>
        <w:rPr>
          <w:rFonts w:cstheme="minorHAnsi"/>
          <w:b/>
          <w:color w:val="2F5496" w:themeColor="accent1" w:themeShade="BF"/>
          <w:sz w:val="22"/>
          <w:lang w:val="sr-Cyrl-CS"/>
        </w:rPr>
      </w:pPr>
      <w:r w:rsidRPr="00646254">
        <w:rPr>
          <w:rFonts w:cstheme="minorHAnsi"/>
          <w:b/>
          <w:color w:val="2F5496" w:themeColor="accent1" w:themeShade="BF"/>
          <w:sz w:val="22"/>
          <w:lang w:val="sr-Cyrl-CS"/>
        </w:rPr>
        <w:t>Текућа кретања реалног сектора</w:t>
      </w:r>
    </w:p>
    <w:p w14:paraId="18C849DE" w14:textId="48602C06" w:rsidR="006C54B1" w:rsidRPr="00646254" w:rsidRDefault="006C54B1" w:rsidP="00426178">
      <w:pPr>
        <w:rPr>
          <w:rFonts w:cstheme="minorHAnsi"/>
          <w:bCs/>
          <w:szCs w:val="72"/>
          <w:lang w:val="sr-Cyrl-CS"/>
        </w:rPr>
      </w:pPr>
      <w:r w:rsidRPr="00646254">
        <w:rPr>
          <w:rFonts w:cstheme="minorHAnsi"/>
          <w:bCs/>
          <w:szCs w:val="72"/>
          <w:lang w:val="sr-Cyrl-CS"/>
        </w:rPr>
        <w:t>Према подацима РЗС раст БДП у првом кварталу 2021. године износио је 1,8% мг, чиме је домаћа привреда већ у првом тромесечју премашила ниво економске активности из предпандемијског периода. Посматрано са производне стране, раст БДП у овом периоду био је вођен грађевинарством и индустријском производњом који су дали позитиван допринос од по 0,8 п.п. Опоравак приватне грађевинске оперативе уз наставак реализације инфраструктурних радова резултирали су растом грађевине од 17,8%, док је индустрија наставила са повољним кретањима и забележила раст од 4,0%. Први пут од избијања епидемије и сектор услуга забележио је позитиван допринос који је износио 0,6 п.п. пре свега услед раста у делатностима трговине, ИКТ и финансијских услуга. Посматрано по агрегатима употребе БДП, ефекти епидемије и током првог квартала 2021. године највише су се одразили на личну потрошњу, и поред раста реалног дохотка становништва, услед присутних ограничења и примене здравствених мера и последично мањег коришћења туристичких, угоститељских и саобраћајних услуга. Инвестиције су забележиле повећ</w:t>
      </w:r>
      <w:r w:rsidR="004120FF" w:rsidRPr="00646254">
        <w:rPr>
          <w:rFonts w:cstheme="minorHAnsi"/>
          <w:bCs/>
          <w:szCs w:val="72"/>
          <w:lang w:val="sr-Cyrl-CS"/>
        </w:rPr>
        <w:t>ање у првом кварталу од 9,0% мг</w:t>
      </w:r>
      <w:r w:rsidR="00B67B03" w:rsidRPr="00646254">
        <w:rPr>
          <w:rFonts w:cstheme="minorHAnsi"/>
          <w:bCs/>
          <w:szCs w:val="72"/>
          <w:lang w:val="sr-Cyrl-CS"/>
        </w:rPr>
        <w:t>.</w:t>
      </w:r>
      <w:r w:rsidRPr="00646254">
        <w:rPr>
          <w:rFonts w:cstheme="minorHAnsi"/>
          <w:bCs/>
          <w:szCs w:val="72"/>
          <w:lang w:val="sr-Cyrl-CS"/>
        </w:rPr>
        <w:t xml:space="preserve"> и допринеле расту БДП са 1,8 п.п. Активирање нових извозно оријентисаних капацитета, као и повећање извоза пољопривредних производа утицали су на снажан раст реалног извоза током првог квартала 2021. године, док је, увозна активност забележила благо смањење, тако да је нето извоз са доприносом од 4,8 п.п. био главни генератор привредног раста у првом тромесечју 2021. године.</w:t>
      </w:r>
    </w:p>
    <w:p w14:paraId="56C684B1" w14:textId="710AA8EE" w:rsidR="006C54B1" w:rsidRPr="00646254" w:rsidRDefault="006C54B1" w:rsidP="00426178">
      <w:pPr>
        <w:rPr>
          <w:rFonts w:cstheme="minorHAnsi"/>
          <w:bCs/>
          <w:szCs w:val="72"/>
          <w:lang w:val="sr-Cyrl-CS"/>
        </w:rPr>
      </w:pPr>
      <w:r w:rsidRPr="00646254">
        <w:rPr>
          <w:rFonts w:cstheme="minorHAnsi"/>
          <w:bCs/>
          <w:szCs w:val="72"/>
          <w:lang w:val="sr-Cyrl-CS"/>
        </w:rPr>
        <w:t>Добра економска кретања настављена су и у другом кварталу уз међугодишње повећање БДП од 13,7%. Посматрано са производне стране, раст БДП у овом периоду био је вођен сектором услуга, пре свега услед раста у делатностима трговине, туризма, саобраћаја, стручних и техничких услуга. Иако је услужни сектор током другог квартала претходне године био под најјачим утицајем пандемије, тако да је висок раст од око 15% једним делом последица и базног ефекта, значајан број услужних делатности премашио је предпандемијске нивое. Индустрија је наставила са добрим кретањима и забележила је допринос расту БДП од 2,6 п.п, док је опоравак приватне грађевинске оперативе уз наставак реализације инфраструктурних радова резултирао растом грађевине од 17,7%. Неповољни агрометеоролошки услови одразили су се на пољопривредну производњу која је према првим проценама РЗС у другом кварталу забележила пад од око 2%. Посматрано по агрегатима употребе раст БДП у другом тромесечју у потпуности је вођен домаћом тражњом као резултат раста приватне потрошње и инвестиција, док је допринос нето извоза био негативан. Раст реалних зарада и запослености уз повећану склоност становништва ка потрошњи</w:t>
      </w:r>
      <w:r w:rsidR="00D373E2" w:rsidRPr="00646254">
        <w:rPr>
          <w:rFonts w:cstheme="minorHAnsi"/>
          <w:bCs/>
          <w:szCs w:val="72"/>
          <w:lang w:val="sr-Cyrl-CS"/>
        </w:rPr>
        <w:t>,</w:t>
      </w:r>
      <w:r w:rsidRPr="00646254">
        <w:rPr>
          <w:rFonts w:cstheme="minorHAnsi"/>
          <w:bCs/>
          <w:szCs w:val="72"/>
          <w:lang w:val="sr-Cyrl-CS"/>
        </w:rPr>
        <w:t xml:space="preserve"> услед бољих епидемиолошких услова у поређењу са другим кварталом претходне године, одразио се на снажно повећање приватне потрошње и њен допринос расту БДП од 11,9 п.п. Убрзање приватних инвестиција уз наставак реализацијa инфраструктурних радова резултирали су растом инвестиционе активности од 22,5%. Бржи реални раст увоза од извоза, пре свега увоза репроматеријала за потребе привреде, имао је за последицу негативан допринос нето извоза расту БДП од 5,9 п.п.</w:t>
      </w:r>
    </w:p>
    <w:p w14:paraId="18DD593D" w14:textId="77777777" w:rsidR="006C54B1" w:rsidRPr="00646254" w:rsidRDefault="006C54B1" w:rsidP="00426178">
      <w:pPr>
        <w:jc w:val="center"/>
        <w:rPr>
          <w:rFonts w:cstheme="minorHAnsi"/>
          <w:b/>
          <w:bCs/>
          <w:color w:val="002060"/>
          <w:szCs w:val="72"/>
          <w:lang w:val="sr-Cyrl-CS"/>
        </w:rPr>
      </w:pPr>
      <w:r w:rsidRPr="00646254">
        <w:rPr>
          <w:rFonts w:cstheme="minorHAnsi"/>
          <w:b/>
          <w:bCs/>
          <w:color w:val="002060"/>
          <w:szCs w:val="72"/>
          <w:lang w:val="sr-Cyrl-CS"/>
        </w:rPr>
        <w:t>Доприноси стопи реалног раста БДП, производни приступ, п.п.</w:t>
      </w:r>
    </w:p>
    <w:p w14:paraId="7EB531F4" w14:textId="77777777" w:rsidR="006C54B1" w:rsidRPr="00646254" w:rsidRDefault="006C54B1" w:rsidP="00426178">
      <w:pPr>
        <w:rPr>
          <w:rFonts w:cstheme="minorHAnsi"/>
          <w:bCs/>
          <w:szCs w:val="72"/>
          <w:lang w:val="sr-Cyrl-CS"/>
        </w:rPr>
      </w:pPr>
      <w:r w:rsidRPr="00646254">
        <w:rPr>
          <w:noProof/>
        </w:rPr>
        <w:drawing>
          <wp:inline distT="0" distB="0" distL="0" distR="0" wp14:anchorId="56C77D12" wp14:editId="3E15F707">
            <wp:extent cx="2743200" cy="2141220"/>
            <wp:effectExtent l="0" t="0" r="0" b="0"/>
            <wp:docPr id="18" name="Chart 18">
              <a:extLst xmlns:a="http://schemas.openxmlformats.org/drawingml/2006/main">
                <a:ext uri="{FF2B5EF4-FFF2-40B4-BE49-F238E27FC236}">
                  <a16:creationId xmlns:a16="http://schemas.microsoft.com/office/drawing/2014/main" id="{00000000-0008-0000-0B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084A51B5" w14:textId="77777777" w:rsidR="006C54B1" w:rsidRPr="00646254" w:rsidRDefault="006C54B1" w:rsidP="00426178">
      <w:pPr>
        <w:rPr>
          <w:rFonts w:cstheme="minorHAnsi"/>
          <w:bCs/>
          <w:szCs w:val="72"/>
          <w:lang w:val="sr-Cyrl-CS"/>
        </w:rPr>
      </w:pPr>
    </w:p>
    <w:p w14:paraId="262D4E2B" w14:textId="77777777" w:rsidR="006C54B1" w:rsidRPr="00646254" w:rsidRDefault="006C54B1" w:rsidP="00426178">
      <w:pPr>
        <w:rPr>
          <w:rFonts w:cstheme="minorHAnsi"/>
          <w:bCs/>
          <w:szCs w:val="72"/>
          <w:lang w:val="sr-Cyrl-CS"/>
        </w:rPr>
      </w:pPr>
    </w:p>
    <w:p w14:paraId="331C910D" w14:textId="77777777" w:rsidR="006C54B1" w:rsidRPr="00646254" w:rsidRDefault="006C54B1" w:rsidP="00426178">
      <w:pPr>
        <w:jc w:val="center"/>
        <w:rPr>
          <w:rFonts w:cstheme="minorHAnsi"/>
          <w:b/>
          <w:bCs/>
          <w:color w:val="002060"/>
          <w:szCs w:val="72"/>
          <w:lang w:val="sr-Cyrl-CS"/>
        </w:rPr>
      </w:pPr>
      <w:r w:rsidRPr="00646254">
        <w:rPr>
          <w:rFonts w:cstheme="minorHAnsi"/>
          <w:b/>
          <w:bCs/>
          <w:color w:val="002060"/>
          <w:szCs w:val="72"/>
          <w:lang w:val="sr-Cyrl-CS"/>
        </w:rPr>
        <w:t xml:space="preserve">Доприноси стопи реалног раста БДП, </w:t>
      </w:r>
      <w:r w:rsidRPr="00646254">
        <w:rPr>
          <w:rFonts w:cstheme="minorHAnsi"/>
          <w:b/>
          <w:bCs/>
          <w:color w:val="002060"/>
          <w:szCs w:val="72"/>
          <w:lang w:val="sr-Cyrl-CS"/>
        </w:rPr>
        <w:br w:type="textWrapping" w:clear="all"/>
        <w:t>расходни приступ, п.п.</w:t>
      </w:r>
    </w:p>
    <w:p w14:paraId="69F579DC" w14:textId="77777777" w:rsidR="006C54B1" w:rsidRPr="00646254" w:rsidRDefault="006C54B1" w:rsidP="00426178">
      <w:pPr>
        <w:rPr>
          <w:rFonts w:cstheme="minorHAnsi"/>
          <w:bCs/>
          <w:szCs w:val="72"/>
          <w:lang w:val="sr-Cyrl-CS"/>
        </w:rPr>
      </w:pPr>
      <w:r w:rsidRPr="00646254">
        <w:rPr>
          <w:noProof/>
        </w:rPr>
        <w:drawing>
          <wp:inline distT="0" distB="0" distL="0" distR="0" wp14:anchorId="6BB29910" wp14:editId="3DA6ECA1">
            <wp:extent cx="2743200" cy="2142490"/>
            <wp:effectExtent l="0" t="0" r="0" b="0"/>
            <wp:docPr id="15" name="Chart 15">
              <a:extLst xmlns:a="http://schemas.openxmlformats.org/drawingml/2006/main">
                <a:ext uri="{FF2B5EF4-FFF2-40B4-BE49-F238E27FC236}">
                  <a16:creationId xmlns:a16="http://schemas.microsoft.com/office/drawing/2014/main" id="{00000000-0008-0000-0B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0950DA78" w14:textId="77777777" w:rsidR="006C54B1" w:rsidRPr="00646254" w:rsidRDefault="006C54B1" w:rsidP="00426178">
      <w:pPr>
        <w:rPr>
          <w:rFonts w:cstheme="minorHAnsi"/>
          <w:bCs/>
          <w:szCs w:val="72"/>
          <w:lang w:val="sr-Cyrl-CS"/>
        </w:rPr>
      </w:pPr>
      <w:r w:rsidRPr="00646254">
        <w:rPr>
          <w:rFonts w:cstheme="minorHAnsi"/>
          <w:bCs/>
          <w:szCs w:val="72"/>
          <w:lang w:val="sr-Cyrl-CS"/>
        </w:rPr>
        <w:t>Високофреквентни индикатори економске активности такође указују на позитивна макроекономска кретања током 2021. године. Индикатор привредне активности ИПАС</w:t>
      </w:r>
      <w:r w:rsidRPr="00646254">
        <w:rPr>
          <w:rStyle w:val="FootnoteReference"/>
          <w:rFonts w:cstheme="minorHAnsi"/>
          <w:bCs/>
          <w:szCs w:val="72"/>
          <w:lang w:val="sr-Cyrl-CS"/>
        </w:rPr>
        <w:footnoteReference w:id="1"/>
      </w:r>
      <w:r w:rsidRPr="00646254">
        <w:rPr>
          <w:rFonts w:cstheme="minorHAnsi"/>
          <w:bCs/>
          <w:szCs w:val="72"/>
          <w:lang w:val="sr-Cyrl-CS"/>
        </w:rPr>
        <w:t xml:space="preserve"> који Министарство финансија користи за оцену месечног БДП, упућује на закључак да се укупна економска активност веома брзо опоравила од шока изазваног закључавањем и да је већ током фебруара 2021. године премашен ниво БДП из предпандемијског периода.</w:t>
      </w:r>
    </w:p>
    <w:p w14:paraId="7DD9F67F" w14:textId="77777777" w:rsidR="006C54B1" w:rsidRPr="00646254" w:rsidRDefault="006C54B1" w:rsidP="00426178">
      <w:pPr>
        <w:jc w:val="center"/>
        <w:rPr>
          <w:rFonts w:cstheme="minorHAnsi"/>
          <w:b/>
          <w:color w:val="002060"/>
          <w:lang w:val="sr-Cyrl-CS"/>
        </w:rPr>
      </w:pPr>
      <w:r w:rsidRPr="00646254">
        <w:rPr>
          <w:rFonts w:cstheme="minorHAnsi"/>
          <w:b/>
          <w:color w:val="002060"/>
          <w:lang w:val="sr-Cyrl-CS"/>
        </w:rPr>
        <w:t>Индикатор привредне активности Србије (ИПАС), мил. РСД, уланчане мере обима</w:t>
      </w:r>
    </w:p>
    <w:p w14:paraId="2DD25C3A" w14:textId="77777777" w:rsidR="006C54B1" w:rsidRPr="00646254" w:rsidRDefault="006C54B1" w:rsidP="00426178">
      <w:pPr>
        <w:rPr>
          <w:rFonts w:cstheme="minorHAnsi"/>
          <w:bCs/>
          <w:szCs w:val="72"/>
          <w:lang w:val="sr-Cyrl-CS"/>
        </w:rPr>
      </w:pPr>
      <w:r w:rsidRPr="00646254">
        <w:rPr>
          <w:noProof/>
        </w:rPr>
        <w:drawing>
          <wp:inline distT="0" distB="0" distL="0" distR="0" wp14:anchorId="47D0B308" wp14:editId="511E1B97">
            <wp:extent cx="2743200" cy="2232000"/>
            <wp:effectExtent l="0" t="0" r="0" b="0"/>
            <wp:docPr id="34" name="Chart 34">
              <a:extLst xmlns:a="http://schemas.openxmlformats.org/drawingml/2006/main">
                <a:ext uri="{FF2B5EF4-FFF2-40B4-BE49-F238E27FC236}">
                  <a16:creationId xmlns:a16="http://schemas.microsoft.com/office/drawing/2014/main" id="{00000000-0008-0000-0C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7A28DABC" w14:textId="4551CC5A" w:rsidR="006C54B1" w:rsidRPr="00646254" w:rsidRDefault="006C54B1" w:rsidP="008F5F60">
      <w:pPr>
        <w:spacing w:after="120"/>
        <w:rPr>
          <w:rFonts w:cstheme="minorHAnsi"/>
          <w:bCs/>
          <w:szCs w:val="72"/>
          <w:lang w:val="sr-Cyrl-CS"/>
        </w:rPr>
      </w:pPr>
      <w:r w:rsidRPr="00646254">
        <w:rPr>
          <w:rFonts w:cstheme="minorHAnsi"/>
          <w:bCs/>
          <w:szCs w:val="72"/>
          <w:lang w:val="sr-Cyrl-CS"/>
        </w:rPr>
        <w:t>Међугодишње посматрано, највећу стопу раста од 20,5% ИПАС је забележио у априлу, што је делом последица ниске базе из истог месеца претходне године, али и резултат структурних побољшања и ефекта на страни понуде. То је потврђено и високим стопама раста у наредним месецима упркос постепеном ишчезавању базног ефекта, тако да је током јула и августа 2021. године забележен</w:t>
      </w:r>
      <w:r w:rsidR="00B67B03" w:rsidRPr="00646254">
        <w:rPr>
          <w:rFonts w:cstheme="minorHAnsi"/>
          <w:bCs/>
          <w:szCs w:val="72"/>
          <w:lang w:val="sr-Cyrl-CS"/>
        </w:rPr>
        <w:t xml:space="preserve"> висок раст привреде од 8,1% мг.</w:t>
      </w:r>
      <w:r w:rsidRPr="00646254">
        <w:rPr>
          <w:rFonts w:cstheme="minorHAnsi"/>
          <w:bCs/>
          <w:szCs w:val="72"/>
          <w:lang w:val="sr-Cyrl-CS"/>
        </w:rPr>
        <w:t xml:space="preserve"> и 7,6% мг, респективно. Узимајући у обзир динамику из прве половине године, према процени Министарства финансија, у периоду јануар–август остварен је раст економске активности од 7,6%.</w:t>
      </w:r>
    </w:p>
    <w:p w14:paraId="0C5C4AF2" w14:textId="77777777" w:rsidR="006C54B1" w:rsidRPr="00646254" w:rsidRDefault="006C54B1" w:rsidP="00426178">
      <w:pPr>
        <w:spacing w:after="0"/>
        <w:jc w:val="center"/>
        <w:rPr>
          <w:rFonts w:cstheme="minorHAnsi"/>
          <w:b/>
          <w:color w:val="002060"/>
          <w:lang w:val="sr-Cyrl-CS"/>
        </w:rPr>
      </w:pPr>
      <w:r w:rsidRPr="00646254">
        <w:rPr>
          <w:rFonts w:cstheme="minorHAnsi"/>
          <w:b/>
          <w:color w:val="002060"/>
          <w:lang w:val="sr-Cyrl-CS"/>
        </w:rPr>
        <w:t>Индикатор привредне активности Србије (ИПАС) по секторима (доприноси расту, п.п.)</w:t>
      </w:r>
    </w:p>
    <w:p w14:paraId="4BB3E813" w14:textId="77777777" w:rsidR="006C54B1" w:rsidRPr="00646254" w:rsidRDefault="006C54B1" w:rsidP="00352961">
      <w:pPr>
        <w:rPr>
          <w:rFonts w:cstheme="minorHAnsi"/>
          <w:bCs/>
          <w:szCs w:val="72"/>
          <w:lang w:val="sr-Cyrl-CS"/>
        </w:rPr>
      </w:pPr>
      <w:r w:rsidRPr="00646254">
        <w:rPr>
          <w:noProof/>
        </w:rPr>
        <w:drawing>
          <wp:inline distT="0" distB="0" distL="0" distR="0" wp14:anchorId="07E185A4" wp14:editId="6BFBD07D">
            <wp:extent cx="2743200" cy="2051685"/>
            <wp:effectExtent l="0" t="0" r="0" b="5715"/>
            <wp:docPr id="53" name="Chart 53">
              <a:extLst xmlns:a="http://schemas.openxmlformats.org/drawingml/2006/main">
                <a:ext uri="{FF2B5EF4-FFF2-40B4-BE49-F238E27FC236}">
                  <a16:creationId xmlns:a16="http://schemas.microsoft.com/office/drawing/2014/main" id="{00000000-0008-0000-0C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4FDB09A7" w14:textId="20282D33" w:rsidR="006C54B1" w:rsidRPr="00646254" w:rsidRDefault="006C54B1" w:rsidP="00352961">
      <w:pPr>
        <w:rPr>
          <w:rFonts w:cstheme="minorHAnsi"/>
          <w:bCs/>
          <w:spacing w:val="-2"/>
          <w:szCs w:val="72"/>
          <w:lang w:val="sr-Cyrl-CS"/>
        </w:rPr>
      </w:pPr>
      <w:r w:rsidRPr="00646254">
        <w:rPr>
          <w:rFonts w:cstheme="minorHAnsi"/>
          <w:bCs/>
          <w:spacing w:val="-2"/>
          <w:szCs w:val="72"/>
          <w:lang w:val="sr-Cyrl-CS"/>
        </w:rPr>
        <w:t>Физички обим укупне индустријске производње у првих осам месеци 2021. године био је већи за 6,9% мг. праћен растом у сва три сектора, уз доминантан утицај прерађивачке индустрије која је забележила повећање од 7,8% мг, док је обим производње струје и рударства био већи за 5,8% и 0,9% мг, респективно.</w:t>
      </w:r>
      <w:r w:rsidRPr="00646254">
        <w:rPr>
          <w:lang w:val="sr-Cyrl-CS"/>
        </w:rPr>
        <w:t xml:space="preserve"> </w:t>
      </w:r>
      <w:r w:rsidRPr="00646254">
        <w:rPr>
          <w:rFonts w:cstheme="minorHAnsi"/>
          <w:bCs/>
          <w:spacing w:val="-2"/>
          <w:szCs w:val="72"/>
          <w:lang w:val="sr-Cyrl-CS"/>
        </w:rPr>
        <w:t>Добра динамика производње оства</w:t>
      </w:r>
      <w:r w:rsidR="00533051" w:rsidRPr="00646254">
        <w:rPr>
          <w:rFonts w:cstheme="minorHAnsi"/>
          <w:bCs/>
          <w:spacing w:val="-2"/>
          <w:szCs w:val="72"/>
          <w:lang w:val="sr-Cyrl-CS"/>
        </w:rPr>
        <w:t>рена у прерађивачкој индустрији</w:t>
      </w:r>
      <w:r w:rsidRPr="00646254">
        <w:rPr>
          <w:rFonts w:cstheme="minorHAnsi"/>
          <w:bCs/>
          <w:spacing w:val="-2"/>
          <w:szCs w:val="72"/>
          <w:lang w:val="sr-Cyrl-CS"/>
        </w:rPr>
        <w:t xml:space="preserve"> у највећој мери је резултат активирања нових производних капацитета, пре свега кроз ефектуирање страних директних инвестиција </w:t>
      </w:r>
      <w:r w:rsidR="008F5F60" w:rsidRPr="00646254">
        <w:rPr>
          <w:rFonts w:cstheme="minorHAnsi"/>
          <w:bCs/>
          <w:spacing w:val="-2"/>
          <w:szCs w:val="72"/>
          <w:lang w:val="sr-Cyrl-CS"/>
        </w:rPr>
        <w:t xml:space="preserve">(у даљем тексту: СДИ) </w:t>
      </w:r>
      <w:r w:rsidRPr="00646254">
        <w:rPr>
          <w:rFonts w:cstheme="minorHAnsi"/>
          <w:bCs/>
          <w:spacing w:val="-2"/>
          <w:szCs w:val="72"/>
          <w:lang w:val="sr-Cyrl-CS"/>
        </w:rPr>
        <w:t>из претходног периода, али и због постепеног опоравака спољне тражње. Захваљујући томе дошло је до релативно брзог опоравка индустријске производње у условима изразито негативних утицаја пандемије већ у другој половини претходне године, као и наставка повољних кретања током 2021. године.</w:t>
      </w:r>
    </w:p>
    <w:p w14:paraId="210E22F6" w14:textId="0803A4AC" w:rsidR="006C54B1" w:rsidRPr="00646254" w:rsidRDefault="006C54B1" w:rsidP="00352961">
      <w:pPr>
        <w:rPr>
          <w:rFonts w:cstheme="minorHAnsi"/>
          <w:bCs/>
          <w:szCs w:val="72"/>
          <w:lang w:val="sr-Cyrl-CS"/>
        </w:rPr>
      </w:pPr>
      <w:r w:rsidRPr="00646254">
        <w:rPr>
          <w:rFonts w:cstheme="minorHAnsi"/>
          <w:bCs/>
          <w:szCs w:val="72"/>
          <w:lang w:val="sr-Cyrl-CS"/>
        </w:rPr>
        <w:t>У првих осам месеци 2021. године, више од четири петине раста индустрије опредељено је већом прерађивачком индустријом, уз диверзификован раст у 18 од укупно 24 делатности. Најзначајнији позитиван допринос на кретање прерађивачке индустрије имале су извозно-оријентисане делатности попут производње електричне опреме (раст од 30,1%, мг), гумарске индустрије (11,1%), металних производа (8,3%), аутомобилске индустрије (25,9%) и производње пића (12,0%). Осим привременог пада производње у марту услед ремонта производних капацитета у НИС-у, од почетка године значајан позитиван доприн</w:t>
      </w:r>
      <w:r w:rsidR="001117F3" w:rsidRPr="00646254">
        <w:rPr>
          <w:rFonts w:cstheme="minorHAnsi"/>
          <w:bCs/>
          <w:szCs w:val="72"/>
          <w:lang w:val="sr-Cyrl-CS"/>
        </w:rPr>
        <w:t>ос долази и од нафтне индустрије</w:t>
      </w:r>
      <w:r w:rsidRPr="00646254">
        <w:rPr>
          <w:rFonts w:cstheme="minorHAnsi"/>
          <w:bCs/>
          <w:szCs w:val="72"/>
          <w:lang w:val="sr-Cyrl-CS"/>
        </w:rPr>
        <w:t xml:space="preserve"> која у првих осам месеци бележи раст од 10,8%. У истом периоду, производња осталих саобраћајних средстава бележи снажан раст физичког обима производње од 156,7% мг, док је производња грађевинског материјала и машинске индустрије већа за 14,7% и 14,9% мг, респективно. Поред тога, од почетка године позитиван утицај долази и од металске индустрије, при чему је након покретања друге високе пећи у смедеревској железари ниво производње у августу већи за 10,2% мг, а у првих осам месеци за 6,1% мг.</w:t>
      </w:r>
    </w:p>
    <w:p w14:paraId="3660024C" w14:textId="206A67EC" w:rsidR="006C54B1" w:rsidRPr="00646254" w:rsidRDefault="006C54B1" w:rsidP="00426178">
      <w:pPr>
        <w:spacing w:after="120"/>
        <w:rPr>
          <w:rFonts w:cstheme="minorHAnsi"/>
          <w:bCs/>
          <w:szCs w:val="72"/>
          <w:lang w:val="sr-Cyrl-CS"/>
        </w:rPr>
      </w:pPr>
      <w:r w:rsidRPr="00646254">
        <w:rPr>
          <w:rFonts w:cstheme="minorHAnsi"/>
          <w:bCs/>
          <w:szCs w:val="72"/>
          <w:lang w:val="sr-Cyrl-CS"/>
        </w:rPr>
        <w:t xml:space="preserve">Међутим, треба напоменути да је приметна нешто успоренија динамика индекса физичког обима индустријске производње од средине другог квартала, одразило </w:t>
      </w:r>
      <w:r w:rsidR="00533051" w:rsidRPr="00646254">
        <w:rPr>
          <w:rFonts w:cstheme="minorHAnsi"/>
          <w:bCs/>
          <w:szCs w:val="72"/>
          <w:lang w:val="sr-Cyrl-CS"/>
        </w:rPr>
        <w:t xml:space="preserve">се на </w:t>
      </w:r>
      <w:r w:rsidRPr="00646254">
        <w:rPr>
          <w:rFonts w:cstheme="minorHAnsi"/>
          <w:bCs/>
          <w:szCs w:val="72"/>
          <w:lang w:val="sr-Cyrl-CS"/>
        </w:rPr>
        <w:t>међугодишњи раст већ током јула и августа износи свега 1,7% и 0,1%, респективно. Ипак, и поред скромних вредности физичког обима производње у последња два месеца, охрабрују добра кретања других индикатора у индустрији који указују на значајно боље перформансе овог сектора. Тако је промет у индустрији, односно приход од продаје који остварују произвођачи индустријских производа, наставио да бележи снажан реални међугодишњи раст и током јула и августа од 14,4% и 20,3%,</w:t>
      </w:r>
      <w:r w:rsidRPr="00646254">
        <w:rPr>
          <w:rFonts w:cstheme="minorHAnsi"/>
          <w:bCs/>
          <w:color w:val="FF0000"/>
          <w:szCs w:val="72"/>
          <w:lang w:val="sr-Cyrl-CS"/>
        </w:rPr>
        <w:t xml:space="preserve"> </w:t>
      </w:r>
      <w:r w:rsidRPr="00646254">
        <w:rPr>
          <w:rFonts w:cstheme="minorHAnsi"/>
          <w:bCs/>
          <w:szCs w:val="72"/>
          <w:lang w:val="sr-Cyrl-CS"/>
        </w:rPr>
        <w:t>респективно, уз раст извоза индустријских производа за око 25% и 33% мг.</w:t>
      </w:r>
    </w:p>
    <w:p w14:paraId="1C44E9AA" w14:textId="77777777" w:rsidR="006C54B1" w:rsidRPr="00646254" w:rsidRDefault="006C54B1" w:rsidP="00426178">
      <w:pPr>
        <w:spacing w:after="0"/>
        <w:jc w:val="center"/>
        <w:rPr>
          <w:rFonts w:cstheme="minorHAnsi"/>
          <w:b/>
          <w:color w:val="002060"/>
          <w:lang w:val="sr-Cyrl-CS"/>
        </w:rPr>
      </w:pPr>
      <w:r w:rsidRPr="00646254">
        <w:rPr>
          <w:rFonts w:cstheme="minorHAnsi"/>
          <w:b/>
          <w:color w:val="002060"/>
          <w:lang w:val="sr-Cyrl-CS"/>
        </w:rPr>
        <w:t xml:space="preserve">Индикатори индустријске активности, </w:t>
      </w:r>
      <w:r w:rsidRPr="00646254">
        <w:rPr>
          <w:rFonts w:cstheme="minorHAnsi"/>
          <w:b/>
          <w:color w:val="002060"/>
          <w:lang w:val="sr-Cyrl-CS"/>
        </w:rPr>
        <w:br w:type="textWrapping" w:clear="all"/>
        <w:t>мг. стопе раста, у %</w:t>
      </w:r>
    </w:p>
    <w:p w14:paraId="1AC4E03F" w14:textId="77777777" w:rsidR="006C54B1" w:rsidRPr="00646254" w:rsidRDefault="006C54B1" w:rsidP="00426178">
      <w:pPr>
        <w:spacing w:after="0"/>
        <w:rPr>
          <w:rFonts w:cstheme="minorHAnsi"/>
          <w:bCs/>
          <w:szCs w:val="72"/>
          <w:lang w:val="sr-Cyrl-CS"/>
        </w:rPr>
      </w:pPr>
      <w:r w:rsidRPr="00646254">
        <w:rPr>
          <w:noProof/>
        </w:rPr>
        <w:drawing>
          <wp:inline distT="0" distB="0" distL="0" distR="0" wp14:anchorId="6BEFF10A" wp14:editId="01A78B8C">
            <wp:extent cx="2743200" cy="1839595"/>
            <wp:effectExtent l="0" t="0" r="0" b="8255"/>
            <wp:docPr id="16" name="Chart 16">
              <a:extLst xmlns:a="http://schemas.openxmlformats.org/drawingml/2006/main">
                <a:ext uri="{FF2B5EF4-FFF2-40B4-BE49-F238E27FC236}">
                  <a16:creationId xmlns:a16="http://schemas.microsoft.com/office/drawing/2014/main" id="{00000000-0008-0000-1C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0DDBA14A" w14:textId="77777777" w:rsidR="006C54B1" w:rsidRPr="00646254" w:rsidRDefault="006C54B1" w:rsidP="00352961">
      <w:pPr>
        <w:rPr>
          <w:rFonts w:cstheme="minorHAnsi"/>
          <w:bCs/>
          <w:color w:val="FF0000"/>
          <w:szCs w:val="72"/>
          <w:lang w:val="sr-Cyrl-CS"/>
        </w:rPr>
        <w:sectPr w:rsidR="006C54B1" w:rsidRPr="00646254" w:rsidSect="00CE5657">
          <w:type w:val="continuous"/>
          <w:pgSz w:w="12240" w:h="15840"/>
          <w:pgMar w:top="1440" w:right="1440" w:bottom="1440" w:left="1440" w:header="720" w:footer="720" w:gutter="0"/>
          <w:cols w:num="2" w:space="720"/>
          <w:docGrid w:linePitch="360"/>
          <w15:footnoteColumns w:val="1"/>
        </w:sectPr>
      </w:pPr>
    </w:p>
    <w:p w14:paraId="3DC7438A" w14:textId="77777777" w:rsidR="006C54B1" w:rsidRPr="00646254" w:rsidRDefault="006C54B1" w:rsidP="00426178">
      <w:pPr>
        <w:spacing w:after="60" w:line="240" w:lineRule="auto"/>
        <w:jc w:val="center"/>
        <w:rPr>
          <w:rFonts w:cstheme="minorHAnsi"/>
          <w:b/>
          <w:color w:val="002060"/>
          <w:lang w:val="sr-Cyrl-CS"/>
        </w:rPr>
      </w:pPr>
      <w:r w:rsidRPr="00646254">
        <w:rPr>
          <w:rFonts w:cstheme="minorHAnsi"/>
          <w:b/>
          <w:color w:val="002060"/>
          <w:lang w:val="sr-Cyrl-CS"/>
        </w:rPr>
        <w:t>Индекси физичког обима водећих делатности индустријске производње, 2020=100</w:t>
      </w:r>
    </w:p>
    <w:tbl>
      <w:tblPr>
        <w:tblStyle w:val="TableGrid5"/>
        <w:tblW w:w="0" w:type="auto"/>
        <w:tblBorders>
          <w:top w:val="none" w:sz="0" w:space="0" w:color="auto"/>
          <w:left w:val="none" w:sz="0" w:space="0" w:color="auto"/>
          <w:bottom w:val="dashSmallGap" w:sz="4" w:space="0" w:color="BFBFBF" w:themeColor="background1" w:themeShade="BF"/>
          <w:right w:val="none" w:sz="0" w:space="0" w:color="auto"/>
          <w:insideH w:val="dashSmallGap" w:sz="4" w:space="0" w:color="BFBFBF" w:themeColor="background1" w:themeShade="BF"/>
          <w:insideV w:val="dashSmallGap" w:sz="4" w:space="0" w:color="BFBFBF" w:themeColor="background1" w:themeShade="BF"/>
        </w:tblBorders>
        <w:tblLook w:val="04A0" w:firstRow="1" w:lastRow="0" w:firstColumn="1" w:lastColumn="0" w:noHBand="0" w:noVBand="1"/>
      </w:tblPr>
      <w:tblGrid>
        <w:gridCol w:w="4680"/>
        <w:gridCol w:w="4680"/>
      </w:tblGrid>
      <w:tr w:rsidR="006C54B1" w:rsidRPr="00646254" w14:paraId="576940F2" w14:textId="77777777" w:rsidTr="00426178">
        <w:tc>
          <w:tcPr>
            <w:tcW w:w="4680" w:type="dxa"/>
          </w:tcPr>
          <w:p w14:paraId="2076CCB1" w14:textId="77777777" w:rsidR="006C54B1" w:rsidRPr="00646254" w:rsidRDefault="006C54B1" w:rsidP="00426178">
            <w:pPr>
              <w:spacing w:before="40" w:after="20"/>
              <w:jc w:val="center"/>
              <w:rPr>
                <w:lang w:val="sr-Cyrl-CS"/>
              </w:rPr>
            </w:pPr>
            <w:r w:rsidRPr="00646254">
              <w:rPr>
                <w:lang w:val="sr-Cyrl-CS"/>
              </w:rPr>
              <w:t>Прерађивачка индустрија</w:t>
            </w:r>
          </w:p>
          <w:p w14:paraId="089767B0" w14:textId="77777777" w:rsidR="006C54B1" w:rsidRPr="00646254" w:rsidRDefault="006C54B1" w:rsidP="00426178">
            <w:pPr>
              <w:spacing w:before="40" w:after="20"/>
              <w:jc w:val="center"/>
              <w:rPr>
                <w:lang w:val="sr-Cyrl-CS"/>
              </w:rPr>
            </w:pPr>
            <w:r w:rsidRPr="00646254">
              <w:rPr>
                <w:noProof/>
              </w:rPr>
              <w:drawing>
                <wp:inline distT="0" distB="0" distL="0" distR="0" wp14:anchorId="456EEF99" wp14:editId="4BEA9F84">
                  <wp:extent cx="2880000" cy="1278000"/>
                  <wp:effectExtent l="0" t="0" r="0" b="0"/>
                  <wp:docPr id="39" name="Chart 39">
                    <a:extLst xmlns:a="http://schemas.openxmlformats.org/drawingml/2006/main">
                      <a:ext uri="{FF2B5EF4-FFF2-40B4-BE49-F238E27FC236}">
                        <a16:creationId xmlns:a16="http://schemas.microsoft.com/office/drawing/2014/main" id="{00000000-0008-0000-1900-00002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tc>
        <w:tc>
          <w:tcPr>
            <w:tcW w:w="4680" w:type="dxa"/>
          </w:tcPr>
          <w:p w14:paraId="3371860F" w14:textId="77777777" w:rsidR="006C54B1" w:rsidRPr="00646254" w:rsidRDefault="006C54B1" w:rsidP="00426178">
            <w:pPr>
              <w:spacing w:before="40" w:after="20"/>
              <w:jc w:val="center"/>
              <w:rPr>
                <w:lang w:val="sr-Cyrl-CS"/>
              </w:rPr>
            </w:pPr>
            <w:r w:rsidRPr="00646254">
              <w:rPr>
                <w:lang w:val="sr-Cyrl-CS"/>
              </w:rPr>
              <w:t>Производња прехрамбених производа</w:t>
            </w:r>
          </w:p>
          <w:p w14:paraId="2530ACFE" w14:textId="77777777" w:rsidR="006C54B1" w:rsidRPr="00646254" w:rsidRDefault="006C54B1" w:rsidP="00426178">
            <w:pPr>
              <w:spacing w:before="40" w:after="20"/>
              <w:jc w:val="center"/>
              <w:rPr>
                <w:lang w:val="sr-Cyrl-CS"/>
              </w:rPr>
            </w:pPr>
            <w:r w:rsidRPr="00646254">
              <w:rPr>
                <w:noProof/>
              </w:rPr>
              <w:drawing>
                <wp:inline distT="0" distB="0" distL="0" distR="0" wp14:anchorId="02F66A1E" wp14:editId="4251A83C">
                  <wp:extent cx="2880000" cy="1278000"/>
                  <wp:effectExtent l="0" t="0" r="0" b="0"/>
                  <wp:docPr id="40" name="Chart 40">
                    <a:extLst xmlns:a="http://schemas.openxmlformats.org/drawingml/2006/main">
                      <a:ext uri="{FF2B5EF4-FFF2-40B4-BE49-F238E27FC236}">
                        <a16:creationId xmlns:a16="http://schemas.microsoft.com/office/drawing/2014/main" id="{00000000-0008-0000-1900-000019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tc>
      </w:tr>
      <w:tr w:rsidR="006C54B1" w:rsidRPr="00646254" w14:paraId="1DC79227" w14:textId="77777777" w:rsidTr="00426178">
        <w:tc>
          <w:tcPr>
            <w:tcW w:w="4680" w:type="dxa"/>
          </w:tcPr>
          <w:p w14:paraId="7BED7859" w14:textId="77777777" w:rsidR="006C54B1" w:rsidRPr="00646254" w:rsidRDefault="006C54B1" w:rsidP="00426178">
            <w:pPr>
              <w:spacing w:before="40" w:after="20"/>
              <w:jc w:val="center"/>
              <w:rPr>
                <w:lang w:val="sr-Cyrl-CS"/>
              </w:rPr>
            </w:pPr>
            <w:r w:rsidRPr="00646254">
              <w:rPr>
                <w:lang w:val="sr-Cyrl-CS"/>
              </w:rPr>
              <w:t>Производња електричне опреме</w:t>
            </w:r>
          </w:p>
          <w:p w14:paraId="602EF8DF" w14:textId="77777777" w:rsidR="006C54B1" w:rsidRPr="00646254" w:rsidRDefault="006C54B1" w:rsidP="00426178">
            <w:pPr>
              <w:spacing w:before="40" w:after="20"/>
              <w:jc w:val="center"/>
              <w:rPr>
                <w:lang w:val="sr-Cyrl-CS"/>
              </w:rPr>
            </w:pPr>
            <w:r w:rsidRPr="00646254">
              <w:rPr>
                <w:noProof/>
              </w:rPr>
              <w:drawing>
                <wp:inline distT="0" distB="0" distL="0" distR="0" wp14:anchorId="51AFED80" wp14:editId="653720F6">
                  <wp:extent cx="2881465" cy="1278000"/>
                  <wp:effectExtent l="0" t="0" r="0" b="0"/>
                  <wp:docPr id="41" name="Chart 41">
                    <a:extLst xmlns:a="http://schemas.openxmlformats.org/drawingml/2006/main">
                      <a:ext uri="{FF2B5EF4-FFF2-40B4-BE49-F238E27FC236}">
                        <a16:creationId xmlns:a16="http://schemas.microsoft.com/office/drawing/2014/main" id="{5B093C49-7D7B-468F-A669-F2269CF1022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tc>
        <w:tc>
          <w:tcPr>
            <w:tcW w:w="4680" w:type="dxa"/>
          </w:tcPr>
          <w:p w14:paraId="050E7DAC" w14:textId="77777777" w:rsidR="006C54B1" w:rsidRPr="00646254" w:rsidRDefault="006C54B1" w:rsidP="00426178">
            <w:pPr>
              <w:spacing w:before="40" w:after="20"/>
              <w:jc w:val="center"/>
              <w:rPr>
                <w:lang w:val="sr-Cyrl-CS"/>
              </w:rPr>
            </w:pPr>
            <w:r w:rsidRPr="00646254">
              <w:rPr>
                <w:lang w:val="sr-Cyrl-CS"/>
              </w:rPr>
              <w:t>Производња металних производа, осим машина</w:t>
            </w:r>
          </w:p>
          <w:p w14:paraId="17F7F03A" w14:textId="77777777" w:rsidR="006C54B1" w:rsidRPr="00646254" w:rsidRDefault="006C54B1" w:rsidP="00426178">
            <w:pPr>
              <w:spacing w:before="40" w:after="20"/>
              <w:jc w:val="center"/>
              <w:rPr>
                <w:lang w:val="sr-Cyrl-CS"/>
              </w:rPr>
            </w:pPr>
            <w:r w:rsidRPr="00646254">
              <w:rPr>
                <w:noProof/>
              </w:rPr>
              <w:drawing>
                <wp:inline distT="0" distB="0" distL="0" distR="0" wp14:anchorId="0EF878ED" wp14:editId="6D43E3BA">
                  <wp:extent cx="2880000" cy="1278000"/>
                  <wp:effectExtent l="0" t="0" r="0" b="0"/>
                  <wp:docPr id="43" name="Chart 43">
                    <a:extLst xmlns:a="http://schemas.openxmlformats.org/drawingml/2006/main">
                      <a:ext uri="{FF2B5EF4-FFF2-40B4-BE49-F238E27FC236}">
                        <a16:creationId xmlns:a16="http://schemas.microsoft.com/office/drawing/2014/main" id="{82F5EEEE-6490-46EB-8655-FEFAD9F28D1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tc>
      </w:tr>
      <w:tr w:rsidR="006C54B1" w:rsidRPr="00646254" w14:paraId="172924D9" w14:textId="77777777" w:rsidTr="00426178">
        <w:tc>
          <w:tcPr>
            <w:tcW w:w="4680" w:type="dxa"/>
          </w:tcPr>
          <w:p w14:paraId="0C3E94AC" w14:textId="77777777" w:rsidR="006C54B1" w:rsidRPr="00646254" w:rsidRDefault="006C54B1" w:rsidP="00426178">
            <w:pPr>
              <w:spacing w:before="40" w:after="20"/>
              <w:jc w:val="center"/>
              <w:rPr>
                <w:lang w:val="sr-Cyrl-CS"/>
              </w:rPr>
            </w:pPr>
            <w:r w:rsidRPr="00646254">
              <w:rPr>
                <w:lang w:val="sr-Cyrl-CS"/>
              </w:rPr>
              <w:t>Производња машина и опреме на другом месту непоменуте</w:t>
            </w:r>
          </w:p>
          <w:p w14:paraId="57DA4E4B" w14:textId="77777777" w:rsidR="006C54B1" w:rsidRPr="00646254" w:rsidRDefault="006C54B1" w:rsidP="00426178">
            <w:pPr>
              <w:spacing w:before="40" w:after="20"/>
              <w:jc w:val="center"/>
              <w:rPr>
                <w:lang w:val="sr-Cyrl-CS"/>
              </w:rPr>
            </w:pPr>
            <w:r w:rsidRPr="00646254">
              <w:rPr>
                <w:noProof/>
              </w:rPr>
              <w:drawing>
                <wp:inline distT="0" distB="0" distL="0" distR="0" wp14:anchorId="60844949" wp14:editId="4DFC52F4">
                  <wp:extent cx="2881465" cy="1278000"/>
                  <wp:effectExtent l="0" t="0" r="0" b="0"/>
                  <wp:docPr id="45" name="Chart 45">
                    <a:extLst xmlns:a="http://schemas.openxmlformats.org/drawingml/2006/main">
                      <a:ext uri="{FF2B5EF4-FFF2-40B4-BE49-F238E27FC236}">
                        <a16:creationId xmlns:a16="http://schemas.microsoft.com/office/drawing/2014/main" id="{5B093C49-7D7B-468F-A669-F2269CF1022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tc>
        <w:tc>
          <w:tcPr>
            <w:tcW w:w="4680" w:type="dxa"/>
          </w:tcPr>
          <w:p w14:paraId="6CFA7BD8" w14:textId="77777777" w:rsidR="006C54B1" w:rsidRPr="00646254" w:rsidRDefault="006C54B1" w:rsidP="00426178">
            <w:pPr>
              <w:spacing w:before="40" w:after="20"/>
              <w:jc w:val="center"/>
              <w:rPr>
                <w:lang w:val="sr-Cyrl-CS"/>
              </w:rPr>
            </w:pPr>
            <w:r w:rsidRPr="00646254">
              <w:rPr>
                <w:lang w:val="sr-Cyrl-CS"/>
              </w:rPr>
              <w:t>Производња производа од неметалних минерала</w:t>
            </w:r>
          </w:p>
          <w:p w14:paraId="606DFD2F" w14:textId="77777777" w:rsidR="006C54B1" w:rsidRPr="00646254" w:rsidRDefault="006C54B1" w:rsidP="00426178">
            <w:pPr>
              <w:spacing w:before="40" w:after="20"/>
              <w:jc w:val="center"/>
              <w:rPr>
                <w:sz w:val="18"/>
                <w:lang w:val="sr-Cyrl-CS"/>
              </w:rPr>
            </w:pPr>
          </w:p>
          <w:p w14:paraId="7696EDAE" w14:textId="77777777" w:rsidR="006C54B1" w:rsidRPr="00646254" w:rsidRDefault="006C54B1" w:rsidP="00426178">
            <w:pPr>
              <w:spacing w:before="40" w:after="20"/>
              <w:jc w:val="center"/>
              <w:rPr>
                <w:sz w:val="18"/>
                <w:lang w:val="sr-Cyrl-CS"/>
              </w:rPr>
            </w:pPr>
            <w:r w:rsidRPr="00646254">
              <w:rPr>
                <w:noProof/>
              </w:rPr>
              <w:drawing>
                <wp:inline distT="0" distB="0" distL="0" distR="0" wp14:anchorId="640747E2" wp14:editId="065DA2DD">
                  <wp:extent cx="2881465" cy="1278000"/>
                  <wp:effectExtent l="0" t="0" r="0" b="0"/>
                  <wp:docPr id="5" name="Chart 5">
                    <a:extLst xmlns:a="http://schemas.openxmlformats.org/drawingml/2006/main">
                      <a:ext uri="{FF2B5EF4-FFF2-40B4-BE49-F238E27FC236}">
                        <a16:creationId xmlns:a16="http://schemas.microsoft.com/office/drawing/2014/main" id="{5B093C49-7D7B-468F-A669-F2269CF1022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tc>
      </w:tr>
      <w:tr w:rsidR="006C54B1" w:rsidRPr="00646254" w14:paraId="220D3454" w14:textId="77777777" w:rsidTr="00426178">
        <w:tc>
          <w:tcPr>
            <w:tcW w:w="4680" w:type="dxa"/>
          </w:tcPr>
          <w:p w14:paraId="20775D65" w14:textId="77777777" w:rsidR="006C54B1" w:rsidRPr="00646254" w:rsidRDefault="006C54B1" w:rsidP="00426178">
            <w:pPr>
              <w:spacing w:before="40" w:after="20"/>
              <w:jc w:val="center"/>
              <w:rPr>
                <w:lang w:val="sr-Cyrl-CS"/>
              </w:rPr>
            </w:pPr>
            <w:r w:rsidRPr="00646254">
              <w:rPr>
                <w:lang w:val="sr-Cyrl-CS"/>
              </w:rPr>
              <w:t>Производња основних метала</w:t>
            </w:r>
          </w:p>
          <w:p w14:paraId="1E46A6E3" w14:textId="77777777" w:rsidR="006C54B1" w:rsidRPr="00646254" w:rsidRDefault="006C54B1" w:rsidP="00426178">
            <w:pPr>
              <w:spacing w:before="40" w:after="20"/>
              <w:jc w:val="center"/>
              <w:rPr>
                <w:lang w:val="sr-Cyrl-CS"/>
              </w:rPr>
            </w:pPr>
            <w:r w:rsidRPr="00646254">
              <w:rPr>
                <w:noProof/>
              </w:rPr>
              <w:drawing>
                <wp:inline distT="0" distB="0" distL="0" distR="0" wp14:anchorId="513DB221" wp14:editId="46E77E85">
                  <wp:extent cx="2880000" cy="1278000"/>
                  <wp:effectExtent l="0" t="0" r="0" b="0"/>
                  <wp:docPr id="46" name="Chart 46">
                    <a:extLst xmlns:a="http://schemas.openxmlformats.org/drawingml/2006/main">
                      <a:ext uri="{FF2B5EF4-FFF2-40B4-BE49-F238E27FC236}">
                        <a16:creationId xmlns:a16="http://schemas.microsoft.com/office/drawing/2014/main" id="{00000000-0008-0000-1900-00001A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tc>
        <w:tc>
          <w:tcPr>
            <w:tcW w:w="4680" w:type="dxa"/>
          </w:tcPr>
          <w:p w14:paraId="177D18FA" w14:textId="77777777" w:rsidR="006C54B1" w:rsidRPr="00646254" w:rsidRDefault="006C54B1" w:rsidP="00426178">
            <w:pPr>
              <w:spacing w:before="40" w:after="20"/>
              <w:jc w:val="center"/>
              <w:rPr>
                <w:lang w:val="sr-Cyrl-CS"/>
              </w:rPr>
            </w:pPr>
            <w:r w:rsidRPr="00646254">
              <w:rPr>
                <w:lang w:val="sr-Cyrl-CS"/>
              </w:rPr>
              <w:t>Производња производа од гуме и пластике</w:t>
            </w:r>
          </w:p>
          <w:p w14:paraId="3533DF60" w14:textId="77777777" w:rsidR="006C54B1" w:rsidRPr="00646254" w:rsidRDefault="006C54B1" w:rsidP="00426178">
            <w:pPr>
              <w:spacing w:before="40" w:after="20"/>
              <w:jc w:val="center"/>
              <w:rPr>
                <w:lang w:val="sr-Cyrl-CS"/>
              </w:rPr>
            </w:pPr>
            <w:r w:rsidRPr="00646254">
              <w:rPr>
                <w:noProof/>
              </w:rPr>
              <w:drawing>
                <wp:inline distT="0" distB="0" distL="0" distR="0" wp14:anchorId="39ED88B0" wp14:editId="68A18FA4">
                  <wp:extent cx="2880000" cy="1278000"/>
                  <wp:effectExtent l="0" t="0" r="0" b="0"/>
                  <wp:docPr id="47" name="Chart 47">
                    <a:extLst xmlns:a="http://schemas.openxmlformats.org/drawingml/2006/main">
                      <a:ext uri="{FF2B5EF4-FFF2-40B4-BE49-F238E27FC236}">
                        <a16:creationId xmlns:a16="http://schemas.microsoft.com/office/drawing/2014/main" id="{00000000-0008-0000-1900-00001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tc>
      </w:tr>
      <w:tr w:rsidR="006C54B1" w:rsidRPr="00646254" w14:paraId="555DE57B" w14:textId="77777777" w:rsidTr="00426178">
        <w:tc>
          <w:tcPr>
            <w:tcW w:w="4680" w:type="dxa"/>
          </w:tcPr>
          <w:p w14:paraId="6F9D34CF" w14:textId="77777777" w:rsidR="006C54B1" w:rsidRPr="00646254" w:rsidRDefault="006C54B1" w:rsidP="00426178">
            <w:pPr>
              <w:spacing w:before="40" w:after="20"/>
              <w:jc w:val="center"/>
              <w:rPr>
                <w:lang w:val="sr-Cyrl-CS"/>
              </w:rPr>
            </w:pPr>
            <w:r w:rsidRPr="00646254">
              <w:rPr>
                <w:lang w:val="sr-Cyrl-CS"/>
              </w:rPr>
              <w:t>Производња моторних возила и приколица</w:t>
            </w:r>
          </w:p>
          <w:p w14:paraId="7CFFCF2C" w14:textId="77777777" w:rsidR="006C54B1" w:rsidRPr="00646254" w:rsidRDefault="006C54B1" w:rsidP="00426178">
            <w:pPr>
              <w:spacing w:before="40" w:after="20"/>
              <w:jc w:val="center"/>
              <w:rPr>
                <w:lang w:val="sr-Cyrl-CS"/>
              </w:rPr>
            </w:pPr>
            <w:r w:rsidRPr="00646254">
              <w:rPr>
                <w:noProof/>
              </w:rPr>
              <w:drawing>
                <wp:inline distT="0" distB="0" distL="0" distR="0" wp14:anchorId="19108044" wp14:editId="29156395">
                  <wp:extent cx="2880000" cy="1278000"/>
                  <wp:effectExtent l="0" t="0" r="0" b="0"/>
                  <wp:docPr id="48" name="Chart 48">
                    <a:extLst xmlns:a="http://schemas.openxmlformats.org/drawingml/2006/main">
                      <a:ext uri="{FF2B5EF4-FFF2-40B4-BE49-F238E27FC236}">
                        <a16:creationId xmlns:a16="http://schemas.microsoft.com/office/drawing/2014/main" id="{00000000-0008-0000-1900-000021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tc>
        <w:tc>
          <w:tcPr>
            <w:tcW w:w="4680" w:type="dxa"/>
          </w:tcPr>
          <w:p w14:paraId="7CBBD36D" w14:textId="77777777" w:rsidR="006C54B1" w:rsidRPr="00646254" w:rsidRDefault="006C54B1" w:rsidP="00426178">
            <w:pPr>
              <w:spacing w:before="40" w:after="20"/>
              <w:jc w:val="center"/>
              <w:rPr>
                <w:lang w:val="sr-Cyrl-CS"/>
              </w:rPr>
            </w:pPr>
            <w:r w:rsidRPr="00646254">
              <w:rPr>
                <w:lang w:val="sr-Cyrl-CS"/>
              </w:rPr>
              <w:t>Производња кокса и деривата нафте</w:t>
            </w:r>
          </w:p>
          <w:p w14:paraId="4CAAF3F5" w14:textId="77777777" w:rsidR="006C54B1" w:rsidRPr="00646254" w:rsidRDefault="006C54B1" w:rsidP="00426178">
            <w:pPr>
              <w:spacing w:before="40" w:after="20"/>
              <w:jc w:val="center"/>
              <w:rPr>
                <w:lang w:val="sr-Cyrl-CS"/>
              </w:rPr>
            </w:pPr>
            <w:r w:rsidRPr="00646254">
              <w:rPr>
                <w:noProof/>
              </w:rPr>
              <w:drawing>
                <wp:inline distT="0" distB="0" distL="0" distR="0" wp14:anchorId="349A0B6B" wp14:editId="14B4DBDE">
                  <wp:extent cx="2880000" cy="1278000"/>
                  <wp:effectExtent l="0" t="0" r="0" b="0"/>
                  <wp:docPr id="49" name="Chart 49">
                    <a:extLst xmlns:a="http://schemas.openxmlformats.org/drawingml/2006/main">
                      <a:ext uri="{FF2B5EF4-FFF2-40B4-BE49-F238E27FC236}">
                        <a16:creationId xmlns:a16="http://schemas.microsoft.com/office/drawing/2014/main" id="{00000000-0008-0000-1900-000018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tc>
      </w:tr>
    </w:tbl>
    <w:p w14:paraId="0E39739B" w14:textId="77777777" w:rsidR="006C54B1" w:rsidRPr="00646254" w:rsidRDefault="006C54B1" w:rsidP="00426178">
      <w:pPr>
        <w:spacing w:before="20" w:after="0" w:line="240" w:lineRule="auto"/>
        <w:jc w:val="center"/>
        <w:rPr>
          <w:rFonts w:cstheme="minorHAnsi"/>
          <w:b/>
          <w:bCs/>
          <w:sz w:val="18"/>
          <w:szCs w:val="72"/>
          <w:lang w:val="sr-Cyrl-CS"/>
        </w:rPr>
      </w:pPr>
      <w:r w:rsidRPr="00646254">
        <w:rPr>
          <w:noProof/>
        </w:rPr>
        <w:drawing>
          <wp:inline distT="0" distB="0" distL="0" distR="0" wp14:anchorId="79639EE0" wp14:editId="7DD2DF4C">
            <wp:extent cx="4371429" cy="219048"/>
            <wp:effectExtent l="0" t="0" r="0" b="0"/>
            <wp:docPr id="5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8"/>
                    <pic:cNvPicPr>
                      <a:picLocks noChangeAspect="1"/>
                    </pic:cNvPicPr>
                  </pic:nvPicPr>
                  <pic:blipFill>
                    <a:blip r:embed="rId58"/>
                    <a:stretch>
                      <a:fillRect/>
                    </a:stretch>
                  </pic:blipFill>
                  <pic:spPr>
                    <a:xfrm>
                      <a:off x="0" y="0"/>
                      <a:ext cx="4371429" cy="219048"/>
                    </a:xfrm>
                    <a:prstGeom prst="rect">
                      <a:avLst/>
                    </a:prstGeom>
                  </pic:spPr>
                </pic:pic>
              </a:graphicData>
            </a:graphic>
          </wp:inline>
        </w:drawing>
      </w:r>
    </w:p>
    <w:p w14:paraId="4D14C591" w14:textId="77777777" w:rsidR="006C54B1" w:rsidRPr="00646254" w:rsidRDefault="006C54B1" w:rsidP="00426178">
      <w:pPr>
        <w:spacing w:after="0" w:line="240" w:lineRule="auto"/>
        <w:jc w:val="left"/>
        <w:rPr>
          <w:rFonts w:cstheme="minorHAnsi"/>
          <w:b/>
          <w:bCs/>
          <w:sz w:val="14"/>
          <w:szCs w:val="72"/>
          <w:lang w:val="sr-Cyrl-CS"/>
        </w:rPr>
      </w:pPr>
      <w:r w:rsidRPr="00646254">
        <w:rPr>
          <w:rFonts w:cstheme="minorHAnsi"/>
          <w:bCs/>
          <w:sz w:val="16"/>
          <w:szCs w:val="72"/>
          <w:lang w:val="sr-Cyrl-CS"/>
        </w:rPr>
        <w:t>Извор: Министарство финансија</w:t>
      </w:r>
    </w:p>
    <w:p w14:paraId="30EC37B9" w14:textId="77777777" w:rsidR="006C54B1" w:rsidRPr="00646254" w:rsidRDefault="006C54B1" w:rsidP="00426178">
      <w:pPr>
        <w:spacing w:after="0" w:line="240" w:lineRule="auto"/>
        <w:rPr>
          <w:rFonts w:cstheme="minorHAnsi"/>
          <w:b/>
          <w:bCs/>
          <w:szCs w:val="72"/>
          <w:lang w:val="sr-Cyrl-CS"/>
        </w:rPr>
        <w:sectPr w:rsidR="006C54B1" w:rsidRPr="00646254" w:rsidSect="00B435B3">
          <w:type w:val="continuous"/>
          <w:pgSz w:w="12240" w:h="15840"/>
          <w:pgMar w:top="1440" w:right="1440" w:bottom="1440" w:left="1440" w:header="720" w:footer="720" w:gutter="0"/>
          <w:cols w:space="720"/>
          <w:docGrid w:linePitch="360"/>
          <w15:footnoteColumns w:val="1"/>
        </w:sectPr>
      </w:pPr>
    </w:p>
    <w:p w14:paraId="71228B32" w14:textId="77777777" w:rsidR="006C54B1" w:rsidRPr="00646254" w:rsidRDefault="006C54B1" w:rsidP="00426178">
      <w:pPr>
        <w:rPr>
          <w:rFonts w:cstheme="minorHAnsi"/>
          <w:bCs/>
          <w:spacing w:val="-2"/>
          <w:szCs w:val="72"/>
          <w:lang w:val="sr-Cyrl-CS"/>
        </w:rPr>
      </w:pPr>
      <w:r w:rsidRPr="00646254">
        <w:rPr>
          <w:rFonts w:cstheme="minorHAnsi"/>
          <w:bCs/>
          <w:spacing w:val="-2"/>
          <w:szCs w:val="72"/>
          <w:lang w:val="sr-Cyrl-CS"/>
        </w:rPr>
        <w:t>Услужни сектор је део привреде који је због своје структуре био највише погођен епидемијом коронавируса, како у погледу јачине тог утицаја тако и по дужини трајања. Иницијалном пројекцијом потпуни опоравак овог сектора од шока изазваног епидемијом био је очекиван тек крајем другог квартала 2021. године. Међутим, услужни сектор је премашио предпандемијски ниво економске активности већ у првом кварталу, а снажан раст је настављен и током другог квартала. Оваква динамика услуга у највећој мери је утицала и на ревизију навише раста БДП за ову годину.</w:t>
      </w:r>
    </w:p>
    <w:p w14:paraId="5542F8F2" w14:textId="0D0E41AE" w:rsidR="006C54B1" w:rsidRPr="00646254" w:rsidRDefault="00593258" w:rsidP="00426178">
      <w:pPr>
        <w:spacing w:after="80"/>
        <w:jc w:val="center"/>
        <w:rPr>
          <w:rFonts w:cstheme="minorHAnsi"/>
          <w:b/>
          <w:color w:val="002060"/>
          <w:lang w:val="sr-Cyrl-CS"/>
        </w:rPr>
      </w:pPr>
      <w:r w:rsidRPr="00646254">
        <w:rPr>
          <w:rFonts w:cstheme="minorHAnsi"/>
          <w:b/>
          <w:color w:val="002060"/>
          <w:lang w:val="sr-Cyrl-CS"/>
        </w:rPr>
        <w:t>Бруто додата вредност</w:t>
      </w:r>
      <w:r w:rsidR="006C54B1" w:rsidRPr="00646254">
        <w:rPr>
          <w:rFonts w:cstheme="minorHAnsi"/>
          <w:b/>
          <w:color w:val="002060"/>
          <w:lang w:val="sr-Cyrl-CS"/>
        </w:rPr>
        <w:t xml:space="preserve"> делатности услужног сектора</w:t>
      </w:r>
      <w:r w:rsidR="006C54B1" w:rsidRPr="00646254">
        <w:rPr>
          <w:rStyle w:val="FootnoteReference"/>
          <w:rFonts w:cstheme="minorHAnsi"/>
          <w:b/>
          <w:color w:val="002060"/>
          <w:lang w:val="sr-Cyrl-CS"/>
        </w:rPr>
        <w:footnoteReference w:id="2"/>
      </w:r>
      <w:r w:rsidR="006C54B1" w:rsidRPr="00646254">
        <w:rPr>
          <w:rFonts w:cstheme="minorHAnsi"/>
          <w:b/>
          <w:color w:val="002060"/>
          <w:lang w:val="sr-Cyrl-CS"/>
        </w:rPr>
        <w:t>, десезониране</w:t>
      </w:r>
      <w:r w:rsidR="006C54B1" w:rsidRPr="00646254">
        <w:rPr>
          <w:rFonts w:cstheme="minorHAnsi"/>
          <w:b/>
          <w:bCs/>
          <w:szCs w:val="72"/>
          <w:lang w:val="sr-Cyrl-CS"/>
        </w:rPr>
        <w:t xml:space="preserve"> </w:t>
      </w:r>
      <w:r w:rsidR="006C54B1" w:rsidRPr="00646254">
        <w:rPr>
          <w:rFonts w:cstheme="minorHAnsi"/>
          <w:b/>
          <w:color w:val="002060"/>
          <w:lang w:val="sr-Cyrl-CS"/>
        </w:rPr>
        <w:t>стопе раста (2020Q1=100), у %</w:t>
      </w:r>
    </w:p>
    <w:p w14:paraId="05553874" w14:textId="77777777" w:rsidR="006C54B1" w:rsidRPr="00646254" w:rsidRDefault="006C54B1" w:rsidP="00426178">
      <w:pPr>
        <w:spacing w:after="0"/>
        <w:rPr>
          <w:rFonts w:cstheme="minorHAnsi"/>
          <w:bCs/>
          <w:sz w:val="16"/>
          <w:szCs w:val="72"/>
          <w:lang w:val="sr-Cyrl-CS"/>
        </w:rPr>
      </w:pPr>
      <w:r w:rsidRPr="00646254">
        <w:rPr>
          <w:noProof/>
        </w:rPr>
        <w:drawing>
          <wp:inline distT="0" distB="0" distL="0" distR="0" wp14:anchorId="1DCD646B" wp14:editId="6B920F72">
            <wp:extent cx="2743200" cy="2727158"/>
            <wp:effectExtent l="0" t="0" r="0" b="0"/>
            <wp:docPr id="13" name="Chart 13">
              <a:extLst xmlns:a="http://schemas.openxmlformats.org/drawingml/2006/main">
                <a:ext uri="{FF2B5EF4-FFF2-40B4-BE49-F238E27FC236}">
                  <a16:creationId xmlns:a16="http://schemas.microsoft.com/office/drawing/2014/main" id="{63C118DB-4509-41EB-B67D-8FF5AE05310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31637A21" w14:textId="77777777" w:rsidR="006C54B1" w:rsidRPr="00646254" w:rsidRDefault="006C54B1" w:rsidP="00426178">
      <w:pPr>
        <w:rPr>
          <w:rFonts w:cstheme="minorHAnsi"/>
          <w:bCs/>
          <w:sz w:val="16"/>
          <w:szCs w:val="72"/>
          <w:lang w:val="sr-Cyrl-CS"/>
        </w:rPr>
      </w:pPr>
      <w:r w:rsidRPr="00646254">
        <w:rPr>
          <w:rFonts w:cstheme="minorHAnsi"/>
          <w:bCs/>
          <w:sz w:val="16"/>
          <w:szCs w:val="72"/>
          <w:lang w:val="sr-Cyrl-CS"/>
        </w:rPr>
        <w:t>Извор: Евростат</w:t>
      </w:r>
    </w:p>
    <w:p w14:paraId="50512279" w14:textId="77777777" w:rsidR="006C54B1" w:rsidRPr="00646254" w:rsidRDefault="006C54B1" w:rsidP="00426178">
      <w:pPr>
        <w:rPr>
          <w:rFonts w:cstheme="minorHAnsi"/>
          <w:bCs/>
          <w:spacing w:val="-4"/>
          <w:szCs w:val="72"/>
          <w:lang w:val="sr-Cyrl-CS"/>
        </w:rPr>
      </w:pPr>
      <w:r w:rsidRPr="00646254">
        <w:rPr>
          <w:rFonts w:cstheme="minorHAnsi"/>
          <w:bCs/>
          <w:spacing w:val="-4"/>
          <w:szCs w:val="72"/>
          <w:lang w:val="sr-Cyrl-CS"/>
        </w:rPr>
        <w:t>Поједине услужне делатности које су упркос пандемији бележиле раст и претходне године, попут трговине, ИКТ и финансијских услуга, наставиле су са позитивним кретањима и током 2021. године. Већи расположиви доходак становништва резултирао је реалним растом промета у трговини на мало од 11,3% мг. у првих осам месеци, док је промет у трговини на велико у првих шест месеци био номинално већи за 21,7%. Физички обим телекомуникационих услуга у првој половини 2021. године био је већи за 2,3% праћен растом извоза ИКТ услуга од 25,5% у првих осам месеци. Раст економске активности привредних субјеката и повећан превоз путника и робе одразили су се на повећање физичког обима саобраћаја од 23,7% у првој половини године, уз раст извоза транспортних услуга од 30,6% у првих осам месеци.</w:t>
      </w:r>
    </w:p>
    <w:p w14:paraId="53A457AB" w14:textId="77777777" w:rsidR="006C54B1" w:rsidRPr="00646254" w:rsidRDefault="006C54B1" w:rsidP="00426178">
      <w:pPr>
        <w:spacing w:after="80"/>
        <w:jc w:val="center"/>
        <w:rPr>
          <w:rFonts w:cstheme="minorHAnsi"/>
          <w:b/>
          <w:color w:val="002060"/>
          <w:lang w:val="sr-Cyrl-CS"/>
        </w:rPr>
      </w:pPr>
      <w:r w:rsidRPr="00646254">
        <w:rPr>
          <w:rFonts w:cstheme="minorHAnsi"/>
          <w:b/>
          <w:color w:val="002060"/>
          <w:lang w:val="sr-Cyrl-CS"/>
        </w:rPr>
        <w:t>Индекс физичког обима саобраћајних и телекомуникационих услуга (2020=100)</w:t>
      </w:r>
    </w:p>
    <w:p w14:paraId="62C4218C" w14:textId="77777777" w:rsidR="006C54B1" w:rsidRPr="00646254" w:rsidRDefault="006C54B1" w:rsidP="00426178">
      <w:pPr>
        <w:spacing w:after="20"/>
        <w:rPr>
          <w:rFonts w:cstheme="minorHAnsi"/>
          <w:bCs/>
          <w:szCs w:val="72"/>
          <w:lang w:val="sr-Cyrl-CS"/>
        </w:rPr>
      </w:pPr>
      <w:r w:rsidRPr="00646254">
        <w:rPr>
          <w:noProof/>
        </w:rPr>
        <w:drawing>
          <wp:inline distT="0" distB="0" distL="0" distR="0" wp14:anchorId="5D67798E" wp14:editId="65AF2136">
            <wp:extent cx="2743200" cy="1583690"/>
            <wp:effectExtent l="0" t="0" r="0" b="0"/>
            <wp:docPr id="20" name="Chart 20">
              <a:extLst xmlns:a="http://schemas.openxmlformats.org/drawingml/2006/main">
                <a:ext uri="{FF2B5EF4-FFF2-40B4-BE49-F238E27FC236}">
                  <a16:creationId xmlns:a16="http://schemas.microsoft.com/office/drawing/2014/main" id="{C3A22F6C-35C5-40F8-BB50-8B58EF750A5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1947DD51" w14:textId="77777777" w:rsidR="006C54B1" w:rsidRPr="00646254" w:rsidRDefault="006C54B1" w:rsidP="00426178">
      <w:pPr>
        <w:rPr>
          <w:rFonts w:cstheme="minorHAnsi"/>
          <w:bCs/>
          <w:sz w:val="16"/>
          <w:szCs w:val="72"/>
          <w:lang w:val="sr-Cyrl-CS"/>
        </w:rPr>
      </w:pPr>
      <w:r w:rsidRPr="00646254">
        <w:rPr>
          <w:rFonts w:cstheme="minorHAnsi"/>
          <w:bCs/>
          <w:sz w:val="16"/>
          <w:szCs w:val="72"/>
          <w:lang w:val="sr-Cyrl-CS"/>
        </w:rPr>
        <w:t>Извор: РЗС</w:t>
      </w:r>
    </w:p>
    <w:p w14:paraId="75021DA7" w14:textId="515735FA" w:rsidR="006C54B1" w:rsidRPr="00646254" w:rsidRDefault="006C54B1" w:rsidP="00B435B3">
      <w:pPr>
        <w:rPr>
          <w:rFonts w:cstheme="minorHAnsi"/>
          <w:bCs/>
          <w:spacing w:val="-2"/>
          <w:szCs w:val="72"/>
          <w:lang w:val="sr-Cyrl-CS"/>
        </w:rPr>
      </w:pPr>
      <w:r w:rsidRPr="00646254">
        <w:rPr>
          <w:rFonts w:cstheme="minorHAnsi"/>
          <w:bCs/>
          <w:spacing w:val="-2"/>
          <w:szCs w:val="72"/>
          <w:lang w:val="sr-Cyrl-CS"/>
        </w:rPr>
        <w:t xml:space="preserve">Делатности попут туризма, уметности, забаве и рекреације, које су забележиле драматичан пад, нарочито у другом кварталу претходне године и чије кретање је посебно осетљиво на развој епидемиолошке ситуације, и даље нису достигле преткризни ниво активности, док су стручне, научне, иновационе и техничке делатности веома близу свог предпандемијског нивоа. И поред тога, у овим делатностима приметан је значајан опоравак. Извоз туристичких услуга у периоду јануар–август 2021. године повећан је за 50,4% у односу на исти период претходне године. </w:t>
      </w:r>
      <w:bookmarkStart w:id="9" w:name="_Hlk86379101"/>
      <w:r w:rsidR="00DF01FB" w:rsidRPr="00646254">
        <w:rPr>
          <w:rFonts w:cstheme="minorHAnsi"/>
          <w:bCs/>
          <w:spacing w:val="-2"/>
          <w:szCs w:val="72"/>
          <w:lang w:val="sr-Cyrl-CS"/>
        </w:rPr>
        <w:t>Истовремено број ноћења дома</w:t>
      </w:r>
      <w:r w:rsidR="00B67B03" w:rsidRPr="00646254">
        <w:rPr>
          <w:rFonts w:cstheme="minorHAnsi"/>
          <w:bCs/>
          <w:spacing w:val="-2"/>
          <w:szCs w:val="72"/>
          <w:lang w:val="sr-Cyrl-CS"/>
        </w:rPr>
        <w:t>ћих туриста већи је за 18,1% мг.</w:t>
      </w:r>
      <w:r w:rsidR="00DF01FB" w:rsidRPr="00646254">
        <w:rPr>
          <w:rFonts w:cstheme="minorHAnsi"/>
          <w:bCs/>
          <w:spacing w:val="-2"/>
          <w:szCs w:val="72"/>
          <w:lang w:val="sr-Cyrl-CS"/>
        </w:rPr>
        <w:t xml:space="preserve"> у односу на првих осам месеци претходне године и нижи је за само 5,7% у односу на исти период преткризне 2019</w:t>
      </w:r>
      <w:r w:rsidR="00646254">
        <w:rPr>
          <w:rFonts w:cstheme="minorHAnsi"/>
          <w:bCs/>
          <w:spacing w:val="-2"/>
          <w:szCs w:val="72"/>
          <w:lang w:val="sr-Cyrl-CS"/>
        </w:rPr>
        <w:t>. године</w:t>
      </w:r>
      <w:r w:rsidR="00DF01FB" w:rsidRPr="00646254">
        <w:rPr>
          <w:rFonts w:cstheme="minorHAnsi"/>
          <w:bCs/>
          <w:spacing w:val="-2"/>
          <w:szCs w:val="72"/>
          <w:lang w:val="sr-Cyrl-CS"/>
        </w:rPr>
        <w:t>. Број ноћења страних туриста снажно расте током 2021. године, пре свега под утицајем изразито ниске базе из истог периода претходне године, али је у првих осам месеци и даље нижи за 42,7% у односу на првих осам месеци преткризне 2019. године.</w:t>
      </w:r>
      <w:bookmarkEnd w:id="9"/>
      <w:r w:rsidRPr="00646254">
        <w:rPr>
          <w:rFonts w:cstheme="minorHAnsi"/>
          <w:bCs/>
          <w:spacing w:val="-2"/>
          <w:szCs w:val="72"/>
          <w:lang w:val="sr-Cyrl-CS"/>
        </w:rPr>
        <w:t xml:space="preserve"> Угоститељство бележи снажан раст током 2021. године, при чему је реални ниво промета у првих седам месеци већи за око 63% у односу на исти период претходне године, односно за чак 25% у односу на првих седам месеци преткризне 2019. године.</w:t>
      </w:r>
    </w:p>
    <w:p w14:paraId="6D387678" w14:textId="77777777" w:rsidR="006C54B1" w:rsidRPr="00646254" w:rsidRDefault="006C54B1" w:rsidP="00B435B3">
      <w:pPr>
        <w:rPr>
          <w:rFonts w:cstheme="minorHAnsi"/>
          <w:bCs/>
          <w:szCs w:val="72"/>
          <w:lang w:val="sr-Cyrl-CS"/>
        </w:rPr>
        <w:sectPr w:rsidR="006C54B1" w:rsidRPr="00646254" w:rsidSect="00CE5657">
          <w:type w:val="continuous"/>
          <w:pgSz w:w="12240" w:h="15840"/>
          <w:pgMar w:top="1440" w:right="1440" w:bottom="1440" w:left="1440" w:header="720" w:footer="720" w:gutter="0"/>
          <w:cols w:num="2" w:space="720"/>
          <w:docGrid w:linePitch="360"/>
          <w15:footnoteColumns w:val="1"/>
        </w:sectPr>
      </w:pPr>
    </w:p>
    <w:p w14:paraId="2A25BB87" w14:textId="77777777" w:rsidR="006C54B1" w:rsidRPr="00646254" w:rsidRDefault="006C54B1" w:rsidP="00426178">
      <w:pPr>
        <w:spacing w:before="240"/>
        <w:jc w:val="center"/>
        <w:rPr>
          <w:rFonts w:cstheme="minorHAnsi"/>
          <w:b/>
          <w:color w:val="002060"/>
          <w:lang w:val="sr-Cyrl-CS"/>
        </w:rPr>
      </w:pPr>
      <w:r w:rsidRPr="00646254">
        <w:rPr>
          <w:rFonts w:cstheme="minorHAnsi"/>
          <w:b/>
          <w:color w:val="002060"/>
          <w:lang w:val="sr-Cyrl-CS"/>
        </w:rPr>
        <w:t>Високофреквентни индикатори најзначајнијих услужних делатности, 2020=100</w:t>
      </w:r>
    </w:p>
    <w:tbl>
      <w:tblPr>
        <w:tblStyle w:val="TableGrid6"/>
        <w:tblW w:w="0" w:type="auto"/>
        <w:tblBorders>
          <w:top w:val="none" w:sz="0" w:space="0" w:color="auto"/>
          <w:left w:val="none" w:sz="0" w:space="0" w:color="auto"/>
          <w:bottom w:val="dashSmallGap" w:sz="4" w:space="0" w:color="BFBFBF" w:themeColor="background1" w:themeShade="BF"/>
          <w:right w:val="none" w:sz="0" w:space="0" w:color="auto"/>
          <w:insideH w:val="dashSmallGap" w:sz="4" w:space="0" w:color="BFBFBF" w:themeColor="background1" w:themeShade="BF"/>
          <w:insideV w:val="dashSmallGap" w:sz="4" w:space="0" w:color="BFBFBF" w:themeColor="background1" w:themeShade="BF"/>
        </w:tblBorders>
        <w:tblLook w:val="04A0" w:firstRow="1" w:lastRow="0" w:firstColumn="1" w:lastColumn="0" w:noHBand="0" w:noVBand="1"/>
      </w:tblPr>
      <w:tblGrid>
        <w:gridCol w:w="4681"/>
        <w:gridCol w:w="4679"/>
      </w:tblGrid>
      <w:tr w:rsidR="006C54B1" w:rsidRPr="00646254" w14:paraId="4D1E11AC" w14:textId="77777777" w:rsidTr="00426178">
        <w:tc>
          <w:tcPr>
            <w:tcW w:w="4681" w:type="dxa"/>
          </w:tcPr>
          <w:p w14:paraId="0497ED1C" w14:textId="77777777" w:rsidR="006C54B1" w:rsidRPr="00646254" w:rsidRDefault="006C54B1" w:rsidP="00426178">
            <w:pPr>
              <w:jc w:val="center"/>
              <w:rPr>
                <w:lang w:val="sr-Cyrl-CS"/>
              </w:rPr>
            </w:pPr>
            <w:r w:rsidRPr="00646254">
              <w:rPr>
                <w:lang w:val="sr-Cyrl-CS"/>
              </w:rPr>
              <w:t>Промет у трговини на мало у сталним ценама</w:t>
            </w:r>
          </w:p>
          <w:p w14:paraId="536FEE16" w14:textId="77777777" w:rsidR="006C54B1" w:rsidRPr="00646254" w:rsidRDefault="006C54B1" w:rsidP="00426178">
            <w:pPr>
              <w:jc w:val="center"/>
              <w:rPr>
                <w:lang w:val="sr-Cyrl-CS"/>
              </w:rPr>
            </w:pPr>
          </w:p>
          <w:p w14:paraId="080DB490" w14:textId="77777777" w:rsidR="006C54B1" w:rsidRPr="00646254" w:rsidRDefault="006C54B1" w:rsidP="00426178">
            <w:pPr>
              <w:jc w:val="center"/>
              <w:rPr>
                <w:lang w:val="sr-Cyrl-CS"/>
              </w:rPr>
            </w:pPr>
            <w:r w:rsidRPr="00646254">
              <w:rPr>
                <w:noProof/>
              </w:rPr>
              <w:drawing>
                <wp:inline distT="0" distB="0" distL="0" distR="0" wp14:anchorId="0A9A12A6" wp14:editId="53CA31B6">
                  <wp:extent cx="2881504" cy="1332000"/>
                  <wp:effectExtent l="0" t="0" r="0" b="1905"/>
                  <wp:docPr id="6" name="Chart 6">
                    <a:extLst xmlns:a="http://schemas.openxmlformats.org/drawingml/2006/main">
                      <a:ext uri="{FF2B5EF4-FFF2-40B4-BE49-F238E27FC236}">
                        <a16:creationId xmlns:a16="http://schemas.microsoft.com/office/drawing/2014/main" id="{00000000-0008-0000-1A00-00000D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tc>
        <w:tc>
          <w:tcPr>
            <w:tcW w:w="4679" w:type="dxa"/>
          </w:tcPr>
          <w:p w14:paraId="10D4A160" w14:textId="77777777" w:rsidR="006C54B1" w:rsidRPr="00646254" w:rsidRDefault="006C54B1" w:rsidP="00426178">
            <w:pPr>
              <w:jc w:val="center"/>
              <w:rPr>
                <w:lang w:val="sr-Cyrl-CS"/>
              </w:rPr>
            </w:pPr>
            <w:r w:rsidRPr="00646254">
              <w:rPr>
                <w:lang w:val="sr-Cyrl-CS"/>
              </w:rPr>
              <w:t>Извоз услуга телекомуникација, компјутерских и информацијских услуга</w:t>
            </w:r>
          </w:p>
          <w:p w14:paraId="483FA808" w14:textId="77777777" w:rsidR="006C54B1" w:rsidRPr="00646254" w:rsidRDefault="006C54B1" w:rsidP="00426178">
            <w:pPr>
              <w:jc w:val="center"/>
              <w:rPr>
                <w:lang w:val="sr-Cyrl-CS"/>
              </w:rPr>
            </w:pPr>
            <w:r w:rsidRPr="00646254">
              <w:rPr>
                <w:noProof/>
              </w:rPr>
              <w:drawing>
                <wp:inline distT="0" distB="0" distL="0" distR="0" wp14:anchorId="0EE1F0EE" wp14:editId="0CE49DD3">
                  <wp:extent cx="2880000" cy="1332000"/>
                  <wp:effectExtent l="0" t="0" r="0" b="1905"/>
                  <wp:docPr id="7" name="Chart 7">
                    <a:extLst xmlns:a="http://schemas.openxmlformats.org/drawingml/2006/main">
                      <a:ext uri="{FF2B5EF4-FFF2-40B4-BE49-F238E27FC236}">
                        <a16:creationId xmlns:a16="http://schemas.microsoft.com/office/drawing/2014/main" id="{00000000-0008-0000-1B00-00000C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tc>
      </w:tr>
      <w:tr w:rsidR="006C54B1" w:rsidRPr="00646254" w14:paraId="59E2B6AA" w14:textId="77777777" w:rsidTr="00426178">
        <w:tc>
          <w:tcPr>
            <w:tcW w:w="4681" w:type="dxa"/>
          </w:tcPr>
          <w:p w14:paraId="1598DA5D" w14:textId="77777777" w:rsidR="006C54B1" w:rsidRPr="00646254" w:rsidRDefault="006C54B1" w:rsidP="00426178">
            <w:pPr>
              <w:spacing w:before="60"/>
              <w:jc w:val="center"/>
              <w:rPr>
                <w:lang w:val="sr-Cyrl-CS"/>
              </w:rPr>
            </w:pPr>
            <w:r w:rsidRPr="00646254">
              <w:rPr>
                <w:lang w:val="sr-Cyrl-CS"/>
              </w:rPr>
              <w:t>Ноћења туриста</w:t>
            </w:r>
          </w:p>
          <w:p w14:paraId="23FDE453" w14:textId="77777777" w:rsidR="006C54B1" w:rsidRPr="00646254" w:rsidRDefault="006C54B1" w:rsidP="00426178">
            <w:pPr>
              <w:spacing w:before="60"/>
              <w:jc w:val="center"/>
              <w:rPr>
                <w:lang w:val="sr-Cyrl-CS"/>
              </w:rPr>
            </w:pPr>
            <w:r w:rsidRPr="00646254">
              <w:rPr>
                <w:noProof/>
              </w:rPr>
              <w:drawing>
                <wp:inline distT="0" distB="0" distL="0" distR="0" wp14:anchorId="39876671" wp14:editId="1A71DF22">
                  <wp:extent cx="2880000" cy="1332000"/>
                  <wp:effectExtent l="0" t="0" r="0" b="1905"/>
                  <wp:docPr id="21" name="Chart 21">
                    <a:extLst xmlns:a="http://schemas.openxmlformats.org/drawingml/2006/main">
                      <a:ext uri="{FF2B5EF4-FFF2-40B4-BE49-F238E27FC236}">
                        <a16:creationId xmlns:a16="http://schemas.microsoft.com/office/drawing/2014/main" id="{00000000-0008-0000-1A00-000011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tc>
        <w:tc>
          <w:tcPr>
            <w:tcW w:w="4679" w:type="dxa"/>
          </w:tcPr>
          <w:p w14:paraId="5E2D0304" w14:textId="77777777" w:rsidR="006C54B1" w:rsidRPr="00646254" w:rsidRDefault="006C54B1" w:rsidP="00426178">
            <w:pPr>
              <w:spacing w:before="60" w:after="60"/>
              <w:jc w:val="center"/>
              <w:rPr>
                <w:lang w:val="sr-Cyrl-CS"/>
              </w:rPr>
            </w:pPr>
            <w:r w:rsidRPr="00646254">
              <w:rPr>
                <w:lang w:val="sr-Cyrl-CS"/>
              </w:rPr>
              <w:t>Промет у угоститељству у сталним ценама</w:t>
            </w:r>
          </w:p>
          <w:p w14:paraId="7FD99980" w14:textId="77777777" w:rsidR="006C54B1" w:rsidRPr="00646254" w:rsidRDefault="006C54B1" w:rsidP="00426178">
            <w:pPr>
              <w:spacing w:before="60" w:after="60"/>
              <w:jc w:val="center"/>
              <w:rPr>
                <w:lang w:val="sr-Cyrl-CS"/>
              </w:rPr>
            </w:pPr>
            <w:r w:rsidRPr="00646254">
              <w:rPr>
                <w:noProof/>
              </w:rPr>
              <w:drawing>
                <wp:inline distT="0" distB="0" distL="0" distR="0" wp14:anchorId="1D89EC47" wp14:editId="4F3A19DD">
                  <wp:extent cx="2880000" cy="1332000"/>
                  <wp:effectExtent l="0" t="0" r="0" b="1905"/>
                  <wp:docPr id="22" name="Chart 22">
                    <a:extLst xmlns:a="http://schemas.openxmlformats.org/drawingml/2006/main">
                      <a:ext uri="{FF2B5EF4-FFF2-40B4-BE49-F238E27FC236}">
                        <a16:creationId xmlns:a16="http://schemas.microsoft.com/office/drawing/2014/main" id="{00000000-0008-0000-1A00-000010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tc>
      </w:tr>
      <w:tr w:rsidR="006C54B1" w:rsidRPr="00646254" w14:paraId="257AB04C" w14:textId="77777777" w:rsidTr="00426178">
        <w:tc>
          <w:tcPr>
            <w:tcW w:w="4681" w:type="dxa"/>
          </w:tcPr>
          <w:p w14:paraId="698678A3" w14:textId="77777777" w:rsidR="006C54B1" w:rsidRPr="00646254" w:rsidRDefault="006C54B1" w:rsidP="00426178">
            <w:pPr>
              <w:spacing w:before="60"/>
              <w:jc w:val="center"/>
              <w:rPr>
                <w:lang w:val="sr-Cyrl-CS"/>
              </w:rPr>
            </w:pPr>
            <w:r w:rsidRPr="00646254">
              <w:rPr>
                <w:lang w:val="sr-Cyrl-CS"/>
              </w:rPr>
              <w:t>Извоз туристичких услуга</w:t>
            </w:r>
          </w:p>
          <w:p w14:paraId="66CF0018" w14:textId="77777777" w:rsidR="006C54B1" w:rsidRPr="00646254" w:rsidRDefault="006C54B1" w:rsidP="00426178">
            <w:pPr>
              <w:jc w:val="center"/>
              <w:rPr>
                <w:lang w:val="sr-Cyrl-CS"/>
              </w:rPr>
            </w:pPr>
            <w:r w:rsidRPr="00646254">
              <w:rPr>
                <w:noProof/>
              </w:rPr>
              <w:drawing>
                <wp:inline distT="0" distB="0" distL="0" distR="0" wp14:anchorId="02FF045D" wp14:editId="0C57056E">
                  <wp:extent cx="2880000" cy="1332000"/>
                  <wp:effectExtent l="0" t="0" r="0" b="1905"/>
                  <wp:docPr id="9" name="Chart 9">
                    <a:extLst xmlns:a="http://schemas.openxmlformats.org/drawingml/2006/main">
                      <a:ext uri="{FF2B5EF4-FFF2-40B4-BE49-F238E27FC236}">
                        <a16:creationId xmlns:a16="http://schemas.microsoft.com/office/drawing/2014/main" id="{00000000-0008-0000-1B00-00000B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tc>
        <w:tc>
          <w:tcPr>
            <w:tcW w:w="4679" w:type="dxa"/>
          </w:tcPr>
          <w:p w14:paraId="2E4394BA" w14:textId="77777777" w:rsidR="006C54B1" w:rsidRPr="00646254" w:rsidRDefault="006C54B1" w:rsidP="00426178">
            <w:pPr>
              <w:spacing w:before="60"/>
              <w:jc w:val="center"/>
              <w:rPr>
                <w:lang w:val="sr-Cyrl-CS"/>
              </w:rPr>
            </w:pPr>
            <w:r w:rsidRPr="00646254">
              <w:rPr>
                <w:lang w:val="sr-Cyrl-CS"/>
              </w:rPr>
              <w:t>Извоз транспортних услуга</w:t>
            </w:r>
          </w:p>
          <w:p w14:paraId="71AD6EA5" w14:textId="77777777" w:rsidR="006C54B1" w:rsidRPr="00646254" w:rsidRDefault="006C54B1" w:rsidP="00426178">
            <w:pPr>
              <w:spacing w:before="60"/>
              <w:jc w:val="center"/>
              <w:rPr>
                <w:lang w:val="sr-Cyrl-CS" w:eastAsia="en-GB"/>
              </w:rPr>
            </w:pPr>
            <w:r w:rsidRPr="00646254">
              <w:rPr>
                <w:noProof/>
              </w:rPr>
              <w:drawing>
                <wp:inline distT="0" distB="0" distL="0" distR="0" wp14:anchorId="017815CC" wp14:editId="76E8EC7E">
                  <wp:extent cx="2880000" cy="1332000"/>
                  <wp:effectExtent l="0" t="0" r="0" b="1905"/>
                  <wp:docPr id="12" name="Chart 12">
                    <a:extLst xmlns:a="http://schemas.openxmlformats.org/drawingml/2006/main">
                      <a:ext uri="{FF2B5EF4-FFF2-40B4-BE49-F238E27FC236}">
                        <a16:creationId xmlns:a16="http://schemas.microsoft.com/office/drawing/2014/main" id="{00000000-0008-0000-1B00-00000A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tc>
      </w:tr>
    </w:tbl>
    <w:p w14:paraId="6ECA0CED" w14:textId="77777777" w:rsidR="006C54B1" w:rsidRPr="00646254" w:rsidRDefault="006C54B1" w:rsidP="00426178">
      <w:pPr>
        <w:spacing w:before="120" w:after="0"/>
        <w:jc w:val="center"/>
        <w:rPr>
          <w:rFonts w:cstheme="minorHAnsi"/>
          <w:b/>
          <w:lang w:val="sr-Cyrl-CS"/>
        </w:rPr>
      </w:pPr>
      <w:r w:rsidRPr="00646254">
        <w:rPr>
          <w:noProof/>
        </w:rPr>
        <w:drawing>
          <wp:inline distT="0" distB="0" distL="0" distR="0" wp14:anchorId="60C593F7" wp14:editId="16CA4253">
            <wp:extent cx="4371429" cy="219048"/>
            <wp:effectExtent l="0" t="0" r="0" b="0"/>
            <wp:docPr id="1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pic:cNvPicPr>
                      <a:picLocks noChangeAspect="1"/>
                    </pic:cNvPicPr>
                  </pic:nvPicPr>
                  <pic:blipFill>
                    <a:blip r:embed="rId58"/>
                    <a:stretch>
                      <a:fillRect/>
                    </a:stretch>
                  </pic:blipFill>
                  <pic:spPr>
                    <a:xfrm>
                      <a:off x="0" y="0"/>
                      <a:ext cx="4371429" cy="219048"/>
                    </a:xfrm>
                    <a:prstGeom prst="rect">
                      <a:avLst/>
                    </a:prstGeom>
                  </pic:spPr>
                </pic:pic>
              </a:graphicData>
            </a:graphic>
          </wp:inline>
        </w:drawing>
      </w:r>
    </w:p>
    <w:p w14:paraId="585EDE93" w14:textId="77777777" w:rsidR="006C54B1" w:rsidRPr="00646254" w:rsidRDefault="006C54B1" w:rsidP="00426178">
      <w:pPr>
        <w:jc w:val="left"/>
        <w:rPr>
          <w:rFonts w:cstheme="minorHAnsi"/>
          <w:b/>
          <w:lang w:val="sr-Cyrl-CS"/>
        </w:rPr>
      </w:pPr>
      <w:r w:rsidRPr="00646254">
        <w:rPr>
          <w:rFonts w:cstheme="minorHAnsi"/>
          <w:bCs/>
          <w:sz w:val="16"/>
          <w:szCs w:val="72"/>
          <w:lang w:val="sr-Cyrl-CS"/>
        </w:rPr>
        <w:t>Извор: Министарство финансија</w:t>
      </w:r>
    </w:p>
    <w:p w14:paraId="4A8D9E9E" w14:textId="77777777" w:rsidR="006C54B1" w:rsidRPr="00646254" w:rsidRDefault="006C54B1">
      <w:pPr>
        <w:jc w:val="left"/>
        <w:rPr>
          <w:rFonts w:cstheme="minorHAnsi"/>
          <w:b/>
          <w:lang w:val="sr-Cyrl-CS"/>
        </w:rPr>
      </w:pPr>
      <w:r w:rsidRPr="00646254">
        <w:rPr>
          <w:rFonts w:cstheme="minorHAnsi"/>
          <w:b/>
          <w:lang w:val="sr-Cyrl-CS"/>
        </w:rPr>
        <w:br w:type="page"/>
      </w:r>
    </w:p>
    <w:p w14:paraId="360AFED9" w14:textId="77777777" w:rsidR="006C54B1" w:rsidRPr="00646254" w:rsidRDefault="006C54B1" w:rsidP="00B435B3">
      <w:pPr>
        <w:jc w:val="center"/>
        <w:rPr>
          <w:rFonts w:cstheme="minorHAnsi"/>
          <w:b/>
          <w:lang w:val="sr-Cyrl-CS"/>
        </w:rPr>
        <w:sectPr w:rsidR="006C54B1" w:rsidRPr="00646254" w:rsidSect="00B435B3">
          <w:type w:val="continuous"/>
          <w:pgSz w:w="12240" w:h="15840"/>
          <w:pgMar w:top="1440" w:right="1440" w:bottom="1440" w:left="1440" w:header="720" w:footer="720" w:gutter="0"/>
          <w:cols w:space="720"/>
          <w:docGrid w:linePitch="360"/>
          <w15:footnoteColumns w:val="1"/>
        </w:sectPr>
      </w:pPr>
    </w:p>
    <w:p w14:paraId="5EDF9070" w14:textId="1F05A6FD" w:rsidR="006C54B1" w:rsidRPr="00646254" w:rsidRDefault="006C54B1" w:rsidP="00426178">
      <w:pPr>
        <w:tabs>
          <w:tab w:val="left" w:pos="720"/>
          <w:tab w:val="left" w:pos="1440"/>
        </w:tabs>
        <w:rPr>
          <w:rFonts w:cstheme="minorHAnsi"/>
          <w:bCs/>
          <w:szCs w:val="72"/>
          <w:lang w:val="sr-Cyrl-CS"/>
        </w:rPr>
      </w:pPr>
      <w:r w:rsidRPr="00646254">
        <w:rPr>
          <w:rFonts w:cstheme="minorHAnsi"/>
          <w:bCs/>
          <w:szCs w:val="72"/>
          <w:lang w:val="sr-Cyrl-CS"/>
        </w:rPr>
        <w:t>Полазећи од кретања у међународном окружењу, бржег раста у првој половини године од претходно пројектованог и узимајући у обзир ефекте донетих мера за подршку привреди и становништву, пројекција БДП за 2021. годину ревидирана је навише за 1,0 п.п, са 6,0% на 7,0%.</w:t>
      </w:r>
    </w:p>
    <w:p w14:paraId="41B50F13" w14:textId="77777777" w:rsidR="006C54B1" w:rsidRPr="00646254" w:rsidRDefault="006C54B1" w:rsidP="00426178">
      <w:pPr>
        <w:jc w:val="center"/>
        <w:rPr>
          <w:rFonts w:cstheme="minorHAnsi"/>
          <w:b/>
          <w:color w:val="002060"/>
          <w:lang w:val="sr-Cyrl-CS"/>
        </w:rPr>
      </w:pPr>
      <w:r w:rsidRPr="00646254">
        <w:rPr>
          <w:rFonts w:cstheme="minorHAnsi"/>
          <w:b/>
          <w:bCs/>
          <w:color w:val="002060"/>
          <w:lang w:val="sr-Cyrl-CS"/>
        </w:rPr>
        <w:t>Кварталне стопе раста БДП у 2021. години, %</w:t>
      </w:r>
    </w:p>
    <w:p w14:paraId="5A102571" w14:textId="77777777" w:rsidR="006C54B1" w:rsidRPr="00646254" w:rsidRDefault="006C54B1" w:rsidP="00426178">
      <w:pPr>
        <w:spacing w:after="0"/>
        <w:jc w:val="center"/>
        <w:rPr>
          <w:rFonts w:cstheme="minorHAnsi"/>
          <w:b/>
          <w:color w:val="002060"/>
          <w:lang w:val="sr-Cyrl-CS"/>
        </w:rPr>
      </w:pPr>
      <w:r w:rsidRPr="00646254">
        <w:rPr>
          <w:noProof/>
        </w:rPr>
        <w:drawing>
          <wp:inline distT="0" distB="0" distL="0" distR="0" wp14:anchorId="685F2A97" wp14:editId="25F1C4CA">
            <wp:extent cx="2743200" cy="2400935"/>
            <wp:effectExtent l="0" t="0" r="0" b="0"/>
            <wp:docPr id="67" name="Chart 67"/>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14:paraId="38793C37" w14:textId="77777777" w:rsidR="006C54B1" w:rsidRPr="00646254" w:rsidRDefault="006C54B1" w:rsidP="00426178">
      <w:pPr>
        <w:tabs>
          <w:tab w:val="left" w:pos="720"/>
          <w:tab w:val="left" w:pos="1440"/>
        </w:tabs>
        <w:spacing w:before="120" w:after="120" w:line="240" w:lineRule="auto"/>
        <w:rPr>
          <w:rFonts w:cstheme="minorHAnsi"/>
          <w:bCs/>
          <w:sz w:val="16"/>
          <w:szCs w:val="72"/>
          <w:lang w:val="sr-Cyrl-CS"/>
        </w:rPr>
      </w:pPr>
      <w:r w:rsidRPr="00646254">
        <w:rPr>
          <w:rFonts w:cstheme="minorHAnsi"/>
          <w:bCs/>
          <w:sz w:val="16"/>
          <w:szCs w:val="72"/>
          <w:lang w:val="sr-Cyrl-CS"/>
        </w:rPr>
        <w:t>* Процене Министарства финансија</w:t>
      </w:r>
    </w:p>
    <w:p w14:paraId="1E07CD7E" w14:textId="0114E6EC" w:rsidR="006C54B1" w:rsidRPr="00646254" w:rsidRDefault="006C54B1" w:rsidP="00426178">
      <w:pPr>
        <w:tabs>
          <w:tab w:val="left" w:pos="720"/>
          <w:tab w:val="left" w:pos="1440"/>
        </w:tabs>
        <w:rPr>
          <w:rFonts w:cstheme="minorHAnsi"/>
          <w:bCs/>
          <w:szCs w:val="72"/>
          <w:lang w:val="sr-Cyrl-CS"/>
        </w:rPr>
      </w:pPr>
      <w:r w:rsidRPr="00646254">
        <w:rPr>
          <w:rFonts w:cstheme="minorHAnsi"/>
          <w:bCs/>
          <w:szCs w:val="72"/>
          <w:lang w:val="sr-Cyrl-CS"/>
        </w:rPr>
        <w:t>Посматрано по агрегатима употребе</w:t>
      </w:r>
      <w:r w:rsidR="009B0358" w:rsidRPr="00646254">
        <w:rPr>
          <w:rFonts w:cstheme="minorHAnsi"/>
          <w:bCs/>
          <w:szCs w:val="72"/>
          <w:lang w:val="sr-Cyrl-CS"/>
        </w:rPr>
        <w:t>,</w:t>
      </w:r>
      <w:r w:rsidRPr="00646254">
        <w:rPr>
          <w:rFonts w:cstheme="minorHAnsi"/>
          <w:bCs/>
          <w:szCs w:val="72"/>
          <w:lang w:val="sr-Cyrl-CS"/>
        </w:rPr>
        <w:t xml:space="preserve"> економски раст ће у 2021. години бити у потпуности вођен домаћом тражњом, док ће очекиван допринос нето извоза и даље бити негативан, мада мање него у претходној пројекцији. Наставак подршке домаћинствима у оквиру овогодишњег пакета економске подршке Владе, уз очувану стабилност на тржишту радне снаге и очекивано повећање зарада у приватном и јавном сектору, али и повећане склоности становништва ка потрошњи у сегменту услуга, резултираће динамичнијим растом личне потрошње од претходно пројектованог. Сходно томе</w:t>
      </w:r>
      <w:r w:rsidR="009B0358" w:rsidRPr="00646254">
        <w:rPr>
          <w:rFonts w:cstheme="minorHAnsi"/>
          <w:bCs/>
          <w:szCs w:val="72"/>
          <w:lang w:val="sr-Cyrl-CS"/>
        </w:rPr>
        <w:t>,</w:t>
      </w:r>
      <w:r w:rsidRPr="00646254">
        <w:rPr>
          <w:rFonts w:cstheme="minorHAnsi"/>
          <w:bCs/>
          <w:szCs w:val="72"/>
          <w:lang w:val="sr-Cyrl-CS"/>
        </w:rPr>
        <w:t xml:space="preserve"> пројекција раста приватне потрошње ревидирана је навише на 6,4%. У 2021. години очекује се и нешто снажнији раст инвестиција</w:t>
      </w:r>
      <w:r w:rsidR="009B0358" w:rsidRPr="00646254">
        <w:rPr>
          <w:rFonts w:cstheme="minorHAnsi"/>
          <w:bCs/>
          <w:szCs w:val="72"/>
          <w:lang w:val="sr-Cyrl-CS"/>
        </w:rPr>
        <w:t>,</w:t>
      </w:r>
      <w:r w:rsidRPr="00646254">
        <w:rPr>
          <w:rFonts w:cstheme="minorHAnsi"/>
          <w:bCs/>
          <w:szCs w:val="72"/>
          <w:lang w:val="sr-Cyrl-CS"/>
        </w:rPr>
        <w:t xml:space="preserve"> као резултат бржег опоравка приватних инвестиција од претходно очекиваног, уз наставак планиране динамике на реализацији </w:t>
      </w:r>
      <w:r w:rsidRPr="00646254">
        <w:rPr>
          <w:rFonts w:cstheme="minorHAnsi"/>
          <w:bCs/>
          <w:spacing w:val="-2"/>
          <w:szCs w:val="72"/>
          <w:lang w:val="sr-Cyrl-CS"/>
        </w:rPr>
        <w:t xml:space="preserve">инфраструктурних пројеката </w:t>
      </w:r>
      <w:r w:rsidR="00C72B8A" w:rsidRPr="00646254">
        <w:rPr>
          <w:rFonts w:cstheme="minorHAnsi"/>
          <w:bCs/>
          <w:spacing w:val="-2"/>
          <w:szCs w:val="72"/>
          <w:lang w:val="sr-Cyrl-CS"/>
        </w:rPr>
        <w:t>државе. Ревидираном пројекцијом</w:t>
      </w:r>
      <w:r w:rsidRPr="00646254">
        <w:rPr>
          <w:rFonts w:cstheme="minorHAnsi"/>
          <w:bCs/>
          <w:spacing w:val="-2"/>
          <w:szCs w:val="72"/>
          <w:lang w:val="sr-Cyrl-CS"/>
        </w:rPr>
        <w:t xml:space="preserve"> повећање инвестиционе активности би требало да износи</w:t>
      </w:r>
      <w:r w:rsidRPr="00646254">
        <w:rPr>
          <w:rFonts w:cstheme="minorHAnsi"/>
          <w:bCs/>
          <w:szCs w:val="72"/>
          <w:lang w:val="sr-Cyrl-CS"/>
        </w:rPr>
        <w:t xml:space="preserve"> 15,2%, уместо претходно процењених 14,3%. Када је реч о државној потрошњи</w:t>
      </w:r>
      <w:r w:rsidR="00C72B8A" w:rsidRPr="00646254">
        <w:rPr>
          <w:rFonts w:cstheme="minorHAnsi"/>
          <w:bCs/>
          <w:szCs w:val="72"/>
          <w:lang w:val="sr-Cyrl-CS"/>
        </w:rPr>
        <w:t>,</w:t>
      </w:r>
      <w:r w:rsidRPr="00646254">
        <w:rPr>
          <w:rFonts w:cstheme="minorHAnsi"/>
          <w:bCs/>
          <w:szCs w:val="72"/>
          <w:lang w:val="sr-Cyrl-CS"/>
        </w:rPr>
        <w:t xml:space="preserve"> не очекују се значајније промене у односу на априлску процену. </w:t>
      </w:r>
      <w:r w:rsidR="00C72B8A" w:rsidRPr="00646254">
        <w:rPr>
          <w:rFonts w:cstheme="minorHAnsi"/>
          <w:bCs/>
          <w:szCs w:val="72"/>
          <w:lang w:val="sr-Cyrl-CS"/>
        </w:rPr>
        <w:t xml:space="preserve">Снажнији опоравак спољне тражње ће уз активирање нових производних капацитета и раст извоза појединих пољопривредних </w:t>
      </w:r>
      <w:r w:rsidR="00584D73">
        <w:rPr>
          <w:rFonts w:cstheme="minorHAnsi"/>
          <w:bCs/>
          <w:szCs w:val="72"/>
          <w:lang w:val="sr-Cyrl-CS"/>
        </w:rPr>
        <w:t>производа, резултир</w:t>
      </w:r>
      <w:r w:rsidR="00C72B8A" w:rsidRPr="00646254">
        <w:rPr>
          <w:rFonts w:cstheme="minorHAnsi"/>
          <w:bCs/>
          <w:szCs w:val="72"/>
          <w:lang w:val="sr-Cyrl-CS"/>
        </w:rPr>
        <w:t>ати</w:t>
      </w:r>
      <w:r w:rsidRPr="00646254">
        <w:rPr>
          <w:rFonts w:cstheme="minorHAnsi"/>
          <w:bCs/>
          <w:szCs w:val="72"/>
          <w:lang w:val="sr-Cyrl-CS"/>
        </w:rPr>
        <w:t xml:space="preserve"> већим растом извоза у 2021. години који се процењује на 15,9%. С друге стране, већа приватна потрошња и инвестиције уз повећану извозну активност домаћих произвођача и са тим повезаним увозом репроматеријала имаће за последицу већи раст увоза од претходно пројектованог и износиће 14,2%. Оваква динамика спољнотрговинске активности утицаће на мањи негативан допринос нето извоза расту БДП у односу на претходну пројекцију ‒ са -1,4 п.п. на тренутно пројектованих -0,7 п.п.</w:t>
      </w:r>
    </w:p>
    <w:p w14:paraId="2C632780" w14:textId="689C2C24" w:rsidR="006C54B1" w:rsidRPr="00646254" w:rsidRDefault="006C54B1" w:rsidP="00426178">
      <w:pPr>
        <w:tabs>
          <w:tab w:val="left" w:pos="720"/>
          <w:tab w:val="left" w:pos="1440"/>
        </w:tabs>
        <w:rPr>
          <w:rFonts w:cstheme="minorHAnsi"/>
          <w:bCs/>
          <w:szCs w:val="72"/>
          <w:lang w:val="sr-Cyrl-CS"/>
        </w:rPr>
      </w:pPr>
      <w:r w:rsidRPr="00646254">
        <w:rPr>
          <w:rFonts w:cstheme="minorHAnsi"/>
          <w:bCs/>
          <w:szCs w:val="72"/>
          <w:lang w:val="sr-Cyrl-CS"/>
        </w:rPr>
        <w:t>Посматрано са производне стране</w:t>
      </w:r>
      <w:r w:rsidR="00C72B8A" w:rsidRPr="00646254">
        <w:rPr>
          <w:rFonts w:cstheme="minorHAnsi"/>
          <w:bCs/>
          <w:szCs w:val="72"/>
          <w:lang w:val="sr-Cyrl-CS"/>
        </w:rPr>
        <w:t>,</w:t>
      </w:r>
      <w:r w:rsidRPr="00646254">
        <w:rPr>
          <w:rFonts w:cstheme="minorHAnsi"/>
          <w:bCs/>
          <w:szCs w:val="72"/>
          <w:lang w:val="sr-Cyrl-CS"/>
        </w:rPr>
        <w:t xml:space="preserve"> очекују се повољнија кретања у услужном сектору и грађевинарству, док је динамика индустријске производње и пољопривреде генерално у складу са претходном пројекцијом. Повећана потрошња становништва у сегменту услуга погодује већој активности услужних делатности, посебно у области трговине, туризма, угоститељства, саобраћаја, забаве и рекреације али и читавог сегмента стручних и техничких услуга. Стабилан раст очекује се и од ИКТ и финансијских услуга. Услед тога ревидиран је навише раст </w:t>
      </w:r>
      <w:r w:rsidR="00FE6943" w:rsidRPr="00646254">
        <w:rPr>
          <w:rFonts w:cstheme="minorHAnsi"/>
          <w:bCs/>
          <w:szCs w:val="72"/>
          <w:lang w:val="sr-Cyrl-CS"/>
        </w:rPr>
        <w:t xml:space="preserve">бруто додате вредности (у даљем тексту: </w:t>
      </w:r>
      <w:r w:rsidRPr="00646254">
        <w:rPr>
          <w:rFonts w:cstheme="minorHAnsi"/>
          <w:bCs/>
          <w:szCs w:val="72"/>
          <w:lang w:val="sr-Cyrl-CS"/>
        </w:rPr>
        <w:t>БДВ</w:t>
      </w:r>
      <w:r w:rsidR="00FE6943" w:rsidRPr="00646254">
        <w:rPr>
          <w:rFonts w:cstheme="minorHAnsi"/>
          <w:bCs/>
          <w:szCs w:val="72"/>
          <w:lang w:val="sr-Cyrl-CS"/>
        </w:rPr>
        <w:t>)</w:t>
      </w:r>
      <w:r w:rsidRPr="00646254">
        <w:rPr>
          <w:rFonts w:cstheme="minorHAnsi"/>
          <w:bCs/>
          <w:szCs w:val="72"/>
          <w:lang w:val="sr-Cyrl-CS"/>
        </w:rPr>
        <w:t xml:space="preserve"> услужног сектора у 2021. години за око 2,5 п.п. и у новој пројекцији износи 8,4%. Повољни трендови у грађевинарству у првој половини године, уз бржи опоравак приватне грађевинске оперативе и наставак на реализацији инфраструктурних пројеката резултираће растом грађевине од око 19%. Када је реч о индустријској производњи, добри резултати с почетка године и активирање нових производних капацитета, уз постепени опоравак спољне тражње, резултираће стабилним растом од 4,5%. Упркос рекордном роду пшенице, неповољни временски услови током летњег периода одразили су се да овогодишња пољопривредна производња ипак буде на нивоу просечне, што је у складу са претходном пројекцијом која је подразумевала пад од око 4%.</w:t>
      </w:r>
    </w:p>
    <w:p w14:paraId="72EF3356" w14:textId="77777777" w:rsidR="006C54B1" w:rsidRPr="00646254" w:rsidRDefault="006C54B1" w:rsidP="00426178">
      <w:pPr>
        <w:rPr>
          <w:rFonts w:cstheme="minorHAnsi"/>
          <w:bCs/>
          <w:szCs w:val="72"/>
          <w:lang w:val="sr-Cyrl-CS"/>
        </w:rPr>
        <w:sectPr w:rsidR="006C54B1" w:rsidRPr="00646254" w:rsidSect="00426178">
          <w:type w:val="continuous"/>
          <w:pgSz w:w="12240" w:h="15840"/>
          <w:pgMar w:top="1440" w:right="1440" w:bottom="1440" w:left="1440" w:header="720" w:footer="720" w:gutter="0"/>
          <w:cols w:num="2" w:space="720"/>
          <w:docGrid w:linePitch="360"/>
        </w:sectPr>
      </w:pPr>
    </w:p>
    <w:p w14:paraId="5D916247" w14:textId="77777777" w:rsidR="006C54B1" w:rsidRPr="00646254" w:rsidRDefault="006C54B1" w:rsidP="00426178">
      <w:pPr>
        <w:rPr>
          <w:rFonts w:ascii="Calibri" w:eastAsia="Calibri" w:hAnsi="Calibri" w:cs="Calibri"/>
          <w:b/>
          <w:color w:val="002060"/>
          <w:lang w:val="sr-Cyrl-CS"/>
        </w:rPr>
      </w:pPr>
    </w:p>
    <w:p w14:paraId="00EBD162" w14:textId="77777777" w:rsidR="003804CA" w:rsidRPr="00646254" w:rsidRDefault="003804CA">
      <w:pPr>
        <w:jc w:val="left"/>
        <w:rPr>
          <w:rFonts w:ascii="Calibri" w:eastAsia="Calibri" w:hAnsi="Calibri" w:cs="Calibri"/>
          <w:b/>
          <w:color w:val="002060"/>
          <w:lang w:val="sr-Cyrl-CS"/>
        </w:rPr>
      </w:pPr>
      <w:r w:rsidRPr="00646254">
        <w:rPr>
          <w:rFonts w:ascii="Calibri" w:eastAsia="Calibri" w:hAnsi="Calibri" w:cs="Calibri"/>
          <w:b/>
          <w:color w:val="002060"/>
          <w:lang w:val="sr-Cyrl-CS"/>
        </w:rPr>
        <w:br w:type="page"/>
      </w:r>
    </w:p>
    <w:p w14:paraId="2D741755" w14:textId="1B8964C6" w:rsidR="006C54B1" w:rsidRPr="00646254" w:rsidRDefault="006C54B1" w:rsidP="00426178">
      <w:pPr>
        <w:jc w:val="center"/>
        <w:rPr>
          <w:rFonts w:ascii="Calibri" w:eastAsia="Calibri" w:hAnsi="Calibri" w:cs="Times New Roman"/>
          <w:color w:val="002060"/>
          <w:lang w:val="sr-Cyrl-CS"/>
        </w:rPr>
      </w:pPr>
      <w:r w:rsidRPr="00646254">
        <w:rPr>
          <w:rFonts w:ascii="Calibri" w:eastAsia="Calibri" w:hAnsi="Calibri" w:cs="Calibri"/>
          <w:b/>
          <w:color w:val="002060"/>
          <w:lang w:val="sr-Cyrl-CS"/>
        </w:rPr>
        <w:t>Табела 3. БДП, стопе реалног раста, %</w:t>
      </w:r>
    </w:p>
    <w:tbl>
      <w:tblPr>
        <w:tblStyle w:val="TableGrid"/>
        <w:tblW w:w="5001"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60"/>
        <w:gridCol w:w="1288"/>
        <w:gridCol w:w="1288"/>
        <w:gridCol w:w="1288"/>
        <w:gridCol w:w="1288"/>
        <w:gridCol w:w="1288"/>
      </w:tblGrid>
      <w:tr w:rsidR="006C54B1" w:rsidRPr="00646254" w14:paraId="147DB43F" w14:textId="77777777" w:rsidTr="00593258">
        <w:trPr>
          <w:trHeight w:val="847"/>
          <w:jc w:val="center"/>
        </w:trPr>
        <w:tc>
          <w:tcPr>
            <w:tcW w:w="1574" w:type="pct"/>
            <w:tcBorders>
              <w:top w:val="single" w:sz="4" w:space="0" w:color="002060"/>
              <w:left w:val="single" w:sz="2" w:space="0" w:color="FFFFFF"/>
              <w:bottom w:val="single" w:sz="2" w:space="0" w:color="FFFFFF"/>
              <w:right w:val="single" w:sz="2" w:space="0" w:color="FFFFFF"/>
            </w:tcBorders>
          </w:tcPr>
          <w:p w14:paraId="59AFF40A" w14:textId="77777777" w:rsidR="006C54B1" w:rsidRPr="00646254" w:rsidRDefault="006C54B1" w:rsidP="00426178">
            <w:pPr>
              <w:rPr>
                <w:rFonts w:ascii="Calibri" w:eastAsia="Calibri" w:hAnsi="Calibri" w:cs="Calibri"/>
                <w:color w:val="002060"/>
                <w:sz w:val="18"/>
                <w:lang w:val="sr-Cyrl-CS"/>
              </w:rPr>
            </w:pPr>
          </w:p>
        </w:tc>
        <w:tc>
          <w:tcPr>
            <w:tcW w:w="685" w:type="pct"/>
            <w:tcBorders>
              <w:top w:val="single" w:sz="4" w:space="0" w:color="002060"/>
              <w:left w:val="single" w:sz="2" w:space="0" w:color="FFFFFF"/>
              <w:bottom w:val="single" w:sz="4" w:space="0" w:color="002060"/>
              <w:right w:val="single" w:sz="2" w:space="0" w:color="FFFFFF"/>
            </w:tcBorders>
            <w:vAlign w:val="center"/>
          </w:tcPr>
          <w:p w14:paraId="4E320D82" w14:textId="77777777" w:rsidR="006C54B1" w:rsidRPr="00646254" w:rsidRDefault="006C54B1" w:rsidP="00426178">
            <w:pPr>
              <w:jc w:val="center"/>
              <w:rPr>
                <w:rFonts w:ascii="Calibri" w:eastAsia="Calibri" w:hAnsi="Calibri" w:cs="Calibri"/>
                <w:color w:val="002060"/>
                <w:sz w:val="18"/>
                <w:lang w:val="sr-Cyrl-CS"/>
              </w:rPr>
            </w:pPr>
            <w:r w:rsidRPr="00646254">
              <w:rPr>
                <w:rFonts w:ascii="Calibri" w:eastAsia="Calibri" w:hAnsi="Calibri" w:cs="Calibri"/>
                <w:color w:val="002060"/>
                <w:sz w:val="18"/>
                <w:lang w:val="sr-Cyrl-CS"/>
              </w:rPr>
              <w:t>2020</w:t>
            </w:r>
          </w:p>
        </w:tc>
        <w:tc>
          <w:tcPr>
            <w:tcW w:w="685" w:type="pct"/>
            <w:tcBorders>
              <w:top w:val="single" w:sz="4" w:space="0" w:color="002060"/>
              <w:left w:val="single" w:sz="2" w:space="0" w:color="FFFFFF"/>
              <w:bottom w:val="single" w:sz="4" w:space="0" w:color="002060"/>
              <w:right w:val="single" w:sz="2" w:space="0" w:color="FFFFFF"/>
            </w:tcBorders>
            <w:vAlign w:val="center"/>
          </w:tcPr>
          <w:p w14:paraId="713D00F3" w14:textId="77777777" w:rsidR="006C54B1" w:rsidRPr="00646254" w:rsidRDefault="006C54B1" w:rsidP="00426178">
            <w:pPr>
              <w:jc w:val="center"/>
              <w:rPr>
                <w:rFonts w:ascii="Calibri" w:eastAsia="Calibri" w:hAnsi="Calibri" w:cs="Calibri"/>
                <w:color w:val="002060"/>
                <w:sz w:val="18"/>
                <w:lang w:val="sr-Cyrl-CS"/>
              </w:rPr>
            </w:pPr>
            <w:r w:rsidRPr="00646254">
              <w:rPr>
                <w:rFonts w:ascii="Calibri" w:eastAsia="Calibri" w:hAnsi="Calibri" w:cs="Calibri"/>
                <w:color w:val="002060"/>
                <w:sz w:val="18"/>
                <w:lang w:val="sr-Cyrl-CS"/>
              </w:rPr>
              <w:t>Q1 2021</w:t>
            </w:r>
          </w:p>
        </w:tc>
        <w:tc>
          <w:tcPr>
            <w:tcW w:w="685" w:type="pct"/>
            <w:tcBorders>
              <w:top w:val="single" w:sz="4" w:space="0" w:color="002060"/>
              <w:left w:val="single" w:sz="2" w:space="0" w:color="FFFFFF"/>
              <w:bottom w:val="single" w:sz="4" w:space="0" w:color="002060"/>
              <w:right w:val="single" w:sz="2" w:space="0" w:color="FFFFFF"/>
            </w:tcBorders>
            <w:vAlign w:val="center"/>
          </w:tcPr>
          <w:p w14:paraId="4C5A6A7B" w14:textId="77777777" w:rsidR="006C54B1" w:rsidRPr="00646254" w:rsidRDefault="006C54B1" w:rsidP="00426178">
            <w:pPr>
              <w:jc w:val="center"/>
              <w:rPr>
                <w:rFonts w:ascii="Calibri" w:eastAsia="Calibri" w:hAnsi="Calibri" w:cs="Calibri"/>
                <w:sz w:val="18"/>
                <w:lang w:val="sr-Cyrl-CS"/>
              </w:rPr>
            </w:pPr>
            <w:r w:rsidRPr="00646254">
              <w:rPr>
                <w:rFonts w:ascii="Calibri" w:eastAsia="Calibri" w:hAnsi="Calibri" w:cs="Calibri"/>
                <w:color w:val="002060"/>
                <w:sz w:val="18"/>
                <w:lang w:val="sr-Cyrl-CS"/>
              </w:rPr>
              <w:t>Q2 2021</w:t>
            </w:r>
          </w:p>
        </w:tc>
        <w:tc>
          <w:tcPr>
            <w:tcW w:w="685" w:type="pct"/>
            <w:tcBorders>
              <w:top w:val="single" w:sz="4" w:space="0" w:color="002060"/>
              <w:left w:val="single" w:sz="2" w:space="0" w:color="FFFFFF"/>
              <w:bottom w:val="single" w:sz="4" w:space="0" w:color="002060"/>
              <w:right w:val="single" w:sz="2" w:space="0" w:color="FFFFFF"/>
            </w:tcBorders>
          </w:tcPr>
          <w:p w14:paraId="43B3C26E" w14:textId="77777777" w:rsidR="006C54B1" w:rsidRPr="00646254" w:rsidRDefault="006C54B1" w:rsidP="00426178">
            <w:pPr>
              <w:jc w:val="center"/>
              <w:rPr>
                <w:rFonts w:ascii="Calibri" w:eastAsia="Calibri" w:hAnsi="Calibri" w:cs="Calibri"/>
                <w:color w:val="002060"/>
                <w:sz w:val="18"/>
                <w:lang w:val="sr-Cyrl-CS"/>
              </w:rPr>
            </w:pPr>
            <w:r w:rsidRPr="00646254">
              <w:rPr>
                <w:rFonts w:ascii="Calibri" w:eastAsia="Calibri" w:hAnsi="Calibri" w:cs="Calibri"/>
                <w:color w:val="002060"/>
                <w:sz w:val="18"/>
                <w:lang w:val="sr-Cyrl-CS"/>
              </w:rPr>
              <w:t>2021*</w:t>
            </w:r>
          </w:p>
          <w:p w14:paraId="6236D651" w14:textId="77777777" w:rsidR="006C54B1" w:rsidRPr="00646254" w:rsidRDefault="006C54B1" w:rsidP="00426178">
            <w:pPr>
              <w:jc w:val="center"/>
              <w:rPr>
                <w:rFonts w:ascii="Calibri" w:eastAsia="Calibri" w:hAnsi="Calibri" w:cs="Calibri"/>
                <w:color w:val="002060"/>
                <w:sz w:val="18"/>
                <w:lang w:val="sr-Cyrl-CS"/>
              </w:rPr>
            </w:pPr>
            <w:r w:rsidRPr="00646254">
              <w:rPr>
                <w:rFonts w:ascii="Calibri" w:eastAsia="Calibri" w:hAnsi="Calibri" w:cs="Calibri"/>
                <w:color w:val="002060"/>
                <w:sz w:val="18"/>
                <w:lang w:val="sr-Cyrl-CS"/>
              </w:rPr>
              <w:t>(процена из априлске Фискалне стратегије)</w:t>
            </w:r>
          </w:p>
        </w:tc>
        <w:tc>
          <w:tcPr>
            <w:tcW w:w="685" w:type="pct"/>
            <w:tcBorders>
              <w:top w:val="single" w:sz="4" w:space="0" w:color="002060"/>
              <w:left w:val="single" w:sz="2" w:space="0" w:color="FFFFFF"/>
              <w:bottom w:val="single" w:sz="4" w:space="0" w:color="002060"/>
              <w:right w:val="single" w:sz="2" w:space="0" w:color="FFFFFF"/>
            </w:tcBorders>
          </w:tcPr>
          <w:p w14:paraId="6CC8D1E4" w14:textId="77777777" w:rsidR="006C54B1" w:rsidRPr="00646254" w:rsidRDefault="006C54B1" w:rsidP="00426178">
            <w:pPr>
              <w:jc w:val="center"/>
              <w:rPr>
                <w:rFonts w:ascii="Calibri" w:eastAsia="Calibri" w:hAnsi="Calibri" w:cs="Calibri"/>
                <w:color w:val="002060"/>
                <w:sz w:val="18"/>
                <w:lang w:val="sr-Cyrl-CS"/>
              </w:rPr>
            </w:pPr>
            <w:r w:rsidRPr="00646254">
              <w:rPr>
                <w:rFonts w:ascii="Calibri" w:eastAsia="Calibri" w:hAnsi="Calibri" w:cs="Calibri"/>
                <w:color w:val="002060"/>
                <w:sz w:val="18"/>
                <w:lang w:val="sr-Cyrl-CS"/>
              </w:rPr>
              <w:t>2021*</w:t>
            </w:r>
          </w:p>
          <w:p w14:paraId="6F290A51" w14:textId="77777777" w:rsidR="006C54B1" w:rsidRPr="00646254" w:rsidRDefault="006C54B1" w:rsidP="00426178">
            <w:pPr>
              <w:jc w:val="center"/>
              <w:rPr>
                <w:rFonts w:ascii="Calibri" w:eastAsia="Calibri" w:hAnsi="Calibri" w:cs="Calibri"/>
                <w:color w:val="002060"/>
                <w:sz w:val="18"/>
                <w:lang w:val="sr-Cyrl-CS"/>
              </w:rPr>
            </w:pPr>
            <w:r w:rsidRPr="00646254">
              <w:rPr>
                <w:rFonts w:ascii="Calibri" w:eastAsia="Calibri" w:hAnsi="Calibri" w:cs="Calibri"/>
                <w:color w:val="002060"/>
                <w:sz w:val="18"/>
                <w:lang w:val="sr-Cyrl-CS"/>
              </w:rPr>
              <w:t>(текућа - ревидирана процена)</w:t>
            </w:r>
          </w:p>
        </w:tc>
      </w:tr>
      <w:tr w:rsidR="006C54B1" w:rsidRPr="00646254" w14:paraId="69EA6CCF" w14:textId="77777777" w:rsidTr="00593258">
        <w:trPr>
          <w:jc w:val="center"/>
        </w:trPr>
        <w:tc>
          <w:tcPr>
            <w:tcW w:w="1574" w:type="pct"/>
            <w:tcBorders>
              <w:top w:val="single" w:sz="2" w:space="0" w:color="FFFFFF"/>
            </w:tcBorders>
          </w:tcPr>
          <w:p w14:paraId="3578A13D" w14:textId="77777777" w:rsidR="006C54B1" w:rsidRPr="00646254" w:rsidRDefault="006C54B1" w:rsidP="00426178">
            <w:pPr>
              <w:ind w:left="-15"/>
              <w:rPr>
                <w:rFonts w:ascii="Calibri" w:eastAsia="Calibri" w:hAnsi="Calibri" w:cs="Calibri"/>
                <w:color w:val="002060"/>
                <w:sz w:val="18"/>
                <w:lang w:val="sr-Cyrl-CS"/>
              </w:rPr>
            </w:pPr>
            <w:r w:rsidRPr="00646254">
              <w:rPr>
                <w:rFonts w:ascii="Calibri" w:eastAsia="Calibri" w:hAnsi="Calibri" w:cs="Calibri"/>
                <w:color w:val="002060"/>
                <w:sz w:val="18"/>
                <w:lang w:val="sr-Cyrl-CS"/>
              </w:rPr>
              <w:t>БДП</w:t>
            </w:r>
          </w:p>
        </w:tc>
        <w:tc>
          <w:tcPr>
            <w:tcW w:w="685" w:type="pct"/>
            <w:tcBorders>
              <w:top w:val="single" w:sz="4" w:space="0" w:color="002060"/>
            </w:tcBorders>
          </w:tcPr>
          <w:p w14:paraId="6FCE7E85" w14:textId="77777777" w:rsidR="006C54B1" w:rsidRPr="00646254" w:rsidRDefault="006C54B1" w:rsidP="00426178">
            <w:pPr>
              <w:jc w:val="right"/>
              <w:rPr>
                <w:rFonts w:ascii="Calibri" w:eastAsia="Calibri" w:hAnsi="Calibri" w:cs="Calibri"/>
                <w:color w:val="002060"/>
                <w:sz w:val="18"/>
                <w:lang w:val="sr-Cyrl-CS"/>
              </w:rPr>
            </w:pPr>
            <w:r w:rsidRPr="00646254">
              <w:rPr>
                <w:rFonts w:ascii="Calibri" w:eastAsia="Calibri" w:hAnsi="Calibri" w:cs="Calibri"/>
                <w:color w:val="002060"/>
                <w:sz w:val="18"/>
                <w:lang w:val="sr-Cyrl-CS"/>
              </w:rPr>
              <w:t>-0,9</w:t>
            </w:r>
          </w:p>
        </w:tc>
        <w:tc>
          <w:tcPr>
            <w:tcW w:w="685" w:type="pct"/>
            <w:tcBorders>
              <w:top w:val="single" w:sz="4" w:space="0" w:color="002060"/>
            </w:tcBorders>
          </w:tcPr>
          <w:p w14:paraId="5FD89A98" w14:textId="77777777" w:rsidR="006C54B1" w:rsidRPr="00646254" w:rsidRDefault="006C54B1" w:rsidP="00426178">
            <w:pPr>
              <w:jc w:val="right"/>
              <w:rPr>
                <w:rFonts w:ascii="Calibri" w:eastAsia="Calibri" w:hAnsi="Calibri" w:cs="Calibri"/>
                <w:color w:val="002060"/>
                <w:sz w:val="18"/>
                <w:lang w:val="sr-Cyrl-CS"/>
              </w:rPr>
            </w:pPr>
            <w:r w:rsidRPr="00646254">
              <w:rPr>
                <w:rFonts w:ascii="Calibri" w:eastAsia="Calibri" w:hAnsi="Calibri" w:cs="Calibri"/>
                <w:color w:val="002060"/>
                <w:sz w:val="18"/>
                <w:lang w:val="sr-Cyrl-CS"/>
              </w:rPr>
              <w:t>1,8</w:t>
            </w:r>
          </w:p>
        </w:tc>
        <w:tc>
          <w:tcPr>
            <w:tcW w:w="685" w:type="pct"/>
            <w:tcBorders>
              <w:top w:val="single" w:sz="4" w:space="0" w:color="002060"/>
            </w:tcBorders>
          </w:tcPr>
          <w:p w14:paraId="13AF90D0" w14:textId="77777777" w:rsidR="006C54B1" w:rsidRPr="00646254" w:rsidRDefault="006C54B1" w:rsidP="00426178">
            <w:pPr>
              <w:jc w:val="right"/>
              <w:rPr>
                <w:rFonts w:ascii="Calibri" w:eastAsia="Calibri" w:hAnsi="Calibri" w:cs="Calibri"/>
                <w:color w:val="002060"/>
                <w:sz w:val="18"/>
                <w:lang w:val="sr-Cyrl-CS"/>
              </w:rPr>
            </w:pPr>
            <w:r w:rsidRPr="00646254">
              <w:rPr>
                <w:rFonts w:ascii="Calibri" w:eastAsia="Calibri" w:hAnsi="Calibri" w:cs="Calibri"/>
                <w:color w:val="002060"/>
                <w:sz w:val="18"/>
                <w:lang w:val="sr-Cyrl-CS"/>
              </w:rPr>
              <w:t>13,7</w:t>
            </w:r>
          </w:p>
        </w:tc>
        <w:tc>
          <w:tcPr>
            <w:tcW w:w="685" w:type="pct"/>
            <w:tcBorders>
              <w:top w:val="single" w:sz="4" w:space="0" w:color="002060"/>
            </w:tcBorders>
          </w:tcPr>
          <w:p w14:paraId="51533C00" w14:textId="77777777" w:rsidR="006C54B1" w:rsidRPr="00646254" w:rsidRDefault="006C54B1" w:rsidP="00426178">
            <w:pPr>
              <w:jc w:val="right"/>
              <w:rPr>
                <w:rFonts w:ascii="Calibri" w:eastAsia="Calibri" w:hAnsi="Calibri" w:cs="Calibri"/>
                <w:color w:val="002060"/>
                <w:sz w:val="18"/>
                <w:lang w:val="sr-Cyrl-CS"/>
              </w:rPr>
            </w:pPr>
            <w:r w:rsidRPr="00646254">
              <w:rPr>
                <w:rFonts w:ascii="Calibri" w:eastAsia="Calibri" w:hAnsi="Calibri" w:cs="Calibri"/>
                <w:color w:val="002060"/>
                <w:sz w:val="18"/>
                <w:lang w:val="sr-Cyrl-CS"/>
              </w:rPr>
              <w:t>6,0</w:t>
            </w:r>
          </w:p>
        </w:tc>
        <w:tc>
          <w:tcPr>
            <w:tcW w:w="685" w:type="pct"/>
            <w:tcBorders>
              <w:top w:val="single" w:sz="4" w:space="0" w:color="002060"/>
            </w:tcBorders>
          </w:tcPr>
          <w:p w14:paraId="0131ADEF" w14:textId="77777777" w:rsidR="006C54B1" w:rsidRPr="00646254" w:rsidRDefault="006C54B1" w:rsidP="00426178">
            <w:pPr>
              <w:jc w:val="right"/>
              <w:rPr>
                <w:rFonts w:ascii="Calibri" w:eastAsia="Calibri" w:hAnsi="Calibri" w:cs="Calibri"/>
                <w:color w:val="002060"/>
                <w:sz w:val="18"/>
                <w:lang w:val="sr-Cyrl-CS"/>
              </w:rPr>
            </w:pPr>
            <w:r w:rsidRPr="00646254">
              <w:rPr>
                <w:rFonts w:ascii="Calibri" w:eastAsia="Calibri" w:hAnsi="Calibri" w:cs="Calibri"/>
                <w:color w:val="002060"/>
                <w:sz w:val="18"/>
                <w:lang w:val="sr-Cyrl-CS"/>
              </w:rPr>
              <w:t>7,0</w:t>
            </w:r>
          </w:p>
        </w:tc>
      </w:tr>
      <w:tr w:rsidR="006C54B1" w:rsidRPr="00646254" w14:paraId="4F3F677E" w14:textId="77777777" w:rsidTr="00593258">
        <w:trPr>
          <w:jc w:val="center"/>
        </w:trPr>
        <w:tc>
          <w:tcPr>
            <w:tcW w:w="1574" w:type="pct"/>
            <w:tcBorders>
              <w:top w:val="single" w:sz="2" w:space="0" w:color="FFFFFF"/>
            </w:tcBorders>
            <w:shd w:val="clear" w:color="auto" w:fill="E7E6E6"/>
          </w:tcPr>
          <w:p w14:paraId="615D29E0" w14:textId="77777777" w:rsidR="006C54B1" w:rsidRPr="00646254" w:rsidRDefault="006C54B1" w:rsidP="00426178">
            <w:pPr>
              <w:jc w:val="right"/>
              <w:rPr>
                <w:rFonts w:ascii="Calibri" w:eastAsia="Calibri" w:hAnsi="Calibri" w:cs="Calibri"/>
                <w:color w:val="002060"/>
                <w:sz w:val="18"/>
                <w:lang w:val="sr-Cyrl-CS"/>
              </w:rPr>
            </w:pPr>
          </w:p>
        </w:tc>
        <w:tc>
          <w:tcPr>
            <w:tcW w:w="685" w:type="pct"/>
            <w:tcBorders>
              <w:top w:val="single" w:sz="2" w:space="0" w:color="FFFFFF"/>
            </w:tcBorders>
            <w:shd w:val="clear" w:color="auto" w:fill="E7E6E6"/>
          </w:tcPr>
          <w:p w14:paraId="4E1C5229" w14:textId="77777777" w:rsidR="006C54B1" w:rsidRPr="00646254" w:rsidRDefault="006C54B1" w:rsidP="00426178">
            <w:pPr>
              <w:jc w:val="right"/>
              <w:rPr>
                <w:rFonts w:ascii="Calibri" w:eastAsia="Calibri" w:hAnsi="Calibri" w:cs="Calibri"/>
                <w:color w:val="002060"/>
                <w:sz w:val="18"/>
                <w:lang w:val="sr-Cyrl-CS"/>
              </w:rPr>
            </w:pPr>
          </w:p>
        </w:tc>
        <w:tc>
          <w:tcPr>
            <w:tcW w:w="685" w:type="pct"/>
            <w:tcBorders>
              <w:top w:val="single" w:sz="2" w:space="0" w:color="FFFFFF"/>
            </w:tcBorders>
            <w:shd w:val="clear" w:color="auto" w:fill="E7E6E6"/>
          </w:tcPr>
          <w:p w14:paraId="2F88DC4B" w14:textId="77777777" w:rsidR="006C54B1" w:rsidRPr="00646254" w:rsidRDefault="006C54B1" w:rsidP="00426178">
            <w:pPr>
              <w:jc w:val="right"/>
              <w:rPr>
                <w:rFonts w:ascii="Calibri" w:eastAsia="Calibri" w:hAnsi="Calibri" w:cs="Calibri"/>
                <w:color w:val="002060"/>
                <w:sz w:val="18"/>
                <w:lang w:val="sr-Cyrl-CS"/>
              </w:rPr>
            </w:pPr>
          </w:p>
        </w:tc>
        <w:tc>
          <w:tcPr>
            <w:tcW w:w="685" w:type="pct"/>
            <w:tcBorders>
              <w:top w:val="single" w:sz="2" w:space="0" w:color="FFFFFF"/>
            </w:tcBorders>
            <w:shd w:val="clear" w:color="auto" w:fill="E7E6E6"/>
          </w:tcPr>
          <w:p w14:paraId="3077E437" w14:textId="77777777" w:rsidR="006C54B1" w:rsidRPr="00646254" w:rsidRDefault="006C54B1" w:rsidP="00426178">
            <w:pPr>
              <w:jc w:val="center"/>
              <w:rPr>
                <w:rFonts w:ascii="Calibri" w:eastAsia="Calibri" w:hAnsi="Calibri" w:cs="Calibri"/>
                <w:color w:val="002060"/>
                <w:sz w:val="18"/>
                <w:lang w:val="sr-Cyrl-CS"/>
              </w:rPr>
            </w:pPr>
          </w:p>
        </w:tc>
        <w:tc>
          <w:tcPr>
            <w:tcW w:w="685" w:type="pct"/>
            <w:tcBorders>
              <w:top w:val="single" w:sz="2" w:space="0" w:color="FFFFFF"/>
            </w:tcBorders>
            <w:shd w:val="clear" w:color="auto" w:fill="E7E6E6"/>
          </w:tcPr>
          <w:p w14:paraId="027AE9F3" w14:textId="77777777" w:rsidR="006C54B1" w:rsidRPr="00646254" w:rsidRDefault="006C54B1" w:rsidP="00426178">
            <w:pPr>
              <w:jc w:val="center"/>
              <w:rPr>
                <w:rFonts w:ascii="Calibri" w:eastAsia="Calibri" w:hAnsi="Calibri" w:cs="Calibri"/>
                <w:color w:val="002060"/>
                <w:sz w:val="18"/>
                <w:lang w:val="sr-Cyrl-CS"/>
              </w:rPr>
            </w:pPr>
          </w:p>
        </w:tc>
        <w:tc>
          <w:tcPr>
            <w:tcW w:w="685" w:type="pct"/>
            <w:tcBorders>
              <w:top w:val="single" w:sz="2" w:space="0" w:color="FFFFFF"/>
            </w:tcBorders>
            <w:shd w:val="clear" w:color="auto" w:fill="E7E6E6"/>
          </w:tcPr>
          <w:p w14:paraId="406DCC32" w14:textId="77777777" w:rsidR="006C54B1" w:rsidRPr="00646254" w:rsidRDefault="006C54B1" w:rsidP="00426178">
            <w:pPr>
              <w:jc w:val="center"/>
              <w:rPr>
                <w:rFonts w:ascii="Calibri" w:eastAsia="Calibri" w:hAnsi="Calibri" w:cs="Calibri"/>
                <w:color w:val="002060"/>
                <w:sz w:val="18"/>
                <w:lang w:val="sr-Cyrl-CS"/>
              </w:rPr>
            </w:pPr>
          </w:p>
        </w:tc>
      </w:tr>
      <w:tr w:rsidR="006C54B1" w:rsidRPr="00646254" w14:paraId="3B19A1C0" w14:textId="77777777" w:rsidTr="00593258">
        <w:trPr>
          <w:jc w:val="center"/>
        </w:trPr>
        <w:tc>
          <w:tcPr>
            <w:tcW w:w="1574" w:type="pct"/>
          </w:tcPr>
          <w:p w14:paraId="4E7228A3" w14:textId="77777777" w:rsidR="006C54B1" w:rsidRPr="00646254" w:rsidRDefault="006C54B1" w:rsidP="00426178">
            <w:pPr>
              <w:ind w:left="-15"/>
              <w:rPr>
                <w:rFonts w:ascii="Calibri" w:eastAsia="Calibri" w:hAnsi="Calibri" w:cs="Calibri"/>
                <w:color w:val="002060"/>
                <w:sz w:val="18"/>
                <w:lang w:val="sr-Cyrl-CS"/>
              </w:rPr>
            </w:pPr>
            <w:r w:rsidRPr="00646254">
              <w:rPr>
                <w:rFonts w:ascii="Calibri" w:eastAsia="Calibri" w:hAnsi="Calibri" w:cs="Calibri"/>
                <w:color w:val="002060"/>
                <w:sz w:val="18"/>
                <w:lang w:val="sr-Cyrl-CS"/>
              </w:rPr>
              <w:t>Приватна потрошња</w:t>
            </w:r>
          </w:p>
        </w:tc>
        <w:tc>
          <w:tcPr>
            <w:tcW w:w="685" w:type="pct"/>
          </w:tcPr>
          <w:p w14:paraId="0C8DC338" w14:textId="77777777" w:rsidR="006C54B1" w:rsidRPr="00646254" w:rsidRDefault="006C54B1" w:rsidP="00426178">
            <w:pPr>
              <w:jc w:val="right"/>
              <w:rPr>
                <w:rFonts w:ascii="Calibri" w:eastAsia="Calibri" w:hAnsi="Calibri" w:cs="Calibri"/>
                <w:color w:val="002060"/>
                <w:sz w:val="18"/>
                <w:lang w:val="sr-Cyrl-CS"/>
              </w:rPr>
            </w:pPr>
            <w:r w:rsidRPr="00646254">
              <w:rPr>
                <w:rFonts w:ascii="Calibri" w:eastAsia="Calibri" w:hAnsi="Calibri" w:cs="Calibri"/>
                <w:color w:val="002060"/>
                <w:sz w:val="18"/>
                <w:lang w:val="sr-Cyrl-CS"/>
              </w:rPr>
              <w:t>-1,9</w:t>
            </w:r>
          </w:p>
        </w:tc>
        <w:tc>
          <w:tcPr>
            <w:tcW w:w="685" w:type="pct"/>
          </w:tcPr>
          <w:p w14:paraId="3586F231" w14:textId="77777777" w:rsidR="006C54B1" w:rsidRPr="00646254" w:rsidRDefault="006C54B1" w:rsidP="00426178">
            <w:pPr>
              <w:jc w:val="right"/>
              <w:rPr>
                <w:rFonts w:ascii="Calibri" w:eastAsia="Calibri" w:hAnsi="Calibri" w:cs="Calibri"/>
                <w:color w:val="002060"/>
                <w:sz w:val="18"/>
                <w:lang w:val="sr-Cyrl-CS"/>
              </w:rPr>
            </w:pPr>
            <w:r w:rsidRPr="00646254">
              <w:rPr>
                <w:rFonts w:ascii="Calibri" w:eastAsia="Calibri" w:hAnsi="Calibri" w:cs="Calibri"/>
                <w:color w:val="002060"/>
                <w:sz w:val="18"/>
                <w:lang w:val="sr-Cyrl-CS"/>
              </w:rPr>
              <w:t>-1,8</w:t>
            </w:r>
          </w:p>
        </w:tc>
        <w:tc>
          <w:tcPr>
            <w:tcW w:w="685" w:type="pct"/>
          </w:tcPr>
          <w:p w14:paraId="15061A25" w14:textId="77777777" w:rsidR="006C54B1" w:rsidRPr="00646254" w:rsidRDefault="006C54B1" w:rsidP="00426178">
            <w:pPr>
              <w:jc w:val="right"/>
              <w:rPr>
                <w:rFonts w:ascii="Calibri" w:eastAsia="Calibri" w:hAnsi="Calibri" w:cs="Calibri"/>
                <w:color w:val="002060"/>
                <w:sz w:val="18"/>
                <w:lang w:val="sr-Cyrl-CS"/>
              </w:rPr>
            </w:pPr>
            <w:r w:rsidRPr="00646254">
              <w:rPr>
                <w:rFonts w:ascii="Calibri" w:eastAsia="Calibri" w:hAnsi="Calibri" w:cs="Calibri"/>
                <w:color w:val="002060"/>
                <w:sz w:val="18"/>
                <w:lang w:val="sr-Cyrl-CS"/>
              </w:rPr>
              <w:t>17,4</w:t>
            </w:r>
          </w:p>
        </w:tc>
        <w:tc>
          <w:tcPr>
            <w:tcW w:w="685" w:type="pct"/>
          </w:tcPr>
          <w:p w14:paraId="2625B6D7" w14:textId="77777777" w:rsidR="006C54B1" w:rsidRPr="00646254" w:rsidRDefault="006C54B1" w:rsidP="00426178">
            <w:pPr>
              <w:jc w:val="right"/>
              <w:rPr>
                <w:rFonts w:ascii="Calibri" w:eastAsia="Calibri" w:hAnsi="Calibri" w:cs="Calibri"/>
                <w:color w:val="002060"/>
                <w:sz w:val="18"/>
                <w:lang w:val="sr-Cyrl-CS"/>
              </w:rPr>
            </w:pPr>
            <w:r w:rsidRPr="00646254">
              <w:rPr>
                <w:rFonts w:ascii="Calibri" w:eastAsia="Calibri" w:hAnsi="Calibri" w:cs="Calibri"/>
                <w:color w:val="002060"/>
                <w:sz w:val="18"/>
                <w:lang w:val="sr-Cyrl-CS"/>
              </w:rPr>
              <w:t>5,8</w:t>
            </w:r>
          </w:p>
        </w:tc>
        <w:tc>
          <w:tcPr>
            <w:tcW w:w="685" w:type="pct"/>
          </w:tcPr>
          <w:p w14:paraId="0FE40ED4" w14:textId="77777777" w:rsidR="006C54B1" w:rsidRPr="00646254" w:rsidRDefault="006C54B1" w:rsidP="00426178">
            <w:pPr>
              <w:jc w:val="right"/>
              <w:rPr>
                <w:rFonts w:ascii="Calibri" w:eastAsia="Calibri" w:hAnsi="Calibri" w:cs="Calibri"/>
                <w:color w:val="002060"/>
                <w:sz w:val="18"/>
                <w:lang w:val="sr-Cyrl-CS"/>
              </w:rPr>
            </w:pPr>
            <w:r w:rsidRPr="00646254">
              <w:rPr>
                <w:rFonts w:ascii="Calibri" w:eastAsia="Calibri" w:hAnsi="Calibri" w:cs="Calibri"/>
                <w:color w:val="002060"/>
                <w:sz w:val="18"/>
                <w:lang w:val="sr-Cyrl-CS"/>
              </w:rPr>
              <w:t>6,4</w:t>
            </w:r>
          </w:p>
        </w:tc>
      </w:tr>
      <w:tr w:rsidR="006C54B1" w:rsidRPr="00646254" w14:paraId="5DBE58FA" w14:textId="77777777" w:rsidTr="00593258">
        <w:trPr>
          <w:jc w:val="center"/>
        </w:trPr>
        <w:tc>
          <w:tcPr>
            <w:tcW w:w="1574" w:type="pct"/>
          </w:tcPr>
          <w:p w14:paraId="615F0835" w14:textId="77777777" w:rsidR="006C54B1" w:rsidRPr="00646254" w:rsidRDefault="006C54B1" w:rsidP="00426178">
            <w:pPr>
              <w:ind w:left="-15"/>
              <w:rPr>
                <w:rFonts w:ascii="Calibri" w:eastAsia="Calibri" w:hAnsi="Calibri" w:cs="Calibri"/>
                <w:color w:val="002060"/>
                <w:sz w:val="18"/>
                <w:lang w:val="sr-Cyrl-CS"/>
              </w:rPr>
            </w:pPr>
            <w:r w:rsidRPr="00646254">
              <w:rPr>
                <w:rFonts w:ascii="Calibri" w:eastAsia="Calibri" w:hAnsi="Calibri" w:cs="Calibri"/>
                <w:color w:val="002060"/>
                <w:sz w:val="18"/>
                <w:lang w:val="sr-Cyrl-CS"/>
              </w:rPr>
              <w:t>Државна потрошња</w:t>
            </w:r>
          </w:p>
        </w:tc>
        <w:tc>
          <w:tcPr>
            <w:tcW w:w="685" w:type="pct"/>
          </w:tcPr>
          <w:p w14:paraId="15CAC1B5" w14:textId="77777777" w:rsidR="006C54B1" w:rsidRPr="00646254" w:rsidRDefault="006C54B1" w:rsidP="00426178">
            <w:pPr>
              <w:jc w:val="right"/>
              <w:rPr>
                <w:rFonts w:ascii="Calibri" w:eastAsia="Calibri" w:hAnsi="Calibri" w:cs="Calibri"/>
                <w:color w:val="002060"/>
                <w:sz w:val="18"/>
                <w:lang w:val="sr-Cyrl-CS"/>
              </w:rPr>
            </w:pPr>
            <w:r w:rsidRPr="00646254">
              <w:rPr>
                <w:rFonts w:ascii="Calibri" w:eastAsia="Calibri" w:hAnsi="Calibri" w:cs="Calibri"/>
                <w:color w:val="002060"/>
                <w:sz w:val="18"/>
                <w:lang w:val="sr-Cyrl-CS"/>
              </w:rPr>
              <w:t>2,8</w:t>
            </w:r>
          </w:p>
        </w:tc>
        <w:tc>
          <w:tcPr>
            <w:tcW w:w="685" w:type="pct"/>
          </w:tcPr>
          <w:p w14:paraId="1E75F82D" w14:textId="77777777" w:rsidR="006C54B1" w:rsidRPr="00646254" w:rsidRDefault="006C54B1" w:rsidP="00426178">
            <w:pPr>
              <w:jc w:val="right"/>
              <w:rPr>
                <w:rFonts w:ascii="Calibri" w:eastAsia="Calibri" w:hAnsi="Calibri" w:cs="Calibri"/>
                <w:color w:val="002060"/>
                <w:sz w:val="18"/>
                <w:lang w:val="sr-Cyrl-CS"/>
              </w:rPr>
            </w:pPr>
            <w:r w:rsidRPr="00646254">
              <w:rPr>
                <w:rFonts w:ascii="Calibri" w:eastAsia="Calibri" w:hAnsi="Calibri" w:cs="Calibri"/>
                <w:color w:val="002060"/>
                <w:sz w:val="18"/>
                <w:lang w:val="sr-Cyrl-CS"/>
              </w:rPr>
              <w:t>-0,6</w:t>
            </w:r>
          </w:p>
        </w:tc>
        <w:tc>
          <w:tcPr>
            <w:tcW w:w="685" w:type="pct"/>
          </w:tcPr>
          <w:p w14:paraId="2EBE8B66" w14:textId="77777777" w:rsidR="006C54B1" w:rsidRPr="00646254" w:rsidRDefault="006C54B1" w:rsidP="00426178">
            <w:pPr>
              <w:jc w:val="right"/>
              <w:rPr>
                <w:rFonts w:ascii="Calibri" w:eastAsia="Calibri" w:hAnsi="Calibri" w:cs="Calibri"/>
                <w:color w:val="002060"/>
                <w:sz w:val="18"/>
                <w:lang w:val="sr-Cyrl-CS"/>
              </w:rPr>
            </w:pPr>
            <w:r w:rsidRPr="00646254">
              <w:rPr>
                <w:rFonts w:ascii="Calibri" w:eastAsia="Calibri" w:hAnsi="Calibri" w:cs="Calibri"/>
                <w:color w:val="002060"/>
                <w:sz w:val="18"/>
                <w:lang w:val="sr-Cyrl-CS"/>
              </w:rPr>
              <w:t>-3,8</w:t>
            </w:r>
          </w:p>
        </w:tc>
        <w:tc>
          <w:tcPr>
            <w:tcW w:w="685" w:type="pct"/>
          </w:tcPr>
          <w:p w14:paraId="5EF6929B" w14:textId="77777777" w:rsidR="006C54B1" w:rsidRPr="00646254" w:rsidRDefault="006C54B1" w:rsidP="00426178">
            <w:pPr>
              <w:jc w:val="right"/>
              <w:rPr>
                <w:rFonts w:ascii="Calibri" w:eastAsia="Calibri" w:hAnsi="Calibri" w:cs="Calibri"/>
                <w:color w:val="002060"/>
                <w:sz w:val="18"/>
                <w:lang w:val="sr-Cyrl-CS"/>
              </w:rPr>
            </w:pPr>
            <w:r w:rsidRPr="00646254">
              <w:rPr>
                <w:rFonts w:ascii="Calibri" w:eastAsia="Calibri" w:hAnsi="Calibri" w:cs="Calibri"/>
                <w:color w:val="002060"/>
                <w:sz w:val="18"/>
                <w:lang w:val="sr-Cyrl-CS"/>
              </w:rPr>
              <w:t>3,0</w:t>
            </w:r>
          </w:p>
        </w:tc>
        <w:tc>
          <w:tcPr>
            <w:tcW w:w="685" w:type="pct"/>
          </w:tcPr>
          <w:p w14:paraId="34633A3F" w14:textId="77777777" w:rsidR="006C54B1" w:rsidRPr="00646254" w:rsidRDefault="006C54B1" w:rsidP="00426178">
            <w:pPr>
              <w:jc w:val="right"/>
              <w:rPr>
                <w:rFonts w:ascii="Calibri" w:eastAsia="Calibri" w:hAnsi="Calibri" w:cs="Calibri"/>
                <w:color w:val="002060"/>
                <w:sz w:val="18"/>
                <w:lang w:val="sr-Cyrl-CS"/>
              </w:rPr>
            </w:pPr>
            <w:r w:rsidRPr="00646254">
              <w:rPr>
                <w:rFonts w:ascii="Calibri" w:eastAsia="Calibri" w:hAnsi="Calibri" w:cs="Calibri"/>
                <w:color w:val="002060"/>
                <w:sz w:val="18"/>
                <w:lang w:val="sr-Cyrl-CS"/>
              </w:rPr>
              <w:t>2,8</w:t>
            </w:r>
          </w:p>
        </w:tc>
      </w:tr>
      <w:tr w:rsidR="006C54B1" w:rsidRPr="00646254" w14:paraId="471B6882" w14:textId="77777777" w:rsidTr="00593258">
        <w:trPr>
          <w:jc w:val="center"/>
        </w:trPr>
        <w:tc>
          <w:tcPr>
            <w:tcW w:w="1574" w:type="pct"/>
          </w:tcPr>
          <w:p w14:paraId="6A6863B5" w14:textId="77777777" w:rsidR="006C54B1" w:rsidRPr="00646254" w:rsidRDefault="006C54B1" w:rsidP="00426178">
            <w:pPr>
              <w:ind w:left="-15"/>
              <w:rPr>
                <w:rFonts w:ascii="Calibri" w:eastAsia="Calibri" w:hAnsi="Calibri" w:cs="Calibri"/>
                <w:color w:val="002060"/>
                <w:sz w:val="18"/>
                <w:lang w:val="sr-Cyrl-CS"/>
              </w:rPr>
            </w:pPr>
            <w:r w:rsidRPr="00646254">
              <w:rPr>
                <w:rFonts w:ascii="Calibri" w:eastAsia="Calibri" w:hAnsi="Calibri" w:cs="Calibri"/>
                <w:color w:val="002060"/>
                <w:sz w:val="18"/>
                <w:lang w:val="sr-Cyrl-CS"/>
              </w:rPr>
              <w:t>Инвестиције у основна средства</w:t>
            </w:r>
          </w:p>
        </w:tc>
        <w:tc>
          <w:tcPr>
            <w:tcW w:w="685" w:type="pct"/>
          </w:tcPr>
          <w:p w14:paraId="41C5FE61" w14:textId="77777777" w:rsidR="006C54B1" w:rsidRPr="00646254" w:rsidRDefault="006C54B1" w:rsidP="00426178">
            <w:pPr>
              <w:jc w:val="right"/>
              <w:rPr>
                <w:rFonts w:ascii="Calibri" w:eastAsia="Calibri" w:hAnsi="Calibri" w:cs="Calibri"/>
                <w:color w:val="002060"/>
                <w:sz w:val="18"/>
                <w:lang w:val="sr-Cyrl-CS"/>
              </w:rPr>
            </w:pPr>
            <w:r w:rsidRPr="00646254">
              <w:rPr>
                <w:rFonts w:ascii="Calibri" w:eastAsia="Calibri" w:hAnsi="Calibri" w:cs="Calibri"/>
                <w:color w:val="002060"/>
                <w:sz w:val="18"/>
                <w:lang w:val="sr-Cyrl-CS"/>
              </w:rPr>
              <w:t>-1,9</w:t>
            </w:r>
          </w:p>
        </w:tc>
        <w:tc>
          <w:tcPr>
            <w:tcW w:w="685" w:type="pct"/>
          </w:tcPr>
          <w:p w14:paraId="63BCB118" w14:textId="77777777" w:rsidR="006C54B1" w:rsidRPr="00646254" w:rsidRDefault="006C54B1" w:rsidP="00426178">
            <w:pPr>
              <w:jc w:val="right"/>
              <w:rPr>
                <w:rFonts w:ascii="Calibri" w:eastAsia="Calibri" w:hAnsi="Calibri" w:cs="Calibri"/>
                <w:color w:val="002060"/>
                <w:sz w:val="18"/>
                <w:lang w:val="sr-Cyrl-CS"/>
              </w:rPr>
            </w:pPr>
            <w:r w:rsidRPr="00646254">
              <w:rPr>
                <w:rFonts w:ascii="Calibri" w:eastAsia="Calibri" w:hAnsi="Calibri" w:cs="Calibri"/>
                <w:color w:val="002060"/>
                <w:sz w:val="18"/>
                <w:lang w:val="sr-Cyrl-CS"/>
              </w:rPr>
              <w:t>9,0</w:t>
            </w:r>
          </w:p>
        </w:tc>
        <w:tc>
          <w:tcPr>
            <w:tcW w:w="685" w:type="pct"/>
          </w:tcPr>
          <w:p w14:paraId="58E2C819" w14:textId="77777777" w:rsidR="006C54B1" w:rsidRPr="00646254" w:rsidRDefault="006C54B1" w:rsidP="00426178">
            <w:pPr>
              <w:jc w:val="right"/>
              <w:rPr>
                <w:rFonts w:ascii="Calibri" w:eastAsia="Calibri" w:hAnsi="Calibri" w:cs="Calibri"/>
                <w:color w:val="002060"/>
                <w:sz w:val="18"/>
                <w:lang w:val="sr-Cyrl-CS"/>
              </w:rPr>
            </w:pPr>
            <w:r w:rsidRPr="00646254">
              <w:rPr>
                <w:rFonts w:ascii="Calibri" w:eastAsia="Calibri" w:hAnsi="Calibri" w:cs="Calibri"/>
                <w:color w:val="002060"/>
                <w:sz w:val="18"/>
                <w:lang w:val="sr-Cyrl-CS"/>
              </w:rPr>
              <w:t>22,5</w:t>
            </w:r>
          </w:p>
        </w:tc>
        <w:tc>
          <w:tcPr>
            <w:tcW w:w="685" w:type="pct"/>
          </w:tcPr>
          <w:p w14:paraId="0F2353E2" w14:textId="77777777" w:rsidR="006C54B1" w:rsidRPr="00646254" w:rsidRDefault="006C54B1" w:rsidP="00426178">
            <w:pPr>
              <w:jc w:val="right"/>
              <w:rPr>
                <w:rFonts w:ascii="Calibri" w:eastAsia="Calibri" w:hAnsi="Calibri" w:cs="Calibri"/>
                <w:color w:val="002060"/>
                <w:sz w:val="18"/>
                <w:lang w:val="sr-Cyrl-CS"/>
              </w:rPr>
            </w:pPr>
            <w:r w:rsidRPr="00646254">
              <w:rPr>
                <w:rFonts w:ascii="Calibri" w:eastAsia="Calibri" w:hAnsi="Calibri" w:cs="Calibri"/>
                <w:color w:val="002060"/>
                <w:sz w:val="18"/>
                <w:lang w:val="sr-Cyrl-CS"/>
              </w:rPr>
              <w:t>14,3</w:t>
            </w:r>
          </w:p>
        </w:tc>
        <w:tc>
          <w:tcPr>
            <w:tcW w:w="685" w:type="pct"/>
          </w:tcPr>
          <w:p w14:paraId="5955AEB0" w14:textId="77777777" w:rsidR="006C54B1" w:rsidRPr="00646254" w:rsidRDefault="006C54B1" w:rsidP="00426178">
            <w:pPr>
              <w:jc w:val="right"/>
              <w:rPr>
                <w:rFonts w:ascii="Calibri" w:eastAsia="Calibri" w:hAnsi="Calibri" w:cs="Calibri"/>
                <w:color w:val="002060"/>
                <w:sz w:val="18"/>
                <w:lang w:val="sr-Cyrl-CS"/>
              </w:rPr>
            </w:pPr>
            <w:r w:rsidRPr="00646254">
              <w:rPr>
                <w:rFonts w:ascii="Calibri" w:eastAsia="Calibri" w:hAnsi="Calibri" w:cs="Calibri"/>
                <w:color w:val="002060"/>
                <w:sz w:val="18"/>
                <w:lang w:val="sr-Cyrl-CS"/>
              </w:rPr>
              <w:t>15,2</w:t>
            </w:r>
          </w:p>
        </w:tc>
      </w:tr>
      <w:tr w:rsidR="006C54B1" w:rsidRPr="00646254" w14:paraId="7772CBB1" w14:textId="77777777" w:rsidTr="00593258">
        <w:trPr>
          <w:jc w:val="center"/>
        </w:trPr>
        <w:tc>
          <w:tcPr>
            <w:tcW w:w="1574" w:type="pct"/>
          </w:tcPr>
          <w:p w14:paraId="01852383" w14:textId="77777777" w:rsidR="006C54B1" w:rsidRPr="00646254" w:rsidRDefault="006C54B1" w:rsidP="00426178">
            <w:pPr>
              <w:ind w:left="-15"/>
              <w:rPr>
                <w:rFonts w:ascii="Calibri" w:eastAsia="Calibri" w:hAnsi="Calibri" w:cs="Calibri"/>
                <w:color w:val="002060"/>
                <w:sz w:val="18"/>
                <w:lang w:val="sr-Cyrl-CS"/>
              </w:rPr>
            </w:pPr>
            <w:r w:rsidRPr="00646254">
              <w:rPr>
                <w:rFonts w:ascii="Calibri" w:eastAsia="Calibri" w:hAnsi="Calibri" w:cs="Calibri"/>
                <w:color w:val="002060"/>
                <w:sz w:val="18"/>
                <w:lang w:val="sr-Cyrl-CS"/>
              </w:rPr>
              <w:t>Извоз робе и услуга</w:t>
            </w:r>
          </w:p>
        </w:tc>
        <w:tc>
          <w:tcPr>
            <w:tcW w:w="685" w:type="pct"/>
          </w:tcPr>
          <w:p w14:paraId="6BB01BB9" w14:textId="77777777" w:rsidR="006C54B1" w:rsidRPr="00646254" w:rsidRDefault="006C54B1" w:rsidP="00426178">
            <w:pPr>
              <w:jc w:val="right"/>
              <w:rPr>
                <w:rFonts w:ascii="Calibri" w:eastAsia="Calibri" w:hAnsi="Calibri" w:cs="Calibri"/>
                <w:color w:val="002060"/>
                <w:sz w:val="18"/>
                <w:lang w:val="sr-Cyrl-CS"/>
              </w:rPr>
            </w:pPr>
            <w:r w:rsidRPr="00646254">
              <w:rPr>
                <w:rFonts w:ascii="Calibri" w:eastAsia="Calibri" w:hAnsi="Calibri" w:cs="Calibri"/>
                <w:color w:val="002060"/>
                <w:sz w:val="18"/>
                <w:lang w:val="sr-Cyrl-CS"/>
              </w:rPr>
              <w:t>-4,2</w:t>
            </w:r>
          </w:p>
        </w:tc>
        <w:tc>
          <w:tcPr>
            <w:tcW w:w="685" w:type="pct"/>
          </w:tcPr>
          <w:p w14:paraId="5E247ED1" w14:textId="77777777" w:rsidR="006C54B1" w:rsidRPr="00646254" w:rsidRDefault="006C54B1" w:rsidP="00426178">
            <w:pPr>
              <w:jc w:val="right"/>
              <w:rPr>
                <w:rFonts w:ascii="Calibri" w:eastAsia="Calibri" w:hAnsi="Calibri" w:cs="Calibri"/>
                <w:color w:val="002060"/>
                <w:sz w:val="18"/>
                <w:lang w:val="sr-Cyrl-CS"/>
              </w:rPr>
            </w:pPr>
            <w:r w:rsidRPr="00646254">
              <w:rPr>
                <w:rFonts w:ascii="Calibri" w:eastAsia="Calibri" w:hAnsi="Calibri" w:cs="Calibri"/>
                <w:color w:val="002060"/>
                <w:sz w:val="18"/>
                <w:lang w:val="sr-Cyrl-CS"/>
              </w:rPr>
              <w:t>8,4</w:t>
            </w:r>
          </w:p>
        </w:tc>
        <w:tc>
          <w:tcPr>
            <w:tcW w:w="685" w:type="pct"/>
          </w:tcPr>
          <w:p w14:paraId="392211FC" w14:textId="77777777" w:rsidR="006C54B1" w:rsidRPr="00646254" w:rsidRDefault="006C54B1" w:rsidP="00426178">
            <w:pPr>
              <w:jc w:val="right"/>
              <w:rPr>
                <w:rFonts w:ascii="Calibri" w:eastAsia="Calibri" w:hAnsi="Calibri" w:cs="Calibri"/>
                <w:color w:val="002060"/>
                <w:sz w:val="18"/>
                <w:lang w:val="sr-Cyrl-CS"/>
              </w:rPr>
            </w:pPr>
            <w:r w:rsidRPr="00646254">
              <w:rPr>
                <w:rFonts w:ascii="Calibri" w:eastAsia="Calibri" w:hAnsi="Calibri" w:cs="Calibri"/>
                <w:color w:val="002060"/>
                <w:sz w:val="18"/>
                <w:lang w:val="sr-Cyrl-CS"/>
              </w:rPr>
              <w:t>36,5</w:t>
            </w:r>
          </w:p>
        </w:tc>
        <w:tc>
          <w:tcPr>
            <w:tcW w:w="685" w:type="pct"/>
          </w:tcPr>
          <w:p w14:paraId="6B18C643" w14:textId="77777777" w:rsidR="006C54B1" w:rsidRPr="00646254" w:rsidRDefault="006C54B1" w:rsidP="00426178">
            <w:pPr>
              <w:jc w:val="right"/>
              <w:rPr>
                <w:rFonts w:ascii="Calibri" w:eastAsia="Calibri" w:hAnsi="Calibri" w:cs="Calibri"/>
                <w:color w:val="002060"/>
                <w:sz w:val="18"/>
                <w:lang w:val="sr-Cyrl-CS"/>
              </w:rPr>
            </w:pPr>
            <w:r w:rsidRPr="00646254">
              <w:rPr>
                <w:rFonts w:ascii="Calibri" w:eastAsia="Calibri" w:hAnsi="Calibri" w:cs="Calibri"/>
                <w:color w:val="002060"/>
                <w:sz w:val="18"/>
                <w:lang w:val="sr-Cyrl-CS"/>
              </w:rPr>
              <w:t>13,8</w:t>
            </w:r>
          </w:p>
        </w:tc>
        <w:tc>
          <w:tcPr>
            <w:tcW w:w="685" w:type="pct"/>
          </w:tcPr>
          <w:p w14:paraId="307AF0C0" w14:textId="77777777" w:rsidR="006C54B1" w:rsidRPr="00646254" w:rsidRDefault="006C54B1" w:rsidP="00426178">
            <w:pPr>
              <w:jc w:val="right"/>
              <w:rPr>
                <w:rFonts w:ascii="Calibri" w:eastAsia="Calibri" w:hAnsi="Calibri" w:cs="Calibri"/>
                <w:color w:val="002060"/>
                <w:sz w:val="18"/>
                <w:lang w:val="sr-Cyrl-CS"/>
              </w:rPr>
            </w:pPr>
            <w:r w:rsidRPr="00646254">
              <w:rPr>
                <w:rFonts w:ascii="Calibri" w:eastAsia="Calibri" w:hAnsi="Calibri" w:cs="Calibri"/>
                <w:color w:val="002060"/>
                <w:sz w:val="18"/>
                <w:lang w:val="sr-Cyrl-CS"/>
              </w:rPr>
              <w:t>15,9</w:t>
            </w:r>
          </w:p>
        </w:tc>
      </w:tr>
      <w:tr w:rsidR="006C54B1" w:rsidRPr="00646254" w14:paraId="6088339A" w14:textId="77777777" w:rsidTr="00593258">
        <w:trPr>
          <w:jc w:val="center"/>
        </w:trPr>
        <w:tc>
          <w:tcPr>
            <w:tcW w:w="1574" w:type="pct"/>
          </w:tcPr>
          <w:p w14:paraId="09FD2C42" w14:textId="77777777" w:rsidR="006C54B1" w:rsidRPr="00646254" w:rsidRDefault="006C54B1" w:rsidP="00426178">
            <w:pPr>
              <w:ind w:left="-15"/>
              <w:rPr>
                <w:rFonts w:ascii="Calibri" w:eastAsia="Calibri" w:hAnsi="Calibri" w:cs="Calibri"/>
                <w:color w:val="002060"/>
                <w:sz w:val="18"/>
                <w:lang w:val="sr-Cyrl-CS"/>
              </w:rPr>
            </w:pPr>
            <w:r w:rsidRPr="00646254">
              <w:rPr>
                <w:rFonts w:ascii="Calibri" w:eastAsia="Calibri" w:hAnsi="Calibri" w:cs="Calibri"/>
                <w:color w:val="002060"/>
                <w:sz w:val="18"/>
                <w:lang w:val="sr-Cyrl-CS"/>
              </w:rPr>
              <w:t>Увоз робе и услуга</w:t>
            </w:r>
          </w:p>
        </w:tc>
        <w:tc>
          <w:tcPr>
            <w:tcW w:w="685" w:type="pct"/>
          </w:tcPr>
          <w:p w14:paraId="50978344" w14:textId="77777777" w:rsidR="006C54B1" w:rsidRPr="00646254" w:rsidRDefault="006C54B1" w:rsidP="00426178">
            <w:pPr>
              <w:jc w:val="right"/>
              <w:rPr>
                <w:rFonts w:ascii="Calibri" w:eastAsia="Calibri" w:hAnsi="Calibri" w:cs="Calibri"/>
                <w:color w:val="002060"/>
                <w:sz w:val="18"/>
                <w:lang w:val="sr-Cyrl-CS"/>
              </w:rPr>
            </w:pPr>
            <w:r w:rsidRPr="00646254">
              <w:rPr>
                <w:rFonts w:ascii="Calibri" w:eastAsia="Calibri" w:hAnsi="Calibri" w:cs="Calibri"/>
                <w:color w:val="002060"/>
                <w:sz w:val="18"/>
                <w:lang w:val="sr-Cyrl-CS"/>
              </w:rPr>
              <w:t>-3,6</w:t>
            </w:r>
          </w:p>
        </w:tc>
        <w:tc>
          <w:tcPr>
            <w:tcW w:w="685" w:type="pct"/>
          </w:tcPr>
          <w:p w14:paraId="5F93B6BF" w14:textId="77777777" w:rsidR="006C54B1" w:rsidRPr="00646254" w:rsidRDefault="006C54B1" w:rsidP="00426178">
            <w:pPr>
              <w:jc w:val="right"/>
              <w:rPr>
                <w:rFonts w:ascii="Calibri" w:eastAsia="Calibri" w:hAnsi="Calibri" w:cs="Calibri"/>
                <w:color w:val="002060"/>
                <w:sz w:val="18"/>
                <w:lang w:val="sr-Cyrl-CS"/>
              </w:rPr>
            </w:pPr>
            <w:r w:rsidRPr="00646254">
              <w:rPr>
                <w:rFonts w:ascii="Calibri" w:eastAsia="Calibri" w:hAnsi="Calibri" w:cs="Calibri"/>
                <w:color w:val="002060"/>
                <w:sz w:val="18"/>
                <w:lang w:val="sr-Cyrl-CS"/>
              </w:rPr>
              <w:t>-1,0</w:t>
            </w:r>
          </w:p>
        </w:tc>
        <w:tc>
          <w:tcPr>
            <w:tcW w:w="685" w:type="pct"/>
          </w:tcPr>
          <w:p w14:paraId="40D69E92" w14:textId="77777777" w:rsidR="006C54B1" w:rsidRPr="00646254" w:rsidRDefault="006C54B1" w:rsidP="00426178">
            <w:pPr>
              <w:jc w:val="right"/>
              <w:rPr>
                <w:rFonts w:ascii="Calibri" w:eastAsia="Calibri" w:hAnsi="Calibri" w:cs="Calibri"/>
                <w:color w:val="002060"/>
                <w:sz w:val="18"/>
                <w:lang w:val="sr-Cyrl-CS"/>
              </w:rPr>
            </w:pPr>
            <w:r w:rsidRPr="00646254">
              <w:rPr>
                <w:rFonts w:ascii="Calibri" w:eastAsia="Calibri" w:hAnsi="Calibri" w:cs="Calibri"/>
                <w:color w:val="002060"/>
                <w:sz w:val="18"/>
                <w:lang w:val="sr-Cyrl-CS"/>
              </w:rPr>
              <w:t>42,9</w:t>
            </w:r>
          </w:p>
        </w:tc>
        <w:tc>
          <w:tcPr>
            <w:tcW w:w="685" w:type="pct"/>
          </w:tcPr>
          <w:p w14:paraId="048E1112" w14:textId="77777777" w:rsidR="006C54B1" w:rsidRPr="00646254" w:rsidRDefault="006C54B1" w:rsidP="00426178">
            <w:pPr>
              <w:jc w:val="right"/>
              <w:rPr>
                <w:rFonts w:ascii="Calibri" w:eastAsia="Calibri" w:hAnsi="Calibri" w:cs="Calibri"/>
                <w:color w:val="002060"/>
                <w:sz w:val="18"/>
                <w:lang w:val="sr-Cyrl-CS"/>
              </w:rPr>
            </w:pPr>
            <w:r w:rsidRPr="00646254">
              <w:rPr>
                <w:rFonts w:ascii="Calibri" w:eastAsia="Calibri" w:hAnsi="Calibri" w:cs="Calibri"/>
                <w:color w:val="002060"/>
                <w:sz w:val="18"/>
                <w:lang w:val="sr-Cyrl-CS"/>
              </w:rPr>
              <w:t>13,4</w:t>
            </w:r>
          </w:p>
        </w:tc>
        <w:tc>
          <w:tcPr>
            <w:tcW w:w="685" w:type="pct"/>
          </w:tcPr>
          <w:p w14:paraId="5931A4B2" w14:textId="77777777" w:rsidR="006C54B1" w:rsidRPr="00646254" w:rsidRDefault="006C54B1" w:rsidP="00426178">
            <w:pPr>
              <w:jc w:val="right"/>
              <w:rPr>
                <w:rFonts w:ascii="Calibri" w:eastAsia="Calibri" w:hAnsi="Calibri" w:cs="Calibri"/>
                <w:color w:val="002060"/>
                <w:sz w:val="18"/>
                <w:lang w:val="sr-Cyrl-CS"/>
              </w:rPr>
            </w:pPr>
            <w:r w:rsidRPr="00646254">
              <w:rPr>
                <w:rFonts w:ascii="Calibri" w:eastAsia="Calibri" w:hAnsi="Calibri" w:cs="Calibri"/>
                <w:color w:val="002060"/>
                <w:sz w:val="18"/>
                <w:lang w:val="sr-Cyrl-CS"/>
              </w:rPr>
              <w:t>14,2</w:t>
            </w:r>
          </w:p>
        </w:tc>
      </w:tr>
      <w:tr w:rsidR="006C54B1" w:rsidRPr="00646254" w14:paraId="684B723A" w14:textId="77777777" w:rsidTr="00593258">
        <w:trPr>
          <w:jc w:val="center"/>
        </w:trPr>
        <w:tc>
          <w:tcPr>
            <w:tcW w:w="1574" w:type="pct"/>
            <w:shd w:val="clear" w:color="auto" w:fill="E7E6E6"/>
          </w:tcPr>
          <w:p w14:paraId="64308D36" w14:textId="77777777" w:rsidR="006C54B1" w:rsidRPr="00646254" w:rsidRDefault="006C54B1" w:rsidP="00426178">
            <w:pPr>
              <w:ind w:left="-15"/>
              <w:jc w:val="right"/>
              <w:rPr>
                <w:rFonts w:ascii="Calibri" w:eastAsia="Calibri" w:hAnsi="Calibri" w:cs="Calibri"/>
                <w:color w:val="002060"/>
                <w:sz w:val="18"/>
                <w:lang w:val="sr-Cyrl-CS"/>
              </w:rPr>
            </w:pPr>
          </w:p>
        </w:tc>
        <w:tc>
          <w:tcPr>
            <w:tcW w:w="685" w:type="pct"/>
            <w:shd w:val="clear" w:color="auto" w:fill="E7E6E6"/>
          </w:tcPr>
          <w:p w14:paraId="35A62A88" w14:textId="77777777" w:rsidR="006C54B1" w:rsidRPr="00646254" w:rsidRDefault="006C54B1" w:rsidP="00426178">
            <w:pPr>
              <w:ind w:left="-15"/>
              <w:jc w:val="right"/>
              <w:rPr>
                <w:rFonts w:ascii="Calibri" w:eastAsia="Calibri" w:hAnsi="Calibri" w:cs="Calibri"/>
                <w:color w:val="002060"/>
                <w:sz w:val="18"/>
                <w:lang w:val="sr-Cyrl-CS"/>
              </w:rPr>
            </w:pPr>
          </w:p>
        </w:tc>
        <w:tc>
          <w:tcPr>
            <w:tcW w:w="685" w:type="pct"/>
            <w:shd w:val="clear" w:color="auto" w:fill="E7E6E6"/>
          </w:tcPr>
          <w:p w14:paraId="42BA7C0C" w14:textId="77777777" w:rsidR="006C54B1" w:rsidRPr="00646254" w:rsidRDefault="006C54B1" w:rsidP="00426178">
            <w:pPr>
              <w:ind w:left="-15"/>
              <w:jc w:val="right"/>
              <w:rPr>
                <w:rFonts w:ascii="Calibri" w:eastAsia="Calibri" w:hAnsi="Calibri" w:cs="Calibri"/>
                <w:color w:val="002060"/>
                <w:sz w:val="18"/>
                <w:lang w:val="sr-Cyrl-CS"/>
              </w:rPr>
            </w:pPr>
          </w:p>
        </w:tc>
        <w:tc>
          <w:tcPr>
            <w:tcW w:w="685" w:type="pct"/>
            <w:shd w:val="clear" w:color="auto" w:fill="E7E6E6"/>
          </w:tcPr>
          <w:p w14:paraId="0735ADA2" w14:textId="77777777" w:rsidR="006C54B1" w:rsidRPr="00646254" w:rsidRDefault="006C54B1" w:rsidP="00426178">
            <w:pPr>
              <w:ind w:left="-15"/>
              <w:jc w:val="center"/>
              <w:rPr>
                <w:rFonts w:ascii="Calibri" w:eastAsia="Calibri" w:hAnsi="Calibri" w:cs="Calibri"/>
                <w:color w:val="002060"/>
                <w:sz w:val="18"/>
                <w:lang w:val="sr-Cyrl-CS"/>
              </w:rPr>
            </w:pPr>
          </w:p>
        </w:tc>
        <w:tc>
          <w:tcPr>
            <w:tcW w:w="685" w:type="pct"/>
            <w:shd w:val="clear" w:color="auto" w:fill="E7E6E6"/>
          </w:tcPr>
          <w:p w14:paraId="3152C817" w14:textId="77777777" w:rsidR="006C54B1" w:rsidRPr="00646254" w:rsidRDefault="006C54B1" w:rsidP="00426178">
            <w:pPr>
              <w:ind w:left="-15"/>
              <w:jc w:val="center"/>
              <w:rPr>
                <w:rFonts w:ascii="Calibri" w:eastAsia="Calibri" w:hAnsi="Calibri" w:cs="Calibri"/>
                <w:color w:val="002060"/>
                <w:sz w:val="18"/>
                <w:lang w:val="sr-Cyrl-CS"/>
              </w:rPr>
            </w:pPr>
          </w:p>
        </w:tc>
        <w:tc>
          <w:tcPr>
            <w:tcW w:w="685" w:type="pct"/>
            <w:shd w:val="clear" w:color="auto" w:fill="E7E6E6"/>
          </w:tcPr>
          <w:p w14:paraId="4FD2E296" w14:textId="77777777" w:rsidR="006C54B1" w:rsidRPr="00646254" w:rsidRDefault="006C54B1" w:rsidP="00426178">
            <w:pPr>
              <w:ind w:left="-15"/>
              <w:jc w:val="center"/>
              <w:rPr>
                <w:rFonts w:ascii="Calibri" w:eastAsia="Calibri" w:hAnsi="Calibri" w:cs="Calibri"/>
                <w:color w:val="002060"/>
                <w:sz w:val="18"/>
                <w:lang w:val="sr-Cyrl-CS"/>
              </w:rPr>
            </w:pPr>
          </w:p>
        </w:tc>
      </w:tr>
      <w:tr w:rsidR="006C54B1" w:rsidRPr="00646254" w14:paraId="35DB9561" w14:textId="77777777" w:rsidTr="00593258">
        <w:trPr>
          <w:jc w:val="center"/>
        </w:trPr>
        <w:tc>
          <w:tcPr>
            <w:tcW w:w="1574" w:type="pct"/>
          </w:tcPr>
          <w:p w14:paraId="3169FDD4" w14:textId="77777777" w:rsidR="006C54B1" w:rsidRPr="00646254" w:rsidRDefault="006C54B1" w:rsidP="00426178">
            <w:pPr>
              <w:ind w:left="-15"/>
              <w:rPr>
                <w:rFonts w:ascii="Calibri" w:eastAsia="Calibri" w:hAnsi="Calibri" w:cs="Calibri"/>
                <w:color w:val="002060"/>
                <w:sz w:val="18"/>
                <w:lang w:val="sr-Cyrl-CS"/>
              </w:rPr>
            </w:pPr>
            <w:r w:rsidRPr="00646254">
              <w:rPr>
                <w:rFonts w:ascii="Calibri" w:eastAsia="Calibri" w:hAnsi="Calibri" w:cs="Calibri"/>
                <w:color w:val="002060"/>
                <w:sz w:val="18"/>
                <w:lang w:val="sr-Cyrl-CS"/>
              </w:rPr>
              <w:t>Пољопривреда</w:t>
            </w:r>
          </w:p>
        </w:tc>
        <w:tc>
          <w:tcPr>
            <w:tcW w:w="685" w:type="pct"/>
          </w:tcPr>
          <w:p w14:paraId="4A3B70ED" w14:textId="77777777" w:rsidR="006C54B1" w:rsidRPr="00646254" w:rsidRDefault="006C54B1" w:rsidP="00426178">
            <w:pPr>
              <w:jc w:val="right"/>
              <w:rPr>
                <w:rFonts w:ascii="Calibri" w:eastAsia="Calibri" w:hAnsi="Calibri" w:cs="Calibri"/>
                <w:color w:val="002060"/>
                <w:sz w:val="18"/>
                <w:lang w:val="sr-Cyrl-CS"/>
              </w:rPr>
            </w:pPr>
            <w:r w:rsidRPr="00646254">
              <w:rPr>
                <w:rFonts w:ascii="Calibri" w:eastAsia="Calibri" w:hAnsi="Calibri" w:cs="Calibri"/>
                <w:color w:val="002060"/>
                <w:sz w:val="18"/>
                <w:lang w:val="sr-Cyrl-CS"/>
              </w:rPr>
              <w:t>2,2</w:t>
            </w:r>
          </w:p>
        </w:tc>
        <w:tc>
          <w:tcPr>
            <w:tcW w:w="685" w:type="pct"/>
          </w:tcPr>
          <w:p w14:paraId="656815CD" w14:textId="77777777" w:rsidR="006C54B1" w:rsidRPr="00646254" w:rsidRDefault="006C54B1" w:rsidP="00426178">
            <w:pPr>
              <w:jc w:val="right"/>
              <w:rPr>
                <w:rFonts w:ascii="Calibri" w:eastAsia="Calibri" w:hAnsi="Calibri" w:cs="Calibri"/>
                <w:color w:val="002060"/>
                <w:sz w:val="18"/>
                <w:lang w:val="sr-Cyrl-CS"/>
              </w:rPr>
            </w:pPr>
            <w:r w:rsidRPr="00646254">
              <w:rPr>
                <w:rFonts w:ascii="Calibri" w:eastAsia="Calibri" w:hAnsi="Calibri" w:cs="Calibri"/>
                <w:color w:val="002060"/>
                <w:sz w:val="18"/>
                <w:lang w:val="sr-Cyrl-CS"/>
              </w:rPr>
              <w:t>-1,9</w:t>
            </w:r>
          </w:p>
        </w:tc>
        <w:tc>
          <w:tcPr>
            <w:tcW w:w="685" w:type="pct"/>
          </w:tcPr>
          <w:p w14:paraId="65195447" w14:textId="77777777" w:rsidR="006C54B1" w:rsidRPr="00646254" w:rsidRDefault="006C54B1" w:rsidP="00426178">
            <w:pPr>
              <w:jc w:val="right"/>
              <w:rPr>
                <w:rFonts w:ascii="Calibri" w:eastAsia="Calibri" w:hAnsi="Calibri" w:cs="Calibri"/>
                <w:color w:val="002060"/>
                <w:sz w:val="18"/>
                <w:lang w:val="sr-Cyrl-CS"/>
              </w:rPr>
            </w:pPr>
            <w:r w:rsidRPr="00646254">
              <w:rPr>
                <w:rFonts w:ascii="Calibri" w:eastAsia="Calibri" w:hAnsi="Calibri" w:cs="Calibri"/>
                <w:color w:val="002060"/>
                <w:sz w:val="18"/>
                <w:lang w:val="sr-Cyrl-CS"/>
              </w:rPr>
              <w:t>-1,6</w:t>
            </w:r>
          </w:p>
        </w:tc>
        <w:tc>
          <w:tcPr>
            <w:tcW w:w="685" w:type="pct"/>
          </w:tcPr>
          <w:p w14:paraId="17C31CD5" w14:textId="77777777" w:rsidR="006C54B1" w:rsidRPr="00646254" w:rsidRDefault="006C54B1" w:rsidP="00426178">
            <w:pPr>
              <w:jc w:val="right"/>
              <w:rPr>
                <w:rFonts w:ascii="Calibri" w:eastAsia="Calibri" w:hAnsi="Calibri" w:cs="Calibri"/>
                <w:color w:val="002060"/>
                <w:sz w:val="18"/>
                <w:lang w:val="sr-Cyrl-CS"/>
              </w:rPr>
            </w:pPr>
            <w:r w:rsidRPr="00646254">
              <w:rPr>
                <w:rFonts w:ascii="Calibri" w:eastAsia="Calibri" w:hAnsi="Calibri" w:cs="Calibri"/>
                <w:color w:val="002060"/>
                <w:sz w:val="18"/>
                <w:lang w:val="sr-Cyrl-CS"/>
              </w:rPr>
              <w:t>-4,0</w:t>
            </w:r>
          </w:p>
        </w:tc>
        <w:tc>
          <w:tcPr>
            <w:tcW w:w="685" w:type="pct"/>
          </w:tcPr>
          <w:p w14:paraId="3335E694" w14:textId="77777777" w:rsidR="006C54B1" w:rsidRPr="00646254" w:rsidRDefault="006C54B1" w:rsidP="00426178">
            <w:pPr>
              <w:jc w:val="right"/>
              <w:rPr>
                <w:rFonts w:ascii="Calibri" w:eastAsia="Calibri" w:hAnsi="Calibri" w:cs="Calibri"/>
                <w:color w:val="002060"/>
                <w:sz w:val="18"/>
                <w:lang w:val="sr-Cyrl-CS"/>
              </w:rPr>
            </w:pPr>
            <w:r w:rsidRPr="00646254">
              <w:rPr>
                <w:rFonts w:ascii="Calibri" w:eastAsia="Calibri" w:hAnsi="Calibri" w:cs="Calibri"/>
                <w:color w:val="002060"/>
                <w:sz w:val="18"/>
                <w:lang w:val="sr-Cyrl-CS"/>
              </w:rPr>
              <w:t>-3,5</w:t>
            </w:r>
          </w:p>
        </w:tc>
      </w:tr>
      <w:tr w:rsidR="006C54B1" w:rsidRPr="00646254" w14:paraId="476F415A" w14:textId="77777777" w:rsidTr="00593258">
        <w:trPr>
          <w:jc w:val="center"/>
        </w:trPr>
        <w:tc>
          <w:tcPr>
            <w:tcW w:w="1574" w:type="pct"/>
          </w:tcPr>
          <w:p w14:paraId="43FE8D5E" w14:textId="77777777" w:rsidR="006C54B1" w:rsidRPr="00646254" w:rsidRDefault="006C54B1" w:rsidP="00426178">
            <w:pPr>
              <w:ind w:left="-15"/>
              <w:rPr>
                <w:rFonts w:ascii="Calibri" w:eastAsia="Calibri" w:hAnsi="Calibri" w:cs="Calibri"/>
                <w:color w:val="002060"/>
                <w:sz w:val="18"/>
                <w:lang w:val="sr-Cyrl-CS"/>
              </w:rPr>
            </w:pPr>
            <w:r w:rsidRPr="00646254">
              <w:rPr>
                <w:rFonts w:ascii="Calibri" w:eastAsia="Calibri" w:hAnsi="Calibri" w:cs="Calibri"/>
                <w:color w:val="002060"/>
                <w:sz w:val="18"/>
                <w:lang w:val="sr-Cyrl-CS"/>
              </w:rPr>
              <w:t>Индустрија</w:t>
            </w:r>
          </w:p>
        </w:tc>
        <w:tc>
          <w:tcPr>
            <w:tcW w:w="685" w:type="pct"/>
          </w:tcPr>
          <w:p w14:paraId="178234E7" w14:textId="77777777" w:rsidR="006C54B1" w:rsidRPr="00646254" w:rsidRDefault="006C54B1" w:rsidP="00426178">
            <w:pPr>
              <w:jc w:val="right"/>
              <w:rPr>
                <w:rFonts w:ascii="Calibri" w:eastAsia="Calibri" w:hAnsi="Calibri" w:cs="Calibri"/>
                <w:color w:val="002060"/>
                <w:sz w:val="18"/>
                <w:lang w:val="sr-Cyrl-CS"/>
              </w:rPr>
            </w:pPr>
            <w:r w:rsidRPr="00646254">
              <w:rPr>
                <w:rFonts w:ascii="Calibri" w:eastAsia="Calibri" w:hAnsi="Calibri" w:cs="Calibri"/>
                <w:color w:val="002060"/>
                <w:sz w:val="18"/>
                <w:lang w:val="sr-Cyrl-CS"/>
              </w:rPr>
              <w:t>0,3</w:t>
            </w:r>
          </w:p>
        </w:tc>
        <w:tc>
          <w:tcPr>
            <w:tcW w:w="685" w:type="pct"/>
          </w:tcPr>
          <w:p w14:paraId="79344F04" w14:textId="77777777" w:rsidR="006C54B1" w:rsidRPr="00646254" w:rsidRDefault="006C54B1" w:rsidP="00426178">
            <w:pPr>
              <w:jc w:val="right"/>
              <w:rPr>
                <w:rFonts w:ascii="Calibri" w:eastAsia="Calibri" w:hAnsi="Calibri" w:cs="Calibri"/>
                <w:color w:val="002060"/>
                <w:sz w:val="18"/>
                <w:lang w:val="sr-Cyrl-CS"/>
              </w:rPr>
            </w:pPr>
            <w:r w:rsidRPr="00646254">
              <w:rPr>
                <w:rFonts w:ascii="Calibri" w:eastAsia="Calibri" w:hAnsi="Calibri" w:cs="Calibri"/>
                <w:color w:val="002060"/>
                <w:sz w:val="18"/>
                <w:lang w:val="sr-Cyrl-CS"/>
              </w:rPr>
              <w:t>4,0</w:t>
            </w:r>
          </w:p>
        </w:tc>
        <w:tc>
          <w:tcPr>
            <w:tcW w:w="685" w:type="pct"/>
          </w:tcPr>
          <w:p w14:paraId="66C84922" w14:textId="77777777" w:rsidR="006C54B1" w:rsidRPr="00646254" w:rsidRDefault="006C54B1" w:rsidP="00426178">
            <w:pPr>
              <w:jc w:val="right"/>
              <w:rPr>
                <w:rFonts w:ascii="Calibri" w:eastAsia="Calibri" w:hAnsi="Calibri" w:cs="Calibri"/>
                <w:color w:val="002060"/>
                <w:sz w:val="18"/>
                <w:lang w:val="sr-Cyrl-CS"/>
              </w:rPr>
            </w:pPr>
            <w:r w:rsidRPr="00646254">
              <w:rPr>
                <w:rFonts w:ascii="Calibri" w:eastAsia="Calibri" w:hAnsi="Calibri" w:cs="Calibri"/>
                <w:color w:val="002060"/>
                <w:sz w:val="18"/>
                <w:lang w:val="sr-Cyrl-CS"/>
              </w:rPr>
              <w:t>13,5</w:t>
            </w:r>
          </w:p>
        </w:tc>
        <w:tc>
          <w:tcPr>
            <w:tcW w:w="685" w:type="pct"/>
          </w:tcPr>
          <w:p w14:paraId="2CAA80C8" w14:textId="77777777" w:rsidR="006C54B1" w:rsidRPr="00646254" w:rsidRDefault="006C54B1" w:rsidP="00426178">
            <w:pPr>
              <w:jc w:val="right"/>
              <w:rPr>
                <w:rFonts w:ascii="Calibri" w:eastAsia="Calibri" w:hAnsi="Calibri" w:cs="Calibri"/>
                <w:color w:val="002060"/>
                <w:sz w:val="18"/>
                <w:lang w:val="sr-Cyrl-CS"/>
              </w:rPr>
            </w:pPr>
            <w:r w:rsidRPr="00646254">
              <w:rPr>
                <w:rFonts w:ascii="Calibri" w:eastAsia="Calibri" w:hAnsi="Calibri" w:cs="Calibri"/>
                <w:color w:val="002060"/>
                <w:sz w:val="18"/>
                <w:lang w:val="sr-Cyrl-CS"/>
              </w:rPr>
              <w:t>6,4</w:t>
            </w:r>
          </w:p>
        </w:tc>
        <w:tc>
          <w:tcPr>
            <w:tcW w:w="685" w:type="pct"/>
          </w:tcPr>
          <w:p w14:paraId="241B53EC" w14:textId="77777777" w:rsidR="006C54B1" w:rsidRPr="00646254" w:rsidRDefault="006C54B1" w:rsidP="00426178">
            <w:pPr>
              <w:jc w:val="right"/>
              <w:rPr>
                <w:rFonts w:ascii="Calibri" w:eastAsia="Calibri" w:hAnsi="Calibri" w:cs="Calibri"/>
                <w:color w:val="002060"/>
                <w:sz w:val="18"/>
                <w:lang w:val="sr-Cyrl-CS"/>
              </w:rPr>
            </w:pPr>
            <w:r w:rsidRPr="00646254">
              <w:rPr>
                <w:rFonts w:ascii="Calibri" w:eastAsia="Calibri" w:hAnsi="Calibri" w:cs="Calibri"/>
                <w:color w:val="002060"/>
                <w:sz w:val="18"/>
                <w:lang w:val="sr-Cyrl-CS"/>
              </w:rPr>
              <w:t>4,5</w:t>
            </w:r>
          </w:p>
        </w:tc>
      </w:tr>
      <w:tr w:rsidR="006C54B1" w:rsidRPr="00646254" w14:paraId="0EE0DC75" w14:textId="77777777" w:rsidTr="00593258">
        <w:trPr>
          <w:jc w:val="center"/>
        </w:trPr>
        <w:tc>
          <w:tcPr>
            <w:tcW w:w="1574" w:type="pct"/>
          </w:tcPr>
          <w:p w14:paraId="122AF184" w14:textId="77777777" w:rsidR="006C54B1" w:rsidRPr="00646254" w:rsidRDefault="006C54B1" w:rsidP="00426178">
            <w:pPr>
              <w:ind w:left="-15"/>
              <w:rPr>
                <w:rFonts w:ascii="Calibri" w:eastAsia="Calibri" w:hAnsi="Calibri" w:cs="Calibri"/>
                <w:color w:val="002060"/>
                <w:sz w:val="18"/>
                <w:lang w:val="sr-Cyrl-CS"/>
              </w:rPr>
            </w:pPr>
            <w:r w:rsidRPr="00646254">
              <w:rPr>
                <w:rFonts w:ascii="Calibri" w:eastAsia="Calibri" w:hAnsi="Calibri" w:cs="Calibri"/>
                <w:color w:val="002060"/>
                <w:sz w:val="18"/>
                <w:lang w:val="sr-Cyrl-CS"/>
              </w:rPr>
              <w:t>Грађевинарство</w:t>
            </w:r>
          </w:p>
        </w:tc>
        <w:tc>
          <w:tcPr>
            <w:tcW w:w="685" w:type="pct"/>
          </w:tcPr>
          <w:p w14:paraId="148003F0" w14:textId="77777777" w:rsidR="006C54B1" w:rsidRPr="00646254" w:rsidRDefault="006C54B1" w:rsidP="00426178">
            <w:pPr>
              <w:jc w:val="right"/>
              <w:rPr>
                <w:rFonts w:ascii="Calibri" w:eastAsia="Calibri" w:hAnsi="Calibri" w:cs="Calibri"/>
                <w:color w:val="002060"/>
                <w:sz w:val="18"/>
                <w:lang w:val="sr-Cyrl-CS"/>
              </w:rPr>
            </w:pPr>
            <w:r w:rsidRPr="00646254">
              <w:rPr>
                <w:rFonts w:ascii="Calibri" w:eastAsia="Calibri" w:hAnsi="Calibri" w:cs="Calibri"/>
                <w:color w:val="002060"/>
                <w:sz w:val="18"/>
                <w:lang w:val="sr-Cyrl-CS"/>
              </w:rPr>
              <w:t>-3,6</w:t>
            </w:r>
          </w:p>
        </w:tc>
        <w:tc>
          <w:tcPr>
            <w:tcW w:w="685" w:type="pct"/>
          </w:tcPr>
          <w:p w14:paraId="0E23BD65" w14:textId="77777777" w:rsidR="006C54B1" w:rsidRPr="00646254" w:rsidRDefault="006C54B1" w:rsidP="00426178">
            <w:pPr>
              <w:jc w:val="right"/>
              <w:rPr>
                <w:rFonts w:ascii="Calibri" w:eastAsia="Calibri" w:hAnsi="Calibri" w:cs="Calibri"/>
                <w:color w:val="002060"/>
                <w:sz w:val="18"/>
                <w:lang w:val="sr-Cyrl-CS"/>
              </w:rPr>
            </w:pPr>
            <w:r w:rsidRPr="00646254">
              <w:rPr>
                <w:rFonts w:ascii="Calibri" w:eastAsia="Calibri" w:hAnsi="Calibri" w:cs="Calibri"/>
                <w:color w:val="002060"/>
                <w:sz w:val="18"/>
                <w:lang w:val="sr-Cyrl-CS"/>
              </w:rPr>
              <w:t>17,8</w:t>
            </w:r>
          </w:p>
        </w:tc>
        <w:tc>
          <w:tcPr>
            <w:tcW w:w="685" w:type="pct"/>
          </w:tcPr>
          <w:p w14:paraId="0C258FCE" w14:textId="77777777" w:rsidR="006C54B1" w:rsidRPr="00646254" w:rsidRDefault="006C54B1" w:rsidP="00426178">
            <w:pPr>
              <w:jc w:val="right"/>
              <w:rPr>
                <w:rFonts w:ascii="Calibri" w:eastAsia="Calibri" w:hAnsi="Calibri" w:cs="Calibri"/>
                <w:color w:val="002060"/>
                <w:sz w:val="18"/>
                <w:lang w:val="sr-Cyrl-CS"/>
              </w:rPr>
            </w:pPr>
            <w:r w:rsidRPr="00646254">
              <w:rPr>
                <w:rFonts w:ascii="Calibri" w:eastAsia="Calibri" w:hAnsi="Calibri" w:cs="Calibri"/>
                <w:color w:val="002060"/>
                <w:sz w:val="18"/>
                <w:lang w:val="sr-Cyrl-CS"/>
              </w:rPr>
              <w:t>17,7</w:t>
            </w:r>
          </w:p>
        </w:tc>
        <w:tc>
          <w:tcPr>
            <w:tcW w:w="685" w:type="pct"/>
          </w:tcPr>
          <w:p w14:paraId="180A8996" w14:textId="77777777" w:rsidR="006C54B1" w:rsidRPr="00646254" w:rsidRDefault="006C54B1" w:rsidP="00426178">
            <w:pPr>
              <w:jc w:val="right"/>
              <w:rPr>
                <w:rFonts w:ascii="Calibri" w:eastAsia="Calibri" w:hAnsi="Calibri" w:cs="Calibri"/>
                <w:color w:val="002060"/>
                <w:sz w:val="18"/>
                <w:lang w:val="sr-Cyrl-CS"/>
              </w:rPr>
            </w:pPr>
            <w:r w:rsidRPr="00646254">
              <w:rPr>
                <w:rFonts w:ascii="Calibri" w:eastAsia="Calibri" w:hAnsi="Calibri" w:cs="Calibri"/>
                <w:color w:val="002060"/>
                <w:sz w:val="18"/>
                <w:lang w:val="sr-Cyrl-CS"/>
              </w:rPr>
              <w:t>16,1</w:t>
            </w:r>
          </w:p>
        </w:tc>
        <w:tc>
          <w:tcPr>
            <w:tcW w:w="685" w:type="pct"/>
          </w:tcPr>
          <w:p w14:paraId="674CF85C" w14:textId="77777777" w:rsidR="006C54B1" w:rsidRPr="00646254" w:rsidRDefault="006C54B1" w:rsidP="00426178">
            <w:pPr>
              <w:jc w:val="right"/>
              <w:rPr>
                <w:rFonts w:ascii="Calibri" w:eastAsia="Calibri" w:hAnsi="Calibri" w:cs="Calibri"/>
                <w:color w:val="002060"/>
                <w:sz w:val="18"/>
                <w:lang w:val="sr-Cyrl-CS"/>
              </w:rPr>
            </w:pPr>
            <w:r w:rsidRPr="00646254">
              <w:rPr>
                <w:rFonts w:ascii="Calibri" w:eastAsia="Calibri" w:hAnsi="Calibri" w:cs="Calibri"/>
                <w:color w:val="002060"/>
                <w:sz w:val="18"/>
                <w:lang w:val="sr-Cyrl-CS"/>
              </w:rPr>
              <w:t>18,5</w:t>
            </w:r>
          </w:p>
        </w:tc>
      </w:tr>
      <w:tr w:rsidR="006C54B1" w:rsidRPr="00646254" w14:paraId="2CCC53B5" w14:textId="77777777" w:rsidTr="00593258">
        <w:trPr>
          <w:trHeight w:val="169"/>
          <w:jc w:val="center"/>
        </w:trPr>
        <w:tc>
          <w:tcPr>
            <w:tcW w:w="1574" w:type="pct"/>
            <w:tcBorders>
              <w:bottom w:val="single" w:sz="4" w:space="0" w:color="002060"/>
            </w:tcBorders>
          </w:tcPr>
          <w:p w14:paraId="637631B8" w14:textId="77777777" w:rsidR="006C54B1" w:rsidRPr="00646254" w:rsidRDefault="006C54B1" w:rsidP="00426178">
            <w:pPr>
              <w:ind w:left="-15"/>
              <w:rPr>
                <w:rFonts w:ascii="Calibri" w:eastAsia="Calibri" w:hAnsi="Calibri" w:cs="Calibri"/>
                <w:color w:val="002060"/>
                <w:sz w:val="18"/>
                <w:lang w:val="sr-Cyrl-CS"/>
              </w:rPr>
            </w:pPr>
            <w:r w:rsidRPr="00646254">
              <w:rPr>
                <w:rFonts w:ascii="Calibri" w:eastAsia="Calibri" w:hAnsi="Calibri" w:cs="Calibri"/>
                <w:color w:val="002060"/>
                <w:sz w:val="18"/>
                <w:lang w:val="sr-Cyrl-CS"/>
              </w:rPr>
              <w:t>Услуге</w:t>
            </w:r>
          </w:p>
        </w:tc>
        <w:tc>
          <w:tcPr>
            <w:tcW w:w="685" w:type="pct"/>
            <w:tcBorders>
              <w:bottom w:val="single" w:sz="4" w:space="0" w:color="002060"/>
            </w:tcBorders>
          </w:tcPr>
          <w:p w14:paraId="485E490B" w14:textId="77777777" w:rsidR="006C54B1" w:rsidRPr="00646254" w:rsidRDefault="006C54B1" w:rsidP="00426178">
            <w:pPr>
              <w:tabs>
                <w:tab w:val="left" w:pos="420"/>
                <w:tab w:val="center" w:pos="586"/>
              </w:tabs>
              <w:jc w:val="right"/>
              <w:rPr>
                <w:rFonts w:ascii="Calibri" w:eastAsia="Calibri" w:hAnsi="Calibri" w:cs="Calibri"/>
                <w:color w:val="002060"/>
                <w:sz w:val="18"/>
                <w:lang w:val="sr-Cyrl-CS"/>
              </w:rPr>
            </w:pPr>
            <w:r w:rsidRPr="00646254">
              <w:rPr>
                <w:rFonts w:ascii="Calibri" w:eastAsia="Calibri" w:hAnsi="Calibri" w:cs="Calibri"/>
                <w:color w:val="002060"/>
                <w:sz w:val="18"/>
                <w:lang w:val="sr-Cyrl-CS"/>
              </w:rPr>
              <w:t>-1,2</w:t>
            </w:r>
          </w:p>
        </w:tc>
        <w:tc>
          <w:tcPr>
            <w:tcW w:w="685" w:type="pct"/>
            <w:tcBorders>
              <w:bottom w:val="single" w:sz="4" w:space="0" w:color="002060"/>
            </w:tcBorders>
          </w:tcPr>
          <w:p w14:paraId="642505BB" w14:textId="77777777" w:rsidR="006C54B1" w:rsidRPr="00646254" w:rsidRDefault="006C54B1" w:rsidP="00426178">
            <w:pPr>
              <w:jc w:val="right"/>
              <w:rPr>
                <w:rFonts w:ascii="Calibri" w:eastAsia="Calibri" w:hAnsi="Calibri" w:cs="Calibri"/>
                <w:color w:val="002060"/>
                <w:sz w:val="18"/>
                <w:lang w:val="sr-Cyrl-CS"/>
              </w:rPr>
            </w:pPr>
            <w:r w:rsidRPr="00646254">
              <w:rPr>
                <w:rFonts w:ascii="Calibri" w:eastAsia="Calibri" w:hAnsi="Calibri" w:cs="Calibri"/>
                <w:color w:val="002060"/>
                <w:sz w:val="18"/>
                <w:lang w:val="sr-Cyrl-CS"/>
              </w:rPr>
              <w:t>1,1</w:t>
            </w:r>
          </w:p>
        </w:tc>
        <w:tc>
          <w:tcPr>
            <w:tcW w:w="685" w:type="pct"/>
            <w:tcBorders>
              <w:bottom w:val="single" w:sz="4" w:space="0" w:color="002060"/>
            </w:tcBorders>
          </w:tcPr>
          <w:p w14:paraId="7B59D5DC" w14:textId="77777777" w:rsidR="006C54B1" w:rsidRPr="00646254" w:rsidRDefault="006C54B1" w:rsidP="00426178">
            <w:pPr>
              <w:jc w:val="right"/>
              <w:rPr>
                <w:rFonts w:ascii="Calibri" w:eastAsia="Calibri" w:hAnsi="Calibri" w:cs="Calibri"/>
                <w:color w:val="002060"/>
                <w:sz w:val="18"/>
                <w:lang w:val="sr-Cyrl-CS"/>
              </w:rPr>
            </w:pPr>
            <w:r w:rsidRPr="00646254">
              <w:rPr>
                <w:rFonts w:ascii="Calibri" w:eastAsia="Calibri" w:hAnsi="Calibri" w:cs="Calibri"/>
                <w:color w:val="002060"/>
                <w:sz w:val="18"/>
                <w:lang w:val="sr-Cyrl-CS"/>
              </w:rPr>
              <w:t>15,1</w:t>
            </w:r>
          </w:p>
        </w:tc>
        <w:tc>
          <w:tcPr>
            <w:tcW w:w="685" w:type="pct"/>
            <w:tcBorders>
              <w:bottom w:val="single" w:sz="4" w:space="0" w:color="002060"/>
            </w:tcBorders>
          </w:tcPr>
          <w:p w14:paraId="406E4D96" w14:textId="77777777" w:rsidR="006C54B1" w:rsidRPr="00646254" w:rsidRDefault="006C54B1" w:rsidP="00426178">
            <w:pPr>
              <w:jc w:val="right"/>
              <w:rPr>
                <w:rFonts w:ascii="Calibri" w:eastAsia="Calibri" w:hAnsi="Calibri" w:cs="Calibri"/>
                <w:color w:val="002060"/>
                <w:sz w:val="18"/>
                <w:lang w:val="sr-Cyrl-CS"/>
              </w:rPr>
            </w:pPr>
            <w:r w:rsidRPr="00646254">
              <w:rPr>
                <w:rFonts w:ascii="Calibri" w:eastAsia="Calibri" w:hAnsi="Calibri" w:cs="Calibri"/>
                <w:color w:val="002060"/>
                <w:sz w:val="18"/>
                <w:lang w:val="sr-Cyrl-CS"/>
              </w:rPr>
              <w:t>6,0</w:t>
            </w:r>
          </w:p>
        </w:tc>
        <w:tc>
          <w:tcPr>
            <w:tcW w:w="685" w:type="pct"/>
            <w:tcBorders>
              <w:bottom w:val="single" w:sz="4" w:space="0" w:color="002060"/>
            </w:tcBorders>
          </w:tcPr>
          <w:p w14:paraId="62A34649" w14:textId="77777777" w:rsidR="006C54B1" w:rsidRPr="00646254" w:rsidRDefault="006C54B1" w:rsidP="00426178">
            <w:pPr>
              <w:jc w:val="right"/>
              <w:rPr>
                <w:rFonts w:ascii="Calibri" w:eastAsia="Calibri" w:hAnsi="Calibri" w:cs="Calibri"/>
                <w:color w:val="002060"/>
                <w:sz w:val="18"/>
                <w:lang w:val="sr-Cyrl-CS"/>
              </w:rPr>
            </w:pPr>
            <w:r w:rsidRPr="00646254">
              <w:rPr>
                <w:rFonts w:ascii="Calibri" w:eastAsia="Calibri" w:hAnsi="Calibri" w:cs="Calibri"/>
                <w:color w:val="002060"/>
                <w:sz w:val="18"/>
                <w:lang w:val="sr-Cyrl-CS"/>
              </w:rPr>
              <w:t>8,4</w:t>
            </w:r>
          </w:p>
        </w:tc>
      </w:tr>
    </w:tbl>
    <w:p w14:paraId="35B423E4" w14:textId="77777777" w:rsidR="006C54B1" w:rsidRPr="00646254" w:rsidRDefault="006C54B1" w:rsidP="00426178">
      <w:pPr>
        <w:spacing w:before="40" w:after="60"/>
        <w:rPr>
          <w:rFonts w:ascii="Calibri" w:eastAsia="Calibri" w:hAnsi="Calibri" w:cs="Calibri"/>
          <w:bCs/>
          <w:sz w:val="16"/>
          <w:szCs w:val="72"/>
          <w:lang w:val="sr-Cyrl-CS"/>
        </w:rPr>
      </w:pPr>
      <w:r w:rsidRPr="00646254">
        <w:rPr>
          <w:rFonts w:ascii="Calibri" w:eastAsia="Calibri" w:hAnsi="Calibri" w:cs="Calibri"/>
          <w:bCs/>
          <w:sz w:val="16"/>
          <w:szCs w:val="72"/>
          <w:lang w:val="sr-Cyrl-CS"/>
        </w:rPr>
        <w:t>Извор: РЗС, прерачун Министарство финансија</w:t>
      </w:r>
    </w:p>
    <w:p w14:paraId="2A8E677E" w14:textId="725860F2" w:rsidR="006C54B1" w:rsidRPr="00646254" w:rsidRDefault="006C54B1" w:rsidP="00593258">
      <w:pPr>
        <w:spacing w:before="40"/>
        <w:rPr>
          <w:rFonts w:cstheme="minorHAnsi"/>
          <w:b/>
          <w:lang w:val="sr-Cyrl-CS"/>
        </w:rPr>
      </w:pPr>
      <w:r w:rsidRPr="00646254">
        <w:rPr>
          <w:rFonts w:ascii="Calibri" w:eastAsia="Calibri" w:hAnsi="Calibri" w:cs="Calibri"/>
          <w:bCs/>
          <w:sz w:val="16"/>
          <w:szCs w:val="72"/>
          <w:lang w:val="sr-Cyrl-CS"/>
        </w:rPr>
        <w:t>* Процена Министарства финансија</w:t>
      </w:r>
    </w:p>
    <w:p w14:paraId="57D0D5A9" w14:textId="77777777" w:rsidR="00426178" w:rsidRPr="00646254" w:rsidRDefault="00426178" w:rsidP="00593258">
      <w:pPr>
        <w:jc w:val="left"/>
        <w:rPr>
          <w:rFonts w:cstheme="minorHAnsi"/>
          <w:b/>
          <w:color w:val="2F5496" w:themeColor="accent1" w:themeShade="BF"/>
          <w:sz w:val="22"/>
          <w:lang w:val="sr-Cyrl-CS"/>
        </w:rPr>
        <w:sectPr w:rsidR="00426178" w:rsidRPr="00646254" w:rsidSect="00426178">
          <w:headerReference w:type="even" r:id="rId68"/>
          <w:headerReference w:type="default" r:id="rId69"/>
          <w:footerReference w:type="even" r:id="rId70"/>
          <w:footerReference w:type="default" r:id="rId71"/>
          <w:headerReference w:type="first" r:id="rId72"/>
          <w:type w:val="continuous"/>
          <w:pgSz w:w="12240" w:h="15840" w:code="1"/>
          <w:pgMar w:top="1418" w:right="1418" w:bottom="1418" w:left="1418" w:header="720" w:footer="720" w:gutter="0"/>
          <w:cols w:space="720"/>
          <w:docGrid w:linePitch="272"/>
        </w:sectPr>
      </w:pPr>
    </w:p>
    <w:p w14:paraId="7C174223" w14:textId="31B3BFC6" w:rsidR="00426178" w:rsidRPr="00646254" w:rsidRDefault="00426178" w:rsidP="00F03C70">
      <w:pPr>
        <w:jc w:val="left"/>
        <w:rPr>
          <w:color w:val="2F5496" w:themeColor="accent1" w:themeShade="BF"/>
          <w:lang w:val="sr-Cyrl-CS"/>
        </w:rPr>
      </w:pPr>
      <w:r w:rsidRPr="00646254">
        <w:rPr>
          <w:rFonts w:cstheme="minorHAnsi"/>
          <w:b/>
          <w:color w:val="2F5496" w:themeColor="accent1" w:themeShade="BF"/>
          <w:sz w:val="22"/>
          <w:lang w:val="sr-Cyrl-CS"/>
        </w:rPr>
        <w:t>Пројекције кретања реалног сектора у периоду 2022–2024. година</w:t>
      </w:r>
    </w:p>
    <w:p w14:paraId="23513626" w14:textId="6B5CA54C" w:rsidR="00426178" w:rsidRPr="00646254" w:rsidRDefault="00426178" w:rsidP="00426178">
      <w:pPr>
        <w:spacing w:after="360"/>
        <w:rPr>
          <w:lang w:val="sr-Cyrl-CS"/>
        </w:rPr>
      </w:pPr>
      <w:r w:rsidRPr="00646254">
        <w:rPr>
          <w:rFonts w:cstheme="minorHAnsi"/>
          <w:bCs/>
          <w:szCs w:val="72"/>
          <w:lang w:val="sr-Cyrl-CS"/>
        </w:rPr>
        <w:t>Средњорочна пројекција кретања реалног сектора заснована је на реалистичном приступу како би фискална политика била адекватно постављена и како се не би угрозила досадашња постигнућа. Кретања основних макроекономских агрегата и индикатора за Републику Ср</w:t>
      </w:r>
      <w:r w:rsidR="00FC0170">
        <w:rPr>
          <w:rFonts w:cstheme="minorHAnsi"/>
          <w:bCs/>
          <w:szCs w:val="72"/>
          <w:lang w:val="sr-Cyrl-CS"/>
        </w:rPr>
        <w:t>бију у периоду 2022–2024. године</w:t>
      </w:r>
      <w:r w:rsidRPr="00646254">
        <w:rPr>
          <w:rFonts w:cstheme="minorHAnsi"/>
          <w:bCs/>
          <w:szCs w:val="72"/>
          <w:lang w:val="sr-Cyrl-CS"/>
        </w:rPr>
        <w:t xml:space="preserve"> пројектована су на основу актуелних економских трендова и изгледа за Републику Србију и међународно окружење, као и на основу процене ефеката планираних мера економске политике. Влада ће и у овом периоду водити одговорну и предвидиву фискалну политику, синхронизовану са монетарним властима и фокусирану на санирање свих последица епидемије коронавируса, али и на лоцирању нових извора раста. Наставак прилива СДИ обезбедиће трансфер знања и технологије, подићи </w:t>
      </w:r>
      <w:r w:rsidR="00925BBB" w:rsidRPr="00646254">
        <w:rPr>
          <w:rFonts w:cstheme="minorHAnsi"/>
          <w:bCs/>
          <w:szCs w:val="72"/>
          <w:lang w:val="sr-Cyrl-CS"/>
        </w:rPr>
        <w:t xml:space="preserve">ће </w:t>
      </w:r>
      <w:r w:rsidRPr="00646254">
        <w:rPr>
          <w:rFonts w:cstheme="minorHAnsi"/>
          <w:bCs/>
          <w:szCs w:val="72"/>
          <w:lang w:val="sr-Cyrl-CS"/>
        </w:rPr>
        <w:t>конкурентност и обезбедити нове продајне канале домаћим произвођачима. Механизам подстицаја има за циљ њихову секторску и регионалну дисперзију</w:t>
      </w:r>
      <w:r w:rsidR="00925BBB" w:rsidRPr="00646254">
        <w:rPr>
          <w:rFonts w:cstheme="minorHAnsi"/>
          <w:bCs/>
          <w:szCs w:val="72"/>
          <w:lang w:val="sr-Cyrl-CS"/>
        </w:rPr>
        <w:t>,</w:t>
      </w:r>
      <w:r w:rsidRPr="00646254">
        <w:rPr>
          <w:rFonts w:cstheme="minorHAnsi"/>
          <w:bCs/>
          <w:szCs w:val="72"/>
          <w:lang w:val="sr-Cyrl-CS"/>
        </w:rPr>
        <w:t xml:space="preserve"> како би биле обезбеђене претпоставке равномерног развоја и пуне искоришћености конкурентских предности. Остваривање ове пројекције</w:t>
      </w:r>
      <w:r w:rsidR="00925BBB" w:rsidRPr="00646254">
        <w:rPr>
          <w:rFonts w:cstheme="minorHAnsi"/>
          <w:bCs/>
          <w:szCs w:val="72"/>
          <w:lang w:val="sr-Cyrl-CS"/>
        </w:rPr>
        <w:t xml:space="preserve"> у условима високе неизвесности</w:t>
      </w:r>
      <w:r w:rsidRPr="00646254">
        <w:rPr>
          <w:rFonts w:cstheme="minorHAnsi"/>
          <w:bCs/>
          <w:szCs w:val="72"/>
          <w:lang w:val="sr-Cyrl-CS"/>
        </w:rPr>
        <w:t xml:space="preserve"> подложно је ризицима, који су пре свега егзогеног порекла. Матрица ризика пројекциј</w:t>
      </w:r>
      <w:r w:rsidR="00586F2C">
        <w:rPr>
          <w:rFonts w:cstheme="minorHAnsi"/>
          <w:bCs/>
          <w:szCs w:val="72"/>
          <w:lang w:val="sr-Cyrl-CS"/>
        </w:rPr>
        <w:t>е постоји и детаљно је описана</w:t>
      </w:r>
      <w:r w:rsidRPr="00646254">
        <w:rPr>
          <w:rFonts w:cstheme="minorHAnsi"/>
          <w:bCs/>
          <w:szCs w:val="72"/>
          <w:lang w:val="sr-Cyrl-CS"/>
        </w:rPr>
        <w:t xml:space="preserve"> у овом документу.</w:t>
      </w:r>
    </w:p>
    <w:p w14:paraId="7D9705F9" w14:textId="77777777" w:rsidR="00426178" w:rsidRPr="00646254" w:rsidRDefault="00426178" w:rsidP="00B435B3">
      <w:pPr>
        <w:spacing w:after="0"/>
        <w:rPr>
          <w:lang w:val="sr-Cyrl-CS"/>
        </w:rPr>
        <w:sectPr w:rsidR="00426178" w:rsidRPr="00646254" w:rsidSect="00426178">
          <w:type w:val="continuous"/>
          <w:pgSz w:w="12240" w:h="15840" w:code="1"/>
          <w:pgMar w:top="1418" w:right="1418" w:bottom="1418" w:left="1418" w:header="720" w:footer="720" w:gutter="0"/>
          <w:cols w:num="2" w:space="720"/>
          <w:docGrid w:linePitch="272"/>
        </w:sectPr>
      </w:pPr>
    </w:p>
    <w:tbl>
      <w:tblPr>
        <w:tblStyle w:val="TableGrid"/>
        <w:tblW w:w="4952" w:type="pct"/>
        <w:tblInd w:w="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04"/>
        <w:gridCol w:w="925"/>
        <w:gridCol w:w="925"/>
        <w:gridCol w:w="971"/>
        <w:gridCol w:w="931"/>
        <w:gridCol w:w="914"/>
      </w:tblGrid>
      <w:tr w:rsidR="00426178" w:rsidRPr="00646254" w14:paraId="4B712C9E" w14:textId="77777777" w:rsidTr="00B435B3">
        <w:trPr>
          <w:trHeight w:val="414"/>
        </w:trPr>
        <w:tc>
          <w:tcPr>
            <w:tcW w:w="5000" w:type="pct"/>
            <w:gridSpan w:val="6"/>
            <w:tcBorders>
              <w:bottom w:val="single" w:sz="4" w:space="0" w:color="002060"/>
            </w:tcBorders>
          </w:tcPr>
          <w:p w14:paraId="25CD2E2D" w14:textId="77777777" w:rsidR="00426178" w:rsidRPr="00646254" w:rsidRDefault="00426178" w:rsidP="001527EE">
            <w:pPr>
              <w:jc w:val="center"/>
              <w:rPr>
                <w:rFonts w:cstheme="minorHAnsi"/>
                <w:b/>
                <w:color w:val="002060"/>
                <w:sz w:val="16"/>
                <w:lang w:val="sr-Cyrl-CS"/>
              </w:rPr>
            </w:pPr>
            <w:r w:rsidRPr="00646254">
              <w:rPr>
                <w:rFonts w:cstheme="minorHAnsi"/>
                <w:b/>
                <w:color w:val="002060"/>
                <w:lang w:val="sr-Cyrl-CS"/>
              </w:rPr>
              <w:t>Табела 4. Пројекција основних макроекономских показатеља Републике Србије</w:t>
            </w:r>
          </w:p>
        </w:tc>
      </w:tr>
      <w:tr w:rsidR="00426178" w:rsidRPr="00646254" w14:paraId="0C57985D" w14:textId="77777777" w:rsidTr="00B435B3">
        <w:tc>
          <w:tcPr>
            <w:tcW w:w="2483" w:type="pct"/>
            <w:tcBorders>
              <w:top w:val="single" w:sz="4" w:space="0" w:color="002060"/>
              <w:left w:val="single" w:sz="2" w:space="0" w:color="FFFFFF" w:themeColor="background1"/>
              <w:bottom w:val="single" w:sz="2" w:space="0" w:color="FFFFFF" w:themeColor="background1"/>
              <w:right w:val="single" w:sz="2" w:space="0" w:color="FFFFFF" w:themeColor="background1"/>
            </w:tcBorders>
          </w:tcPr>
          <w:p w14:paraId="4FC9930C" w14:textId="77777777" w:rsidR="00426178" w:rsidRPr="00646254" w:rsidRDefault="00426178" w:rsidP="00C130D2">
            <w:pPr>
              <w:rPr>
                <w:rFonts w:cstheme="minorHAnsi"/>
                <w:color w:val="002060"/>
                <w:sz w:val="18"/>
                <w:lang w:val="sr-Cyrl-CS"/>
              </w:rPr>
            </w:pPr>
          </w:p>
        </w:tc>
        <w:tc>
          <w:tcPr>
            <w:tcW w:w="499" w:type="pct"/>
            <w:tcBorders>
              <w:top w:val="single" w:sz="4" w:space="0" w:color="002060"/>
              <w:left w:val="single" w:sz="2" w:space="0" w:color="FFFFFF" w:themeColor="background1"/>
              <w:bottom w:val="single" w:sz="4" w:space="0" w:color="FFFFFF" w:themeColor="background1"/>
              <w:right w:val="single" w:sz="2" w:space="0" w:color="FFFFFF" w:themeColor="background1"/>
            </w:tcBorders>
            <w:shd w:val="clear" w:color="auto" w:fill="auto"/>
          </w:tcPr>
          <w:p w14:paraId="031B118C" w14:textId="77777777" w:rsidR="00426178" w:rsidRPr="00646254" w:rsidRDefault="00426178" w:rsidP="00C130D2">
            <w:pPr>
              <w:jc w:val="center"/>
              <w:rPr>
                <w:rFonts w:cstheme="minorHAnsi"/>
                <w:color w:val="002060"/>
                <w:sz w:val="18"/>
                <w:lang w:val="sr-Cyrl-CS"/>
              </w:rPr>
            </w:pPr>
            <w:r w:rsidRPr="00646254">
              <w:rPr>
                <w:rFonts w:cstheme="minorHAnsi"/>
                <w:color w:val="002060"/>
                <w:sz w:val="18"/>
                <w:lang w:val="sr-Cyrl-CS"/>
              </w:rPr>
              <w:t>Процена</w:t>
            </w:r>
          </w:p>
        </w:tc>
        <w:tc>
          <w:tcPr>
            <w:tcW w:w="499" w:type="pct"/>
            <w:tcBorders>
              <w:top w:val="single" w:sz="4" w:space="0" w:color="002060"/>
              <w:left w:val="single" w:sz="2" w:space="0" w:color="FFFFFF" w:themeColor="background1"/>
              <w:bottom w:val="single" w:sz="2" w:space="0" w:color="FFFFFF" w:themeColor="background1"/>
              <w:right w:val="single" w:sz="2" w:space="0" w:color="FFFFFF" w:themeColor="background1"/>
            </w:tcBorders>
            <w:shd w:val="clear" w:color="auto" w:fill="auto"/>
          </w:tcPr>
          <w:p w14:paraId="407CE7B3" w14:textId="77777777" w:rsidR="00426178" w:rsidRPr="00646254" w:rsidRDefault="00426178" w:rsidP="00C130D2">
            <w:pPr>
              <w:jc w:val="center"/>
              <w:rPr>
                <w:rFonts w:cstheme="minorHAnsi"/>
                <w:color w:val="002060"/>
                <w:sz w:val="18"/>
                <w:lang w:val="sr-Cyrl-CS"/>
              </w:rPr>
            </w:pPr>
          </w:p>
        </w:tc>
        <w:tc>
          <w:tcPr>
            <w:tcW w:w="1519" w:type="pct"/>
            <w:gridSpan w:val="3"/>
            <w:tcBorders>
              <w:top w:val="single" w:sz="4" w:space="0" w:color="002060"/>
              <w:left w:val="single" w:sz="2" w:space="0" w:color="FFFFFF" w:themeColor="background1"/>
              <w:bottom w:val="single" w:sz="4" w:space="0" w:color="FFFFFF" w:themeColor="background1"/>
              <w:right w:val="single" w:sz="2" w:space="0" w:color="FFFFFF" w:themeColor="background1"/>
            </w:tcBorders>
            <w:shd w:val="clear" w:color="auto" w:fill="auto"/>
          </w:tcPr>
          <w:p w14:paraId="12D18E95" w14:textId="77777777" w:rsidR="00426178" w:rsidRPr="00646254" w:rsidRDefault="00426178" w:rsidP="00C130D2">
            <w:pPr>
              <w:jc w:val="center"/>
              <w:rPr>
                <w:rFonts w:cstheme="minorHAnsi"/>
                <w:color w:val="002060"/>
                <w:sz w:val="18"/>
                <w:lang w:val="sr-Cyrl-CS"/>
              </w:rPr>
            </w:pPr>
            <w:r w:rsidRPr="00646254">
              <w:rPr>
                <w:rFonts w:cstheme="minorHAnsi"/>
                <w:color w:val="002060"/>
                <w:sz w:val="18"/>
                <w:lang w:val="sr-Cyrl-CS"/>
              </w:rPr>
              <w:t>Пројекције</w:t>
            </w:r>
          </w:p>
        </w:tc>
      </w:tr>
      <w:tr w:rsidR="00426178" w:rsidRPr="00646254" w14:paraId="00F9A782" w14:textId="77777777" w:rsidTr="00B435B3">
        <w:tc>
          <w:tcPr>
            <w:tcW w:w="2483" w:type="pct"/>
            <w:tcBorders>
              <w:top w:val="single" w:sz="2" w:space="0" w:color="FFFFFF" w:themeColor="background1"/>
            </w:tcBorders>
          </w:tcPr>
          <w:p w14:paraId="177CDE09" w14:textId="77777777" w:rsidR="00426178" w:rsidRPr="00646254" w:rsidRDefault="00426178" w:rsidP="00C130D2">
            <w:pPr>
              <w:ind w:left="-15"/>
              <w:rPr>
                <w:rFonts w:cstheme="minorHAnsi"/>
                <w:color w:val="002060"/>
                <w:sz w:val="18"/>
                <w:szCs w:val="18"/>
                <w:lang w:val="sr-Cyrl-CS"/>
              </w:rPr>
            </w:pPr>
          </w:p>
        </w:tc>
        <w:tc>
          <w:tcPr>
            <w:tcW w:w="499" w:type="pct"/>
            <w:tcBorders>
              <w:top w:val="single" w:sz="4" w:space="0" w:color="FFFFFF" w:themeColor="background1"/>
              <w:bottom w:val="single" w:sz="4" w:space="0" w:color="auto"/>
            </w:tcBorders>
          </w:tcPr>
          <w:p w14:paraId="2C5EC63A" w14:textId="77777777" w:rsidR="00426178" w:rsidRPr="00646254" w:rsidRDefault="00426178" w:rsidP="00C130D2">
            <w:pPr>
              <w:jc w:val="center"/>
              <w:rPr>
                <w:rFonts w:cstheme="minorHAnsi"/>
                <w:color w:val="002060"/>
                <w:sz w:val="18"/>
                <w:szCs w:val="18"/>
                <w:lang w:val="sr-Cyrl-CS"/>
              </w:rPr>
            </w:pPr>
            <w:r w:rsidRPr="00646254">
              <w:rPr>
                <w:rFonts w:cstheme="minorHAnsi"/>
                <w:color w:val="002060"/>
                <w:sz w:val="18"/>
                <w:lang w:val="sr-Cyrl-CS"/>
              </w:rPr>
              <w:t>2021</w:t>
            </w:r>
          </w:p>
        </w:tc>
        <w:tc>
          <w:tcPr>
            <w:tcW w:w="499" w:type="pct"/>
            <w:tcBorders>
              <w:top w:val="single" w:sz="2" w:space="0" w:color="FFFFFF" w:themeColor="background1"/>
            </w:tcBorders>
          </w:tcPr>
          <w:p w14:paraId="4AE7796F" w14:textId="77777777" w:rsidR="00426178" w:rsidRPr="00646254" w:rsidRDefault="00426178" w:rsidP="00C130D2">
            <w:pPr>
              <w:jc w:val="center"/>
              <w:rPr>
                <w:rFonts w:cstheme="minorHAnsi"/>
                <w:color w:val="002060"/>
                <w:sz w:val="18"/>
                <w:szCs w:val="18"/>
                <w:lang w:val="sr-Cyrl-CS"/>
              </w:rPr>
            </w:pPr>
          </w:p>
        </w:tc>
        <w:tc>
          <w:tcPr>
            <w:tcW w:w="524" w:type="pct"/>
            <w:tcBorders>
              <w:top w:val="single" w:sz="4" w:space="0" w:color="FFFFFF" w:themeColor="background1"/>
              <w:bottom w:val="single" w:sz="4" w:space="0" w:color="auto"/>
            </w:tcBorders>
          </w:tcPr>
          <w:p w14:paraId="2D2A736A" w14:textId="77777777" w:rsidR="00426178" w:rsidRPr="00646254" w:rsidRDefault="00426178" w:rsidP="00C130D2">
            <w:pPr>
              <w:jc w:val="center"/>
              <w:rPr>
                <w:rFonts w:cstheme="minorHAnsi"/>
                <w:color w:val="002060"/>
                <w:sz w:val="18"/>
                <w:szCs w:val="18"/>
                <w:lang w:val="sr-Cyrl-CS"/>
              </w:rPr>
            </w:pPr>
            <w:r w:rsidRPr="00646254">
              <w:rPr>
                <w:rFonts w:cstheme="minorHAnsi"/>
                <w:color w:val="002060"/>
                <w:sz w:val="18"/>
                <w:lang w:val="sr-Cyrl-CS"/>
              </w:rPr>
              <w:t>2022</w:t>
            </w:r>
          </w:p>
        </w:tc>
        <w:tc>
          <w:tcPr>
            <w:tcW w:w="502" w:type="pct"/>
            <w:tcBorders>
              <w:top w:val="single" w:sz="4" w:space="0" w:color="FFFFFF" w:themeColor="background1"/>
              <w:bottom w:val="single" w:sz="4" w:space="0" w:color="auto"/>
            </w:tcBorders>
          </w:tcPr>
          <w:p w14:paraId="509A660D" w14:textId="77777777" w:rsidR="00426178" w:rsidRPr="00646254" w:rsidRDefault="00426178" w:rsidP="00C130D2">
            <w:pPr>
              <w:jc w:val="center"/>
              <w:rPr>
                <w:rFonts w:cstheme="minorHAnsi"/>
                <w:color w:val="002060"/>
                <w:sz w:val="18"/>
                <w:szCs w:val="18"/>
                <w:lang w:val="sr-Cyrl-CS"/>
              </w:rPr>
            </w:pPr>
            <w:r w:rsidRPr="00646254">
              <w:rPr>
                <w:rFonts w:cstheme="minorHAnsi"/>
                <w:color w:val="002060"/>
                <w:sz w:val="18"/>
                <w:lang w:val="sr-Cyrl-CS"/>
              </w:rPr>
              <w:t>2023</w:t>
            </w:r>
          </w:p>
        </w:tc>
        <w:tc>
          <w:tcPr>
            <w:tcW w:w="493" w:type="pct"/>
            <w:tcBorders>
              <w:top w:val="single" w:sz="4" w:space="0" w:color="FFFFFF" w:themeColor="background1"/>
              <w:bottom w:val="single" w:sz="4" w:space="0" w:color="auto"/>
            </w:tcBorders>
          </w:tcPr>
          <w:p w14:paraId="4E49D192" w14:textId="77777777" w:rsidR="00426178" w:rsidRPr="00646254" w:rsidRDefault="00426178" w:rsidP="00C130D2">
            <w:pPr>
              <w:jc w:val="center"/>
              <w:rPr>
                <w:rFonts w:cstheme="minorHAnsi"/>
                <w:color w:val="002060"/>
                <w:sz w:val="18"/>
                <w:szCs w:val="18"/>
                <w:lang w:val="sr-Cyrl-CS"/>
              </w:rPr>
            </w:pPr>
            <w:r w:rsidRPr="00646254">
              <w:rPr>
                <w:rFonts w:cstheme="minorHAnsi"/>
                <w:color w:val="002060"/>
                <w:sz w:val="18"/>
                <w:lang w:val="sr-Cyrl-CS"/>
              </w:rPr>
              <w:t>2024</w:t>
            </w:r>
          </w:p>
        </w:tc>
      </w:tr>
      <w:tr w:rsidR="00426178" w:rsidRPr="00646254" w14:paraId="4D79EFFE" w14:textId="77777777" w:rsidTr="00426178">
        <w:tc>
          <w:tcPr>
            <w:tcW w:w="2483" w:type="pct"/>
            <w:tcBorders>
              <w:top w:val="single" w:sz="2" w:space="0" w:color="FFFFFF" w:themeColor="background1"/>
            </w:tcBorders>
          </w:tcPr>
          <w:p w14:paraId="049BD510" w14:textId="77777777" w:rsidR="00426178" w:rsidRPr="00646254" w:rsidRDefault="00426178" w:rsidP="00426178">
            <w:pPr>
              <w:ind w:left="-15"/>
              <w:rPr>
                <w:rFonts w:cstheme="minorHAnsi"/>
                <w:color w:val="002060"/>
                <w:sz w:val="18"/>
                <w:szCs w:val="18"/>
                <w:lang w:val="sr-Cyrl-CS"/>
              </w:rPr>
            </w:pPr>
            <w:r w:rsidRPr="00646254">
              <w:rPr>
                <w:rFonts w:cstheme="minorHAnsi"/>
                <w:color w:val="002060"/>
                <w:sz w:val="18"/>
                <w:szCs w:val="18"/>
                <w:lang w:val="sr-Cyrl-CS"/>
              </w:rPr>
              <w:t>БДП, млрд динара (текуће цене)</w:t>
            </w:r>
          </w:p>
        </w:tc>
        <w:tc>
          <w:tcPr>
            <w:tcW w:w="499" w:type="pct"/>
            <w:tcBorders>
              <w:top w:val="single" w:sz="4" w:space="0" w:color="auto"/>
            </w:tcBorders>
          </w:tcPr>
          <w:p w14:paraId="69496814" w14:textId="77777777" w:rsidR="00426178" w:rsidRPr="00646254" w:rsidRDefault="00426178" w:rsidP="00426178">
            <w:pPr>
              <w:jc w:val="center"/>
              <w:rPr>
                <w:rFonts w:cstheme="minorHAnsi"/>
                <w:color w:val="002060"/>
                <w:sz w:val="18"/>
                <w:szCs w:val="18"/>
                <w:lang w:val="sr-Cyrl-CS"/>
              </w:rPr>
            </w:pPr>
            <w:r w:rsidRPr="00646254">
              <w:rPr>
                <w:rFonts w:cstheme="minorHAnsi"/>
                <w:color w:val="002060"/>
                <w:sz w:val="18"/>
                <w:szCs w:val="18"/>
                <w:lang w:val="sr-Cyrl-CS"/>
              </w:rPr>
              <w:t>6.163,0</w:t>
            </w:r>
          </w:p>
        </w:tc>
        <w:tc>
          <w:tcPr>
            <w:tcW w:w="499" w:type="pct"/>
            <w:tcBorders>
              <w:top w:val="single" w:sz="2" w:space="0" w:color="FFFFFF" w:themeColor="background1"/>
            </w:tcBorders>
          </w:tcPr>
          <w:p w14:paraId="402AC57A" w14:textId="77777777" w:rsidR="00426178" w:rsidRPr="00646254" w:rsidRDefault="00426178" w:rsidP="00426178">
            <w:pPr>
              <w:jc w:val="center"/>
              <w:rPr>
                <w:rFonts w:cstheme="minorHAnsi"/>
                <w:color w:val="002060"/>
                <w:sz w:val="18"/>
                <w:szCs w:val="18"/>
                <w:lang w:val="sr-Cyrl-CS"/>
              </w:rPr>
            </w:pPr>
          </w:p>
        </w:tc>
        <w:tc>
          <w:tcPr>
            <w:tcW w:w="524" w:type="pct"/>
            <w:vAlign w:val="center"/>
          </w:tcPr>
          <w:p w14:paraId="43E6BDB9" w14:textId="77777777" w:rsidR="00426178" w:rsidRPr="00646254" w:rsidRDefault="00426178" w:rsidP="00426178">
            <w:pPr>
              <w:jc w:val="center"/>
              <w:rPr>
                <w:rFonts w:cstheme="minorHAnsi"/>
                <w:color w:val="002060"/>
                <w:sz w:val="18"/>
                <w:szCs w:val="18"/>
                <w:lang w:val="sr-Cyrl-CS"/>
              </w:rPr>
            </w:pPr>
            <w:r w:rsidRPr="00646254">
              <w:rPr>
                <w:rFonts w:cstheme="minorHAnsi"/>
                <w:color w:val="002060"/>
                <w:sz w:val="18"/>
                <w:szCs w:val="18"/>
                <w:lang w:val="sr-Cyrl-CS"/>
              </w:rPr>
              <w:t>6.638,7</w:t>
            </w:r>
          </w:p>
        </w:tc>
        <w:tc>
          <w:tcPr>
            <w:tcW w:w="502" w:type="pct"/>
            <w:vAlign w:val="center"/>
          </w:tcPr>
          <w:p w14:paraId="06094B56" w14:textId="77777777" w:rsidR="00426178" w:rsidRPr="00646254" w:rsidRDefault="00426178" w:rsidP="00426178">
            <w:pPr>
              <w:jc w:val="center"/>
              <w:rPr>
                <w:rFonts w:cstheme="minorHAnsi"/>
                <w:color w:val="002060"/>
                <w:sz w:val="18"/>
                <w:szCs w:val="18"/>
                <w:lang w:val="sr-Cyrl-CS"/>
              </w:rPr>
            </w:pPr>
            <w:r w:rsidRPr="00646254">
              <w:rPr>
                <w:rFonts w:cstheme="minorHAnsi"/>
                <w:color w:val="002060"/>
                <w:sz w:val="18"/>
                <w:szCs w:val="18"/>
                <w:lang w:val="sr-Cyrl-CS"/>
              </w:rPr>
              <w:t>7.175,9</w:t>
            </w:r>
          </w:p>
        </w:tc>
        <w:tc>
          <w:tcPr>
            <w:tcW w:w="493" w:type="pct"/>
            <w:vAlign w:val="center"/>
          </w:tcPr>
          <w:p w14:paraId="2D9BCFA6" w14:textId="77777777" w:rsidR="00426178" w:rsidRPr="00646254" w:rsidRDefault="00426178" w:rsidP="00426178">
            <w:pPr>
              <w:jc w:val="center"/>
              <w:rPr>
                <w:rFonts w:cstheme="minorHAnsi"/>
                <w:color w:val="002060"/>
                <w:sz w:val="18"/>
                <w:szCs w:val="18"/>
                <w:lang w:val="sr-Cyrl-CS"/>
              </w:rPr>
            </w:pPr>
            <w:r w:rsidRPr="00646254">
              <w:rPr>
                <w:rFonts w:cstheme="minorHAnsi"/>
                <w:color w:val="002060"/>
                <w:sz w:val="18"/>
                <w:szCs w:val="18"/>
                <w:lang w:val="sr-Cyrl-CS"/>
              </w:rPr>
              <w:t>7.747,6</w:t>
            </w:r>
          </w:p>
        </w:tc>
      </w:tr>
      <w:tr w:rsidR="00426178" w:rsidRPr="00646254" w14:paraId="78F2B797" w14:textId="77777777" w:rsidTr="00426178">
        <w:tc>
          <w:tcPr>
            <w:tcW w:w="2483" w:type="pct"/>
          </w:tcPr>
          <w:p w14:paraId="59F8B133" w14:textId="77777777" w:rsidR="00426178" w:rsidRPr="00646254" w:rsidRDefault="00426178" w:rsidP="00426178">
            <w:pPr>
              <w:ind w:left="-15"/>
              <w:rPr>
                <w:rFonts w:cstheme="minorHAnsi"/>
                <w:color w:val="002060"/>
                <w:sz w:val="18"/>
                <w:szCs w:val="18"/>
                <w:lang w:val="sr-Cyrl-CS"/>
              </w:rPr>
            </w:pPr>
            <w:r w:rsidRPr="00646254">
              <w:rPr>
                <w:rFonts w:cstheme="minorHAnsi"/>
                <w:color w:val="002060"/>
                <w:sz w:val="18"/>
                <w:szCs w:val="18"/>
                <w:lang w:val="sr-Cyrl-CS"/>
              </w:rPr>
              <w:t>Реални раст БДП, %</w:t>
            </w:r>
          </w:p>
        </w:tc>
        <w:tc>
          <w:tcPr>
            <w:tcW w:w="499" w:type="pct"/>
          </w:tcPr>
          <w:p w14:paraId="34B2C7C5" w14:textId="77777777" w:rsidR="00426178" w:rsidRPr="00646254" w:rsidRDefault="00426178" w:rsidP="00426178">
            <w:pPr>
              <w:jc w:val="center"/>
              <w:rPr>
                <w:rFonts w:cstheme="minorHAnsi"/>
                <w:color w:val="002060"/>
                <w:sz w:val="18"/>
                <w:szCs w:val="18"/>
                <w:lang w:val="sr-Cyrl-CS"/>
              </w:rPr>
            </w:pPr>
            <w:r w:rsidRPr="00646254">
              <w:rPr>
                <w:rFonts w:cstheme="minorHAnsi"/>
                <w:color w:val="002060"/>
                <w:sz w:val="18"/>
                <w:szCs w:val="18"/>
                <w:lang w:val="sr-Cyrl-CS"/>
              </w:rPr>
              <w:t>7,0</w:t>
            </w:r>
          </w:p>
        </w:tc>
        <w:tc>
          <w:tcPr>
            <w:tcW w:w="499" w:type="pct"/>
          </w:tcPr>
          <w:p w14:paraId="49A6AD07" w14:textId="77777777" w:rsidR="00426178" w:rsidRPr="00646254" w:rsidRDefault="00426178" w:rsidP="00426178">
            <w:pPr>
              <w:jc w:val="center"/>
              <w:rPr>
                <w:rFonts w:cstheme="minorHAnsi"/>
                <w:color w:val="002060"/>
                <w:sz w:val="18"/>
                <w:szCs w:val="18"/>
                <w:lang w:val="sr-Cyrl-CS"/>
              </w:rPr>
            </w:pPr>
          </w:p>
        </w:tc>
        <w:tc>
          <w:tcPr>
            <w:tcW w:w="524" w:type="pct"/>
            <w:vAlign w:val="center"/>
          </w:tcPr>
          <w:p w14:paraId="1A48C4EE" w14:textId="77777777" w:rsidR="00426178" w:rsidRPr="00646254" w:rsidRDefault="00426178" w:rsidP="00426178">
            <w:pPr>
              <w:jc w:val="center"/>
              <w:rPr>
                <w:rFonts w:cstheme="minorHAnsi"/>
                <w:color w:val="002060"/>
                <w:sz w:val="18"/>
                <w:szCs w:val="18"/>
                <w:lang w:val="sr-Cyrl-CS"/>
              </w:rPr>
            </w:pPr>
            <w:r w:rsidRPr="00646254">
              <w:rPr>
                <w:rFonts w:cstheme="minorHAnsi"/>
                <w:color w:val="002060"/>
                <w:sz w:val="18"/>
                <w:szCs w:val="18"/>
                <w:lang w:val="sr-Cyrl-CS"/>
              </w:rPr>
              <w:t>4,5</w:t>
            </w:r>
          </w:p>
        </w:tc>
        <w:tc>
          <w:tcPr>
            <w:tcW w:w="502" w:type="pct"/>
            <w:vAlign w:val="center"/>
          </w:tcPr>
          <w:p w14:paraId="74B79AB3" w14:textId="77777777" w:rsidR="00426178" w:rsidRPr="00646254" w:rsidRDefault="00426178" w:rsidP="00426178">
            <w:pPr>
              <w:jc w:val="center"/>
              <w:rPr>
                <w:rFonts w:cstheme="minorHAnsi"/>
                <w:color w:val="002060"/>
                <w:sz w:val="18"/>
                <w:szCs w:val="18"/>
                <w:lang w:val="sr-Cyrl-CS"/>
              </w:rPr>
            </w:pPr>
            <w:r w:rsidRPr="00646254">
              <w:rPr>
                <w:rFonts w:cstheme="minorHAnsi"/>
                <w:color w:val="002060"/>
                <w:sz w:val="18"/>
                <w:szCs w:val="18"/>
                <w:lang w:val="sr-Cyrl-CS"/>
              </w:rPr>
              <w:t>5,0</w:t>
            </w:r>
          </w:p>
        </w:tc>
        <w:tc>
          <w:tcPr>
            <w:tcW w:w="493" w:type="pct"/>
            <w:vAlign w:val="center"/>
          </w:tcPr>
          <w:p w14:paraId="42B6C6BA" w14:textId="77777777" w:rsidR="00426178" w:rsidRPr="00646254" w:rsidRDefault="00426178" w:rsidP="00426178">
            <w:pPr>
              <w:jc w:val="center"/>
              <w:rPr>
                <w:rFonts w:cstheme="minorHAnsi"/>
                <w:color w:val="002060"/>
                <w:sz w:val="18"/>
                <w:szCs w:val="18"/>
                <w:lang w:val="sr-Cyrl-CS"/>
              </w:rPr>
            </w:pPr>
            <w:r w:rsidRPr="00646254">
              <w:rPr>
                <w:rFonts w:cstheme="minorHAnsi"/>
                <w:color w:val="002060"/>
                <w:sz w:val="18"/>
                <w:szCs w:val="18"/>
                <w:lang w:val="sr-Cyrl-CS"/>
              </w:rPr>
              <w:t>5,0</w:t>
            </w:r>
          </w:p>
        </w:tc>
      </w:tr>
      <w:tr w:rsidR="00426178" w:rsidRPr="00646254" w14:paraId="07E9A765" w14:textId="77777777" w:rsidTr="00426178">
        <w:tc>
          <w:tcPr>
            <w:tcW w:w="2483" w:type="pct"/>
          </w:tcPr>
          <w:p w14:paraId="127A1CE3" w14:textId="77777777" w:rsidR="00426178" w:rsidRPr="00646254" w:rsidRDefault="00426178" w:rsidP="00426178">
            <w:pPr>
              <w:ind w:left="-15"/>
              <w:rPr>
                <w:rFonts w:cstheme="minorHAnsi"/>
                <w:color w:val="002060"/>
                <w:sz w:val="18"/>
                <w:szCs w:val="18"/>
                <w:lang w:val="sr-Cyrl-CS"/>
              </w:rPr>
            </w:pPr>
            <w:r w:rsidRPr="00646254">
              <w:rPr>
                <w:rFonts w:cstheme="minorHAnsi"/>
                <w:color w:val="002060"/>
                <w:sz w:val="18"/>
                <w:szCs w:val="18"/>
                <w:lang w:val="sr-Cyrl-CS"/>
              </w:rPr>
              <w:t>Дефлатор БДП, %</w:t>
            </w:r>
          </w:p>
        </w:tc>
        <w:tc>
          <w:tcPr>
            <w:tcW w:w="499" w:type="pct"/>
          </w:tcPr>
          <w:p w14:paraId="71B2DBD8" w14:textId="77777777" w:rsidR="00426178" w:rsidRPr="00646254" w:rsidRDefault="00426178" w:rsidP="00426178">
            <w:pPr>
              <w:jc w:val="center"/>
              <w:rPr>
                <w:rFonts w:cstheme="minorHAnsi"/>
                <w:color w:val="002060"/>
                <w:sz w:val="18"/>
                <w:szCs w:val="18"/>
                <w:lang w:val="sr-Cyrl-CS"/>
              </w:rPr>
            </w:pPr>
            <w:r w:rsidRPr="00646254">
              <w:rPr>
                <w:rFonts w:cstheme="minorHAnsi"/>
                <w:color w:val="002060"/>
                <w:sz w:val="18"/>
                <w:szCs w:val="18"/>
                <w:lang w:val="sr-Cyrl-CS"/>
              </w:rPr>
              <w:t>4,7</w:t>
            </w:r>
          </w:p>
        </w:tc>
        <w:tc>
          <w:tcPr>
            <w:tcW w:w="499" w:type="pct"/>
          </w:tcPr>
          <w:p w14:paraId="75A8F430" w14:textId="77777777" w:rsidR="00426178" w:rsidRPr="00646254" w:rsidRDefault="00426178" w:rsidP="00426178">
            <w:pPr>
              <w:jc w:val="center"/>
              <w:rPr>
                <w:rFonts w:cstheme="minorHAnsi"/>
                <w:color w:val="002060"/>
                <w:sz w:val="18"/>
                <w:szCs w:val="18"/>
                <w:lang w:val="sr-Cyrl-CS"/>
              </w:rPr>
            </w:pPr>
          </w:p>
        </w:tc>
        <w:tc>
          <w:tcPr>
            <w:tcW w:w="524" w:type="pct"/>
            <w:tcBorders>
              <w:top w:val="nil"/>
              <w:left w:val="nil"/>
              <w:bottom w:val="nil"/>
              <w:right w:val="nil"/>
            </w:tcBorders>
            <w:shd w:val="clear" w:color="auto" w:fill="auto"/>
            <w:vAlign w:val="bottom"/>
          </w:tcPr>
          <w:p w14:paraId="6DACC60D" w14:textId="77777777" w:rsidR="00426178" w:rsidRPr="00646254" w:rsidRDefault="00426178" w:rsidP="00426178">
            <w:pPr>
              <w:jc w:val="center"/>
              <w:rPr>
                <w:rFonts w:cstheme="minorHAnsi"/>
                <w:color w:val="002060"/>
                <w:sz w:val="18"/>
                <w:szCs w:val="18"/>
                <w:lang w:val="sr-Cyrl-CS"/>
              </w:rPr>
            </w:pPr>
            <w:r w:rsidRPr="00646254">
              <w:rPr>
                <w:rFonts w:cstheme="minorHAnsi"/>
                <w:color w:val="002060"/>
                <w:sz w:val="18"/>
                <w:szCs w:val="18"/>
                <w:lang w:val="sr-Cyrl-CS"/>
              </w:rPr>
              <w:t>3,0</w:t>
            </w:r>
          </w:p>
        </w:tc>
        <w:tc>
          <w:tcPr>
            <w:tcW w:w="502" w:type="pct"/>
            <w:tcBorders>
              <w:top w:val="nil"/>
              <w:left w:val="nil"/>
              <w:bottom w:val="nil"/>
              <w:right w:val="nil"/>
            </w:tcBorders>
            <w:shd w:val="clear" w:color="auto" w:fill="auto"/>
            <w:vAlign w:val="bottom"/>
          </w:tcPr>
          <w:p w14:paraId="1836E13A" w14:textId="77777777" w:rsidR="00426178" w:rsidRPr="00646254" w:rsidRDefault="00426178" w:rsidP="00426178">
            <w:pPr>
              <w:jc w:val="center"/>
              <w:rPr>
                <w:rFonts w:cstheme="minorHAnsi"/>
                <w:color w:val="002060"/>
                <w:sz w:val="18"/>
                <w:szCs w:val="18"/>
                <w:lang w:val="sr-Cyrl-CS"/>
              </w:rPr>
            </w:pPr>
            <w:r w:rsidRPr="00646254">
              <w:rPr>
                <w:rFonts w:cstheme="minorHAnsi"/>
                <w:color w:val="002060"/>
                <w:sz w:val="18"/>
                <w:szCs w:val="18"/>
                <w:lang w:val="sr-Cyrl-CS"/>
              </w:rPr>
              <w:t>2,9</w:t>
            </w:r>
          </w:p>
        </w:tc>
        <w:tc>
          <w:tcPr>
            <w:tcW w:w="493" w:type="pct"/>
            <w:tcBorders>
              <w:top w:val="nil"/>
              <w:left w:val="nil"/>
              <w:bottom w:val="nil"/>
              <w:right w:val="nil"/>
            </w:tcBorders>
            <w:shd w:val="clear" w:color="auto" w:fill="auto"/>
            <w:vAlign w:val="bottom"/>
          </w:tcPr>
          <w:p w14:paraId="0C6B3555" w14:textId="77777777" w:rsidR="00426178" w:rsidRPr="00646254" w:rsidRDefault="00426178" w:rsidP="00426178">
            <w:pPr>
              <w:jc w:val="center"/>
              <w:rPr>
                <w:rFonts w:cstheme="minorHAnsi"/>
                <w:color w:val="002060"/>
                <w:sz w:val="18"/>
                <w:szCs w:val="18"/>
                <w:lang w:val="sr-Cyrl-CS"/>
              </w:rPr>
            </w:pPr>
            <w:r w:rsidRPr="00646254">
              <w:rPr>
                <w:rFonts w:cstheme="minorHAnsi"/>
                <w:color w:val="002060"/>
                <w:sz w:val="18"/>
                <w:szCs w:val="18"/>
                <w:lang w:val="sr-Cyrl-CS"/>
              </w:rPr>
              <w:t>2,8</w:t>
            </w:r>
          </w:p>
        </w:tc>
      </w:tr>
      <w:tr w:rsidR="00426178" w:rsidRPr="00646254" w14:paraId="6390F8DD" w14:textId="77777777" w:rsidTr="00B435B3">
        <w:tc>
          <w:tcPr>
            <w:tcW w:w="5000" w:type="pct"/>
            <w:gridSpan w:val="6"/>
            <w:shd w:val="clear" w:color="auto" w:fill="E7E6E6" w:themeFill="background2"/>
          </w:tcPr>
          <w:p w14:paraId="29C772EF" w14:textId="77777777" w:rsidR="00426178" w:rsidRPr="00646254" w:rsidRDefault="00426178" w:rsidP="00C130D2">
            <w:pPr>
              <w:rPr>
                <w:rFonts w:cstheme="minorHAnsi"/>
                <w:color w:val="002060"/>
                <w:sz w:val="18"/>
                <w:szCs w:val="18"/>
                <w:lang w:val="sr-Cyrl-CS"/>
              </w:rPr>
            </w:pPr>
          </w:p>
        </w:tc>
      </w:tr>
      <w:tr w:rsidR="00426178" w:rsidRPr="00646254" w14:paraId="117FBAE2" w14:textId="77777777" w:rsidTr="00426178">
        <w:tc>
          <w:tcPr>
            <w:tcW w:w="2483" w:type="pct"/>
          </w:tcPr>
          <w:p w14:paraId="4BA81F69" w14:textId="77777777" w:rsidR="00426178" w:rsidRPr="00646254" w:rsidRDefault="00426178" w:rsidP="00426178">
            <w:pPr>
              <w:ind w:left="256"/>
              <w:rPr>
                <w:rFonts w:cstheme="minorHAnsi"/>
                <w:color w:val="002060"/>
                <w:sz w:val="18"/>
                <w:szCs w:val="18"/>
                <w:lang w:val="sr-Cyrl-CS"/>
              </w:rPr>
            </w:pPr>
            <w:r w:rsidRPr="00646254">
              <w:rPr>
                <w:rFonts w:cstheme="minorHAnsi"/>
                <w:color w:val="002060"/>
                <w:sz w:val="18"/>
                <w:szCs w:val="18"/>
                <w:lang w:val="sr-Cyrl-CS"/>
              </w:rPr>
              <w:t>Лична потрошња</w:t>
            </w:r>
          </w:p>
        </w:tc>
        <w:tc>
          <w:tcPr>
            <w:tcW w:w="499" w:type="pct"/>
          </w:tcPr>
          <w:p w14:paraId="0BC9D2EB" w14:textId="77777777" w:rsidR="00426178" w:rsidRPr="00646254" w:rsidRDefault="00426178" w:rsidP="00426178">
            <w:pPr>
              <w:jc w:val="center"/>
              <w:rPr>
                <w:rFonts w:cstheme="minorHAnsi"/>
                <w:color w:val="002060"/>
                <w:sz w:val="18"/>
                <w:szCs w:val="18"/>
                <w:lang w:val="sr-Cyrl-CS"/>
              </w:rPr>
            </w:pPr>
            <w:r w:rsidRPr="00646254">
              <w:rPr>
                <w:rFonts w:cstheme="minorHAnsi"/>
                <w:color w:val="002060"/>
                <w:sz w:val="18"/>
                <w:szCs w:val="18"/>
                <w:lang w:val="sr-Cyrl-CS"/>
              </w:rPr>
              <w:t>6,4</w:t>
            </w:r>
          </w:p>
        </w:tc>
        <w:tc>
          <w:tcPr>
            <w:tcW w:w="499" w:type="pct"/>
          </w:tcPr>
          <w:p w14:paraId="58AD37B1" w14:textId="77777777" w:rsidR="00426178" w:rsidRPr="00646254" w:rsidRDefault="00426178" w:rsidP="00426178">
            <w:pPr>
              <w:jc w:val="center"/>
              <w:rPr>
                <w:rFonts w:cstheme="minorHAnsi"/>
                <w:color w:val="002060"/>
                <w:sz w:val="18"/>
                <w:szCs w:val="18"/>
                <w:lang w:val="sr-Cyrl-CS"/>
              </w:rPr>
            </w:pPr>
          </w:p>
        </w:tc>
        <w:tc>
          <w:tcPr>
            <w:tcW w:w="524" w:type="pct"/>
            <w:tcBorders>
              <w:top w:val="nil"/>
              <w:left w:val="nil"/>
              <w:bottom w:val="nil"/>
              <w:right w:val="nil"/>
            </w:tcBorders>
            <w:shd w:val="clear" w:color="auto" w:fill="auto"/>
            <w:vAlign w:val="bottom"/>
          </w:tcPr>
          <w:p w14:paraId="083E7598" w14:textId="77777777" w:rsidR="00426178" w:rsidRPr="00646254" w:rsidRDefault="00426178" w:rsidP="00426178">
            <w:pPr>
              <w:jc w:val="center"/>
              <w:rPr>
                <w:rFonts w:cstheme="minorHAnsi"/>
                <w:color w:val="002060"/>
                <w:sz w:val="18"/>
                <w:szCs w:val="18"/>
                <w:lang w:val="sr-Cyrl-CS"/>
              </w:rPr>
            </w:pPr>
            <w:r w:rsidRPr="00646254">
              <w:rPr>
                <w:rFonts w:cstheme="minorHAnsi"/>
                <w:color w:val="002060"/>
                <w:sz w:val="18"/>
                <w:szCs w:val="18"/>
                <w:lang w:val="sr-Cyrl-CS"/>
              </w:rPr>
              <w:t>3,7</w:t>
            </w:r>
          </w:p>
        </w:tc>
        <w:tc>
          <w:tcPr>
            <w:tcW w:w="502" w:type="pct"/>
            <w:tcBorders>
              <w:top w:val="nil"/>
              <w:left w:val="nil"/>
              <w:bottom w:val="nil"/>
              <w:right w:val="nil"/>
            </w:tcBorders>
            <w:shd w:val="clear" w:color="auto" w:fill="auto"/>
            <w:vAlign w:val="bottom"/>
          </w:tcPr>
          <w:p w14:paraId="5F31F819" w14:textId="77777777" w:rsidR="00426178" w:rsidRPr="00646254" w:rsidRDefault="00426178" w:rsidP="00426178">
            <w:pPr>
              <w:jc w:val="center"/>
              <w:rPr>
                <w:rFonts w:cstheme="minorHAnsi"/>
                <w:color w:val="002060"/>
                <w:sz w:val="18"/>
                <w:szCs w:val="18"/>
                <w:lang w:val="sr-Cyrl-CS"/>
              </w:rPr>
            </w:pPr>
            <w:r w:rsidRPr="00646254">
              <w:rPr>
                <w:rFonts w:cstheme="minorHAnsi"/>
                <w:color w:val="002060"/>
                <w:sz w:val="18"/>
                <w:szCs w:val="18"/>
                <w:lang w:val="sr-Cyrl-CS"/>
              </w:rPr>
              <w:t>3,6</w:t>
            </w:r>
          </w:p>
        </w:tc>
        <w:tc>
          <w:tcPr>
            <w:tcW w:w="493" w:type="pct"/>
            <w:tcBorders>
              <w:top w:val="nil"/>
              <w:left w:val="nil"/>
              <w:bottom w:val="nil"/>
              <w:right w:val="nil"/>
            </w:tcBorders>
            <w:shd w:val="clear" w:color="auto" w:fill="auto"/>
            <w:vAlign w:val="bottom"/>
          </w:tcPr>
          <w:p w14:paraId="1B07B38C" w14:textId="77777777" w:rsidR="00426178" w:rsidRPr="00646254" w:rsidRDefault="00426178" w:rsidP="00426178">
            <w:pPr>
              <w:jc w:val="center"/>
              <w:rPr>
                <w:rFonts w:cstheme="minorHAnsi"/>
                <w:color w:val="002060"/>
                <w:sz w:val="18"/>
                <w:szCs w:val="18"/>
                <w:lang w:val="sr-Cyrl-CS"/>
              </w:rPr>
            </w:pPr>
            <w:r w:rsidRPr="00646254">
              <w:rPr>
                <w:rFonts w:cstheme="minorHAnsi"/>
                <w:color w:val="002060"/>
                <w:sz w:val="18"/>
                <w:szCs w:val="18"/>
                <w:lang w:val="sr-Cyrl-CS"/>
              </w:rPr>
              <w:t>3,3</w:t>
            </w:r>
          </w:p>
        </w:tc>
      </w:tr>
      <w:tr w:rsidR="00426178" w:rsidRPr="00646254" w14:paraId="5C886B23" w14:textId="77777777" w:rsidTr="00426178">
        <w:tc>
          <w:tcPr>
            <w:tcW w:w="2483" w:type="pct"/>
          </w:tcPr>
          <w:p w14:paraId="6C312C57" w14:textId="77777777" w:rsidR="00426178" w:rsidRPr="00646254" w:rsidRDefault="00426178" w:rsidP="00426178">
            <w:pPr>
              <w:ind w:left="256"/>
              <w:rPr>
                <w:rFonts w:cstheme="minorHAnsi"/>
                <w:color w:val="002060"/>
                <w:sz w:val="18"/>
                <w:szCs w:val="18"/>
                <w:lang w:val="sr-Cyrl-CS"/>
              </w:rPr>
            </w:pPr>
            <w:r w:rsidRPr="00646254">
              <w:rPr>
                <w:rFonts w:cstheme="minorHAnsi"/>
                <w:color w:val="002060"/>
                <w:sz w:val="18"/>
                <w:szCs w:val="18"/>
                <w:lang w:val="sr-Cyrl-CS"/>
              </w:rPr>
              <w:t>Државна потрошња</w:t>
            </w:r>
          </w:p>
        </w:tc>
        <w:tc>
          <w:tcPr>
            <w:tcW w:w="499" w:type="pct"/>
          </w:tcPr>
          <w:p w14:paraId="357F074F" w14:textId="77777777" w:rsidR="00426178" w:rsidRPr="00646254" w:rsidRDefault="00426178" w:rsidP="00426178">
            <w:pPr>
              <w:jc w:val="center"/>
              <w:rPr>
                <w:rFonts w:cstheme="minorHAnsi"/>
                <w:color w:val="002060"/>
                <w:sz w:val="18"/>
                <w:szCs w:val="18"/>
                <w:lang w:val="sr-Cyrl-CS"/>
              </w:rPr>
            </w:pPr>
            <w:r w:rsidRPr="00646254">
              <w:rPr>
                <w:rFonts w:cstheme="minorHAnsi"/>
                <w:color w:val="002060"/>
                <w:sz w:val="18"/>
                <w:szCs w:val="18"/>
                <w:lang w:val="sr-Cyrl-CS"/>
              </w:rPr>
              <w:t>2,8</w:t>
            </w:r>
          </w:p>
        </w:tc>
        <w:tc>
          <w:tcPr>
            <w:tcW w:w="499" w:type="pct"/>
          </w:tcPr>
          <w:p w14:paraId="6548255C" w14:textId="77777777" w:rsidR="00426178" w:rsidRPr="00646254" w:rsidRDefault="00426178" w:rsidP="00426178">
            <w:pPr>
              <w:jc w:val="center"/>
              <w:rPr>
                <w:rFonts w:cstheme="minorHAnsi"/>
                <w:color w:val="002060"/>
                <w:sz w:val="18"/>
                <w:szCs w:val="18"/>
                <w:lang w:val="sr-Cyrl-CS"/>
              </w:rPr>
            </w:pPr>
          </w:p>
        </w:tc>
        <w:tc>
          <w:tcPr>
            <w:tcW w:w="524" w:type="pct"/>
            <w:tcBorders>
              <w:top w:val="nil"/>
              <w:left w:val="nil"/>
              <w:bottom w:val="nil"/>
              <w:right w:val="nil"/>
            </w:tcBorders>
            <w:shd w:val="clear" w:color="auto" w:fill="auto"/>
            <w:vAlign w:val="bottom"/>
          </w:tcPr>
          <w:p w14:paraId="1BCE1516" w14:textId="77777777" w:rsidR="00426178" w:rsidRPr="00646254" w:rsidRDefault="00426178" w:rsidP="00426178">
            <w:pPr>
              <w:jc w:val="center"/>
              <w:rPr>
                <w:rFonts w:cstheme="minorHAnsi"/>
                <w:color w:val="002060"/>
                <w:sz w:val="18"/>
                <w:szCs w:val="18"/>
                <w:lang w:val="sr-Cyrl-CS"/>
              </w:rPr>
            </w:pPr>
            <w:r w:rsidRPr="00646254">
              <w:rPr>
                <w:rFonts w:cstheme="minorHAnsi"/>
                <w:color w:val="002060"/>
                <w:sz w:val="18"/>
                <w:szCs w:val="18"/>
                <w:lang w:val="sr-Cyrl-CS"/>
              </w:rPr>
              <w:t>2,3</w:t>
            </w:r>
          </w:p>
        </w:tc>
        <w:tc>
          <w:tcPr>
            <w:tcW w:w="502" w:type="pct"/>
            <w:tcBorders>
              <w:top w:val="nil"/>
              <w:left w:val="nil"/>
              <w:bottom w:val="nil"/>
              <w:right w:val="nil"/>
            </w:tcBorders>
            <w:shd w:val="clear" w:color="auto" w:fill="auto"/>
            <w:vAlign w:val="bottom"/>
          </w:tcPr>
          <w:p w14:paraId="4C0BBE97" w14:textId="77777777" w:rsidR="00426178" w:rsidRPr="00646254" w:rsidRDefault="00426178" w:rsidP="00426178">
            <w:pPr>
              <w:jc w:val="center"/>
              <w:rPr>
                <w:rFonts w:cstheme="minorHAnsi"/>
                <w:color w:val="002060"/>
                <w:sz w:val="18"/>
                <w:szCs w:val="18"/>
                <w:lang w:val="sr-Cyrl-CS"/>
              </w:rPr>
            </w:pPr>
            <w:r w:rsidRPr="00646254">
              <w:rPr>
                <w:rFonts w:cstheme="minorHAnsi"/>
                <w:color w:val="002060"/>
                <w:sz w:val="18"/>
                <w:szCs w:val="18"/>
                <w:lang w:val="sr-Cyrl-CS"/>
              </w:rPr>
              <w:t>1,2</w:t>
            </w:r>
          </w:p>
        </w:tc>
        <w:tc>
          <w:tcPr>
            <w:tcW w:w="493" w:type="pct"/>
            <w:tcBorders>
              <w:top w:val="nil"/>
              <w:left w:val="nil"/>
              <w:bottom w:val="nil"/>
              <w:right w:val="nil"/>
            </w:tcBorders>
            <w:shd w:val="clear" w:color="auto" w:fill="auto"/>
            <w:vAlign w:val="bottom"/>
          </w:tcPr>
          <w:p w14:paraId="799B7946" w14:textId="77777777" w:rsidR="00426178" w:rsidRPr="00646254" w:rsidRDefault="00426178" w:rsidP="00426178">
            <w:pPr>
              <w:jc w:val="center"/>
              <w:rPr>
                <w:rFonts w:cstheme="minorHAnsi"/>
                <w:color w:val="002060"/>
                <w:sz w:val="18"/>
                <w:szCs w:val="18"/>
                <w:lang w:val="sr-Cyrl-CS"/>
              </w:rPr>
            </w:pPr>
            <w:r w:rsidRPr="00646254">
              <w:rPr>
                <w:rFonts w:cstheme="minorHAnsi"/>
                <w:color w:val="002060"/>
                <w:sz w:val="18"/>
                <w:szCs w:val="18"/>
                <w:lang w:val="sr-Cyrl-CS"/>
              </w:rPr>
              <w:t>1,2</w:t>
            </w:r>
          </w:p>
        </w:tc>
      </w:tr>
      <w:tr w:rsidR="00426178" w:rsidRPr="00646254" w14:paraId="6245490E" w14:textId="77777777" w:rsidTr="00426178">
        <w:tc>
          <w:tcPr>
            <w:tcW w:w="2483" w:type="pct"/>
          </w:tcPr>
          <w:p w14:paraId="78830F87" w14:textId="77777777" w:rsidR="00426178" w:rsidRPr="00646254" w:rsidRDefault="00426178" w:rsidP="00426178">
            <w:pPr>
              <w:ind w:left="256"/>
              <w:rPr>
                <w:rFonts w:cstheme="minorHAnsi"/>
                <w:color w:val="002060"/>
                <w:sz w:val="18"/>
                <w:szCs w:val="18"/>
                <w:lang w:val="sr-Cyrl-CS"/>
              </w:rPr>
            </w:pPr>
            <w:r w:rsidRPr="00646254">
              <w:rPr>
                <w:rFonts w:cstheme="minorHAnsi"/>
                <w:color w:val="002060"/>
                <w:sz w:val="18"/>
                <w:szCs w:val="18"/>
                <w:lang w:val="sr-Cyrl-CS"/>
              </w:rPr>
              <w:t>Бруто инвестиције у основна средства</w:t>
            </w:r>
          </w:p>
        </w:tc>
        <w:tc>
          <w:tcPr>
            <w:tcW w:w="499" w:type="pct"/>
          </w:tcPr>
          <w:p w14:paraId="56F7AADF" w14:textId="77777777" w:rsidR="00426178" w:rsidRPr="00646254" w:rsidRDefault="00426178" w:rsidP="00426178">
            <w:pPr>
              <w:jc w:val="center"/>
              <w:rPr>
                <w:rFonts w:cstheme="minorHAnsi"/>
                <w:color w:val="002060"/>
                <w:sz w:val="18"/>
                <w:szCs w:val="18"/>
                <w:lang w:val="sr-Cyrl-CS"/>
              </w:rPr>
            </w:pPr>
            <w:r w:rsidRPr="00646254">
              <w:rPr>
                <w:rFonts w:cstheme="minorHAnsi"/>
                <w:color w:val="002060"/>
                <w:sz w:val="18"/>
                <w:szCs w:val="18"/>
                <w:lang w:val="sr-Cyrl-CS"/>
              </w:rPr>
              <w:t>15,2</w:t>
            </w:r>
          </w:p>
        </w:tc>
        <w:tc>
          <w:tcPr>
            <w:tcW w:w="499" w:type="pct"/>
          </w:tcPr>
          <w:p w14:paraId="76631E86" w14:textId="77777777" w:rsidR="00426178" w:rsidRPr="00646254" w:rsidRDefault="00426178" w:rsidP="00426178">
            <w:pPr>
              <w:jc w:val="center"/>
              <w:rPr>
                <w:rFonts w:cstheme="minorHAnsi"/>
                <w:color w:val="002060"/>
                <w:sz w:val="18"/>
                <w:szCs w:val="18"/>
                <w:lang w:val="sr-Cyrl-CS"/>
              </w:rPr>
            </w:pPr>
          </w:p>
        </w:tc>
        <w:tc>
          <w:tcPr>
            <w:tcW w:w="524" w:type="pct"/>
            <w:tcBorders>
              <w:top w:val="nil"/>
              <w:left w:val="nil"/>
              <w:bottom w:val="nil"/>
              <w:right w:val="nil"/>
            </w:tcBorders>
            <w:shd w:val="clear" w:color="auto" w:fill="auto"/>
            <w:vAlign w:val="bottom"/>
          </w:tcPr>
          <w:p w14:paraId="53970200" w14:textId="77777777" w:rsidR="00426178" w:rsidRPr="00646254" w:rsidRDefault="00426178" w:rsidP="00426178">
            <w:pPr>
              <w:jc w:val="center"/>
              <w:rPr>
                <w:rFonts w:cstheme="minorHAnsi"/>
                <w:color w:val="002060"/>
                <w:sz w:val="18"/>
                <w:szCs w:val="18"/>
                <w:lang w:val="sr-Cyrl-CS"/>
              </w:rPr>
            </w:pPr>
            <w:r w:rsidRPr="00646254">
              <w:rPr>
                <w:rFonts w:cstheme="minorHAnsi"/>
                <w:color w:val="002060"/>
                <w:sz w:val="18"/>
                <w:szCs w:val="18"/>
                <w:lang w:val="sr-Cyrl-CS"/>
              </w:rPr>
              <w:t>6,4</w:t>
            </w:r>
          </w:p>
        </w:tc>
        <w:tc>
          <w:tcPr>
            <w:tcW w:w="502" w:type="pct"/>
            <w:tcBorders>
              <w:top w:val="nil"/>
              <w:left w:val="nil"/>
              <w:bottom w:val="nil"/>
              <w:right w:val="nil"/>
            </w:tcBorders>
            <w:shd w:val="clear" w:color="auto" w:fill="auto"/>
            <w:vAlign w:val="bottom"/>
          </w:tcPr>
          <w:p w14:paraId="633495A3" w14:textId="77777777" w:rsidR="00426178" w:rsidRPr="00646254" w:rsidRDefault="00426178" w:rsidP="00426178">
            <w:pPr>
              <w:jc w:val="center"/>
              <w:rPr>
                <w:rFonts w:cstheme="minorHAnsi"/>
                <w:color w:val="002060"/>
                <w:sz w:val="18"/>
                <w:szCs w:val="18"/>
                <w:lang w:val="sr-Cyrl-CS"/>
              </w:rPr>
            </w:pPr>
            <w:r w:rsidRPr="00646254">
              <w:rPr>
                <w:rFonts w:cstheme="minorHAnsi"/>
                <w:color w:val="002060"/>
                <w:sz w:val="18"/>
                <w:szCs w:val="18"/>
                <w:lang w:val="sr-Cyrl-CS"/>
              </w:rPr>
              <w:t>8,1</w:t>
            </w:r>
          </w:p>
        </w:tc>
        <w:tc>
          <w:tcPr>
            <w:tcW w:w="493" w:type="pct"/>
            <w:tcBorders>
              <w:top w:val="nil"/>
              <w:left w:val="nil"/>
              <w:bottom w:val="nil"/>
              <w:right w:val="nil"/>
            </w:tcBorders>
            <w:shd w:val="clear" w:color="auto" w:fill="auto"/>
            <w:vAlign w:val="bottom"/>
          </w:tcPr>
          <w:p w14:paraId="735D6DAC" w14:textId="77777777" w:rsidR="00426178" w:rsidRPr="00646254" w:rsidRDefault="00426178" w:rsidP="00426178">
            <w:pPr>
              <w:jc w:val="center"/>
              <w:rPr>
                <w:rFonts w:cstheme="minorHAnsi"/>
                <w:color w:val="002060"/>
                <w:sz w:val="18"/>
                <w:szCs w:val="18"/>
                <w:lang w:val="sr-Cyrl-CS"/>
              </w:rPr>
            </w:pPr>
            <w:r w:rsidRPr="00646254">
              <w:rPr>
                <w:rFonts w:cstheme="minorHAnsi"/>
                <w:color w:val="002060"/>
                <w:sz w:val="18"/>
                <w:szCs w:val="18"/>
                <w:lang w:val="sr-Cyrl-CS"/>
              </w:rPr>
              <w:t>8,9</w:t>
            </w:r>
          </w:p>
        </w:tc>
      </w:tr>
      <w:tr w:rsidR="00426178" w:rsidRPr="00646254" w14:paraId="4C0B686C" w14:textId="77777777" w:rsidTr="00426178">
        <w:tc>
          <w:tcPr>
            <w:tcW w:w="2483" w:type="pct"/>
          </w:tcPr>
          <w:p w14:paraId="17109BBE" w14:textId="77777777" w:rsidR="00426178" w:rsidRPr="00646254" w:rsidRDefault="00426178" w:rsidP="00426178">
            <w:pPr>
              <w:ind w:left="256"/>
              <w:rPr>
                <w:rFonts w:cstheme="minorHAnsi"/>
                <w:color w:val="002060"/>
                <w:sz w:val="18"/>
                <w:szCs w:val="18"/>
                <w:lang w:val="sr-Cyrl-CS"/>
              </w:rPr>
            </w:pPr>
            <w:r w:rsidRPr="00646254">
              <w:rPr>
                <w:rFonts w:cstheme="minorHAnsi"/>
                <w:color w:val="002060"/>
                <w:sz w:val="18"/>
                <w:szCs w:val="18"/>
                <w:lang w:val="sr-Cyrl-CS"/>
              </w:rPr>
              <w:t>Извоз робе и услуга</w:t>
            </w:r>
          </w:p>
        </w:tc>
        <w:tc>
          <w:tcPr>
            <w:tcW w:w="499" w:type="pct"/>
          </w:tcPr>
          <w:p w14:paraId="733392F3" w14:textId="77777777" w:rsidR="00426178" w:rsidRPr="00646254" w:rsidRDefault="00426178" w:rsidP="00426178">
            <w:pPr>
              <w:jc w:val="center"/>
              <w:rPr>
                <w:rFonts w:cstheme="minorHAnsi"/>
                <w:color w:val="002060"/>
                <w:sz w:val="18"/>
                <w:szCs w:val="18"/>
                <w:lang w:val="sr-Cyrl-CS"/>
              </w:rPr>
            </w:pPr>
            <w:r w:rsidRPr="00646254">
              <w:rPr>
                <w:rFonts w:cstheme="minorHAnsi"/>
                <w:color w:val="002060"/>
                <w:sz w:val="18"/>
                <w:szCs w:val="18"/>
                <w:lang w:val="sr-Cyrl-CS"/>
              </w:rPr>
              <w:t>15,9</w:t>
            </w:r>
          </w:p>
        </w:tc>
        <w:tc>
          <w:tcPr>
            <w:tcW w:w="499" w:type="pct"/>
          </w:tcPr>
          <w:p w14:paraId="1C9966B2" w14:textId="77777777" w:rsidR="00426178" w:rsidRPr="00646254" w:rsidRDefault="00426178" w:rsidP="00426178">
            <w:pPr>
              <w:jc w:val="center"/>
              <w:rPr>
                <w:rFonts w:cstheme="minorHAnsi"/>
                <w:color w:val="002060"/>
                <w:sz w:val="18"/>
                <w:szCs w:val="18"/>
                <w:lang w:val="sr-Cyrl-CS"/>
              </w:rPr>
            </w:pPr>
          </w:p>
        </w:tc>
        <w:tc>
          <w:tcPr>
            <w:tcW w:w="524" w:type="pct"/>
            <w:tcBorders>
              <w:top w:val="nil"/>
              <w:left w:val="nil"/>
              <w:bottom w:val="nil"/>
              <w:right w:val="nil"/>
            </w:tcBorders>
            <w:shd w:val="clear" w:color="auto" w:fill="auto"/>
            <w:vAlign w:val="bottom"/>
          </w:tcPr>
          <w:p w14:paraId="44057C3A" w14:textId="77777777" w:rsidR="00426178" w:rsidRPr="00646254" w:rsidRDefault="00426178" w:rsidP="00426178">
            <w:pPr>
              <w:jc w:val="center"/>
              <w:rPr>
                <w:rFonts w:cstheme="minorHAnsi"/>
                <w:color w:val="002060"/>
                <w:sz w:val="18"/>
                <w:szCs w:val="18"/>
                <w:lang w:val="sr-Cyrl-CS"/>
              </w:rPr>
            </w:pPr>
            <w:r w:rsidRPr="00646254">
              <w:rPr>
                <w:rFonts w:cstheme="minorHAnsi"/>
                <w:color w:val="002060"/>
                <w:sz w:val="18"/>
                <w:szCs w:val="18"/>
                <w:lang w:val="sr-Cyrl-CS"/>
              </w:rPr>
              <w:t>9,4</w:t>
            </w:r>
          </w:p>
        </w:tc>
        <w:tc>
          <w:tcPr>
            <w:tcW w:w="502" w:type="pct"/>
            <w:tcBorders>
              <w:top w:val="nil"/>
              <w:left w:val="nil"/>
              <w:bottom w:val="nil"/>
              <w:right w:val="nil"/>
            </w:tcBorders>
            <w:shd w:val="clear" w:color="auto" w:fill="auto"/>
            <w:vAlign w:val="bottom"/>
          </w:tcPr>
          <w:p w14:paraId="217B9470" w14:textId="77777777" w:rsidR="00426178" w:rsidRPr="00646254" w:rsidRDefault="00426178" w:rsidP="00426178">
            <w:pPr>
              <w:jc w:val="center"/>
              <w:rPr>
                <w:rFonts w:cstheme="minorHAnsi"/>
                <w:color w:val="002060"/>
                <w:sz w:val="18"/>
                <w:szCs w:val="18"/>
                <w:lang w:val="sr-Cyrl-CS"/>
              </w:rPr>
            </w:pPr>
            <w:r w:rsidRPr="00646254">
              <w:rPr>
                <w:rFonts w:cstheme="minorHAnsi"/>
                <w:color w:val="002060"/>
                <w:sz w:val="18"/>
                <w:szCs w:val="18"/>
                <w:lang w:val="sr-Cyrl-CS"/>
              </w:rPr>
              <w:t>9,9</w:t>
            </w:r>
          </w:p>
        </w:tc>
        <w:tc>
          <w:tcPr>
            <w:tcW w:w="493" w:type="pct"/>
            <w:tcBorders>
              <w:top w:val="nil"/>
              <w:left w:val="nil"/>
              <w:bottom w:val="nil"/>
              <w:right w:val="nil"/>
            </w:tcBorders>
            <w:shd w:val="clear" w:color="auto" w:fill="auto"/>
            <w:vAlign w:val="bottom"/>
          </w:tcPr>
          <w:p w14:paraId="1CFA5E96" w14:textId="77777777" w:rsidR="00426178" w:rsidRPr="00646254" w:rsidRDefault="00426178" w:rsidP="00426178">
            <w:pPr>
              <w:jc w:val="center"/>
              <w:rPr>
                <w:rFonts w:cstheme="minorHAnsi"/>
                <w:color w:val="002060"/>
                <w:sz w:val="18"/>
                <w:szCs w:val="18"/>
                <w:lang w:val="sr-Cyrl-CS"/>
              </w:rPr>
            </w:pPr>
            <w:r w:rsidRPr="00646254">
              <w:rPr>
                <w:rFonts w:cstheme="minorHAnsi"/>
                <w:color w:val="002060"/>
                <w:sz w:val="18"/>
                <w:szCs w:val="18"/>
                <w:lang w:val="sr-Cyrl-CS"/>
              </w:rPr>
              <w:t>10,4</w:t>
            </w:r>
          </w:p>
        </w:tc>
      </w:tr>
      <w:tr w:rsidR="00426178" w:rsidRPr="00646254" w14:paraId="660CFFB2" w14:textId="77777777" w:rsidTr="00426178">
        <w:tc>
          <w:tcPr>
            <w:tcW w:w="2483" w:type="pct"/>
          </w:tcPr>
          <w:p w14:paraId="6CB1DF75" w14:textId="77777777" w:rsidR="00426178" w:rsidRPr="00646254" w:rsidRDefault="00426178" w:rsidP="00426178">
            <w:pPr>
              <w:ind w:left="256"/>
              <w:rPr>
                <w:rFonts w:cstheme="minorHAnsi"/>
                <w:color w:val="002060"/>
                <w:sz w:val="18"/>
                <w:szCs w:val="18"/>
                <w:lang w:val="sr-Cyrl-CS"/>
              </w:rPr>
            </w:pPr>
            <w:r w:rsidRPr="00646254">
              <w:rPr>
                <w:rFonts w:cstheme="minorHAnsi"/>
                <w:color w:val="002060"/>
                <w:sz w:val="18"/>
                <w:szCs w:val="18"/>
                <w:lang w:val="sr-Cyrl-CS"/>
              </w:rPr>
              <w:t>Увоз робе и услуга</w:t>
            </w:r>
          </w:p>
        </w:tc>
        <w:tc>
          <w:tcPr>
            <w:tcW w:w="499" w:type="pct"/>
          </w:tcPr>
          <w:p w14:paraId="7ED67EBD" w14:textId="77777777" w:rsidR="00426178" w:rsidRPr="00646254" w:rsidRDefault="00426178" w:rsidP="00426178">
            <w:pPr>
              <w:jc w:val="center"/>
              <w:rPr>
                <w:rFonts w:cstheme="minorHAnsi"/>
                <w:color w:val="002060"/>
                <w:sz w:val="18"/>
                <w:szCs w:val="18"/>
                <w:lang w:val="sr-Cyrl-CS"/>
              </w:rPr>
            </w:pPr>
            <w:r w:rsidRPr="00646254">
              <w:rPr>
                <w:rFonts w:cstheme="minorHAnsi"/>
                <w:color w:val="002060"/>
                <w:sz w:val="18"/>
                <w:szCs w:val="18"/>
                <w:lang w:val="sr-Cyrl-CS"/>
              </w:rPr>
              <w:t>14,2</w:t>
            </w:r>
          </w:p>
        </w:tc>
        <w:tc>
          <w:tcPr>
            <w:tcW w:w="499" w:type="pct"/>
          </w:tcPr>
          <w:p w14:paraId="05C926F4" w14:textId="77777777" w:rsidR="00426178" w:rsidRPr="00646254" w:rsidRDefault="00426178" w:rsidP="00426178">
            <w:pPr>
              <w:jc w:val="center"/>
              <w:rPr>
                <w:rFonts w:cstheme="minorHAnsi"/>
                <w:color w:val="002060"/>
                <w:sz w:val="18"/>
                <w:szCs w:val="18"/>
                <w:lang w:val="sr-Cyrl-CS"/>
              </w:rPr>
            </w:pPr>
          </w:p>
        </w:tc>
        <w:tc>
          <w:tcPr>
            <w:tcW w:w="524" w:type="pct"/>
            <w:tcBorders>
              <w:top w:val="nil"/>
              <w:left w:val="nil"/>
              <w:bottom w:val="nil"/>
              <w:right w:val="nil"/>
            </w:tcBorders>
            <w:shd w:val="clear" w:color="auto" w:fill="auto"/>
            <w:vAlign w:val="bottom"/>
          </w:tcPr>
          <w:p w14:paraId="10E80FB9" w14:textId="77777777" w:rsidR="00426178" w:rsidRPr="00646254" w:rsidRDefault="00426178" w:rsidP="00426178">
            <w:pPr>
              <w:jc w:val="center"/>
              <w:rPr>
                <w:rFonts w:cstheme="minorHAnsi"/>
                <w:color w:val="002060"/>
                <w:sz w:val="18"/>
                <w:szCs w:val="18"/>
                <w:lang w:val="sr-Cyrl-CS"/>
              </w:rPr>
            </w:pPr>
            <w:r w:rsidRPr="00646254">
              <w:rPr>
                <w:rFonts w:cstheme="minorHAnsi"/>
                <w:color w:val="002060"/>
                <w:sz w:val="18"/>
                <w:szCs w:val="18"/>
                <w:lang w:val="sr-Cyrl-CS"/>
              </w:rPr>
              <w:t>7,6</w:t>
            </w:r>
          </w:p>
        </w:tc>
        <w:tc>
          <w:tcPr>
            <w:tcW w:w="502" w:type="pct"/>
            <w:tcBorders>
              <w:top w:val="nil"/>
              <w:left w:val="nil"/>
              <w:bottom w:val="nil"/>
              <w:right w:val="nil"/>
            </w:tcBorders>
            <w:shd w:val="clear" w:color="auto" w:fill="auto"/>
            <w:vAlign w:val="bottom"/>
          </w:tcPr>
          <w:p w14:paraId="31AFDEB6" w14:textId="77777777" w:rsidR="00426178" w:rsidRPr="00646254" w:rsidRDefault="00426178" w:rsidP="00426178">
            <w:pPr>
              <w:jc w:val="center"/>
              <w:rPr>
                <w:rFonts w:cstheme="minorHAnsi"/>
                <w:color w:val="002060"/>
                <w:sz w:val="18"/>
                <w:szCs w:val="18"/>
                <w:lang w:val="sr-Cyrl-CS"/>
              </w:rPr>
            </w:pPr>
            <w:r w:rsidRPr="00646254">
              <w:rPr>
                <w:rFonts w:cstheme="minorHAnsi"/>
                <w:color w:val="002060"/>
                <w:sz w:val="18"/>
                <w:szCs w:val="18"/>
                <w:lang w:val="sr-Cyrl-CS"/>
              </w:rPr>
              <w:t>7,9</w:t>
            </w:r>
          </w:p>
        </w:tc>
        <w:tc>
          <w:tcPr>
            <w:tcW w:w="493" w:type="pct"/>
            <w:tcBorders>
              <w:top w:val="nil"/>
              <w:left w:val="nil"/>
              <w:bottom w:val="nil"/>
              <w:right w:val="nil"/>
            </w:tcBorders>
            <w:shd w:val="clear" w:color="auto" w:fill="auto"/>
            <w:vAlign w:val="bottom"/>
          </w:tcPr>
          <w:p w14:paraId="42FFAFED" w14:textId="77777777" w:rsidR="00426178" w:rsidRPr="00646254" w:rsidRDefault="00426178" w:rsidP="00426178">
            <w:pPr>
              <w:jc w:val="center"/>
              <w:rPr>
                <w:rFonts w:cstheme="minorHAnsi"/>
                <w:color w:val="002060"/>
                <w:sz w:val="18"/>
                <w:szCs w:val="18"/>
                <w:lang w:val="sr-Cyrl-CS"/>
              </w:rPr>
            </w:pPr>
            <w:r w:rsidRPr="00646254">
              <w:rPr>
                <w:rFonts w:cstheme="minorHAnsi"/>
                <w:color w:val="002060"/>
                <w:sz w:val="18"/>
                <w:szCs w:val="18"/>
                <w:lang w:val="sr-Cyrl-CS"/>
              </w:rPr>
              <w:t>8,5</w:t>
            </w:r>
          </w:p>
        </w:tc>
      </w:tr>
      <w:tr w:rsidR="00426178" w:rsidRPr="00646254" w14:paraId="626A12F1" w14:textId="77777777" w:rsidTr="00B435B3">
        <w:tc>
          <w:tcPr>
            <w:tcW w:w="2483" w:type="pct"/>
          </w:tcPr>
          <w:p w14:paraId="1BBA3F62" w14:textId="77777777" w:rsidR="00426178" w:rsidRPr="00646254" w:rsidRDefault="00426178" w:rsidP="00426178">
            <w:pPr>
              <w:ind w:left="-15"/>
              <w:rPr>
                <w:rFonts w:cstheme="minorHAnsi"/>
                <w:color w:val="002060"/>
                <w:sz w:val="18"/>
                <w:szCs w:val="18"/>
                <w:lang w:val="sr-Cyrl-CS"/>
              </w:rPr>
            </w:pPr>
            <w:r w:rsidRPr="00646254">
              <w:rPr>
                <w:rFonts w:cstheme="minorHAnsi"/>
                <w:color w:val="002060"/>
                <w:sz w:val="18"/>
                <w:szCs w:val="18"/>
                <w:lang w:val="sr-Cyrl-CS"/>
              </w:rPr>
              <w:t>Салдо робе и услуга, у ЕУР, % БДП</w:t>
            </w:r>
          </w:p>
        </w:tc>
        <w:tc>
          <w:tcPr>
            <w:tcW w:w="499" w:type="pct"/>
          </w:tcPr>
          <w:p w14:paraId="531E65C5" w14:textId="77777777" w:rsidR="00426178" w:rsidRPr="00646254" w:rsidRDefault="00426178" w:rsidP="00426178">
            <w:pPr>
              <w:jc w:val="center"/>
              <w:rPr>
                <w:rFonts w:cstheme="minorHAnsi"/>
                <w:color w:val="002060"/>
                <w:sz w:val="18"/>
                <w:szCs w:val="18"/>
                <w:lang w:val="sr-Cyrl-CS"/>
              </w:rPr>
            </w:pPr>
            <w:r w:rsidRPr="00646254">
              <w:rPr>
                <w:rFonts w:cstheme="minorHAnsi"/>
                <w:color w:val="002060"/>
                <w:sz w:val="18"/>
                <w:szCs w:val="18"/>
                <w:lang w:val="sr-Cyrl-CS"/>
              </w:rPr>
              <w:t>-8,1</w:t>
            </w:r>
          </w:p>
        </w:tc>
        <w:tc>
          <w:tcPr>
            <w:tcW w:w="499" w:type="pct"/>
          </w:tcPr>
          <w:p w14:paraId="5033283B" w14:textId="77777777" w:rsidR="00426178" w:rsidRPr="00646254" w:rsidRDefault="00426178" w:rsidP="00426178">
            <w:pPr>
              <w:jc w:val="center"/>
              <w:rPr>
                <w:rFonts w:cstheme="minorHAnsi"/>
                <w:color w:val="002060"/>
                <w:sz w:val="18"/>
                <w:szCs w:val="18"/>
                <w:lang w:val="sr-Cyrl-CS"/>
              </w:rPr>
            </w:pPr>
          </w:p>
        </w:tc>
        <w:tc>
          <w:tcPr>
            <w:tcW w:w="524" w:type="pct"/>
          </w:tcPr>
          <w:p w14:paraId="559B4E54" w14:textId="77777777" w:rsidR="00426178" w:rsidRPr="00646254" w:rsidRDefault="00426178" w:rsidP="00426178">
            <w:pPr>
              <w:jc w:val="center"/>
              <w:rPr>
                <w:color w:val="002060"/>
                <w:sz w:val="18"/>
                <w:lang w:val="sr-Cyrl-CS"/>
              </w:rPr>
            </w:pPr>
            <w:r w:rsidRPr="00646254">
              <w:rPr>
                <w:color w:val="002060"/>
                <w:sz w:val="18"/>
                <w:lang w:val="sr-Cyrl-CS"/>
              </w:rPr>
              <w:t>-7,7</w:t>
            </w:r>
          </w:p>
        </w:tc>
        <w:tc>
          <w:tcPr>
            <w:tcW w:w="502" w:type="pct"/>
          </w:tcPr>
          <w:p w14:paraId="4218BFC3" w14:textId="77777777" w:rsidR="00426178" w:rsidRPr="00646254" w:rsidRDefault="00426178" w:rsidP="00426178">
            <w:pPr>
              <w:jc w:val="center"/>
              <w:rPr>
                <w:color w:val="002060"/>
                <w:sz w:val="18"/>
                <w:lang w:val="sr-Cyrl-CS"/>
              </w:rPr>
            </w:pPr>
            <w:r w:rsidRPr="00646254">
              <w:rPr>
                <w:color w:val="002060"/>
                <w:sz w:val="18"/>
                <w:lang w:val="sr-Cyrl-CS"/>
              </w:rPr>
              <w:t>-6,9</w:t>
            </w:r>
          </w:p>
        </w:tc>
        <w:tc>
          <w:tcPr>
            <w:tcW w:w="493" w:type="pct"/>
          </w:tcPr>
          <w:p w14:paraId="4A816E1C" w14:textId="77777777" w:rsidR="00426178" w:rsidRPr="00646254" w:rsidRDefault="00426178" w:rsidP="00426178">
            <w:pPr>
              <w:jc w:val="center"/>
              <w:rPr>
                <w:color w:val="002060"/>
                <w:sz w:val="18"/>
                <w:lang w:val="sr-Cyrl-CS"/>
              </w:rPr>
            </w:pPr>
            <w:r w:rsidRPr="00646254">
              <w:rPr>
                <w:color w:val="002060"/>
                <w:sz w:val="18"/>
                <w:lang w:val="sr-Cyrl-CS"/>
              </w:rPr>
              <w:t>-6,2</w:t>
            </w:r>
          </w:p>
        </w:tc>
      </w:tr>
      <w:tr w:rsidR="00426178" w:rsidRPr="00646254" w14:paraId="6397ED45" w14:textId="77777777" w:rsidTr="00426178">
        <w:tc>
          <w:tcPr>
            <w:tcW w:w="2483" w:type="pct"/>
          </w:tcPr>
          <w:p w14:paraId="1A65A189" w14:textId="77777777" w:rsidR="00426178" w:rsidRPr="00646254" w:rsidRDefault="00426178" w:rsidP="00426178">
            <w:pPr>
              <w:ind w:left="-15"/>
              <w:rPr>
                <w:rFonts w:cstheme="minorHAnsi"/>
                <w:color w:val="002060"/>
                <w:sz w:val="18"/>
                <w:szCs w:val="18"/>
                <w:lang w:val="sr-Cyrl-CS"/>
              </w:rPr>
            </w:pPr>
            <w:r w:rsidRPr="00646254">
              <w:rPr>
                <w:rFonts w:cstheme="minorHAnsi"/>
                <w:color w:val="002060"/>
                <w:sz w:val="18"/>
                <w:szCs w:val="18"/>
                <w:lang w:val="sr-Cyrl-CS"/>
              </w:rPr>
              <w:t>Салдо текућег рачуна, у ЕУР, % БДП</w:t>
            </w:r>
          </w:p>
        </w:tc>
        <w:tc>
          <w:tcPr>
            <w:tcW w:w="499" w:type="pct"/>
          </w:tcPr>
          <w:p w14:paraId="47F2D385" w14:textId="77777777" w:rsidR="00426178" w:rsidRPr="00646254" w:rsidRDefault="00426178" w:rsidP="00426178">
            <w:pPr>
              <w:jc w:val="center"/>
              <w:rPr>
                <w:rFonts w:cstheme="minorHAnsi"/>
                <w:color w:val="002060"/>
                <w:sz w:val="18"/>
                <w:szCs w:val="18"/>
                <w:lang w:val="sr-Cyrl-CS"/>
              </w:rPr>
            </w:pPr>
            <w:r w:rsidRPr="00646254">
              <w:rPr>
                <w:rFonts w:cstheme="minorHAnsi"/>
                <w:color w:val="002060"/>
                <w:sz w:val="18"/>
                <w:szCs w:val="18"/>
                <w:lang w:val="sr-Cyrl-CS"/>
              </w:rPr>
              <w:t>-3,9</w:t>
            </w:r>
          </w:p>
        </w:tc>
        <w:tc>
          <w:tcPr>
            <w:tcW w:w="499" w:type="pct"/>
          </w:tcPr>
          <w:p w14:paraId="49A96B7C" w14:textId="77777777" w:rsidR="00426178" w:rsidRPr="00646254" w:rsidRDefault="00426178" w:rsidP="00426178">
            <w:pPr>
              <w:jc w:val="center"/>
              <w:rPr>
                <w:rFonts w:cstheme="minorHAnsi"/>
                <w:color w:val="002060"/>
                <w:sz w:val="18"/>
                <w:szCs w:val="18"/>
                <w:lang w:val="sr-Cyrl-CS"/>
              </w:rPr>
            </w:pPr>
          </w:p>
        </w:tc>
        <w:tc>
          <w:tcPr>
            <w:tcW w:w="524" w:type="pct"/>
            <w:tcBorders>
              <w:top w:val="nil"/>
              <w:left w:val="nil"/>
              <w:bottom w:val="nil"/>
              <w:right w:val="nil"/>
            </w:tcBorders>
            <w:shd w:val="clear" w:color="000000" w:fill="FFFFFF"/>
            <w:vAlign w:val="bottom"/>
          </w:tcPr>
          <w:p w14:paraId="038D498B" w14:textId="77777777" w:rsidR="00426178" w:rsidRPr="00646254" w:rsidRDefault="00426178" w:rsidP="00426178">
            <w:pPr>
              <w:jc w:val="center"/>
              <w:rPr>
                <w:rFonts w:cstheme="minorHAnsi"/>
                <w:color w:val="002060"/>
                <w:sz w:val="18"/>
                <w:szCs w:val="18"/>
                <w:lang w:val="sr-Cyrl-CS"/>
              </w:rPr>
            </w:pPr>
            <w:r w:rsidRPr="00646254">
              <w:rPr>
                <w:rFonts w:cstheme="minorHAnsi"/>
                <w:color w:val="002060"/>
                <w:sz w:val="18"/>
                <w:szCs w:val="18"/>
                <w:lang w:val="sr-Cyrl-CS"/>
              </w:rPr>
              <w:t>-4,2</w:t>
            </w:r>
          </w:p>
        </w:tc>
        <w:tc>
          <w:tcPr>
            <w:tcW w:w="502" w:type="pct"/>
            <w:tcBorders>
              <w:top w:val="nil"/>
              <w:left w:val="nil"/>
              <w:bottom w:val="nil"/>
              <w:right w:val="nil"/>
            </w:tcBorders>
            <w:shd w:val="clear" w:color="000000" w:fill="FFFFFF"/>
            <w:vAlign w:val="bottom"/>
          </w:tcPr>
          <w:p w14:paraId="5E4B16A3" w14:textId="77777777" w:rsidR="00426178" w:rsidRPr="00646254" w:rsidRDefault="00426178" w:rsidP="00426178">
            <w:pPr>
              <w:jc w:val="center"/>
              <w:rPr>
                <w:rFonts w:cstheme="minorHAnsi"/>
                <w:color w:val="002060"/>
                <w:sz w:val="18"/>
                <w:szCs w:val="18"/>
                <w:lang w:val="sr-Cyrl-CS"/>
              </w:rPr>
            </w:pPr>
            <w:r w:rsidRPr="00646254">
              <w:rPr>
                <w:rFonts w:cstheme="minorHAnsi"/>
                <w:color w:val="002060"/>
                <w:sz w:val="18"/>
                <w:szCs w:val="18"/>
                <w:lang w:val="sr-Cyrl-CS"/>
              </w:rPr>
              <w:t>-4,1</w:t>
            </w:r>
          </w:p>
        </w:tc>
        <w:tc>
          <w:tcPr>
            <w:tcW w:w="493" w:type="pct"/>
            <w:tcBorders>
              <w:top w:val="nil"/>
              <w:left w:val="nil"/>
              <w:bottom w:val="nil"/>
              <w:right w:val="nil"/>
            </w:tcBorders>
            <w:shd w:val="clear" w:color="000000" w:fill="FFFFFF"/>
            <w:vAlign w:val="bottom"/>
          </w:tcPr>
          <w:p w14:paraId="01B04D73" w14:textId="77777777" w:rsidR="00426178" w:rsidRPr="00646254" w:rsidRDefault="00426178" w:rsidP="00426178">
            <w:pPr>
              <w:jc w:val="center"/>
              <w:rPr>
                <w:rFonts w:cstheme="minorHAnsi"/>
                <w:color w:val="002060"/>
                <w:sz w:val="18"/>
                <w:szCs w:val="18"/>
                <w:lang w:val="sr-Cyrl-CS"/>
              </w:rPr>
            </w:pPr>
            <w:r w:rsidRPr="00646254">
              <w:rPr>
                <w:rFonts w:cstheme="minorHAnsi"/>
                <w:color w:val="002060"/>
                <w:sz w:val="18"/>
                <w:szCs w:val="18"/>
                <w:lang w:val="sr-Cyrl-CS"/>
              </w:rPr>
              <w:t>-3,9</w:t>
            </w:r>
          </w:p>
        </w:tc>
      </w:tr>
      <w:tr w:rsidR="00426178" w:rsidRPr="00646254" w14:paraId="674EC7DC" w14:textId="77777777" w:rsidTr="00426178">
        <w:trPr>
          <w:trHeight w:val="193"/>
        </w:trPr>
        <w:tc>
          <w:tcPr>
            <w:tcW w:w="2483" w:type="pct"/>
            <w:tcBorders>
              <w:bottom w:val="single" w:sz="4" w:space="0" w:color="002060"/>
            </w:tcBorders>
          </w:tcPr>
          <w:p w14:paraId="56766E9F" w14:textId="77777777" w:rsidR="00426178" w:rsidRPr="00646254" w:rsidRDefault="00426178" w:rsidP="00426178">
            <w:pPr>
              <w:rPr>
                <w:rFonts w:cstheme="minorHAnsi"/>
                <w:color w:val="002060"/>
                <w:sz w:val="18"/>
                <w:szCs w:val="18"/>
                <w:lang w:val="sr-Cyrl-CS"/>
              </w:rPr>
            </w:pPr>
            <w:r w:rsidRPr="00646254">
              <w:rPr>
                <w:rFonts w:cstheme="minorHAnsi"/>
                <w:color w:val="002060"/>
                <w:sz w:val="18"/>
                <w:szCs w:val="18"/>
                <w:lang w:val="sr-Cyrl-CS"/>
              </w:rPr>
              <w:t>Инфлација, просек периода, %</w:t>
            </w:r>
          </w:p>
        </w:tc>
        <w:tc>
          <w:tcPr>
            <w:tcW w:w="499" w:type="pct"/>
            <w:tcBorders>
              <w:bottom w:val="single" w:sz="4" w:space="0" w:color="002060"/>
            </w:tcBorders>
          </w:tcPr>
          <w:p w14:paraId="187EB297" w14:textId="77777777" w:rsidR="00426178" w:rsidRPr="00646254" w:rsidRDefault="00426178" w:rsidP="00426178">
            <w:pPr>
              <w:jc w:val="center"/>
              <w:rPr>
                <w:rFonts w:cstheme="minorHAnsi"/>
                <w:color w:val="002060"/>
                <w:sz w:val="18"/>
                <w:szCs w:val="18"/>
                <w:lang w:val="sr-Cyrl-CS"/>
              </w:rPr>
            </w:pPr>
            <w:r w:rsidRPr="00646254">
              <w:rPr>
                <w:rFonts w:cstheme="minorHAnsi"/>
                <w:color w:val="002060"/>
                <w:sz w:val="18"/>
                <w:szCs w:val="18"/>
                <w:lang w:val="sr-Cyrl-CS"/>
              </w:rPr>
              <w:t>3,7</w:t>
            </w:r>
          </w:p>
        </w:tc>
        <w:tc>
          <w:tcPr>
            <w:tcW w:w="499" w:type="pct"/>
            <w:tcBorders>
              <w:top w:val="nil"/>
              <w:left w:val="nil"/>
              <w:bottom w:val="nil"/>
              <w:right w:val="nil"/>
            </w:tcBorders>
            <w:shd w:val="clear" w:color="auto" w:fill="auto"/>
          </w:tcPr>
          <w:p w14:paraId="4F9602C0" w14:textId="77777777" w:rsidR="00426178" w:rsidRPr="00646254" w:rsidRDefault="00426178" w:rsidP="00426178">
            <w:pPr>
              <w:jc w:val="center"/>
              <w:rPr>
                <w:rFonts w:cstheme="minorHAnsi"/>
                <w:color w:val="002060"/>
                <w:sz w:val="18"/>
                <w:szCs w:val="18"/>
                <w:lang w:val="sr-Cyrl-CS"/>
              </w:rPr>
            </w:pPr>
          </w:p>
        </w:tc>
        <w:tc>
          <w:tcPr>
            <w:tcW w:w="524" w:type="pct"/>
            <w:tcBorders>
              <w:top w:val="nil"/>
              <w:left w:val="nil"/>
              <w:bottom w:val="nil"/>
              <w:right w:val="nil"/>
            </w:tcBorders>
            <w:shd w:val="clear" w:color="auto" w:fill="auto"/>
          </w:tcPr>
          <w:p w14:paraId="48F46CEC" w14:textId="77777777" w:rsidR="00426178" w:rsidRPr="00646254" w:rsidRDefault="00426178" w:rsidP="00426178">
            <w:pPr>
              <w:jc w:val="center"/>
              <w:rPr>
                <w:color w:val="002060"/>
                <w:sz w:val="18"/>
                <w:lang w:val="sr-Cyrl-CS"/>
              </w:rPr>
            </w:pPr>
            <w:r w:rsidRPr="00646254">
              <w:rPr>
                <w:color w:val="002060"/>
                <w:sz w:val="18"/>
                <w:lang w:val="sr-Cyrl-CS"/>
              </w:rPr>
              <w:t>3,7</w:t>
            </w:r>
          </w:p>
        </w:tc>
        <w:tc>
          <w:tcPr>
            <w:tcW w:w="502" w:type="pct"/>
            <w:tcBorders>
              <w:top w:val="nil"/>
              <w:left w:val="nil"/>
              <w:bottom w:val="nil"/>
              <w:right w:val="nil"/>
            </w:tcBorders>
            <w:shd w:val="clear" w:color="auto" w:fill="auto"/>
          </w:tcPr>
          <w:p w14:paraId="64036629" w14:textId="77777777" w:rsidR="00426178" w:rsidRPr="00646254" w:rsidRDefault="00426178" w:rsidP="00426178">
            <w:pPr>
              <w:jc w:val="center"/>
              <w:rPr>
                <w:color w:val="002060"/>
                <w:sz w:val="18"/>
                <w:lang w:val="sr-Cyrl-CS"/>
              </w:rPr>
            </w:pPr>
            <w:r w:rsidRPr="00646254">
              <w:rPr>
                <w:color w:val="002060"/>
                <w:sz w:val="18"/>
                <w:lang w:val="sr-Cyrl-CS"/>
              </w:rPr>
              <w:t>2,6</w:t>
            </w:r>
          </w:p>
        </w:tc>
        <w:tc>
          <w:tcPr>
            <w:tcW w:w="493" w:type="pct"/>
            <w:tcBorders>
              <w:top w:val="nil"/>
              <w:left w:val="nil"/>
              <w:bottom w:val="nil"/>
              <w:right w:val="nil"/>
            </w:tcBorders>
            <w:shd w:val="clear" w:color="auto" w:fill="auto"/>
          </w:tcPr>
          <w:p w14:paraId="71731739" w14:textId="77777777" w:rsidR="00426178" w:rsidRPr="00646254" w:rsidRDefault="00426178" w:rsidP="00426178">
            <w:pPr>
              <w:jc w:val="center"/>
              <w:rPr>
                <w:color w:val="002060"/>
                <w:sz w:val="18"/>
                <w:lang w:val="sr-Cyrl-CS"/>
              </w:rPr>
            </w:pPr>
            <w:r w:rsidRPr="00646254">
              <w:rPr>
                <w:color w:val="002060"/>
                <w:sz w:val="18"/>
                <w:lang w:val="sr-Cyrl-CS"/>
              </w:rPr>
              <w:t>2,5</w:t>
            </w:r>
          </w:p>
        </w:tc>
      </w:tr>
      <w:tr w:rsidR="00426178" w:rsidRPr="00646254" w14:paraId="547792AA" w14:textId="77777777" w:rsidTr="00B435B3">
        <w:tc>
          <w:tcPr>
            <w:tcW w:w="2483" w:type="pct"/>
            <w:tcBorders>
              <w:top w:val="single" w:sz="4" w:space="0" w:color="002060"/>
            </w:tcBorders>
          </w:tcPr>
          <w:p w14:paraId="54564153" w14:textId="77777777" w:rsidR="00426178" w:rsidRPr="00646254" w:rsidRDefault="00426178" w:rsidP="00426178">
            <w:pPr>
              <w:spacing w:before="40"/>
              <w:rPr>
                <w:rFonts w:cstheme="minorHAnsi"/>
                <w:sz w:val="16"/>
                <w:lang w:val="sr-Cyrl-CS"/>
              </w:rPr>
            </w:pPr>
            <w:r w:rsidRPr="00646254">
              <w:rPr>
                <w:rFonts w:cstheme="minorHAnsi"/>
                <w:sz w:val="16"/>
                <w:lang w:val="sr-Cyrl-CS"/>
              </w:rPr>
              <w:t>Извор: Министарство финансија</w:t>
            </w:r>
          </w:p>
        </w:tc>
        <w:tc>
          <w:tcPr>
            <w:tcW w:w="499" w:type="pct"/>
            <w:tcBorders>
              <w:top w:val="single" w:sz="4" w:space="0" w:color="002060"/>
            </w:tcBorders>
          </w:tcPr>
          <w:p w14:paraId="0C14F767" w14:textId="77777777" w:rsidR="00426178" w:rsidRPr="00646254" w:rsidRDefault="00426178" w:rsidP="00426178">
            <w:pPr>
              <w:rPr>
                <w:rFonts w:cstheme="minorHAnsi"/>
                <w:sz w:val="16"/>
                <w:lang w:val="sr-Cyrl-CS"/>
              </w:rPr>
            </w:pPr>
          </w:p>
        </w:tc>
        <w:tc>
          <w:tcPr>
            <w:tcW w:w="499" w:type="pct"/>
            <w:tcBorders>
              <w:top w:val="single" w:sz="4" w:space="0" w:color="002060"/>
            </w:tcBorders>
          </w:tcPr>
          <w:p w14:paraId="1B63F3A0" w14:textId="77777777" w:rsidR="00426178" w:rsidRPr="00646254" w:rsidRDefault="00426178" w:rsidP="00426178">
            <w:pPr>
              <w:rPr>
                <w:rFonts w:cstheme="minorHAnsi"/>
                <w:sz w:val="16"/>
                <w:lang w:val="sr-Cyrl-CS"/>
              </w:rPr>
            </w:pPr>
          </w:p>
        </w:tc>
        <w:tc>
          <w:tcPr>
            <w:tcW w:w="524" w:type="pct"/>
            <w:tcBorders>
              <w:top w:val="single" w:sz="4" w:space="0" w:color="002060"/>
            </w:tcBorders>
          </w:tcPr>
          <w:p w14:paraId="6486065B" w14:textId="77777777" w:rsidR="00426178" w:rsidRPr="00646254" w:rsidRDefault="00426178" w:rsidP="00426178">
            <w:pPr>
              <w:rPr>
                <w:rFonts w:cstheme="minorHAnsi"/>
                <w:sz w:val="16"/>
                <w:lang w:val="sr-Cyrl-CS"/>
              </w:rPr>
            </w:pPr>
          </w:p>
        </w:tc>
        <w:tc>
          <w:tcPr>
            <w:tcW w:w="502" w:type="pct"/>
            <w:tcBorders>
              <w:top w:val="single" w:sz="4" w:space="0" w:color="002060"/>
            </w:tcBorders>
          </w:tcPr>
          <w:p w14:paraId="04AECAF9" w14:textId="77777777" w:rsidR="00426178" w:rsidRPr="00646254" w:rsidRDefault="00426178" w:rsidP="00426178">
            <w:pPr>
              <w:rPr>
                <w:rFonts w:cstheme="minorHAnsi"/>
                <w:sz w:val="16"/>
                <w:lang w:val="sr-Cyrl-CS"/>
              </w:rPr>
            </w:pPr>
          </w:p>
        </w:tc>
        <w:tc>
          <w:tcPr>
            <w:tcW w:w="493" w:type="pct"/>
            <w:tcBorders>
              <w:top w:val="single" w:sz="4" w:space="0" w:color="002060"/>
            </w:tcBorders>
          </w:tcPr>
          <w:p w14:paraId="40AD53E0" w14:textId="77777777" w:rsidR="00426178" w:rsidRPr="00646254" w:rsidRDefault="00426178" w:rsidP="00426178">
            <w:pPr>
              <w:rPr>
                <w:rFonts w:cstheme="minorHAnsi"/>
                <w:sz w:val="16"/>
                <w:lang w:val="sr-Cyrl-CS"/>
              </w:rPr>
            </w:pPr>
          </w:p>
        </w:tc>
      </w:tr>
    </w:tbl>
    <w:p w14:paraId="0A4258E1" w14:textId="77777777" w:rsidR="00426178" w:rsidRPr="00646254" w:rsidRDefault="00426178" w:rsidP="00B435B3">
      <w:pPr>
        <w:spacing w:after="0"/>
        <w:jc w:val="center"/>
        <w:rPr>
          <w:rFonts w:cstheme="minorHAnsi"/>
          <w:b/>
          <w:sz w:val="16"/>
          <w:lang w:val="sr-Cyrl-CS"/>
        </w:rPr>
        <w:sectPr w:rsidR="00426178" w:rsidRPr="00646254" w:rsidSect="00AB121A">
          <w:type w:val="continuous"/>
          <w:pgSz w:w="12240" w:h="15840"/>
          <w:pgMar w:top="1440" w:right="1440" w:bottom="1440" w:left="1440" w:header="720" w:footer="720" w:gutter="0"/>
          <w:cols w:space="720"/>
          <w:docGrid w:linePitch="360"/>
        </w:sectPr>
      </w:pPr>
    </w:p>
    <w:p w14:paraId="2E587067" w14:textId="415319F7" w:rsidR="00426178" w:rsidRPr="00646254" w:rsidRDefault="00426178" w:rsidP="00426178">
      <w:pPr>
        <w:rPr>
          <w:rFonts w:cstheme="minorHAnsi"/>
          <w:bCs/>
          <w:szCs w:val="72"/>
          <w:lang w:val="sr-Cyrl-CS"/>
        </w:rPr>
      </w:pPr>
      <w:r w:rsidRPr="00646254">
        <w:rPr>
          <w:rFonts w:cstheme="minorHAnsi"/>
          <w:bCs/>
          <w:szCs w:val="72"/>
          <w:lang w:val="sr-Cyrl-CS"/>
        </w:rPr>
        <w:t>За 2022. годину пројектовано је реално повећање БДП од 4,5%</w:t>
      </w:r>
      <w:r w:rsidR="00870799" w:rsidRPr="00646254">
        <w:rPr>
          <w:rFonts w:cstheme="minorHAnsi"/>
          <w:bCs/>
          <w:szCs w:val="72"/>
          <w:lang w:val="sr-Cyrl-CS"/>
        </w:rPr>
        <w:t>,</w:t>
      </w:r>
      <w:r w:rsidRPr="00646254">
        <w:rPr>
          <w:rFonts w:cstheme="minorHAnsi"/>
          <w:bCs/>
          <w:szCs w:val="72"/>
          <w:lang w:val="sr-Cyrl-CS"/>
        </w:rPr>
        <w:t xml:space="preserve"> чиме је иницијална пројекција из претходне Фискалне стратегије благо ревидирана навише за 0,5 п.п. Ова ревизија резултат је трајног повећања потенцијала привреде услед ефектуирања нових извозно конкурентних производних капацитета, као и индиректних ефеката убрзане изградње путне и железничке инфраструктуре, али и додатне подршке у реализацији пројеката из зелене агенде.</w:t>
      </w:r>
    </w:p>
    <w:p w14:paraId="11DCEFE5" w14:textId="53D6280C" w:rsidR="00426178" w:rsidRPr="00646254" w:rsidRDefault="00426178" w:rsidP="00426178">
      <w:pPr>
        <w:rPr>
          <w:rFonts w:cstheme="minorHAnsi"/>
          <w:bCs/>
          <w:szCs w:val="72"/>
          <w:lang w:val="sr-Cyrl-CS"/>
        </w:rPr>
      </w:pPr>
      <w:r w:rsidRPr="00646254">
        <w:rPr>
          <w:rFonts w:cstheme="minorHAnsi"/>
          <w:bCs/>
          <w:szCs w:val="72"/>
          <w:lang w:val="sr-Cyrl-CS"/>
        </w:rPr>
        <w:t>Посматрано по агрегатима употребе</w:t>
      </w:r>
      <w:r w:rsidR="00870799" w:rsidRPr="00646254">
        <w:rPr>
          <w:rFonts w:cstheme="minorHAnsi"/>
          <w:bCs/>
          <w:szCs w:val="72"/>
          <w:lang w:val="sr-Cyrl-CS"/>
        </w:rPr>
        <w:t>,</w:t>
      </w:r>
      <w:r w:rsidRPr="00646254">
        <w:rPr>
          <w:rFonts w:cstheme="minorHAnsi"/>
          <w:bCs/>
          <w:szCs w:val="72"/>
          <w:lang w:val="sr-Cyrl-CS"/>
        </w:rPr>
        <w:t xml:space="preserve"> раст ће и даље бити вођен домаћом тражњом која ће обезбедити допринос од 4,3 п.п, а позитиван утицај од 0,2 п.п. имаће и нето извоз. Све три компоненте домаће тражње позитивно ће допринети расту економске активности. Повољна кретања на тржишту радне снаге и очекивано реално повећање зарада, како у приватном тако и у јавном сектору, стабилан раст пензија и наставак повољних услова финансирања, резултираће растом личне потрошње од 3,7% и следствено највећем учешћу овог агрегата у БДП, допринеће расту економске активности са 2,5 п.п. У 2022. години инвестиције ће бити друга по значају компонента у погледу позитивног доприноса расту БДП, што је веома важно са становишта његове одрживости. Очекује се међугодишње повећање од 6,4%, односно допринос расту БДП од 1,5 п.п. Динамика инвестиционе активности биће у потпуности опредељена приватним инвестицијама и даљим повећањем производних капацитета привреде, пре свега у секторима који производе разменљива добра, док ће допринос јавних инвестиција бити неутралан услед високе базе из 2021. године и рекордног учешћа у БДП од 7,8%. За разлику од ове две компоненте домаће тражње, потрошња државе ће у 2022. години забележити спорији раст него претходних година, пре свега</w:t>
      </w:r>
      <w:r w:rsidRPr="00646254">
        <w:rPr>
          <w:rFonts w:cstheme="minorHAnsi"/>
          <w:bCs/>
          <w:color w:val="FF0000"/>
          <w:szCs w:val="72"/>
          <w:lang w:val="sr-Cyrl-CS"/>
        </w:rPr>
        <w:t xml:space="preserve"> </w:t>
      </w:r>
      <w:r w:rsidRPr="00646254">
        <w:rPr>
          <w:rFonts w:cstheme="minorHAnsi"/>
          <w:bCs/>
          <w:szCs w:val="72"/>
          <w:lang w:val="sr-Cyrl-CS"/>
        </w:rPr>
        <w:t xml:space="preserve">услед постепеног смањења издатака за потребе здравства. Очекивани опоравак спољне тражње, уз активирање нових производних капацитета као резултат ефектуирања </w:t>
      </w:r>
      <w:r w:rsidR="008F5F60" w:rsidRPr="00646254">
        <w:rPr>
          <w:rFonts w:cstheme="minorHAnsi"/>
          <w:bCs/>
          <w:szCs w:val="72"/>
          <w:lang w:val="sr-Cyrl-CS"/>
        </w:rPr>
        <w:t>СДИ</w:t>
      </w:r>
      <w:r w:rsidRPr="00646254">
        <w:rPr>
          <w:rFonts w:cstheme="minorHAnsi"/>
          <w:bCs/>
          <w:szCs w:val="72"/>
          <w:lang w:val="sr-Cyrl-CS"/>
        </w:rPr>
        <w:t xml:space="preserve"> из претходног периода, резултираће растом извоза од 9,4%. С друге стране, умерено повећање приватне потрошње као и инвестиција имаће за последицу и раст увоза од 7,6%. Оваква динамика спољнотрговинске размене резултираће позитивним доприносом нето извоза расту БДП од 0,2 п.п.</w:t>
      </w:r>
    </w:p>
    <w:p w14:paraId="63EBDAD0" w14:textId="77777777" w:rsidR="00426178" w:rsidRPr="00646254" w:rsidRDefault="00426178" w:rsidP="00426178">
      <w:pPr>
        <w:pStyle w:val="NoSpacing"/>
        <w:spacing w:after="120"/>
        <w:jc w:val="center"/>
        <w:rPr>
          <w:rFonts w:cstheme="minorHAnsi"/>
          <w:color w:val="002060"/>
          <w:lang w:val="sr-Cyrl-CS"/>
        </w:rPr>
      </w:pPr>
      <w:r w:rsidRPr="00646254">
        <w:rPr>
          <w:rFonts w:cstheme="minorHAnsi"/>
          <w:color w:val="002060"/>
          <w:lang w:val="sr-Cyrl-CS"/>
        </w:rPr>
        <w:t xml:space="preserve">Доприноси стопи реалног раста БДП, </w:t>
      </w:r>
      <w:r w:rsidRPr="00646254">
        <w:rPr>
          <w:rFonts w:cstheme="minorHAnsi"/>
          <w:color w:val="002060"/>
          <w:lang w:val="sr-Cyrl-CS"/>
        </w:rPr>
        <w:br/>
        <w:t>расходни приступ, п.п.</w:t>
      </w:r>
    </w:p>
    <w:p w14:paraId="6A36475C" w14:textId="77777777" w:rsidR="00426178" w:rsidRPr="00646254" w:rsidRDefault="00426178" w:rsidP="00426178">
      <w:pPr>
        <w:pStyle w:val="NoSpacing"/>
        <w:spacing w:after="80"/>
        <w:jc w:val="center"/>
        <w:rPr>
          <w:rFonts w:cstheme="minorHAnsi"/>
          <w:color w:val="44546A" w:themeColor="text2"/>
          <w:sz w:val="16"/>
          <w:lang w:val="sr-Cyrl-CS"/>
        </w:rPr>
      </w:pPr>
      <w:r w:rsidRPr="00646254">
        <w:rPr>
          <w:noProof/>
        </w:rPr>
        <w:drawing>
          <wp:inline distT="0" distB="0" distL="0" distR="0" wp14:anchorId="188D3E81" wp14:editId="7DA3A470">
            <wp:extent cx="2743200" cy="1979930"/>
            <wp:effectExtent l="0" t="0" r="0" b="1270"/>
            <wp:docPr id="17" name="Chart 17">
              <a:extLst xmlns:a="http://schemas.openxmlformats.org/drawingml/2006/main">
                <a:ext uri="{FF2B5EF4-FFF2-40B4-BE49-F238E27FC236}">
                  <a16:creationId xmlns:a16="http://schemas.microsoft.com/office/drawing/2014/main" id="{00000000-0008-0000-0A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14:paraId="3F5C808B" w14:textId="77777777" w:rsidR="00426178" w:rsidRPr="00646254" w:rsidRDefault="00426178" w:rsidP="00B435B3">
      <w:pPr>
        <w:rPr>
          <w:rFonts w:cstheme="minorHAnsi"/>
          <w:sz w:val="16"/>
          <w:lang w:val="sr-Cyrl-CS"/>
        </w:rPr>
      </w:pPr>
      <w:r w:rsidRPr="00646254">
        <w:rPr>
          <w:rFonts w:cstheme="minorHAnsi"/>
          <w:sz w:val="16"/>
          <w:lang w:val="sr-Cyrl-CS"/>
        </w:rPr>
        <w:t>Извор: Министарство финансија</w:t>
      </w:r>
    </w:p>
    <w:p w14:paraId="7E47653B" w14:textId="220F783A" w:rsidR="00DF2068" w:rsidRPr="00646254" w:rsidRDefault="00426178" w:rsidP="008217BC">
      <w:pPr>
        <w:rPr>
          <w:rFonts w:cstheme="minorHAnsi"/>
          <w:bCs/>
          <w:szCs w:val="72"/>
          <w:lang w:val="sr-Cyrl-CS"/>
        </w:rPr>
      </w:pPr>
      <w:r w:rsidRPr="00646254">
        <w:rPr>
          <w:rFonts w:cstheme="minorHAnsi"/>
          <w:bCs/>
          <w:szCs w:val="72"/>
          <w:lang w:val="sr-Cyrl-CS"/>
        </w:rPr>
        <w:t>Посматрано са производне стране, повећање креиране БДВ очекује се код свих сектора. Услужни сектор ће у 2022. години имати улогу доминантног носиоца раста економске активности. Раст би требао да буде диверсификован и остварен у већини услужних делатности а посебно снажан у ИКТ сектору, трговини и саобраћају, док се повратак на предпандемијске нивое очекује у туризму и угоститељству као и услугама рекреације и забаве. Укупна индустрија ће са даљим опоравком спољне тражње и активирањем нових производних капацитета наставити са растом и током 2022. године и забележити повећање од 6,5%. Убрзања приватне грађевинске оперативе, али и наставак реализације инфраструктурних пројеката резултираће солидним растом грађевинарства од 7,4% у 2022. години. За сектор пољопривреде, под претпоставком просечних агрометеоролошких услова уз наставак тренда повећања продуктивности, пројектован је благи раст од 0,5%.</w:t>
      </w:r>
    </w:p>
    <w:p w14:paraId="46841306" w14:textId="77777777" w:rsidR="00DF2068" w:rsidRPr="00646254" w:rsidRDefault="00DF2068" w:rsidP="008217BC">
      <w:pPr>
        <w:rPr>
          <w:rFonts w:cstheme="minorHAnsi"/>
          <w:bCs/>
          <w:szCs w:val="72"/>
          <w:lang w:val="sr-Cyrl-CS"/>
        </w:rPr>
        <w:sectPr w:rsidR="00DF2068" w:rsidRPr="00646254" w:rsidSect="00426178">
          <w:footerReference w:type="default" r:id="rId74"/>
          <w:type w:val="continuous"/>
          <w:pgSz w:w="12240" w:h="15840"/>
          <w:pgMar w:top="1440" w:right="1440" w:bottom="1440" w:left="1440" w:header="720" w:footer="720" w:gutter="0"/>
          <w:cols w:num="2" w:space="720"/>
          <w:docGrid w:linePitch="360"/>
          <w15:footnoteColumns w:val="1"/>
        </w:sectPr>
      </w:pPr>
    </w:p>
    <w:p w14:paraId="5ABC3274" w14:textId="2DCF2190" w:rsidR="00426178" w:rsidRPr="00646254" w:rsidRDefault="00426178" w:rsidP="008217BC">
      <w:pPr>
        <w:rPr>
          <w:rFonts w:cstheme="minorHAnsi"/>
          <w:bCs/>
          <w:szCs w:val="72"/>
          <w:lang w:val="sr-Cyrl-CS"/>
        </w:rPr>
      </w:pPr>
    </w:p>
    <w:p w14:paraId="00E883CE" w14:textId="77777777" w:rsidR="00426178" w:rsidRPr="00646254" w:rsidRDefault="00426178" w:rsidP="00426178">
      <w:pPr>
        <w:pStyle w:val="Caption"/>
        <w:keepNext/>
        <w:spacing w:after="120"/>
        <w:rPr>
          <w:rFonts w:cstheme="minorHAnsi"/>
          <w:iCs w:val="0"/>
          <w:szCs w:val="22"/>
          <w:lang w:val="sr-Cyrl-CS"/>
        </w:rPr>
      </w:pPr>
      <w:r w:rsidRPr="00646254">
        <w:rPr>
          <w:rFonts w:cstheme="minorHAnsi"/>
          <w:iCs w:val="0"/>
          <w:szCs w:val="22"/>
          <w:lang w:val="sr-Cyrl-CS"/>
        </w:rPr>
        <w:t>Доприноси стопи реалног раста БДП, производни приступ, п.п.</w:t>
      </w:r>
    </w:p>
    <w:p w14:paraId="73152C62" w14:textId="77777777" w:rsidR="00426178" w:rsidRPr="00646254" w:rsidRDefault="00426178" w:rsidP="00426178">
      <w:pPr>
        <w:spacing w:after="80"/>
        <w:rPr>
          <w:lang w:val="sr-Cyrl-CS"/>
        </w:rPr>
      </w:pPr>
      <w:r w:rsidRPr="00646254">
        <w:rPr>
          <w:noProof/>
        </w:rPr>
        <w:drawing>
          <wp:inline distT="0" distB="0" distL="0" distR="0" wp14:anchorId="09E86B21" wp14:editId="34629001">
            <wp:extent cx="2743200" cy="2149642"/>
            <wp:effectExtent l="0" t="0" r="0" b="3175"/>
            <wp:docPr id="19" name="Chart 19">
              <a:extLst xmlns:a="http://schemas.openxmlformats.org/drawingml/2006/main">
                <a:ext uri="{FF2B5EF4-FFF2-40B4-BE49-F238E27FC236}">
                  <a16:creationId xmlns:a16="http://schemas.microsoft.com/office/drawing/2014/main" id="{00000000-0008-0000-0A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14:paraId="0E548E70" w14:textId="77777777" w:rsidR="00426178" w:rsidRPr="00646254" w:rsidRDefault="00426178" w:rsidP="008217BC">
      <w:pPr>
        <w:rPr>
          <w:rFonts w:cstheme="minorHAnsi"/>
          <w:sz w:val="16"/>
          <w:lang w:val="sr-Cyrl-CS"/>
        </w:rPr>
      </w:pPr>
      <w:r w:rsidRPr="00646254">
        <w:rPr>
          <w:rFonts w:cstheme="minorHAnsi"/>
          <w:sz w:val="16"/>
          <w:lang w:val="sr-Cyrl-CS"/>
        </w:rPr>
        <w:t>Извор: Министарство финансија</w:t>
      </w:r>
    </w:p>
    <w:p w14:paraId="5CE90DD1" w14:textId="47651458" w:rsidR="00426178" w:rsidRPr="00646254" w:rsidRDefault="00426178" w:rsidP="008217BC">
      <w:pPr>
        <w:rPr>
          <w:rFonts w:cstheme="minorHAnsi"/>
          <w:bCs/>
          <w:szCs w:val="72"/>
          <w:lang w:val="sr-Cyrl-CS"/>
        </w:rPr>
      </w:pPr>
      <w:r w:rsidRPr="00646254">
        <w:rPr>
          <w:rFonts w:cstheme="minorHAnsi"/>
          <w:bCs/>
          <w:szCs w:val="72"/>
          <w:lang w:val="sr-Cyrl-CS"/>
        </w:rPr>
        <w:t>Према средњорочној макроекономској пројекцији кумулативна стопа раста у периоду 2022–2024. година износиће 15,2% и биће вођена растом домаће тражње и са опоравком глобалне трговине додатно подржана и благим позитивним доприносом нето извоза. Овај извор раста је детерминисан</w:t>
      </w:r>
      <w:r w:rsidR="00AA3EEE" w:rsidRPr="00646254">
        <w:rPr>
          <w:rFonts w:cstheme="minorHAnsi"/>
          <w:bCs/>
          <w:szCs w:val="72"/>
          <w:lang w:val="sr-Cyrl-CS"/>
        </w:rPr>
        <w:t>,</w:t>
      </w:r>
      <w:r w:rsidRPr="00646254">
        <w:rPr>
          <w:rFonts w:cstheme="minorHAnsi"/>
          <w:bCs/>
          <w:szCs w:val="72"/>
          <w:lang w:val="sr-Cyrl-CS"/>
        </w:rPr>
        <w:t xml:space="preserve"> како перманентним повећањем инвестиција</w:t>
      </w:r>
      <w:r w:rsidR="00AA3EEE" w:rsidRPr="00646254">
        <w:rPr>
          <w:rFonts w:cstheme="minorHAnsi"/>
          <w:bCs/>
          <w:szCs w:val="72"/>
          <w:lang w:val="sr-Cyrl-CS"/>
        </w:rPr>
        <w:t>,</w:t>
      </w:r>
      <w:r w:rsidRPr="00646254">
        <w:rPr>
          <w:rFonts w:cstheme="minorHAnsi"/>
          <w:bCs/>
          <w:szCs w:val="72"/>
          <w:lang w:val="sr-Cyrl-CS"/>
        </w:rPr>
        <w:t xml:space="preserve"> тако и растом потрошње домаћинстава услед раста животног стандарда становништва. </w:t>
      </w:r>
      <w:r w:rsidR="00AA3EEE" w:rsidRPr="00646254">
        <w:rPr>
          <w:rFonts w:cstheme="minorHAnsi"/>
          <w:bCs/>
          <w:szCs w:val="72"/>
          <w:lang w:val="sr-Cyrl-CS"/>
        </w:rPr>
        <w:t>С</w:t>
      </w:r>
      <w:r w:rsidRPr="00646254">
        <w:rPr>
          <w:rFonts w:cstheme="minorHAnsi"/>
          <w:bCs/>
          <w:szCs w:val="72"/>
          <w:lang w:val="sr-Cyrl-CS"/>
        </w:rPr>
        <w:t xml:space="preserve">рпска привреда ће </w:t>
      </w:r>
      <w:r w:rsidR="00AA3EEE" w:rsidRPr="00646254">
        <w:rPr>
          <w:rFonts w:cstheme="minorHAnsi"/>
          <w:bCs/>
          <w:szCs w:val="72"/>
          <w:lang w:val="sr-Cyrl-CS"/>
        </w:rPr>
        <w:t xml:space="preserve">годишње у просеку </w:t>
      </w:r>
      <w:r w:rsidRPr="00646254">
        <w:rPr>
          <w:rFonts w:cstheme="minorHAnsi"/>
          <w:bCs/>
          <w:szCs w:val="72"/>
          <w:lang w:val="sr-Cyrl-CS"/>
        </w:rPr>
        <w:t>расти по стопи од 4,8%</w:t>
      </w:r>
      <w:r w:rsidR="00AA3EEE" w:rsidRPr="00646254">
        <w:rPr>
          <w:rFonts w:cstheme="minorHAnsi"/>
          <w:bCs/>
          <w:szCs w:val="72"/>
          <w:lang w:val="sr-Cyrl-CS"/>
        </w:rPr>
        <w:t>,</w:t>
      </w:r>
      <w:r w:rsidRPr="00646254">
        <w:rPr>
          <w:rFonts w:cstheme="minorHAnsi"/>
          <w:bCs/>
          <w:szCs w:val="72"/>
          <w:lang w:val="sr-Cyrl-CS"/>
        </w:rPr>
        <w:t xml:space="preserve"> што је ревизија навише за 0,8 п.п. у односу на ранија очекивања, пре свега услед трајног раста потенцијала привреде. Повећање приватне потрошње пројектовано је по нижој стопи од убрзања привредне активности и у просеку ће износити 3,5%. Ово повећање у себи не садржи нарушавајуће елементе, засновано је на здравим изворима, пре свега на повећању запослености</w:t>
      </w:r>
      <w:r w:rsidR="002815B4" w:rsidRPr="00646254">
        <w:rPr>
          <w:rFonts w:cstheme="minorHAnsi"/>
          <w:bCs/>
          <w:szCs w:val="72"/>
          <w:lang w:val="sr-Cyrl-CS"/>
        </w:rPr>
        <w:t>,</w:t>
      </w:r>
      <w:r w:rsidRPr="00646254">
        <w:rPr>
          <w:rFonts w:cstheme="minorHAnsi"/>
          <w:bCs/>
          <w:szCs w:val="72"/>
          <w:lang w:val="sr-Cyrl-CS"/>
        </w:rPr>
        <w:t xml:space="preserve"> али и повољном утицају ценовних и кредитних кретања на расположиви доходак. Очекује се стабилан раст инвестиција, у просеку од 7,8% годишње, што ће постепено подизати њихово учешће у структури БДП које би на крају пројекцијског периода требало да износи близу 25%. Са опоравком спољне тражње и активирањем нових производних капацитета повећаваће се и обим спољнотрговинске размене. Поред тога, ефектуирање СДИ из претходног периода допринеће повећању конкуренције и утицати на ефикасност домаћих произвођача, док ће са друге стране бити активирани нови канали продаје и отворене нове тржишне нише. Извоз ће у просеку годишње расти по стопи од 9,9%, што је брже од очекиваног годишњег раста увоза који ће у просеку износити 8,0%. Оваква динамика спољнотрговинских токова омогућиће одржавање платнобилансног дефицита на нивоу од око 4% током пројекцијског периода. Посматрано на страни понуде, услужни сектор и индустрија ће задржати улогу доминантних извора раста и повећавати креирану БДВ у просеку годишње за 4,4% и 6,9%, респективно. Позитиван допринос ће доћи и од раста грађевинске активности који ће у просеку износити 9,4%. Достизање европских стандарда и подизање конкурентности у пољопривреди, испуњењем услова за отварање Поглавља 11 и кроз коришћење ИПАРД програма ЕУ, смањиће варијабилност производње овог сектора изазвану агрометеоролошким условима.</w:t>
      </w:r>
    </w:p>
    <w:p w14:paraId="73C3EE6D" w14:textId="77777777" w:rsidR="00426178" w:rsidRPr="00646254" w:rsidRDefault="00426178" w:rsidP="008217BC">
      <w:pPr>
        <w:rPr>
          <w:rFonts w:cstheme="minorHAnsi"/>
          <w:bCs/>
          <w:szCs w:val="72"/>
          <w:lang w:val="sr-Cyrl-CS"/>
        </w:rPr>
      </w:pPr>
      <w:r w:rsidRPr="00646254">
        <w:rPr>
          <w:rFonts w:cstheme="minorHAnsi"/>
          <w:bCs/>
          <w:szCs w:val="72"/>
          <w:lang w:val="sr-Cyrl-CS"/>
        </w:rPr>
        <w:t>Влада и овим трогодишњим сценариом остаје посвећена очувању модела привредног раста који се заснива на инвестицијама и извозу, а који је подржан растом приватне потрошње на реалним и здравим изворима. Удео бруто инвестиција у основна средства у БДП ће на крају 2024. године бити 24,6% што је за око 2 п.п. већи удео у односу на предпандемијски ниво, док ће се истовремено учешће извоза роба и услуга повећати за 7,4 п.п. Државна потрошња ће након скока у 2020. години постепено смањивати своје учешће у БДП, тако да ће на крају пројекцијског периода бити приближна нивоу из 2019. године.</w:t>
      </w:r>
    </w:p>
    <w:p w14:paraId="3E9ED431" w14:textId="2672D8DC" w:rsidR="00426178" w:rsidRPr="00646254" w:rsidRDefault="00426178" w:rsidP="008217BC">
      <w:pPr>
        <w:rPr>
          <w:rFonts w:cstheme="minorHAnsi"/>
          <w:bCs/>
          <w:szCs w:val="72"/>
          <w:lang w:val="sr-Cyrl-CS"/>
        </w:rPr>
      </w:pPr>
      <w:r w:rsidRPr="00646254">
        <w:rPr>
          <w:rFonts w:cstheme="minorHAnsi"/>
          <w:bCs/>
          <w:szCs w:val="72"/>
          <w:lang w:val="sr-Cyrl-CS"/>
        </w:rPr>
        <w:t xml:space="preserve">Влада својим активностима и мерама покушава да оснажи инвестициону и извозну компоненту БДП. Убрзање свих административних процедура које прате ове активности, пореско растерећење привреде са циљем подизања њене конкурентности, потписивање споразума којима се обезбеђује очување постојећих и отварање нових ино тржишта, интензивније и ефикасније извођење инфраструктурних радова, реализација пројеката из зелене агенде само </w:t>
      </w:r>
      <w:r w:rsidR="002C406F" w:rsidRPr="00646254">
        <w:rPr>
          <w:rFonts w:cstheme="minorHAnsi"/>
          <w:bCs/>
          <w:szCs w:val="72"/>
          <w:lang w:val="sr-Cyrl-CS"/>
        </w:rPr>
        <w:t xml:space="preserve">су </w:t>
      </w:r>
      <w:r w:rsidRPr="00646254">
        <w:rPr>
          <w:rFonts w:cstheme="minorHAnsi"/>
          <w:bCs/>
          <w:szCs w:val="72"/>
          <w:lang w:val="sr-Cyrl-CS"/>
        </w:rPr>
        <w:t>неке од мера које треба да обезбеде здраве фундаменте за раст потенцијалног БДП. Доследност у очувању фискалне стабилности спречава генерисање неравнотежа и креирање неизвесности, а реформски процеси треба да обезбеде снажнију позитивну динамику основних макроекономских варијабли. Дигитална трансформација и изградња дигиталног екосистема остаје стратешка ор</w:t>
      </w:r>
      <w:r w:rsidR="0071090E" w:rsidRPr="00646254">
        <w:rPr>
          <w:rFonts w:cstheme="minorHAnsi"/>
          <w:bCs/>
          <w:szCs w:val="72"/>
          <w:lang w:val="sr-Cyrl-CS"/>
        </w:rPr>
        <w:t>и</w:t>
      </w:r>
      <w:r w:rsidRPr="00646254">
        <w:rPr>
          <w:rFonts w:cstheme="minorHAnsi"/>
          <w:bCs/>
          <w:szCs w:val="72"/>
          <w:lang w:val="sr-Cyrl-CS"/>
        </w:rPr>
        <w:t>јентација Владе. Ефикаснији рад државне администрације, скраћивање процедура становништву и привреди са фокусом на дигитализацију</w:t>
      </w:r>
      <w:r w:rsidR="0071090E" w:rsidRPr="00646254">
        <w:rPr>
          <w:rFonts w:cstheme="minorHAnsi"/>
          <w:bCs/>
          <w:szCs w:val="72"/>
          <w:lang w:val="sr-Cyrl-CS"/>
        </w:rPr>
        <w:t>,</w:t>
      </w:r>
      <w:r w:rsidRPr="00646254">
        <w:rPr>
          <w:rFonts w:cstheme="minorHAnsi"/>
          <w:bCs/>
          <w:szCs w:val="72"/>
          <w:lang w:val="sr-Cyrl-CS"/>
        </w:rPr>
        <w:t xml:space="preserve"> убрзаће конвергенцију наше привреде ка развијеним земљама. Нови систем фискализа</w:t>
      </w:r>
      <w:r w:rsidR="0071090E" w:rsidRPr="00646254">
        <w:rPr>
          <w:rFonts w:cstheme="minorHAnsi"/>
          <w:bCs/>
          <w:szCs w:val="72"/>
          <w:lang w:val="sr-Cyrl-CS"/>
        </w:rPr>
        <w:t>ције и измене царинских прописа</w:t>
      </w:r>
      <w:r w:rsidRPr="00646254">
        <w:rPr>
          <w:rFonts w:cstheme="minorHAnsi"/>
          <w:bCs/>
          <w:szCs w:val="72"/>
          <w:lang w:val="sr-Cyrl-CS"/>
        </w:rPr>
        <w:t xml:space="preserve"> смањиће учешће сиве економије у укупним привредним токовима, обезбедити афирмативно конкурентско надметање и побољшати економичност и ефикасност процедура.</w:t>
      </w:r>
    </w:p>
    <w:p w14:paraId="6E3F3ABC" w14:textId="77777777" w:rsidR="00426178" w:rsidRPr="00646254" w:rsidRDefault="00426178" w:rsidP="00426178">
      <w:pPr>
        <w:pStyle w:val="NoSpacing"/>
        <w:jc w:val="center"/>
        <w:rPr>
          <w:rFonts w:cstheme="minorHAnsi"/>
          <w:color w:val="002060"/>
          <w:lang w:val="sr-Cyrl-CS"/>
        </w:rPr>
      </w:pPr>
      <w:r w:rsidRPr="00646254">
        <w:rPr>
          <w:rFonts w:cstheme="minorHAnsi"/>
          <w:color w:val="002060"/>
          <w:lang w:val="sr-Cyrl-CS"/>
        </w:rPr>
        <w:t>Доприноси фактора производње потенцијалној стопи раста БДП, п.п.</w:t>
      </w:r>
    </w:p>
    <w:p w14:paraId="0ABD1D76" w14:textId="77777777" w:rsidR="00426178" w:rsidRPr="00646254" w:rsidRDefault="00426178" w:rsidP="002B644D">
      <w:pPr>
        <w:spacing w:after="0"/>
        <w:rPr>
          <w:rFonts w:cstheme="minorHAnsi"/>
          <w:b/>
          <w:bCs/>
          <w:sz w:val="16"/>
          <w:szCs w:val="72"/>
          <w:lang w:val="sr-Cyrl-CS"/>
        </w:rPr>
      </w:pPr>
      <w:r w:rsidRPr="00646254">
        <w:rPr>
          <w:noProof/>
        </w:rPr>
        <w:drawing>
          <wp:inline distT="0" distB="0" distL="0" distR="0" wp14:anchorId="443B46FC" wp14:editId="311F1C79">
            <wp:extent cx="2743200" cy="2135505"/>
            <wp:effectExtent l="0" t="0" r="0" b="0"/>
            <wp:docPr id="23" name="Chart 23">
              <a:extLst xmlns:a="http://schemas.openxmlformats.org/drawingml/2006/main">
                <a:ext uri="{FF2B5EF4-FFF2-40B4-BE49-F238E27FC236}">
                  <a16:creationId xmlns:a16="http://schemas.microsoft.com/office/drawing/2014/main" id="{00000000-0008-0000-0D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14:paraId="141FDF5B" w14:textId="77777777" w:rsidR="00426178" w:rsidRPr="00646254" w:rsidRDefault="00426178" w:rsidP="008217BC">
      <w:pPr>
        <w:rPr>
          <w:rFonts w:cstheme="minorHAnsi"/>
          <w:sz w:val="16"/>
          <w:lang w:val="sr-Cyrl-CS"/>
        </w:rPr>
      </w:pPr>
      <w:r w:rsidRPr="00646254">
        <w:rPr>
          <w:rFonts w:cstheme="minorHAnsi"/>
          <w:sz w:val="16"/>
          <w:lang w:val="sr-Cyrl-CS"/>
        </w:rPr>
        <w:t>Извор: Министарство финансија</w:t>
      </w:r>
    </w:p>
    <w:p w14:paraId="7E682274" w14:textId="723C0FEA" w:rsidR="00CA7E88" w:rsidRPr="00646254" w:rsidRDefault="00426178" w:rsidP="00426178">
      <w:pPr>
        <w:rPr>
          <w:rFonts w:cstheme="minorHAnsi"/>
          <w:bCs/>
          <w:szCs w:val="72"/>
          <w:lang w:val="sr-Cyrl-CS"/>
        </w:rPr>
      </w:pPr>
      <w:r w:rsidRPr="00646254">
        <w:rPr>
          <w:rFonts w:cstheme="minorHAnsi"/>
          <w:bCs/>
          <w:szCs w:val="72"/>
          <w:lang w:val="sr-Cyrl-CS"/>
        </w:rPr>
        <w:t>Према централном сценарију, у средњорочном периоду се очекује убрзање раста потенцијалног БДП. Након повећања од 4,1% у 2021. години, потенцијални БДП ће се постепено повећавати и достићи стопу од 5%. Убрзање реализације капиталних пројеката и наставак започетог инвестиционог циклуса подржани, како стабилним приливом СДИ, тако и домаћим иновативним активностима, обезбедиће све снажнији допринос капитала и факторске продуктивности расту потенцијалног БДП. Дигитализација ће значајно убрзати ове процесе и додатно подићи ефикасност расположивих капацитета. Влада ће спровести свеобухватну агенду структурних и институционалних реформи, како би се подстакао високи, зелени, инклузивни и одрживи раст у средњорочном периоду. Адекватна и</w:t>
      </w:r>
      <w:r w:rsidR="00162070" w:rsidRPr="00646254">
        <w:rPr>
          <w:rFonts w:cstheme="minorHAnsi"/>
          <w:bCs/>
          <w:szCs w:val="72"/>
          <w:lang w:val="sr-Cyrl-CS"/>
        </w:rPr>
        <w:t xml:space="preserve"> са фискалном политиком</w:t>
      </w:r>
      <w:r w:rsidRPr="00646254">
        <w:rPr>
          <w:rFonts w:cstheme="minorHAnsi"/>
          <w:bCs/>
          <w:szCs w:val="72"/>
          <w:lang w:val="sr-Cyrl-CS"/>
        </w:rPr>
        <w:t xml:space="preserve"> синхронизована монетарна политика, даља унапређења финансијског система, подизање кредибилитета и атрактивности код инвеститора, реформа система просвете и његово прилагођавање потребама привреде, као и модернизација образовних програма, трансфер знања и технологија из најразвијенијих земаља треба да обезбеде позитиван утицај на оба фактора производње. Са друге стране, јачање владавине закона, реформа законодавства из области привреде и пословања, убрзање процедура и подизање ефикасности администрације треба да обезбеде максимизацију факторске продуктивности у средњем року. Повољна кретања на тржишту рада ће такође допринети расту потенцијалног БДП</w:t>
      </w:r>
      <w:r w:rsidR="008330F0" w:rsidRPr="00646254">
        <w:rPr>
          <w:rFonts w:cstheme="minorHAnsi"/>
          <w:bCs/>
          <w:szCs w:val="72"/>
          <w:lang w:val="sr-Cyrl-CS"/>
        </w:rPr>
        <w:t>,</w:t>
      </w:r>
      <w:r w:rsidRPr="00646254">
        <w:rPr>
          <w:rFonts w:cstheme="minorHAnsi"/>
          <w:bCs/>
          <w:szCs w:val="72"/>
          <w:lang w:val="sr-Cyrl-CS"/>
        </w:rPr>
        <w:t xml:space="preserve"> али споријим темпом него у претходном периоду.</w:t>
      </w:r>
    </w:p>
    <w:p w14:paraId="164A1E77" w14:textId="77777777" w:rsidR="00426178" w:rsidRPr="00646254" w:rsidRDefault="00426178" w:rsidP="00426178">
      <w:pPr>
        <w:rPr>
          <w:rFonts w:cstheme="minorHAnsi"/>
          <w:bCs/>
          <w:szCs w:val="72"/>
          <w:lang w:val="sr-Cyrl-CS"/>
        </w:rPr>
        <w:sectPr w:rsidR="00426178" w:rsidRPr="00646254" w:rsidSect="00426178">
          <w:type w:val="continuous"/>
          <w:pgSz w:w="12240" w:h="15840"/>
          <w:pgMar w:top="1440" w:right="1440" w:bottom="1440" w:left="1440" w:header="720" w:footer="720" w:gutter="0"/>
          <w:cols w:num="2" w:space="720"/>
          <w:docGrid w:linePitch="360"/>
          <w15:footnoteColumns w:val="1"/>
        </w:sectPr>
      </w:pPr>
    </w:p>
    <w:p w14:paraId="351A4040" w14:textId="77777777" w:rsidR="00CA7E88" w:rsidRPr="00646254" w:rsidRDefault="00CA7E88">
      <w:pPr>
        <w:jc w:val="left"/>
        <w:rPr>
          <w:rFonts w:cstheme="minorHAnsi"/>
          <w:b/>
          <w:color w:val="2F5496" w:themeColor="accent1" w:themeShade="BF"/>
          <w:sz w:val="22"/>
          <w:lang w:val="sr-Cyrl-CS"/>
        </w:rPr>
      </w:pPr>
      <w:r w:rsidRPr="00646254">
        <w:rPr>
          <w:rFonts w:cstheme="minorHAnsi"/>
          <w:b/>
          <w:color w:val="2F5496" w:themeColor="accent1" w:themeShade="BF"/>
          <w:sz w:val="22"/>
          <w:lang w:val="sr-Cyrl-CS"/>
        </w:rPr>
        <w:br w:type="page"/>
      </w:r>
    </w:p>
    <w:p w14:paraId="534CC761" w14:textId="178DC70F" w:rsidR="00CA7E88" w:rsidRPr="00646254" w:rsidRDefault="00CA7E88" w:rsidP="00161001">
      <w:pPr>
        <w:spacing w:before="40"/>
        <w:rPr>
          <w:rFonts w:cstheme="minorHAnsi"/>
          <w:bCs/>
          <w:color w:val="2F5496" w:themeColor="accent1" w:themeShade="BF"/>
          <w:szCs w:val="72"/>
          <w:lang w:val="sr-Cyrl-CS"/>
        </w:rPr>
      </w:pPr>
      <w:r w:rsidRPr="00646254">
        <w:rPr>
          <w:rFonts w:cstheme="minorHAnsi"/>
          <w:b/>
          <w:color w:val="2F5496" w:themeColor="accent1" w:themeShade="BF"/>
          <w:sz w:val="22"/>
          <w:lang w:val="sr-Cyrl-CS"/>
        </w:rPr>
        <w:t>Тржиште рада</w:t>
      </w:r>
    </w:p>
    <w:p w14:paraId="4389C0F6" w14:textId="77777777" w:rsidR="00CA7E88" w:rsidRPr="00646254" w:rsidRDefault="00CA7E88" w:rsidP="00E96A1D">
      <w:pPr>
        <w:rPr>
          <w:rFonts w:cstheme="minorHAnsi"/>
          <w:bCs/>
          <w:szCs w:val="72"/>
          <w:lang w:val="sr-Cyrl-CS"/>
        </w:rPr>
      </w:pPr>
      <w:r w:rsidRPr="00646254">
        <w:rPr>
          <w:rFonts w:cstheme="minorHAnsi"/>
          <w:bCs/>
          <w:szCs w:val="72"/>
          <w:lang w:val="sr-Cyrl-CS"/>
        </w:rPr>
        <w:t>Као резултат враћања на путању снажног привредног раста и опште стабилности економије, а подржано процесом вакцинације становништва и отварањем економије, 2021. годину карактеришу боља од очекиваних кретања на тржишту рада, нарочито код зарада. Успех економског пакета мера верификован је изостанком значајнијих негативних ефеката пандемије на тржиште рада, те су у значајној мери очувана радна места и зараде, како у приватном тако и у јавном сектору, а сценарио осетнијег повећања незапослености је избегнут.</w:t>
      </w:r>
    </w:p>
    <w:p w14:paraId="16BC665A" w14:textId="1E30826B" w:rsidR="00CA7E88" w:rsidRPr="00646254" w:rsidRDefault="00CA7E88" w:rsidP="00E96A1D">
      <w:pPr>
        <w:rPr>
          <w:rFonts w:cstheme="minorHAnsi"/>
          <w:bCs/>
          <w:szCs w:val="72"/>
          <w:lang w:val="sr-Cyrl-CS"/>
        </w:rPr>
      </w:pPr>
      <w:r w:rsidRPr="00646254">
        <w:rPr>
          <w:rFonts w:cstheme="minorHAnsi"/>
          <w:bCs/>
          <w:szCs w:val="72"/>
          <w:lang w:val="sr-Cyrl-CS"/>
        </w:rPr>
        <w:t>Према подацима Централног регистра обавезног социјалног осигурања, у периоду јануар–август, просечан број запослених би</w:t>
      </w:r>
      <w:r w:rsidR="00CB65A0" w:rsidRPr="00646254">
        <w:rPr>
          <w:rFonts w:cstheme="minorHAnsi"/>
          <w:bCs/>
          <w:szCs w:val="72"/>
          <w:lang w:val="sr-Cyrl-CS"/>
        </w:rPr>
        <w:t>о је већи за 3,4%</w:t>
      </w:r>
      <w:r w:rsidRPr="00646254">
        <w:rPr>
          <w:rFonts w:cstheme="minorHAnsi"/>
          <w:bCs/>
          <w:szCs w:val="72"/>
          <w:lang w:val="sr-Cyrl-CS"/>
        </w:rPr>
        <w:t xml:space="preserve"> у поређењу са истим периодом претходне године, што је било, пре свега резултат раста запослености у приватном сектору (4,5%), док је у јавном сектору раст износио 0,4%. Истовремено</w:t>
      </w:r>
      <w:r w:rsidR="00CB65A0" w:rsidRPr="00646254">
        <w:rPr>
          <w:rFonts w:cstheme="minorHAnsi"/>
          <w:bCs/>
          <w:szCs w:val="72"/>
          <w:lang w:val="sr-Cyrl-CS"/>
        </w:rPr>
        <w:t>,</w:t>
      </w:r>
      <w:r w:rsidRPr="00646254">
        <w:rPr>
          <w:rFonts w:cstheme="minorHAnsi"/>
          <w:bCs/>
          <w:szCs w:val="72"/>
          <w:lang w:val="sr-Cyrl-CS"/>
        </w:rPr>
        <w:t xml:space="preserve"> најснажнији секторски допринос расту запослености долази од прерађивачке индустрије, трговине и ИКТ. Према подацима Националне службе за запошљавање, у истом периоду, број лица која активно траже запослење повећан је за 2,2%, али је то, пре свега било последица привременог повећања у марту и априлу, узрокованог једнократним факторима, те је тако већ у августу забележено међугодишње смањење броја незапослених за 0,4%.</w:t>
      </w:r>
    </w:p>
    <w:p w14:paraId="54AF3B06" w14:textId="1467D553" w:rsidR="00CA7E88" w:rsidRPr="00646254" w:rsidRDefault="00CA7E88" w:rsidP="00E96A1D">
      <w:pPr>
        <w:rPr>
          <w:spacing w:val="-2"/>
          <w:lang w:val="sr-Cyrl-CS"/>
        </w:rPr>
      </w:pPr>
      <w:r w:rsidRPr="00646254">
        <w:rPr>
          <w:rFonts w:cstheme="minorHAnsi"/>
          <w:bCs/>
          <w:szCs w:val="72"/>
          <w:lang w:val="sr-Cyrl-CS"/>
        </w:rPr>
        <w:t>Према подацима Анкете о радној снази након стопе незапослености од 12,8% у првом кварталу, током другог тромесечја 2021. године стопа незапослености је смањена на 11,1%. Међутим, посматрано у односу на исти период претходне године била је већа за 3,2 п.п. Овакав раст стопе незапослености био је, пре свега, последица околности присутних у 2020. години. Наиме, услед мера против пандемије добар део становништва био је спречен да ради или је долазило до одустајања од тражења посла. Тако је тај део популације, према методологији међународне организације рада (МОР), сврставан у контингент становништва ван радне снаге, дакле они нису сматрани незапосленима. Као последица овога</w:t>
      </w:r>
      <w:r w:rsidR="00D0226B" w:rsidRPr="00646254">
        <w:rPr>
          <w:rFonts w:cstheme="minorHAnsi"/>
          <w:bCs/>
          <w:szCs w:val="72"/>
          <w:lang w:val="sr-Cyrl-CS"/>
        </w:rPr>
        <w:t>,</w:t>
      </w:r>
      <w:r w:rsidRPr="00646254">
        <w:rPr>
          <w:rFonts w:cstheme="minorHAnsi"/>
          <w:bCs/>
          <w:szCs w:val="72"/>
          <w:lang w:val="sr-Cyrl-CS"/>
        </w:rPr>
        <w:t xml:space="preserve"> стопа становништва ван радне снаге је у другом кварталу 2020. године била на изразито високом нивоу од 49,8%, док је стопа незапослености износила ниских 7,9%. У другом кварталу 2021. године стопа становништва ван радне снаге била је значајно смањена за чак 4,1 п.п, и износила је 45,7%. Ово је показатељ опоравка на тржишту рада, услед враћања на ниво пре кризе изазване пандемијом и поред повећања стопе незапослености. </w:t>
      </w:r>
      <w:r w:rsidRPr="00646254">
        <w:rPr>
          <w:rFonts w:cstheme="minorHAnsi"/>
          <w:bCs/>
          <w:spacing w:val="-2"/>
          <w:szCs w:val="72"/>
          <w:lang w:val="sr-Cyrl-CS"/>
        </w:rPr>
        <w:t xml:space="preserve">Смањењем становништва ван радне снаге у Q2 2021. </w:t>
      </w:r>
      <w:r w:rsidR="00D0226B" w:rsidRPr="00646254">
        <w:rPr>
          <w:rFonts w:cstheme="minorHAnsi"/>
          <w:bCs/>
          <w:spacing w:val="-2"/>
          <w:szCs w:val="72"/>
          <w:lang w:val="sr-Cyrl-CS"/>
        </w:rPr>
        <w:t>године,</w:t>
      </w:r>
      <w:r w:rsidRPr="00646254">
        <w:rPr>
          <w:rFonts w:cstheme="minorHAnsi"/>
          <w:bCs/>
          <w:spacing w:val="-2"/>
          <w:szCs w:val="72"/>
          <w:lang w:val="sr-Cyrl-CS"/>
        </w:rPr>
        <w:t xml:space="preserve"> у поређењу са истим периодом 2020. године</w:t>
      </w:r>
      <w:r w:rsidR="00D0226B" w:rsidRPr="00646254">
        <w:rPr>
          <w:rFonts w:cstheme="minorHAnsi"/>
          <w:bCs/>
          <w:spacing w:val="-2"/>
          <w:szCs w:val="72"/>
          <w:lang w:val="sr-Cyrl-CS"/>
        </w:rPr>
        <w:t>,</w:t>
      </w:r>
      <w:r w:rsidRPr="00646254">
        <w:rPr>
          <w:rFonts w:cstheme="minorHAnsi"/>
          <w:bCs/>
          <w:spacing w:val="-2"/>
          <w:szCs w:val="72"/>
          <w:lang w:val="sr-Cyrl-CS"/>
        </w:rPr>
        <w:t xml:space="preserve"> дошло је до приближно једнаког повећања незапослености и запослености, те је тако стопа незапослености повећана са 7,9% на 11,1%, а стопа запослености са 46,3% на 48,3%. Изразито позитивно кретање се бележи код младог становништва, где је повећана стопа запослености за 7,8 п.п, на 25,9%. Истовремено</w:t>
      </w:r>
      <w:r w:rsidR="007A7E64" w:rsidRPr="00646254">
        <w:rPr>
          <w:rFonts w:cstheme="minorHAnsi"/>
          <w:bCs/>
          <w:spacing w:val="-2"/>
          <w:szCs w:val="72"/>
          <w:lang w:val="sr-Cyrl-CS"/>
        </w:rPr>
        <w:t xml:space="preserve"> је</w:t>
      </w:r>
      <w:r w:rsidRPr="00646254">
        <w:rPr>
          <w:rFonts w:cstheme="minorHAnsi"/>
          <w:bCs/>
          <w:spacing w:val="-2"/>
          <w:szCs w:val="72"/>
          <w:lang w:val="sr-Cyrl-CS"/>
        </w:rPr>
        <w:t xml:space="preserve"> смањена стопа становништва ван радне снаге за 10,1 п.п, док је стопа незапослености благо повећана за 0,5 п.п. на 22,2%.</w:t>
      </w:r>
    </w:p>
    <w:p w14:paraId="61783516" w14:textId="77777777" w:rsidR="00CA7E88" w:rsidRPr="00646254" w:rsidRDefault="00CA7E88" w:rsidP="00642143">
      <w:pPr>
        <w:spacing w:after="120"/>
        <w:rPr>
          <w:rFonts w:cstheme="minorHAnsi"/>
          <w:bCs/>
          <w:szCs w:val="72"/>
          <w:lang w:val="sr-Cyrl-CS"/>
        </w:rPr>
      </w:pPr>
      <w:r w:rsidRPr="00646254">
        <w:rPr>
          <w:rFonts w:cstheme="minorHAnsi"/>
          <w:bCs/>
          <w:szCs w:val="72"/>
          <w:lang w:val="sr-Cyrl-CS"/>
        </w:rPr>
        <w:t>У периоду јануар–јул просечна нето зарада је реално повећана за 6,0%, мг. и износила је 64.358 динара, при чему је око четири петине раста потекло од приватног сектора. Посматрано по делатностима, више од половине укупног раста зарада било је опредељено растом зарада у прерађивачкој индустрији, трговини и здравству.</w:t>
      </w:r>
    </w:p>
    <w:p w14:paraId="5B997A03" w14:textId="77777777" w:rsidR="00CA7E88" w:rsidRPr="00646254" w:rsidRDefault="00CA7E88" w:rsidP="00642143">
      <w:pPr>
        <w:pStyle w:val="Caption"/>
        <w:keepNext/>
        <w:spacing w:after="80"/>
        <w:rPr>
          <w:rFonts w:cstheme="minorHAnsi"/>
          <w:b w:val="0"/>
          <w:i/>
          <w:iCs w:val="0"/>
          <w:szCs w:val="22"/>
          <w:lang w:val="sr-Cyrl-CS"/>
        </w:rPr>
      </w:pPr>
      <w:r w:rsidRPr="00646254">
        <w:rPr>
          <w:rFonts w:cstheme="minorHAnsi"/>
          <w:iCs w:val="0"/>
          <w:szCs w:val="22"/>
          <w:lang w:val="sr-Cyrl-CS"/>
        </w:rPr>
        <w:t>Кретање основних показатеља тржишта рада</w:t>
      </w:r>
    </w:p>
    <w:p w14:paraId="29EAA9F2" w14:textId="77777777" w:rsidR="00CA7E88" w:rsidRPr="00646254" w:rsidRDefault="00CA7E88" w:rsidP="0074685C">
      <w:pPr>
        <w:spacing w:after="0"/>
        <w:rPr>
          <w:rFonts w:cstheme="minorHAnsi"/>
          <w:bCs/>
          <w:szCs w:val="72"/>
          <w:lang w:val="sr-Cyrl-CS"/>
        </w:rPr>
      </w:pPr>
      <w:r w:rsidRPr="00646254">
        <w:rPr>
          <w:noProof/>
        </w:rPr>
        <w:drawing>
          <wp:inline distT="0" distB="0" distL="0" distR="0" wp14:anchorId="368F25E5" wp14:editId="2CADA3C0">
            <wp:extent cx="2743200" cy="1680845"/>
            <wp:effectExtent l="0" t="0" r="0" b="14605"/>
            <wp:docPr id="30" name="Chart 30">
              <a:extLst xmlns:a="http://schemas.openxmlformats.org/drawingml/2006/main">
                <a:ext uri="{FF2B5EF4-FFF2-40B4-BE49-F238E27FC236}">
                  <a16:creationId xmlns:a16="http://schemas.microsoft.com/office/drawing/2014/main" id="{00000000-0008-0000-0E00-00000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p w14:paraId="2A866F20" w14:textId="77777777" w:rsidR="00CA7E88" w:rsidRPr="00646254" w:rsidRDefault="00CA7E88" w:rsidP="0074685C">
      <w:pPr>
        <w:spacing w:before="40"/>
        <w:rPr>
          <w:rFonts w:cstheme="minorHAnsi"/>
          <w:bCs/>
          <w:szCs w:val="72"/>
          <w:lang w:val="sr-Cyrl-CS"/>
        </w:rPr>
      </w:pPr>
      <w:r w:rsidRPr="00646254">
        <w:rPr>
          <w:rFonts w:cstheme="minorHAnsi"/>
          <w:bCs/>
          <w:sz w:val="16"/>
          <w:szCs w:val="72"/>
          <w:lang w:val="sr-Cyrl-CS"/>
        </w:rPr>
        <w:t>Извор: РЗС</w:t>
      </w:r>
    </w:p>
    <w:p w14:paraId="0261D9AC" w14:textId="0C0385BC" w:rsidR="00CA7E88" w:rsidRPr="00646254" w:rsidRDefault="00CA7E88" w:rsidP="00C130D2">
      <w:pPr>
        <w:rPr>
          <w:rFonts w:cstheme="minorHAnsi"/>
          <w:bCs/>
          <w:szCs w:val="72"/>
          <w:highlight w:val="darkYellow"/>
          <w:lang w:val="sr-Cyrl-CS"/>
        </w:rPr>
      </w:pPr>
      <w:r w:rsidRPr="00646254">
        <w:rPr>
          <w:rFonts w:cstheme="minorHAnsi"/>
          <w:bCs/>
          <w:szCs w:val="72"/>
          <w:lang w:val="sr-Cyrl-CS"/>
        </w:rPr>
        <w:t>Досадашња повољна макроекономска кретања и добро одмерене мере креатора економске политике, као одговор на пандемију, а које су биле усмерене, пре свега на одржавање привредног раста и очување запослености, али и потпуно отварање економије, које је омогућено процесом имунизације становништва, створили су снажну основу за наставак позитивних кретања на тржишту рада и у наредном периоду. Дакле, уз очекивани висок привредни раст, као и сталну посвећеност Владе повећању броја запослених</w:t>
      </w:r>
      <w:r w:rsidR="00A9743E" w:rsidRPr="00646254">
        <w:rPr>
          <w:rFonts w:cstheme="minorHAnsi"/>
          <w:bCs/>
          <w:szCs w:val="72"/>
          <w:lang w:val="sr-Cyrl-CS"/>
        </w:rPr>
        <w:t>,</w:t>
      </w:r>
      <w:r w:rsidRPr="00646254">
        <w:rPr>
          <w:rFonts w:cstheme="minorHAnsi"/>
          <w:bCs/>
          <w:szCs w:val="72"/>
          <w:lang w:val="sr-Cyrl-CS"/>
        </w:rPr>
        <w:t xml:space="preserve"> пројектује се наставак позитивних кретања на тржишту радне снаге, што ће у средњем року резултирати даљим смањењем стопе незапослености и растом зарада. Према Стратегији запошљавања, у посткризном периоду, посебно је важно осигурати стабилно финансирање мера активне политике запошљавања, како би се обезбедило да незапослена лица остану везана за тржиште рада, спречио губитак и застаревање знања и вештина незапослених лица и омогућило оспособљавање за радна места која ће бити креирана по изласку из кризе, а што доприноси дугорочном економском расту. Поред наведеног, позитивна очекивања су резултат континуираног рада на побољшању услова рада, унапређивању институција тржишта рада, подстицању запошљавања и укључивања на тржиште рада теже запошљивих лица, као и подршке регионалној и локалној политици запошљавања. Такође, континуирано се ради на унапређивању радне снаге у погледу квалитета, као и на улагању у људски капитал, све у циљу лакшег општег запошљавања, а нарочито у оном делу привреде који има већу додату вредност. Такође, након унапређења радног законодавства и донесених мера у правцу пореског растерећења рада, наставиће се смањивање броја запослених у сивој зони и њихово превођење у контингент формално запослених. Овим мерама ће услови рада, у погледу права и осигурања радника, бити побољшани, а позитиван ефекат ће се одразити и на приходе буџета. На крају средњорочног периода очекују се позитивни резултати активних мера обука, преквалификација и подршке социјалном предузетништву, чиме ће се олакшати доступност радних места социјално рањивим категоријама друштва и тиме додатно обезбедити инклузивност привредног раста. Ради економске одрживости, раст зарада у средњем и нарочито дужем року треба да буде заснован на расту продуктивности.</w:t>
      </w:r>
    </w:p>
    <w:p w14:paraId="7EE8540D" w14:textId="77777777" w:rsidR="00CA7E88" w:rsidRPr="00646254" w:rsidRDefault="00CA7E88" w:rsidP="00F97457">
      <w:pPr>
        <w:rPr>
          <w:rFonts w:cstheme="minorHAnsi"/>
          <w:b/>
          <w:color w:val="2F5496" w:themeColor="accent1" w:themeShade="BF"/>
          <w:sz w:val="22"/>
          <w:lang w:val="sr-Cyrl-CS"/>
        </w:rPr>
      </w:pPr>
      <w:r w:rsidRPr="00646254">
        <w:rPr>
          <w:rFonts w:cstheme="minorHAnsi"/>
          <w:b/>
          <w:color w:val="2F5496" w:themeColor="accent1" w:themeShade="BF"/>
          <w:sz w:val="22"/>
          <w:lang w:val="sr-Cyrl-CS"/>
        </w:rPr>
        <w:t>Монетарна кретања</w:t>
      </w:r>
    </w:p>
    <w:p w14:paraId="31ED7C40" w14:textId="7636B4BF" w:rsidR="00CA7E88" w:rsidRPr="00646254" w:rsidRDefault="00CA7E88" w:rsidP="00161001">
      <w:pPr>
        <w:pStyle w:val="Caption"/>
        <w:keepNext/>
        <w:jc w:val="both"/>
        <w:rPr>
          <w:rFonts w:cstheme="minorHAnsi"/>
          <w:b w:val="0"/>
          <w:iCs w:val="0"/>
          <w:color w:val="44546A" w:themeColor="text2"/>
          <w:szCs w:val="22"/>
          <w:lang w:val="sr-Cyrl-CS"/>
        </w:rPr>
      </w:pPr>
      <w:r w:rsidRPr="00646254">
        <w:rPr>
          <w:rFonts w:cstheme="minorHAnsi"/>
          <w:b w:val="0"/>
          <w:iCs w:val="0"/>
          <w:color w:val="44546A" w:themeColor="text2"/>
          <w:szCs w:val="22"/>
          <w:lang w:val="sr-Cyrl-CS"/>
        </w:rPr>
        <w:t xml:space="preserve">Као резултат, пре свега добро координисаних и одмерених економских мера Владе и НБС, у великој мери је очувана макроекономска, финансијска и фискална стабилност. На добре макроекономске резултате у време пандемије утицали су и претходни привредни раст, </w:t>
      </w:r>
      <w:r w:rsidR="00951372" w:rsidRPr="00646254">
        <w:rPr>
          <w:rFonts w:cstheme="minorHAnsi"/>
          <w:b w:val="0"/>
          <w:iCs w:val="0"/>
          <w:color w:val="44546A" w:themeColor="text2"/>
          <w:szCs w:val="22"/>
          <w:lang w:val="sr-Cyrl-CS"/>
        </w:rPr>
        <w:t>смањена интерна и екстерна неравнотежа, а по том основу и повећана отпорност домаће економије</w:t>
      </w:r>
      <w:r w:rsidRPr="00646254">
        <w:rPr>
          <w:rFonts w:cstheme="minorHAnsi"/>
          <w:b w:val="0"/>
          <w:iCs w:val="0"/>
          <w:color w:val="44546A" w:themeColor="text2"/>
          <w:szCs w:val="22"/>
          <w:lang w:val="sr-Cyrl-CS"/>
        </w:rPr>
        <w:t xml:space="preserve">. Добри резултати препознати су од стране рејтинг агенција, па је тако агенција Moody’s у марту повећала кредитни рејтинг Србије на Ба2 са стабилним изгледима, </w:t>
      </w:r>
      <w:r w:rsidR="00A9743E" w:rsidRPr="00646254">
        <w:rPr>
          <w:rFonts w:cstheme="minorHAnsi"/>
          <w:b w:val="0"/>
          <w:iCs w:val="0"/>
          <w:color w:val="44546A" w:themeColor="text2"/>
          <w:szCs w:val="22"/>
          <w:lang w:val="sr-Cyrl-CS"/>
        </w:rPr>
        <w:t>док</w:t>
      </w:r>
      <w:r w:rsidRPr="00646254">
        <w:rPr>
          <w:rFonts w:cstheme="minorHAnsi"/>
          <w:b w:val="0"/>
          <w:iCs w:val="0"/>
          <w:color w:val="44546A" w:themeColor="text2"/>
          <w:szCs w:val="22"/>
          <w:lang w:val="sr-Cyrl-CS"/>
        </w:rPr>
        <w:t xml:space="preserve"> агенције Fitch и S&amp;P нису мењале кредитни рејтинг. Очувана је и додатно ојачана банкарска стабилност, уз раст кредитне активности и значајно смањење учешћа </w:t>
      </w:r>
      <w:r w:rsidR="00740818" w:rsidRPr="00646254">
        <w:rPr>
          <w:rFonts w:cstheme="minorHAnsi"/>
          <w:b w:val="0"/>
          <w:iCs w:val="0"/>
          <w:color w:val="44546A" w:themeColor="text2"/>
          <w:szCs w:val="22"/>
          <w:lang w:val="sr-Cyrl-CS"/>
        </w:rPr>
        <w:t>проблематичних кредита</w:t>
      </w:r>
      <w:r w:rsidRPr="00646254">
        <w:rPr>
          <w:rFonts w:cstheme="minorHAnsi"/>
          <w:b w:val="0"/>
          <w:iCs w:val="0"/>
          <w:color w:val="44546A" w:themeColor="text2"/>
          <w:szCs w:val="22"/>
          <w:lang w:val="sr-Cyrl-CS"/>
        </w:rPr>
        <w:t>.</w:t>
      </w:r>
    </w:p>
    <w:p w14:paraId="7EC461A9" w14:textId="77777777" w:rsidR="00CA7E88" w:rsidRPr="00646254" w:rsidRDefault="00CA7E88" w:rsidP="00161001">
      <w:pPr>
        <w:pStyle w:val="Caption"/>
        <w:keepNext/>
        <w:jc w:val="both"/>
        <w:rPr>
          <w:rFonts w:cstheme="minorHAnsi"/>
          <w:b w:val="0"/>
          <w:iCs w:val="0"/>
          <w:color w:val="44546A" w:themeColor="text2"/>
          <w:szCs w:val="22"/>
          <w:lang w:val="sr-Cyrl-CS"/>
        </w:rPr>
      </w:pPr>
      <w:r w:rsidRPr="00646254">
        <w:rPr>
          <w:rFonts w:cstheme="minorHAnsi"/>
          <w:b w:val="0"/>
          <w:iCs w:val="0"/>
          <w:color w:val="44546A" w:themeColor="text2"/>
          <w:szCs w:val="22"/>
          <w:lang w:val="sr-Cyrl-CS"/>
        </w:rPr>
        <w:t>Кредитна активност бележи раст, који је подстакнут смањеним трошковима финансирања, до којих је дошло захваљујући ефектима ублажавања монетарне политике, али и снажног пада премије ризика, поправљања кредитног рејтинга, као и ублажавања монетарне политике ЕЦБ. На раст кредитне активности утицало је и одобравање динарских кредита из гарантне шеме по нижим каматним стопама, затим смањено обавезно учешће за куповину првог стана, смањен минимални степен изграђености објекта чију је куповину могуће финансирати стамбеним кредитима банака и продужавање рока отплате стамбених кредита. Такође, значајно је повећан удео динарских пласмана, што је резултат раста динарских кредита привреди (добрим делом из гарантне шеме), односно пада каматних стопа на динарске кредите, као и мере НБС у циљу подршке процесу динаризације. Позитиван допринос расту кредита долази и од кредита привреди и кредита становништву. Истовремено, у великој мери као резултат подстицања стамбених кредита, њихов допринос расту укупних кредита становништву је био најзначајнији, већи од доприноса готовинских кредита за чак нешто више од 30%. Крајем августа 2021. године регистрован је номинални раст укупних кредита за 7,9%, мг, од чега су кредити привреди забележили раст од 6,2%, док су кредити становништву били већи за 9,9%. Раст кредитне активности истовремено прати смањивање удела проблематичних кредита. Стратегијом за решавање проблематичних кредита, чија је примена започета у другој половини 2015. године, учешће проблематичних кредита банкарског сектора у укупним кредитима значајно је смањено и на крају августа 2021. године износило је 3,5%. То је у поређењу са периодом пре примене Стратегије смањење за 18,7 п.п.</w:t>
      </w:r>
    </w:p>
    <w:p w14:paraId="4EE39C5C" w14:textId="77777777" w:rsidR="00CA7E88" w:rsidRPr="00646254" w:rsidRDefault="00CA7E88" w:rsidP="00E96A1D">
      <w:pPr>
        <w:pStyle w:val="Caption"/>
        <w:keepNext/>
        <w:rPr>
          <w:rFonts w:cstheme="minorHAnsi"/>
          <w:b w:val="0"/>
          <w:i/>
          <w:iCs w:val="0"/>
          <w:szCs w:val="22"/>
          <w:lang w:val="sr-Cyrl-CS"/>
        </w:rPr>
      </w:pPr>
      <w:r w:rsidRPr="00646254">
        <w:rPr>
          <w:rFonts w:cstheme="minorHAnsi"/>
          <w:iCs w:val="0"/>
          <w:szCs w:val="22"/>
          <w:lang w:val="sr-Cyrl-CS"/>
        </w:rPr>
        <w:t>Проблематични кредити, млрд РСД</w:t>
      </w:r>
    </w:p>
    <w:p w14:paraId="0CF25AF4" w14:textId="77777777" w:rsidR="00CA7E88" w:rsidRPr="00646254" w:rsidRDefault="00CA7E88" w:rsidP="00C130D2">
      <w:pPr>
        <w:rPr>
          <w:rFonts w:cstheme="minorHAnsi"/>
          <w:bCs/>
          <w:szCs w:val="72"/>
          <w:highlight w:val="yellow"/>
          <w:lang w:val="sr-Cyrl-CS"/>
        </w:rPr>
      </w:pPr>
      <w:r w:rsidRPr="00646254">
        <w:rPr>
          <w:noProof/>
        </w:rPr>
        <w:drawing>
          <wp:inline distT="0" distB="0" distL="0" distR="0" wp14:anchorId="1C6FC343" wp14:editId="06A291E6">
            <wp:extent cx="2743200" cy="1673860"/>
            <wp:effectExtent l="0" t="0" r="0" b="2540"/>
            <wp:docPr id="31" name="Chart 31">
              <a:extLst xmlns:a="http://schemas.openxmlformats.org/drawingml/2006/main">
                <a:ext uri="{FF2B5EF4-FFF2-40B4-BE49-F238E27FC236}">
                  <a16:creationId xmlns:a16="http://schemas.microsoft.com/office/drawing/2014/main" id="{00000000-0008-0000-13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p w14:paraId="4897FAD6" w14:textId="77777777" w:rsidR="00CA7E88" w:rsidRPr="00646254" w:rsidRDefault="00CA7E88" w:rsidP="00C130D2">
      <w:pPr>
        <w:rPr>
          <w:rFonts w:cstheme="minorHAnsi"/>
          <w:lang w:val="sr-Cyrl-CS"/>
        </w:rPr>
      </w:pPr>
      <w:r w:rsidRPr="00646254">
        <w:rPr>
          <w:rFonts w:cstheme="minorHAnsi"/>
          <w:bCs/>
          <w:sz w:val="16"/>
          <w:szCs w:val="72"/>
          <w:lang w:val="sr-Cyrl-CS"/>
        </w:rPr>
        <w:t>Извор: НБС</w:t>
      </w:r>
    </w:p>
    <w:p w14:paraId="097EC66D" w14:textId="27221872" w:rsidR="00CA7E88" w:rsidRPr="00646254" w:rsidRDefault="00CA7E88" w:rsidP="00592092">
      <w:pPr>
        <w:rPr>
          <w:rFonts w:cstheme="minorHAnsi"/>
          <w:bCs/>
          <w:szCs w:val="72"/>
          <w:highlight w:val="darkYellow"/>
          <w:lang w:val="sr-Cyrl-CS"/>
        </w:rPr>
      </w:pPr>
      <w:r w:rsidRPr="00646254">
        <w:rPr>
          <w:rFonts w:cstheme="minorHAnsi"/>
          <w:bCs/>
          <w:szCs w:val="72"/>
          <w:lang w:val="sr-Cyrl-CS"/>
        </w:rPr>
        <w:t>Инфлација се од средине 2021. године кретала на нешто вишем нивоу у односу на претходни период. На овакво кретање инфлације утицали су фактори п</w:t>
      </w:r>
      <w:r w:rsidR="00641345" w:rsidRPr="00646254">
        <w:rPr>
          <w:rFonts w:cstheme="minorHAnsi"/>
          <w:bCs/>
          <w:szCs w:val="72"/>
          <w:lang w:val="sr-Cyrl-CS"/>
        </w:rPr>
        <w:t>ривременог карактера, пре свега</w:t>
      </w:r>
      <w:r w:rsidRPr="00646254">
        <w:rPr>
          <w:rFonts w:cstheme="minorHAnsi"/>
          <w:bCs/>
          <w:szCs w:val="72"/>
          <w:lang w:val="sr-Cyrl-CS"/>
        </w:rPr>
        <w:t xml:space="preserve"> пораст светских цена нафте и примарних пољопривредних производа, застоји у глобалним ланцима снабдевања, али и њена ниска базна вредност. Тако у септембру раст потрошачких цена је био изнад горње границе дозвољеног одступања од циљане инфлације, па је на међугодишњем нивоу износио 5,</w:t>
      </w:r>
      <w:r w:rsidR="001117F3" w:rsidRPr="00646254">
        <w:rPr>
          <w:rFonts w:cstheme="minorHAnsi"/>
          <w:bCs/>
          <w:szCs w:val="72"/>
          <w:lang w:val="sr-Cyrl-CS"/>
        </w:rPr>
        <w:t xml:space="preserve">7%. Поред повећања цена </w:t>
      </w:r>
      <w:r w:rsidRPr="00646254">
        <w:rPr>
          <w:rFonts w:cstheme="minorHAnsi"/>
          <w:bCs/>
          <w:szCs w:val="72"/>
          <w:lang w:val="sr-Cyrl-CS"/>
        </w:rPr>
        <w:t>деривата</w:t>
      </w:r>
      <w:r w:rsidR="001117F3" w:rsidRPr="00646254">
        <w:rPr>
          <w:rFonts w:cstheme="minorHAnsi"/>
          <w:bCs/>
          <w:szCs w:val="72"/>
          <w:lang w:val="sr-Cyrl-CS"/>
        </w:rPr>
        <w:t xml:space="preserve"> нафте</w:t>
      </w:r>
      <w:r w:rsidRPr="00646254">
        <w:rPr>
          <w:rFonts w:cstheme="minorHAnsi"/>
          <w:bCs/>
          <w:szCs w:val="72"/>
          <w:lang w:val="sr-Cyrl-CS"/>
        </w:rPr>
        <w:t xml:space="preserve"> и поврћа, значајнији утицај на раст инфлације у овом периоду имало је и повећање цена меса, електричне енергије, дувана, уља, комуналних услуга, алкохолних пића и услуга ресторана и хотела. На привременост оваквог раста укупне инфлације указују и инфлациона очекивања финансијског сектора и привреде, која се крећу око централног нивоа циља, али и кретање базне инфлације, која је истовремено била знатно нижа и износила је 2,6%. На и даље присутне ниске инфлаторне притиске упућује релативно стабилно кретање базне инфлације, на које је значајно утицала и очувана стабилност девизног курса.</w:t>
      </w:r>
    </w:p>
    <w:p w14:paraId="5F8EFF8A" w14:textId="77777777" w:rsidR="00CA7E88" w:rsidRPr="00646254" w:rsidRDefault="00CA7E88" w:rsidP="00C130D2">
      <w:pPr>
        <w:pStyle w:val="Caption"/>
        <w:keepNext/>
        <w:rPr>
          <w:rFonts w:cstheme="minorHAnsi"/>
          <w:b w:val="0"/>
          <w:i/>
          <w:iCs w:val="0"/>
          <w:szCs w:val="22"/>
          <w:lang w:val="sr-Cyrl-CS"/>
        </w:rPr>
      </w:pPr>
      <w:r w:rsidRPr="00646254">
        <w:rPr>
          <w:rFonts w:cstheme="minorHAnsi"/>
          <w:iCs w:val="0"/>
          <w:szCs w:val="22"/>
          <w:lang w:val="sr-Cyrl-CS"/>
        </w:rPr>
        <w:t>Девизни курс и интервенције НБС на девизном тржишту</w:t>
      </w:r>
    </w:p>
    <w:p w14:paraId="0BEE36F7" w14:textId="77777777" w:rsidR="00CA7E88" w:rsidRPr="00646254" w:rsidRDefault="00CA7E88" w:rsidP="00C130D2">
      <w:pPr>
        <w:rPr>
          <w:rFonts w:cstheme="minorHAnsi"/>
          <w:bCs/>
          <w:szCs w:val="72"/>
          <w:highlight w:val="darkYellow"/>
          <w:lang w:val="sr-Cyrl-CS"/>
        </w:rPr>
      </w:pPr>
      <w:r w:rsidRPr="00646254">
        <w:rPr>
          <w:noProof/>
        </w:rPr>
        <w:drawing>
          <wp:inline distT="0" distB="0" distL="0" distR="0" wp14:anchorId="25C3CCA5" wp14:editId="638E903C">
            <wp:extent cx="2743200" cy="1698625"/>
            <wp:effectExtent l="0" t="0" r="0" b="0"/>
            <wp:docPr id="32" name="Chart 32">
              <a:extLst xmlns:a="http://schemas.openxmlformats.org/drawingml/2006/main">
                <a:ext uri="{FF2B5EF4-FFF2-40B4-BE49-F238E27FC236}">
                  <a16:creationId xmlns:a16="http://schemas.microsoft.com/office/drawing/2014/main" id="{00000000-0008-0000-1200-00000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p w14:paraId="4CBF4F70" w14:textId="77777777" w:rsidR="00CA7E88" w:rsidRPr="00646254" w:rsidRDefault="00CA7E88" w:rsidP="00C130D2">
      <w:pPr>
        <w:rPr>
          <w:rFonts w:cstheme="minorHAnsi"/>
          <w:bCs/>
          <w:szCs w:val="72"/>
          <w:lang w:val="sr-Cyrl-CS"/>
        </w:rPr>
      </w:pPr>
      <w:r w:rsidRPr="00646254">
        <w:rPr>
          <w:rFonts w:cstheme="minorHAnsi"/>
          <w:bCs/>
          <w:sz w:val="16"/>
          <w:szCs w:val="72"/>
          <w:lang w:val="sr-Cyrl-CS"/>
        </w:rPr>
        <w:t>Извор: НБС</w:t>
      </w:r>
    </w:p>
    <w:p w14:paraId="62574DE2" w14:textId="5F3AC8B2" w:rsidR="00CA7E88" w:rsidRPr="00646254" w:rsidRDefault="00CA7E88" w:rsidP="00592092">
      <w:pPr>
        <w:rPr>
          <w:rFonts w:cstheme="minorHAnsi"/>
          <w:bCs/>
          <w:szCs w:val="72"/>
          <w:lang w:val="sr-Cyrl-CS"/>
        </w:rPr>
      </w:pPr>
      <w:r w:rsidRPr="00646254">
        <w:rPr>
          <w:rFonts w:cstheme="minorHAnsi"/>
          <w:bCs/>
          <w:szCs w:val="72"/>
          <w:lang w:val="sr-Cyrl-CS"/>
        </w:rPr>
        <w:t xml:space="preserve">Услед добрих макроекономских кретања, привредног раста изнад очекиваног и солидног прилива </w:t>
      </w:r>
      <w:r w:rsidR="008F5F60" w:rsidRPr="00646254">
        <w:rPr>
          <w:rFonts w:cstheme="minorHAnsi"/>
          <w:bCs/>
          <w:szCs w:val="72"/>
          <w:lang w:val="sr-Cyrl-CS"/>
        </w:rPr>
        <w:t>СДИ</w:t>
      </w:r>
      <w:r w:rsidRPr="00646254">
        <w:rPr>
          <w:rFonts w:cstheme="minorHAnsi"/>
          <w:bCs/>
          <w:szCs w:val="72"/>
          <w:lang w:val="sr-Cyrl-CS"/>
        </w:rPr>
        <w:t xml:space="preserve">, 2021. годину карактерише наставак стабилних кретања на девизном тржишту. Као резултат одржане стабилности на девизном тржишту враћено је поверење међународних инвеститора и повећано њихово интересовање за улагања у динарске државне обвезнице, а нарочито након укључивања истих у индекс J.P. Morgan. </w:t>
      </w:r>
      <w:r w:rsidR="006B46EA" w:rsidRPr="00646254">
        <w:rPr>
          <w:rFonts w:cstheme="minorHAnsi"/>
          <w:bCs/>
          <w:szCs w:val="72"/>
          <w:lang w:val="sr-Cyrl-CS"/>
        </w:rPr>
        <w:t>Висок прилив капитала, почев од другог тромесечја 2021. године, утицао је на то да преовладавају</w:t>
      </w:r>
      <w:r w:rsidRPr="00646254">
        <w:rPr>
          <w:rFonts w:cstheme="minorHAnsi"/>
          <w:bCs/>
          <w:szCs w:val="72"/>
          <w:lang w:val="sr-Cyrl-CS"/>
        </w:rPr>
        <w:t xml:space="preserve"> апрецијацијски притисци. Ради ублажавања наведених притисака</w:t>
      </w:r>
      <w:r w:rsidR="00641345" w:rsidRPr="00646254">
        <w:rPr>
          <w:rFonts w:cstheme="minorHAnsi"/>
          <w:bCs/>
          <w:szCs w:val="72"/>
          <w:lang w:val="sr-Cyrl-CS"/>
        </w:rPr>
        <w:t>,</w:t>
      </w:r>
      <w:r w:rsidRPr="00646254">
        <w:rPr>
          <w:rFonts w:cstheme="minorHAnsi"/>
          <w:bCs/>
          <w:szCs w:val="72"/>
          <w:lang w:val="sr-Cyrl-CS"/>
        </w:rPr>
        <w:t xml:space="preserve"> али и као додатна подршка стабилности девизног курса, НБС је почев од другог квартала на међубанкарском девизном тржишту, интервенисала куповином девиза. У периоду јануар</w:t>
      </w:r>
      <w:r w:rsidR="00641345" w:rsidRPr="00646254">
        <w:rPr>
          <w:rFonts w:cstheme="minorHAnsi"/>
          <w:bCs/>
          <w:szCs w:val="72"/>
          <w:lang w:val="sr-Cyrl-CS"/>
        </w:rPr>
        <w:t>–</w:t>
      </w:r>
      <w:r w:rsidRPr="00646254">
        <w:rPr>
          <w:rFonts w:cstheme="minorHAnsi"/>
          <w:bCs/>
          <w:szCs w:val="72"/>
          <w:lang w:val="sr-Cyrl-CS"/>
        </w:rPr>
        <w:t>септембар</w:t>
      </w:r>
      <w:r w:rsidR="00A92735" w:rsidRPr="00646254">
        <w:rPr>
          <w:rFonts w:cstheme="minorHAnsi"/>
          <w:bCs/>
          <w:szCs w:val="72"/>
          <w:lang w:val="sr-Cyrl-CS"/>
        </w:rPr>
        <w:t xml:space="preserve"> </w:t>
      </w:r>
      <w:r w:rsidRPr="00646254">
        <w:rPr>
          <w:rFonts w:cstheme="minorHAnsi"/>
          <w:bCs/>
          <w:szCs w:val="72"/>
          <w:lang w:val="sr-Cyrl-CS"/>
        </w:rPr>
        <w:t>динар је на међугодишњем нивоу у просеку забележио реалну апрецијацију (1,1%), док је номинално био непромењен. НБС је у истом периоду интервенисала на међубанкарском девизном тржишту нето куповином 1,1 млрд евра.</w:t>
      </w:r>
    </w:p>
    <w:p w14:paraId="4A53BAE8" w14:textId="77777777" w:rsidR="00CA7E88" w:rsidRPr="00646254" w:rsidRDefault="00CA7E88" w:rsidP="00E31C39">
      <w:pPr>
        <w:pStyle w:val="Caption"/>
        <w:keepNext/>
        <w:rPr>
          <w:rFonts w:cstheme="minorHAnsi"/>
          <w:b w:val="0"/>
          <w:i/>
          <w:iCs w:val="0"/>
          <w:szCs w:val="22"/>
          <w:lang w:val="sr-Cyrl-CS"/>
        </w:rPr>
      </w:pPr>
      <w:r w:rsidRPr="00646254">
        <w:rPr>
          <w:rFonts w:cstheme="minorHAnsi"/>
          <w:iCs w:val="0"/>
          <w:szCs w:val="22"/>
          <w:lang w:val="sr-Cyrl-CS"/>
        </w:rPr>
        <w:t>Девизне резерве и девизна штедња, млрд евра</w:t>
      </w:r>
    </w:p>
    <w:p w14:paraId="09362E07" w14:textId="77777777" w:rsidR="00CA7E88" w:rsidRPr="00646254" w:rsidRDefault="00CA7E88" w:rsidP="00C130D2">
      <w:pPr>
        <w:spacing w:after="0"/>
        <w:rPr>
          <w:rFonts w:cstheme="minorHAnsi"/>
          <w:bCs/>
          <w:szCs w:val="72"/>
          <w:highlight w:val="darkYellow"/>
          <w:lang w:val="sr-Cyrl-CS"/>
        </w:rPr>
      </w:pPr>
      <w:r w:rsidRPr="00646254">
        <w:rPr>
          <w:noProof/>
        </w:rPr>
        <w:drawing>
          <wp:inline distT="0" distB="0" distL="0" distR="0" wp14:anchorId="6F4033C6" wp14:editId="0D0F14F0">
            <wp:extent cx="2743200" cy="1799590"/>
            <wp:effectExtent l="0" t="0" r="0" b="0"/>
            <wp:docPr id="33" name="Chart 33">
              <a:extLst xmlns:a="http://schemas.openxmlformats.org/drawingml/2006/main">
                <a:ext uri="{FF2B5EF4-FFF2-40B4-BE49-F238E27FC236}">
                  <a16:creationId xmlns:a16="http://schemas.microsoft.com/office/drawing/2014/main" id="{00000000-0008-0000-11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p w14:paraId="7E906A8D" w14:textId="77777777" w:rsidR="00CA7E88" w:rsidRPr="00646254" w:rsidRDefault="00CA7E88" w:rsidP="00592092">
      <w:pPr>
        <w:rPr>
          <w:rFonts w:cstheme="minorHAnsi"/>
          <w:bCs/>
          <w:szCs w:val="72"/>
          <w:lang w:val="sr-Cyrl-CS"/>
        </w:rPr>
      </w:pPr>
      <w:r w:rsidRPr="00646254">
        <w:rPr>
          <w:rFonts w:cstheme="minorHAnsi"/>
          <w:bCs/>
          <w:sz w:val="16"/>
          <w:szCs w:val="72"/>
          <w:lang w:val="sr-Cyrl-CS"/>
        </w:rPr>
        <w:t>Извор: НБС</w:t>
      </w:r>
    </w:p>
    <w:p w14:paraId="0554A347" w14:textId="77777777" w:rsidR="00CA7E88" w:rsidRPr="00646254" w:rsidRDefault="00CA7E88" w:rsidP="00C130D2">
      <w:pPr>
        <w:rPr>
          <w:rFonts w:cstheme="minorHAnsi"/>
          <w:bCs/>
          <w:szCs w:val="72"/>
          <w:highlight w:val="darkYellow"/>
          <w:lang w:val="sr-Cyrl-CS"/>
        </w:rPr>
      </w:pPr>
      <w:r w:rsidRPr="00646254">
        <w:rPr>
          <w:rFonts w:cstheme="minorHAnsi"/>
          <w:bCs/>
          <w:szCs w:val="72"/>
          <w:lang w:val="sr-Cyrl-CS"/>
        </w:rPr>
        <w:t>Девизне резерве су на крају септембра 2021. године биле на рекордно високом нивоу од када се прате и износиле су 16,8 млрд евра. То је било довољно за покривеност новчане масе М1 од 149% и око седам месеци увоза робе и услуга. У односу на август су повећане за 1,3 млрд евра. Повећање девизних резерви Народне банке Србије у септембру резултат је, пре свега, прилива по основу две емисије еврообвезница у еврима на међународном финансијском тржишту у укупном износу од 1,7 млрд евра. У поређењу са септембром 2020. године, девизне резерве НБС су повећане за 3,8 млрд евра.</w:t>
      </w:r>
    </w:p>
    <w:p w14:paraId="1B089E9B" w14:textId="77777777" w:rsidR="00CA7E88" w:rsidRPr="00646254" w:rsidRDefault="00CA7E88" w:rsidP="00C130D2">
      <w:pPr>
        <w:pStyle w:val="Caption"/>
        <w:keepNext/>
        <w:rPr>
          <w:rFonts w:cstheme="minorHAnsi"/>
          <w:b w:val="0"/>
          <w:iCs w:val="0"/>
          <w:szCs w:val="22"/>
          <w:lang w:val="sr-Cyrl-CS"/>
        </w:rPr>
      </w:pPr>
      <w:r w:rsidRPr="00646254">
        <w:rPr>
          <w:rFonts w:cstheme="minorHAnsi"/>
          <w:iCs w:val="0"/>
          <w:szCs w:val="22"/>
          <w:lang w:val="sr-Cyrl-CS"/>
        </w:rPr>
        <w:t>Инфлација и референтна каматна стопа, %</w:t>
      </w:r>
    </w:p>
    <w:p w14:paraId="34B9628C" w14:textId="77777777" w:rsidR="00CA7E88" w:rsidRPr="00646254" w:rsidRDefault="00CA7E88" w:rsidP="00C130D2">
      <w:pPr>
        <w:rPr>
          <w:rFonts w:cstheme="minorHAnsi"/>
          <w:bCs/>
          <w:szCs w:val="72"/>
          <w:highlight w:val="darkYellow"/>
          <w:lang w:val="sr-Cyrl-CS"/>
        </w:rPr>
      </w:pPr>
      <w:r w:rsidRPr="00646254">
        <w:rPr>
          <w:noProof/>
        </w:rPr>
        <w:drawing>
          <wp:inline distT="0" distB="0" distL="0" distR="0" wp14:anchorId="16A30525" wp14:editId="07091AA3">
            <wp:extent cx="2743200" cy="1758315"/>
            <wp:effectExtent l="0" t="0" r="0" b="0"/>
            <wp:docPr id="35" name="Chart 35">
              <a:extLst xmlns:a="http://schemas.openxmlformats.org/drawingml/2006/main">
                <a:ext uri="{FF2B5EF4-FFF2-40B4-BE49-F238E27FC236}">
                  <a16:creationId xmlns:a16="http://schemas.microsoft.com/office/drawing/2014/main" id="{00000000-0008-0000-0F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p>
    <w:p w14:paraId="47065E37" w14:textId="77777777" w:rsidR="00CA7E88" w:rsidRPr="00646254" w:rsidRDefault="00CA7E88" w:rsidP="00C130D2">
      <w:pPr>
        <w:rPr>
          <w:rFonts w:cstheme="minorHAnsi"/>
          <w:bCs/>
          <w:szCs w:val="72"/>
          <w:lang w:val="sr-Cyrl-CS"/>
        </w:rPr>
      </w:pPr>
      <w:r w:rsidRPr="00646254">
        <w:rPr>
          <w:rFonts w:cstheme="minorHAnsi"/>
          <w:bCs/>
          <w:sz w:val="16"/>
          <w:szCs w:val="72"/>
          <w:lang w:val="sr-Cyrl-CS"/>
        </w:rPr>
        <w:t>Извор: РЗС и НБС</w:t>
      </w:r>
    </w:p>
    <w:p w14:paraId="5A593726" w14:textId="77777777" w:rsidR="00CA7E88" w:rsidRPr="00646254" w:rsidRDefault="00CA7E88" w:rsidP="00CA7E88">
      <w:pPr>
        <w:rPr>
          <w:rFonts w:cstheme="minorHAnsi"/>
          <w:bCs/>
          <w:szCs w:val="72"/>
          <w:highlight w:val="darkYellow"/>
          <w:lang w:val="sr-Cyrl-CS"/>
        </w:rPr>
      </w:pPr>
      <w:r w:rsidRPr="00646254">
        <w:rPr>
          <w:rFonts w:cstheme="minorHAnsi"/>
          <w:bCs/>
          <w:szCs w:val="72"/>
          <w:lang w:val="sr-Cyrl-CS"/>
        </w:rPr>
        <w:t>Кретање инфлације је од средине 2021. године под снажним утицајем привремених фактора, пре свега раста светске цене нафте и цена примарних пољопривредних производа, али и застоја у глобалним ланцима снабдевања. Очекује се да ће инфлација бити под утицајем наведених фактора у краткорочном периоду, те ће због тога наставити да се креће изнад циљаног распона у следећа два квартала. Са ишчезавањем дејства ових фактора предвиђа се враћање инфлације у оквире циља од другог тромесечја 2022. године, док се у средњем року пројектује њено кретање око средишње вредности циљаног распона. Кључни ризици остварења пројекције инфлације односе се на кретања у међународном окружењу, затим на неизвесности у погледу кретања цена непрерађене хране, светских цена примарних производа и цене енергената, али и од брзине опоравка зоне евра и токова капитала према земљама у успону. У наредном периоду очекује се наставак позитивних тенденција у кредитној активности, као резултат досадашњих предузетих мера на подстицању кредитирања, ниских каматних стопа у зони евра, као и очекиваног снажног раста економске активности.</w:t>
      </w:r>
    </w:p>
    <w:p w14:paraId="2BA59E79" w14:textId="77777777" w:rsidR="00CA7E88" w:rsidRPr="00646254" w:rsidRDefault="00CA7E88" w:rsidP="00C130D2">
      <w:pPr>
        <w:pStyle w:val="Caption"/>
        <w:keepNext/>
        <w:rPr>
          <w:rFonts w:cstheme="minorHAnsi"/>
          <w:b w:val="0"/>
          <w:i/>
          <w:iCs w:val="0"/>
          <w:szCs w:val="22"/>
          <w:lang w:val="sr-Cyrl-CS"/>
        </w:rPr>
      </w:pPr>
      <w:r w:rsidRPr="00646254">
        <w:rPr>
          <w:rFonts w:cstheme="minorHAnsi"/>
          <w:iCs w:val="0"/>
          <w:szCs w:val="22"/>
          <w:lang w:val="sr-Cyrl-CS"/>
        </w:rPr>
        <w:t>Пројекција инфлације, %</w:t>
      </w:r>
    </w:p>
    <w:p w14:paraId="0BBD507E" w14:textId="77777777" w:rsidR="00CA7E88" w:rsidRPr="00646254" w:rsidRDefault="00CA7E88" w:rsidP="00807FC3">
      <w:pPr>
        <w:spacing w:after="0"/>
        <w:rPr>
          <w:rFonts w:cstheme="minorHAnsi"/>
          <w:sz w:val="16"/>
          <w:szCs w:val="16"/>
          <w:lang w:val="sr-Cyrl-CS"/>
        </w:rPr>
      </w:pPr>
      <w:r w:rsidRPr="00646254">
        <w:rPr>
          <w:noProof/>
        </w:rPr>
        <w:drawing>
          <wp:inline distT="0" distB="0" distL="0" distR="0" wp14:anchorId="034F898E" wp14:editId="1D5CB1C1">
            <wp:extent cx="2743200" cy="1687830"/>
            <wp:effectExtent l="0" t="0" r="0" b="7620"/>
            <wp:docPr id="36" name="Chart 36">
              <a:extLst xmlns:a="http://schemas.openxmlformats.org/drawingml/2006/main">
                <a:ext uri="{FF2B5EF4-FFF2-40B4-BE49-F238E27FC236}">
                  <a16:creationId xmlns:a16="http://schemas.microsoft.com/office/drawing/2014/main" id="{00000000-0008-0000-10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p>
    <w:p w14:paraId="2556BF25" w14:textId="1D1E7949" w:rsidR="0039086C" w:rsidRPr="00646254" w:rsidRDefault="00CA7E88" w:rsidP="00161001">
      <w:pPr>
        <w:rPr>
          <w:rFonts w:cstheme="minorHAnsi"/>
          <w:bCs/>
          <w:sz w:val="16"/>
          <w:szCs w:val="72"/>
          <w:lang w:val="sr-Cyrl-CS"/>
        </w:rPr>
      </w:pPr>
      <w:r w:rsidRPr="00646254">
        <w:rPr>
          <w:rFonts w:cstheme="minorHAnsi"/>
          <w:bCs/>
          <w:sz w:val="16"/>
          <w:szCs w:val="72"/>
          <w:lang w:val="sr-Cyrl-CS"/>
        </w:rPr>
        <w:t>Изв</w:t>
      </w:r>
      <w:bookmarkStart w:id="10" w:name="_Toc23342463"/>
      <w:r w:rsidRPr="00646254">
        <w:rPr>
          <w:rFonts w:cstheme="minorHAnsi"/>
          <w:bCs/>
          <w:sz w:val="16"/>
          <w:szCs w:val="72"/>
          <w:lang w:val="sr-Cyrl-CS"/>
        </w:rPr>
        <w:t>ор: Министарство финансија</w:t>
      </w:r>
    </w:p>
    <w:bookmarkEnd w:id="10"/>
    <w:p w14:paraId="0C77D265" w14:textId="2473B2A7" w:rsidR="0039086C" w:rsidRPr="00646254" w:rsidRDefault="0039086C" w:rsidP="00E96A1D">
      <w:pPr>
        <w:jc w:val="left"/>
        <w:rPr>
          <w:rFonts w:cstheme="minorHAnsi"/>
          <w:b/>
          <w:color w:val="2F5496" w:themeColor="accent1" w:themeShade="BF"/>
          <w:sz w:val="22"/>
          <w:lang w:val="sr-Cyrl-CS"/>
        </w:rPr>
      </w:pPr>
      <w:r w:rsidRPr="00646254">
        <w:rPr>
          <w:rFonts w:cstheme="minorHAnsi"/>
          <w:b/>
          <w:color w:val="2F5496" w:themeColor="accent1" w:themeShade="BF"/>
          <w:sz w:val="22"/>
          <w:lang w:val="sr-Cyrl-CS"/>
        </w:rPr>
        <w:t>Екстерни сектор</w:t>
      </w:r>
    </w:p>
    <w:p w14:paraId="6BCF226A" w14:textId="2792E75F" w:rsidR="0039086C" w:rsidRPr="00646254" w:rsidRDefault="0039086C" w:rsidP="00E96A1D">
      <w:pPr>
        <w:rPr>
          <w:rFonts w:cstheme="minorHAnsi"/>
          <w:szCs w:val="20"/>
          <w:lang w:val="sr-Cyrl-CS"/>
        </w:rPr>
      </w:pPr>
      <w:r w:rsidRPr="00646254">
        <w:rPr>
          <w:rFonts w:cstheme="minorHAnsi"/>
          <w:szCs w:val="20"/>
          <w:lang w:val="sr-Cyrl-CS"/>
        </w:rPr>
        <w:t>Након смањеног обима спољнотрговинске робне размене у 202</w:t>
      </w:r>
      <w:r w:rsidR="000566DB" w:rsidRPr="00646254">
        <w:rPr>
          <w:rFonts w:cstheme="minorHAnsi"/>
          <w:szCs w:val="20"/>
          <w:lang w:val="sr-Cyrl-CS"/>
        </w:rPr>
        <w:t>0. години, изазваног, пре свега</w:t>
      </w:r>
      <w:r w:rsidRPr="00646254">
        <w:rPr>
          <w:rFonts w:cstheme="minorHAnsi"/>
          <w:szCs w:val="20"/>
          <w:lang w:val="sr-Cyrl-CS"/>
        </w:rPr>
        <w:t xml:space="preserve"> смањеном спољном тражњом и увођењем ванредног стања, кретања у екстерном сектору су далеко повољнија у 2021. години. Томе је допринело више фактора, пре свега опоравак економија најзначајнијих трговинских партнера Србије и последично повећана екстерна тражња, побољшана структура домаће економије и активирање нових привредних капацитета, као и наставак побољшања односа размене. Укупан обим спољнотрговинске робне размене у првих осам месеци текуће године износио је 31,6 млрд евра, и био је за 25,8% већи него у истом периоду прошле године. Висок међугодишњи раст резултат је пре свега убрзања економске активности, мада је једним делом и последица базног ефекта, односно ниског обима спољнотрговинске размене, нарочито у другом кварталу претходне године. Уколико се елиминише базни ефекат и упореде посматрани периоди у текућој и предпандемијској 2019. години стопа раста спољнотрговинске размене износи и даље високих 17,1%.</w:t>
      </w:r>
    </w:p>
    <w:p w14:paraId="04681F6B" w14:textId="3592188E" w:rsidR="0039086C" w:rsidRPr="00646254" w:rsidRDefault="00044D80" w:rsidP="00E96A1D">
      <w:pPr>
        <w:rPr>
          <w:rFonts w:cstheme="minorHAnsi"/>
          <w:szCs w:val="20"/>
          <w:lang w:val="sr-Cyrl-CS"/>
        </w:rPr>
      </w:pPr>
      <w:r w:rsidRPr="00646254">
        <w:rPr>
          <w:rFonts w:cstheme="minorHAnsi"/>
          <w:szCs w:val="20"/>
          <w:lang w:val="sr-Cyrl-CS"/>
        </w:rPr>
        <w:t>Током првих осам месеци</w:t>
      </w:r>
      <w:r w:rsidR="0039086C" w:rsidRPr="00646254">
        <w:rPr>
          <w:rFonts w:cstheme="minorHAnsi"/>
          <w:szCs w:val="20"/>
          <w:lang w:val="sr-Cyrl-CS"/>
        </w:rPr>
        <w:t xml:space="preserve"> извезено је робе у укупној вредности од 13,7 млрд евра, што представља повећање у односу на исти период у прошлој години од 28,5%, односно 18,9% у односу на 2019. годину. Извоз прерађивачке индустрије, која је и главни генератор раста извоза, већи је за чак 2,5 млрд евра или 26% у односу на првих осам месеци 2020. године, при чему је у оквиру ње остварен раст у 20 од 23 области. Расту извоза прерађивачке индустрије највише је допринео раст извоза у електронској, аутомобилској и металској индустрији. Поред прерађивачке индустрије, значајан допринос расту извоза долази и од експлоатације руда метала, која бележи рекордно високе вредности оствареног извоза, као и пољопривреде, услед добре пољопривредне сезоне у претходној години и раста цена житарица и примарних пољопривредних производа.</w:t>
      </w:r>
    </w:p>
    <w:p w14:paraId="2989F65B" w14:textId="77777777" w:rsidR="0039086C" w:rsidRPr="00646254" w:rsidRDefault="0039086C" w:rsidP="00E96A1D">
      <w:pPr>
        <w:spacing w:after="60"/>
        <w:rPr>
          <w:rFonts w:eastAsia="Times New Roman" w:cstheme="minorHAnsi"/>
          <w:lang w:val="sr-Cyrl-CS"/>
        </w:rPr>
      </w:pPr>
      <w:r w:rsidRPr="00646254">
        <w:rPr>
          <w:rFonts w:eastAsia="Times New Roman" w:cstheme="minorHAnsi"/>
          <w:lang w:val="sr-Cyrl-CS"/>
        </w:rPr>
        <w:t>У периоду јануар–август 2021. године, увоз робе износио је 17,9 милијарди евра, што је раст од 23,7% у односу на исти период претходне године. Висока стопа раста увоза последица је опоравка економске активности, више цене нафте на светском тржишту, а једним делим је условљена ниском базом из истог периода претходне године. Готово две трећине раста увоза опредељена је вишим увозом репроматеријала, док је вредност увоза опреме износила преко 2,5 млрд евра, чиме је обезбеђена повољна структура увоза и потенцијал за даљи раст привреде у наредном периоду.</w:t>
      </w:r>
    </w:p>
    <w:p w14:paraId="2CBCDA86" w14:textId="2761FB3D" w:rsidR="0039086C" w:rsidRPr="00646254" w:rsidRDefault="0039086C" w:rsidP="00161001">
      <w:pPr>
        <w:pStyle w:val="NoSpacing"/>
        <w:jc w:val="center"/>
        <w:rPr>
          <w:rFonts w:cstheme="minorHAnsi"/>
          <w:color w:val="002060"/>
          <w:lang w:val="sr-Cyrl-CS"/>
        </w:rPr>
      </w:pPr>
      <w:r w:rsidRPr="00646254">
        <w:rPr>
          <w:rFonts w:cstheme="minorHAnsi"/>
          <w:color w:val="002060"/>
          <w:lang w:val="sr-Cyrl-CS"/>
        </w:rPr>
        <w:br w:type="column"/>
        <w:t>Доприноси стопи раста увоза, економска намена, п.п.</w:t>
      </w:r>
    </w:p>
    <w:p w14:paraId="64181BDF" w14:textId="77777777" w:rsidR="0039086C" w:rsidRPr="00646254" w:rsidRDefault="0039086C" w:rsidP="00161001">
      <w:pPr>
        <w:pStyle w:val="NoSpacing"/>
        <w:jc w:val="center"/>
        <w:rPr>
          <w:rFonts w:cstheme="minorHAnsi"/>
          <w:color w:val="44546A" w:themeColor="text2"/>
          <w:lang w:val="sr-Cyrl-CS"/>
        </w:rPr>
      </w:pPr>
      <w:r w:rsidRPr="00646254">
        <w:rPr>
          <w:noProof/>
        </w:rPr>
        <w:drawing>
          <wp:inline distT="0" distB="0" distL="0" distR="0" wp14:anchorId="754FE721" wp14:editId="1562D746">
            <wp:extent cx="2743200" cy="1979930"/>
            <wp:effectExtent l="0" t="0" r="0" b="1270"/>
            <wp:docPr id="37" name="Chart 37">
              <a:extLst xmlns:a="http://schemas.openxmlformats.org/drawingml/2006/main">
                <a:ext uri="{FF2B5EF4-FFF2-40B4-BE49-F238E27FC236}">
                  <a16:creationId xmlns:a16="http://schemas.microsoft.com/office/drawing/2014/main" id="{00000000-0008-0000-14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p w14:paraId="0BF22803" w14:textId="77777777" w:rsidR="0039086C" w:rsidRPr="00646254" w:rsidRDefault="0039086C" w:rsidP="00807FC3">
      <w:pPr>
        <w:spacing w:before="120"/>
        <w:rPr>
          <w:rFonts w:cstheme="minorHAnsi"/>
          <w:bCs/>
          <w:szCs w:val="72"/>
          <w:lang w:val="sr-Cyrl-CS"/>
        </w:rPr>
      </w:pPr>
      <w:r w:rsidRPr="00646254">
        <w:rPr>
          <w:rFonts w:cstheme="minorHAnsi"/>
          <w:bCs/>
          <w:sz w:val="16"/>
          <w:szCs w:val="72"/>
          <w:lang w:val="sr-Cyrl-CS"/>
        </w:rPr>
        <w:t>Извор: РЗС</w:t>
      </w:r>
    </w:p>
    <w:p w14:paraId="63F5A114" w14:textId="6E7D22B4" w:rsidR="0039086C" w:rsidRPr="00646254" w:rsidRDefault="0039086C" w:rsidP="00E96A1D">
      <w:pPr>
        <w:rPr>
          <w:rFonts w:eastAsia="Times New Roman" w:cstheme="minorHAnsi"/>
          <w:lang w:val="sr-Cyrl-CS"/>
        </w:rPr>
      </w:pPr>
      <w:r w:rsidRPr="00646254">
        <w:rPr>
          <w:rFonts w:eastAsia="Times New Roman" w:cstheme="minorHAnsi"/>
          <w:lang w:val="sr-Cyrl-CS"/>
        </w:rPr>
        <w:t xml:space="preserve">Оваква кретања у спољнотрговинској размени резултирала су </w:t>
      </w:r>
      <w:r w:rsidR="00C14440" w:rsidRPr="00646254">
        <w:rPr>
          <w:rFonts w:eastAsia="Times New Roman" w:cstheme="minorHAnsi"/>
          <w:lang w:val="sr-Cyrl-CS"/>
        </w:rPr>
        <w:t>растом</w:t>
      </w:r>
      <w:r w:rsidRPr="00646254">
        <w:rPr>
          <w:rFonts w:eastAsia="Times New Roman" w:cstheme="minorHAnsi"/>
          <w:lang w:val="sr-Cyrl-CS"/>
        </w:rPr>
        <w:t xml:space="preserve"> спољнотрговинског дефицита током првих осам месеци 2021. године за нешто више од 400 милиона евра, односно 10,5%, уз раст покривености увоза извозом ‒ са 73,4% на 76,3%.</w:t>
      </w:r>
    </w:p>
    <w:p w14:paraId="613159A0" w14:textId="77777777" w:rsidR="0039086C" w:rsidRPr="00646254" w:rsidRDefault="0039086C" w:rsidP="00161001">
      <w:pPr>
        <w:pStyle w:val="NoSpacing"/>
        <w:jc w:val="center"/>
        <w:rPr>
          <w:rFonts w:cstheme="minorHAnsi"/>
          <w:color w:val="002060"/>
          <w:lang w:val="sr-Cyrl-CS"/>
        </w:rPr>
      </w:pPr>
      <w:r w:rsidRPr="00646254">
        <w:rPr>
          <w:rFonts w:cstheme="minorHAnsi"/>
          <w:color w:val="002060"/>
          <w:lang w:val="sr-Cyrl-CS"/>
        </w:rPr>
        <w:t>Робна размена, мил. ЕУР</w:t>
      </w:r>
    </w:p>
    <w:p w14:paraId="3D483567" w14:textId="77777777" w:rsidR="0039086C" w:rsidRPr="00646254" w:rsidRDefault="0039086C" w:rsidP="00161001">
      <w:pPr>
        <w:pStyle w:val="NoSpacing"/>
        <w:jc w:val="center"/>
        <w:rPr>
          <w:rFonts w:cstheme="minorHAnsi"/>
          <w:b w:val="0"/>
          <w:color w:val="44546A" w:themeColor="text2"/>
          <w:lang w:val="sr-Cyrl-CS"/>
        </w:rPr>
      </w:pPr>
      <w:r w:rsidRPr="00646254">
        <w:rPr>
          <w:noProof/>
        </w:rPr>
        <w:drawing>
          <wp:inline distT="0" distB="0" distL="0" distR="0" wp14:anchorId="0BE95CB1" wp14:editId="1295B7FD">
            <wp:extent cx="2743200" cy="1659255"/>
            <wp:effectExtent l="0" t="0" r="0" b="0"/>
            <wp:docPr id="38" name="Chart 38">
              <a:extLst xmlns:a="http://schemas.openxmlformats.org/drawingml/2006/main">
                <a:ext uri="{FF2B5EF4-FFF2-40B4-BE49-F238E27FC236}">
                  <a16:creationId xmlns:a16="http://schemas.microsoft.com/office/drawing/2014/main" id="{00000000-0008-0000-15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p>
    <w:p w14:paraId="163587F0" w14:textId="77777777" w:rsidR="0039086C" w:rsidRPr="00646254" w:rsidRDefault="0039086C" w:rsidP="00161001">
      <w:pPr>
        <w:spacing w:before="40"/>
        <w:rPr>
          <w:rFonts w:cstheme="minorHAnsi"/>
          <w:sz w:val="16"/>
          <w:lang w:val="sr-Cyrl-CS"/>
        </w:rPr>
      </w:pPr>
      <w:r w:rsidRPr="00646254">
        <w:rPr>
          <w:rFonts w:cstheme="minorHAnsi"/>
          <w:sz w:val="16"/>
          <w:lang w:val="sr-Cyrl-CS"/>
        </w:rPr>
        <w:t>Извор: РЗС</w:t>
      </w:r>
    </w:p>
    <w:p w14:paraId="1EACBBA9" w14:textId="77777777" w:rsidR="0039086C" w:rsidRPr="00646254" w:rsidRDefault="0039086C" w:rsidP="00E96A1D">
      <w:pPr>
        <w:rPr>
          <w:rFonts w:eastAsia="Times New Roman" w:cstheme="minorHAnsi"/>
          <w:spacing w:val="-4"/>
          <w:szCs w:val="24"/>
          <w:lang w:val="sr-Cyrl-CS"/>
        </w:rPr>
      </w:pPr>
      <w:r w:rsidRPr="00646254">
        <w:rPr>
          <w:rFonts w:eastAsia="Times New Roman" w:cstheme="minorHAnsi"/>
          <w:spacing w:val="-4"/>
          <w:szCs w:val="24"/>
          <w:lang w:val="sr-Cyrl-CS"/>
        </w:rPr>
        <w:t>Најважнији спољнотрговински партнери током првих осам месеци 2021. године и даље су земље ЕУ, на које се односило 65,4% укупног извоза и 58,0% укупног увоза. Највећи део укупног извоза (39,4%) у том периоду био је усмерен на тржиште пет земаља: Немачка, Италија, БиХ, Румунија и Мађарска. Увоз из Немачке, Кине, Италије, Русије и Турске чинио је 44,1% укупног увоза. Спољнотрговински суфицит у овом периоду остварен је са БиХ, Црном Гором, Северном Македонијом, Румунијом, Чешком, Великом Британијом, Бугарском, Хрватском, Словачком, Шведском, и у нешто нижем износу и са Словенијом. Суфицит са овим земљама је износио 1.935,9 мил. евра. Највећи дефицит јавља се у трговини са Кином, Турском, Немачком, Ираком и Русијом.</w:t>
      </w:r>
    </w:p>
    <w:p w14:paraId="63A80215" w14:textId="77777777" w:rsidR="0039086C" w:rsidRPr="00646254" w:rsidRDefault="0039086C" w:rsidP="00E96A1D">
      <w:pPr>
        <w:rPr>
          <w:rFonts w:cstheme="minorHAnsi"/>
          <w:bCs/>
          <w:szCs w:val="72"/>
          <w:lang w:val="sr-Cyrl-CS"/>
        </w:rPr>
      </w:pPr>
      <w:r w:rsidRPr="00646254">
        <w:rPr>
          <w:rFonts w:eastAsia="Times New Roman" w:cstheme="minorHAnsi"/>
          <w:szCs w:val="24"/>
          <w:lang w:val="sr-Cyrl-CS"/>
        </w:rPr>
        <w:t>Платнобилансна кретања током 2021. године карактерише смањење дефицита текућег рачуна платног биланса за 29,5%. У првих осам месеци 2021. године, на текућем рачуну платног биланса забележен је дефицит у износу од 1.085,8 милиона евра, што је за 454,9 мил. евра мање него у истом периоду претходне године. На смањење дефицита текућег рачуна у највећој мери деловао је виши суфицит секундарног дохотка, али и нешто нижи дефицит на рачуну роба и услуга, који је смањен првенствено услед раста суфицита у размени услуга са иностранством.</w:t>
      </w:r>
      <w:r w:rsidRPr="00646254">
        <w:rPr>
          <w:rFonts w:cstheme="minorHAnsi"/>
          <w:bCs/>
          <w:szCs w:val="72"/>
          <w:lang w:val="sr-Cyrl-CS"/>
        </w:rPr>
        <w:t xml:space="preserve"> </w:t>
      </w:r>
      <w:r w:rsidRPr="00646254">
        <w:rPr>
          <w:rFonts w:eastAsia="Times New Roman" w:cstheme="minorHAnsi"/>
          <w:szCs w:val="24"/>
          <w:lang w:val="sr-Cyrl-CS"/>
        </w:rPr>
        <w:t>Робни дефицит је повећан за 8,0%, односно за 272,2 мил. евра, док је на рачуну услуга забележен суфицит који је био виши за 46,7% и износио је 968,8 мил. евра. Позитиван нето извоз услуга у највећој мери резултат је већег извоза ИКТ и туристичких услуга у посматраном периоду. Нето прилив по основу ИКТ услуга повећан је за 41,2% и износио је 807,1 мил. евра. Дефицит примарног дохотка повећан је за 89,9 мил. евра, односно за 9,6%, док је суфицит секундарног дохотка био међугодишње виши за 23,8% и износио је 2,6 млрд евра, као резултат повећаног прилива дознака из иностранства.</w:t>
      </w:r>
    </w:p>
    <w:p w14:paraId="3F64C89B" w14:textId="7F3BEA5E" w:rsidR="0039086C" w:rsidRPr="00646254" w:rsidRDefault="0039086C" w:rsidP="00E96A1D">
      <w:pPr>
        <w:rPr>
          <w:rFonts w:eastAsia="Times New Roman" w:cstheme="minorHAnsi"/>
          <w:szCs w:val="24"/>
          <w:lang w:val="sr-Cyrl-CS"/>
        </w:rPr>
      </w:pPr>
      <w:r w:rsidRPr="00646254">
        <w:rPr>
          <w:rFonts w:eastAsia="Times New Roman" w:cstheme="minorHAnsi"/>
          <w:szCs w:val="24"/>
          <w:lang w:val="sr-Cyrl-CS"/>
        </w:rPr>
        <w:t xml:space="preserve">Нето прилив </w:t>
      </w:r>
      <w:r w:rsidR="008F5F60" w:rsidRPr="00646254">
        <w:rPr>
          <w:rFonts w:eastAsia="Times New Roman" w:cstheme="minorHAnsi"/>
          <w:szCs w:val="24"/>
          <w:lang w:val="sr-Cyrl-CS"/>
        </w:rPr>
        <w:t xml:space="preserve">СДИ </w:t>
      </w:r>
      <w:r w:rsidRPr="00646254">
        <w:rPr>
          <w:rFonts w:eastAsia="Times New Roman" w:cstheme="minorHAnsi"/>
          <w:szCs w:val="24"/>
          <w:lang w:val="sr-Cyrl-CS"/>
        </w:rPr>
        <w:t xml:space="preserve">у првих осам месеци 2021. износио је 2,4 млрд евра, док је укупан прилив по основу СДИ износио је 2,6 млрд евра. Посматрано према делатностима, највећи нето прилив СДИ у првом полугодишту је остварен у рударству у износу од 380,7 мил. евра, због улагања компаније „Зиђин мајнинг” у изградњу рударских објеката и извођење радова за рудник бакра и злата „Чукару Пеки”. Прерађивачка индустрија, сектор који традиционално привлачи највише СДИ, и даље бележи висок нето прилив СДИ са остварених 352,7 мил. евра. Висок прилив СДИ у овом периоду остварен је и у транспорту, грађевинарству и финансијским услугама. Осим производне разноврсности СДИ су и географски диверсификоване, са растућим уделом земаља из азијско-пацифичког региона и Блиског истока. Посматрано према географском пореклу, Европска унија је и даље најзначајнији инвеститор у Србији, са оствареним уделом од 58,0% укупних инвестиција. Са друге стране, посматрано по земљама, највећи нето прилив </w:t>
      </w:r>
      <w:r w:rsidR="00964DC7" w:rsidRPr="00646254">
        <w:rPr>
          <w:rFonts w:eastAsia="Times New Roman" w:cstheme="minorHAnsi"/>
          <w:szCs w:val="24"/>
          <w:lang w:val="sr-Cyrl-CS"/>
        </w:rPr>
        <w:t>СДИ</w:t>
      </w:r>
      <w:r w:rsidRPr="00646254">
        <w:rPr>
          <w:rFonts w:eastAsia="Times New Roman" w:cstheme="minorHAnsi"/>
          <w:szCs w:val="24"/>
          <w:lang w:val="sr-Cyrl-CS"/>
        </w:rPr>
        <w:t xml:space="preserve"> долази из Кине</w:t>
      </w:r>
      <w:r w:rsidRPr="00646254">
        <w:rPr>
          <w:rStyle w:val="FootnoteReference"/>
          <w:rFonts w:eastAsia="Times New Roman" w:cstheme="minorHAnsi"/>
          <w:szCs w:val="24"/>
          <w:lang w:val="sr-Cyrl-CS"/>
        </w:rPr>
        <w:footnoteReference w:id="3"/>
      </w:r>
      <w:r w:rsidRPr="00646254">
        <w:rPr>
          <w:rFonts w:eastAsia="Times New Roman" w:cstheme="minorHAnsi"/>
          <w:szCs w:val="24"/>
          <w:lang w:val="sr-Cyrl-CS"/>
        </w:rPr>
        <w:t>, Холандије, Немачке, Швајцарске и Аустрије, које чине нешто мање од 70% укупних доспелих инвестиција. Удео прилива СДИ из Кине значајно је порастао у последњих шест година, са 3,1% у 2015. на 15,9% у прошлој години. У првих шест месеци 2021. године Кина је појединачно била највећи инвеститор, са близу пола милијарде евра улагања, што износи 31,1% укупно остварених нето СДИ у овом периоду.</w:t>
      </w:r>
    </w:p>
    <w:p w14:paraId="1870A825" w14:textId="6F7907CC" w:rsidR="0039086C" w:rsidRPr="00646254" w:rsidRDefault="0039086C" w:rsidP="00E96A1D">
      <w:pPr>
        <w:rPr>
          <w:rFonts w:eastAsia="Times New Roman" w:cstheme="minorHAnsi"/>
          <w:spacing w:val="-2"/>
          <w:szCs w:val="24"/>
          <w:lang w:val="sr-Cyrl-CS"/>
        </w:rPr>
      </w:pPr>
      <w:r w:rsidRPr="00646254">
        <w:rPr>
          <w:rFonts w:eastAsia="Times New Roman" w:cstheme="minorHAnsi"/>
          <w:szCs w:val="24"/>
          <w:lang w:val="sr-Cyrl-CS"/>
        </w:rPr>
        <w:t>У првих осам месеци, регистрован је прилив портфолио инвестиција у износу од 649 милиона евра, највећим делом услед емитовања државне обвезнице деноминоване у еврима у износу од једне милијарде евра 24. фебруара по стопи приноса од 1,920% и купонској стопи од 1,65%, са роком доспећа од 12 година, чиме је додатно продужена крива приноса српских обвезница емитованих на међународном тржишту. Укључивањем обвезница Републике Србије у J.P. Morgan индекс државних обвезница земаља у развоју (</w:t>
      </w:r>
      <w:r w:rsidRPr="00646254">
        <w:rPr>
          <w:rFonts w:eastAsia="Times New Roman" w:cstheme="minorHAnsi"/>
          <w:i/>
          <w:szCs w:val="24"/>
          <w:lang w:val="sr-Cyrl-CS"/>
        </w:rPr>
        <w:t>GBI-EM Global Diversified Index</w:t>
      </w:r>
      <w:r w:rsidRPr="00646254">
        <w:rPr>
          <w:rFonts w:eastAsia="Times New Roman" w:cstheme="minorHAnsi"/>
          <w:szCs w:val="24"/>
          <w:lang w:val="sr-Cyrl-CS"/>
        </w:rPr>
        <w:t xml:space="preserve">) 30. јуна остварен је значајан напредак у јачању ликвидности секундарног тржишта државних хартија од вредности и </w:t>
      </w:r>
      <w:r w:rsidR="00964DC7" w:rsidRPr="00646254">
        <w:rPr>
          <w:rFonts w:eastAsia="Times New Roman" w:cstheme="minorHAnsi"/>
          <w:szCs w:val="24"/>
          <w:lang w:val="sr-Cyrl-CS"/>
        </w:rPr>
        <w:t xml:space="preserve">потврђен је </w:t>
      </w:r>
      <w:r w:rsidRPr="00646254">
        <w:rPr>
          <w:rFonts w:eastAsia="Times New Roman" w:cstheme="minorHAnsi"/>
          <w:szCs w:val="24"/>
          <w:lang w:val="sr-Cyrl-CS"/>
        </w:rPr>
        <w:t>квалитет српских обвезница на светском финансијском тржишту. Индекс укључује државне обвезнице деномиране у локалној валути којима се редовно тргује, са фиксним купонским стопама, а којима страни инвеститори могу лако да приступе.</w:t>
      </w:r>
      <w:r w:rsidRPr="00646254">
        <w:rPr>
          <w:rStyle w:val="FootnoteReference"/>
          <w:rFonts w:eastAsia="Times New Roman" w:cstheme="minorHAnsi"/>
          <w:szCs w:val="24"/>
          <w:lang w:val="sr-Cyrl-CS"/>
        </w:rPr>
        <w:footnoteReference w:id="4"/>
      </w:r>
      <w:r w:rsidRPr="00646254">
        <w:rPr>
          <w:rFonts w:eastAsia="Times New Roman" w:cstheme="minorHAnsi"/>
          <w:szCs w:val="24"/>
          <w:lang w:val="sr-Cyrl-CS"/>
        </w:rPr>
        <w:t xml:space="preserve"> Поред GBI-EM Global Diversified Index, Република Србија улази и у GBI-Aggregate (GBI-AGG). Удруживањем Београдске (BELEX) и Атинске берзе (ATHEX) и усвајањем </w:t>
      </w:r>
      <w:r w:rsidRPr="00646254">
        <w:rPr>
          <w:rFonts w:eastAsia="Times New Roman" w:cstheme="minorHAnsi"/>
          <w:spacing w:val="-2"/>
          <w:szCs w:val="24"/>
          <w:lang w:val="sr-Cyrl-CS"/>
        </w:rPr>
        <w:t>Стратегије за развој тржишта капитала за период од 2021. до 2026. године обезбеђен је даљи развој тржишта капитала у Србији и диверсификацију извора дугорочног финансирања.</w:t>
      </w:r>
    </w:p>
    <w:p w14:paraId="34EF5202" w14:textId="77777777" w:rsidR="0039086C" w:rsidRPr="00646254" w:rsidRDefault="0039086C" w:rsidP="00E96A1D">
      <w:pPr>
        <w:rPr>
          <w:rFonts w:eastAsia="Times New Roman" w:cstheme="minorHAnsi"/>
          <w:szCs w:val="24"/>
          <w:lang w:val="sr-Cyrl-CS"/>
        </w:rPr>
      </w:pPr>
      <w:r w:rsidRPr="00646254">
        <w:rPr>
          <w:rFonts w:eastAsia="Times New Roman" w:cstheme="minorHAnsi"/>
          <w:szCs w:val="24"/>
          <w:lang w:val="sr-Cyrl-CS"/>
        </w:rPr>
        <w:t>Екстерну позицију Србије током 2021. године карактерише отпорност на финансијске шокове из међународног окружења. Девизне резерве на крају септембра текуће године повећане су за 3,3 млрд евра од почетка године и износиле су 16,8 млрд евра. Повећан је рацио девизних резерви и краткорочног дуга у односу на крај претходне године, услед истовременог раста девизних резерви и смањења краткорочног дуга. У истом периоду дошло је и до побољшања показатеља екстерне солвентности. Учешће спољног дуга у БДП остао је на непромењеном нивоу од 65,8%, док су удео краткорочног дуга у БДП и рацио спољног дуга и извоза робе и услуга смањени. Учешће спољног дуга у извозу роба и услуга на крају другог квартала 2021. године износило је 128,8%, што је значајно испод критеријума Светске банке од 220% и гарант је одрживости његовог сервисирања.</w:t>
      </w:r>
    </w:p>
    <w:p w14:paraId="5C29E3E7" w14:textId="03A68F5A" w:rsidR="0039086C" w:rsidRPr="00646254" w:rsidRDefault="0039086C" w:rsidP="00E96A1D">
      <w:pPr>
        <w:rPr>
          <w:szCs w:val="20"/>
          <w:lang w:val="sr-Cyrl-CS"/>
        </w:rPr>
      </w:pPr>
      <w:r w:rsidRPr="00646254">
        <w:rPr>
          <w:rFonts w:eastAsia="Times New Roman" w:cstheme="minorHAnsi"/>
          <w:szCs w:val="24"/>
          <w:lang w:val="sr-Cyrl-CS"/>
        </w:rPr>
        <w:t xml:space="preserve">Очекује се да ће укупан дефицит текућег рачуна у 2021. години износити око 2 млрд евра, односно 3,9% БДП, као и да ће нето прилив СДИ до краја године износи преко 3,5 милијарде евра, што ће и даље бити више него довољан износ за пуну покривеност дефицита текућег рачуна. </w:t>
      </w:r>
      <w:r w:rsidRPr="00646254">
        <w:rPr>
          <w:rFonts w:cstheme="minorHAnsi"/>
          <w:bCs/>
          <w:spacing w:val="-2"/>
          <w:szCs w:val="72"/>
          <w:lang w:val="sr-Cyrl-CS"/>
        </w:rPr>
        <w:t>Средњорочним макроекономским оквиром за период 2022–2024. године</w:t>
      </w:r>
      <w:r w:rsidRPr="00646254">
        <w:rPr>
          <w:szCs w:val="20"/>
          <w:lang w:val="sr-Cyrl-CS"/>
        </w:rPr>
        <w:t xml:space="preserve"> предвиђено је даље побољшање спољнотрговинских токова које се заснива на модернизацији и ширењу производних и извозних капацитета у делатностима разменљивих добара, јачању конкурентности на међународном тржишту и освајању нових тржишних ниша. То ће бити подржано даљим ублажавањем ефека</w:t>
      </w:r>
      <w:r w:rsidR="00767F66" w:rsidRPr="00646254">
        <w:rPr>
          <w:szCs w:val="20"/>
          <w:lang w:val="sr-Cyrl-CS"/>
        </w:rPr>
        <w:t>та пандемије у спољном окружењу</w:t>
      </w:r>
      <w:r w:rsidRPr="00646254">
        <w:rPr>
          <w:szCs w:val="20"/>
          <w:lang w:val="sr-Cyrl-CS"/>
        </w:rPr>
        <w:t xml:space="preserve"> и интензивирањем домаће инвестиционе активности.</w:t>
      </w:r>
    </w:p>
    <w:p w14:paraId="4E18F234" w14:textId="77777777" w:rsidR="0039086C" w:rsidRPr="00646254" w:rsidRDefault="0039086C" w:rsidP="0039086C">
      <w:pPr>
        <w:spacing w:after="80"/>
        <w:jc w:val="center"/>
        <w:rPr>
          <w:rFonts w:cstheme="minorHAnsi"/>
          <w:b/>
          <w:color w:val="002060"/>
          <w:lang w:val="sr-Cyrl-CS"/>
        </w:rPr>
      </w:pPr>
      <w:r w:rsidRPr="00646254">
        <w:rPr>
          <w:rFonts w:cstheme="minorHAnsi"/>
          <w:b/>
          <w:color w:val="002060"/>
          <w:lang w:val="sr-Cyrl-CS"/>
        </w:rPr>
        <w:t>Структура текућег рачуна, % БДП</w:t>
      </w:r>
    </w:p>
    <w:p w14:paraId="2E109433" w14:textId="77777777" w:rsidR="0039086C" w:rsidRPr="00646254" w:rsidRDefault="0039086C" w:rsidP="0039086C">
      <w:pPr>
        <w:spacing w:after="0"/>
        <w:rPr>
          <w:rFonts w:cstheme="minorHAnsi"/>
          <w:sz w:val="16"/>
          <w:lang w:val="sr-Cyrl-CS"/>
        </w:rPr>
      </w:pPr>
      <w:r w:rsidRPr="00646254">
        <w:rPr>
          <w:noProof/>
        </w:rPr>
        <w:drawing>
          <wp:inline distT="0" distB="0" distL="0" distR="0" wp14:anchorId="14C0158B" wp14:editId="63730AA2">
            <wp:extent cx="2743200" cy="2159635"/>
            <wp:effectExtent l="0" t="0" r="0" b="0"/>
            <wp:docPr id="42" name="Chart 42">
              <a:extLst xmlns:a="http://schemas.openxmlformats.org/drawingml/2006/main">
                <a:ext uri="{FF2B5EF4-FFF2-40B4-BE49-F238E27FC236}">
                  <a16:creationId xmlns:a16="http://schemas.microsoft.com/office/drawing/2014/main" id="{00000000-0008-0000-16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p>
    <w:p w14:paraId="4D12442A" w14:textId="77777777" w:rsidR="0039086C" w:rsidRPr="00646254" w:rsidRDefault="0039086C" w:rsidP="00663DA8">
      <w:pPr>
        <w:rPr>
          <w:rFonts w:cstheme="minorHAnsi"/>
          <w:sz w:val="16"/>
          <w:lang w:val="sr-Cyrl-CS"/>
        </w:rPr>
      </w:pPr>
      <w:r w:rsidRPr="00646254">
        <w:rPr>
          <w:rFonts w:cstheme="minorHAnsi"/>
          <w:sz w:val="16"/>
          <w:lang w:val="sr-Cyrl-CS"/>
        </w:rPr>
        <w:t>Извор: Министарство финансија, НБС, РЗС</w:t>
      </w:r>
    </w:p>
    <w:p w14:paraId="50CDDEB7" w14:textId="5FF29594" w:rsidR="0039086C" w:rsidRPr="00646254" w:rsidRDefault="0039086C" w:rsidP="00161001">
      <w:pPr>
        <w:rPr>
          <w:szCs w:val="20"/>
          <w:lang w:val="sr-Cyrl-CS"/>
        </w:rPr>
      </w:pPr>
      <w:r w:rsidRPr="00646254">
        <w:rPr>
          <w:szCs w:val="20"/>
          <w:lang w:val="sr-Cyrl-CS"/>
        </w:rPr>
        <w:t>Раст робног извоза у еврима по просечној стопи од 11,4% и увоза за 9,4% у пројектованом трогодишњем периоду смањиће спољнотрговински дефицит роба на 8,9% БДП у 2024. години, са овогодишњих 10,6%. Предвиђа се наставак повољних кретања на рачуну услуга, где ће суфицит у пројектованом трогодишњем периоду износити у просеку 1,6 млрд евра. Прилив по основу текућих трансфера износиће у просеку 6,7% БДП годишње, при чему ће приходи од дознака задржати улогу доминантне компоненте. Нето ефекат текућих трансфера и нето факторских плаћања у наредном трогодишњем периоду биће позитиван и износиће око 1,7 млрд евра просечно годишње, што ће значајно ублажити дефицит спољнотрговинског биланса роба и услуга. Оваква кретања</w:t>
      </w:r>
      <w:r w:rsidR="00767F66" w:rsidRPr="00646254">
        <w:rPr>
          <w:szCs w:val="20"/>
          <w:lang w:val="sr-Cyrl-CS"/>
        </w:rPr>
        <w:t>,</w:t>
      </w:r>
      <w:r w:rsidRPr="00646254">
        <w:rPr>
          <w:szCs w:val="20"/>
          <w:lang w:val="sr-Cyrl-CS"/>
        </w:rPr>
        <w:t xml:space="preserve"> уз пројектовану динамику економске активности</w:t>
      </w:r>
      <w:r w:rsidR="00767F66" w:rsidRPr="00646254">
        <w:rPr>
          <w:szCs w:val="20"/>
          <w:lang w:val="sr-Cyrl-CS"/>
        </w:rPr>
        <w:t>,</w:t>
      </w:r>
      <w:r w:rsidRPr="00646254">
        <w:rPr>
          <w:szCs w:val="20"/>
          <w:lang w:val="sr-Cyrl-CS"/>
        </w:rPr>
        <w:t xml:space="preserve"> имаће за резултат смањење учешћа дефицита текућег рачуна платног биланса на 3,9% БДП на крају пројекционог периода.</w:t>
      </w:r>
    </w:p>
    <w:p w14:paraId="04E5FC0F" w14:textId="77777777" w:rsidR="0039086C" w:rsidRPr="00646254" w:rsidRDefault="0039086C" w:rsidP="00E96A1D">
      <w:pPr>
        <w:jc w:val="center"/>
        <w:rPr>
          <w:rFonts w:cstheme="minorHAnsi"/>
          <w:b/>
          <w:color w:val="002060"/>
          <w:lang w:val="sr-Cyrl-CS"/>
        </w:rPr>
      </w:pPr>
      <w:r w:rsidRPr="00646254">
        <w:rPr>
          <w:rFonts w:cstheme="minorHAnsi"/>
          <w:b/>
          <w:color w:val="002060"/>
          <w:lang w:val="sr-Cyrl-CS"/>
        </w:rPr>
        <w:t>Дефицит текућег рачуна и СДИ, % БДП</w:t>
      </w:r>
    </w:p>
    <w:p w14:paraId="06037C4E" w14:textId="77777777" w:rsidR="0039086C" w:rsidRPr="00646254" w:rsidRDefault="0039086C" w:rsidP="00E96A1D">
      <w:pPr>
        <w:jc w:val="center"/>
        <w:rPr>
          <w:rFonts w:cstheme="minorHAnsi"/>
          <w:b/>
          <w:color w:val="002060"/>
          <w:lang w:val="sr-Cyrl-CS"/>
        </w:rPr>
      </w:pPr>
      <w:r w:rsidRPr="00646254">
        <w:rPr>
          <w:noProof/>
        </w:rPr>
        <w:drawing>
          <wp:inline distT="0" distB="0" distL="0" distR="0" wp14:anchorId="351211C3" wp14:editId="114025D5">
            <wp:extent cx="2743200" cy="2015490"/>
            <wp:effectExtent l="0" t="0" r="0" b="3810"/>
            <wp:docPr id="44" name="Chart 44">
              <a:extLst xmlns:a="http://schemas.openxmlformats.org/drawingml/2006/main">
                <a:ext uri="{FF2B5EF4-FFF2-40B4-BE49-F238E27FC236}">
                  <a16:creationId xmlns:a16="http://schemas.microsoft.com/office/drawing/2014/main" id="{00000000-0008-0000-17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p>
    <w:p w14:paraId="4EC4804C" w14:textId="77777777" w:rsidR="0039086C" w:rsidRPr="00646254" w:rsidRDefault="0039086C" w:rsidP="00E96A1D">
      <w:pPr>
        <w:rPr>
          <w:lang w:val="sr-Cyrl-CS"/>
        </w:rPr>
      </w:pPr>
      <w:r w:rsidRPr="00646254">
        <w:rPr>
          <w:rFonts w:cstheme="minorHAnsi"/>
          <w:sz w:val="16"/>
          <w:lang w:val="sr-Cyrl-CS"/>
        </w:rPr>
        <w:t>Извор: НБС и Министарство финансија</w:t>
      </w:r>
    </w:p>
    <w:p w14:paraId="2642F0E1" w14:textId="1D1E05B2" w:rsidR="004263FC" w:rsidRPr="00646254" w:rsidRDefault="0039086C" w:rsidP="00C130D2">
      <w:pPr>
        <w:rPr>
          <w:szCs w:val="20"/>
          <w:lang w:val="sr-Cyrl-CS"/>
        </w:rPr>
      </w:pPr>
      <w:r w:rsidRPr="00646254">
        <w:rPr>
          <w:szCs w:val="20"/>
          <w:lang w:val="sr-Cyrl-CS"/>
        </w:rPr>
        <w:t>У структури финансијског рачуна доминираће удео СДИ са учешћем у БДП од 6,1% просечно годишње. Овај прилив ће уједно бити главни извор финансирања дефицита текућег рачуна. Задржана повољна инвестициона перспектива наше земље и раст СДИ, као и њихова даља диверсификација ка сектору разменљивих добара, допринеће наставку раста извоза и јачању спољне и унутрашње макроекономске равнотеже.</w:t>
      </w:r>
    </w:p>
    <w:p w14:paraId="23CD45AC" w14:textId="111F1887" w:rsidR="004263FC" w:rsidRPr="00646254" w:rsidRDefault="004263FC" w:rsidP="00C130D2">
      <w:pPr>
        <w:rPr>
          <w:szCs w:val="20"/>
          <w:lang w:val="sr-Cyrl-CS"/>
        </w:rPr>
      </w:pPr>
    </w:p>
    <w:p w14:paraId="70FCA22C" w14:textId="77777777" w:rsidR="004263FC" w:rsidRPr="00646254" w:rsidRDefault="004263FC" w:rsidP="00C130D2">
      <w:pPr>
        <w:rPr>
          <w:rFonts w:cstheme="minorHAnsi"/>
          <w:bCs/>
          <w:color w:val="auto"/>
          <w:szCs w:val="72"/>
          <w:lang w:val="sr-Cyrl-CS"/>
        </w:rPr>
      </w:pPr>
    </w:p>
    <w:p w14:paraId="711FA062" w14:textId="77777777" w:rsidR="004263FC" w:rsidRPr="00646254" w:rsidRDefault="004263FC" w:rsidP="00C130D2">
      <w:pPr>
        <w:rPr>
          <w:rFonts w:cstheme="minorHAnsi"/>
          <w:bCs/>
          <w:color w:val="auto"/>
          <w:szCs w:val="72"/>
          <w:lang w:val="sr-Cyrl-CS"/>
        </w:rPr>
        <w:sectPr w:rsidR="004263FC" w:rsidRPr="00646254" w:rsidSect="00E96A1D">
          <w:headerReference w:type="even" r:id="rId87"/>
          <w:headerReference w:type="default" r:id="rId88"/>
          <w:footerReference w:type="even" r:id="rId89"/>
          <w:footerReference w:type="default" r:id="rId90"/>
          <w:headerReference w:type="first" r:id="rId91"/>
          <w:type w:val="continuous"/>
          <w:pgSz w:w="12240" w:h="15840" w:code="1"/>
          <w:pgMar w:top="1418" w:right="1418" w:bottom="1418" w:left="1418" w:header="720" w:footer="720" w:gutter="0"/>
          <w:cols w:num="2" w:space="720"/>
          <w:docGrid w:linePitch="272"/>
          <w15:footnoteColumns w:val="1"/>
        </w:sectPr>
      </w:pPr>
    </w:p>
    <w:p w14:paraId="6558B5BA" w14:textId="77777777" w:rsidR="004263FC" w:rsidRPr="00646254" w:rsidRDefault="004263FC" w:rsidP="001476C8">
      <w:pPr>
        <w:pStyle w:val="Heading2"/>
        <w:jc w:val="center"/>
        <w:rPr>
          <w:rFonts w:asciiTheme="minorHAnsi" w:hAnsiTheme="minorHAnsi" w:cstheme="minorHAnsi"/>
          <w:b/>
          <w:sz w:val="24"/>
          <w:szCs w:val="24"/>
          <w:lang w:val="sr-Cyrl-CS"/>
        </w:rPr>
      </w:pPr>
      <w:bookmarkStart w:id="11" w:name="_Toc86650471"/>
      <w:r w:rsidRPr="00646254">
        <w:rPr>
          <w:rFonts w:asciiTheme="minorHAnsi" w:hAnsiTheme="minorHAnsi" w:cstheme="minorHAnsi"/>
          <w:b/>
          <w:sz w:val="24"/>
          <w:szCs w:val="24"/>
          <w:lang w:val="sr-Cyrl-CS"/>
        </w:rPr>
        <w:t>4. Ризици остваривања пројекције кретања БДП Републике Србије</w:t>
      </w:r>
      <w:r w:rsidRPr="00646254">
        <w:rPr>
          <w:rFonts w:asciiTheme="minorHAnsi" w:hAnsiTheme="minorHAnsi" w:cstheme="minorHAnsi"/>
          <w:b/>
          <w:sz w:val="24"/>
          <w:szCs w:val="24"/>
          <w:lang w:val="sr-Cyrl-CS"/>
        </w:rPr>
        <w:br w:type="textWrapping" w:clear="all"/>
        <w:t>у периоду 2022–2024. година</w:t>
      </w:r>
      <w:bookmarkEnd w:id="11"/>
    </w:p>
    <w:p w14:paraId="17409097" w14:textId="77777777" w:rsidR="004263FC" w:rsidRPr="00646254" w:rsidRDefault="004263FC" w:rsidP="001476C8">
      <w:pPr>
        <w:spacing w:after="40"/>
        <w:rPr>
          <w:color w:val="auto"/>
          <w:lang w:val="sr-Cyrl-CS"/>
        </w:rPr>
      </w:pPr>
    </w:p>
    <w:p w14:paraId="22F7B98A" w14:textId="77777777" w:rsidR="004263FC" w:rsidRPr="00646254" w:rsidRDefault="004263FC" w:rsidP="001476C8">
      <w:pPr>
        <w:spacing w:after="40"/>
        <w:jc w:val="center"/>
        <w:rPr>
          <w:color w:val="auto"/>
          <w:lang w:val="sr-Cyrl-CS"/>
        </w:rPr>
        <w:sectPr w:rsidR="004263FC" w:rsidRPr="00646254" w:rsidSect="00D91A27">
          <w:headerReference w:type="even" r:id="rId92"/>
          <w:headerReference w:type="default" r:id="rId93"/>
          <w:footerReference w:type="even" r:id="rId94"/>
          <w:footerReference w:type="default" r:id="rId95"/>
          <w:headerReference w:type="first" r:id="rId96"/>
          <w:type w:val="continuous"/>
          <w:pgSz w:w="12240" w:h="15840"/>
          <w:pgMar w:top="1440" w:right="1440" w:bottom="1440" w:left="1440" w:header="720" w:footer="720" w:gutter="0"/>
          <w:cols w:space="720"/>
          <w:docGrid w:linePitch="360"/>
        </w:sectPr>
      </w:pPr>
    </w:p>
    <w:p w14:paraId="14959DF4" w14:textId="38E8D0B5" w:rsidR="004263FC" w:rsidRPr="00646254" w:rsidRDefault="004263FC" w:rsidP="00E96A1D">
      <w:pPr>
        <w:rPr>
          <w:rFonts w:cstheme="minorHAnsi"/>
          <w:bCs/>
          <w:szCs w:val="72"/>
          <w:lang w:val="sr-Cyrl-CS"/>
        </w:rPr>
      </w:pPr>
      <w:r w:rsidRPr="00646254">
        <w:rPr>
          <w:rFonts w:cstheme="minorHAnsi"/>
          <w:bCs/>
          <w:szCs w:val="72"/>
          <w:lang w:val="sr-Cyrl-CS"/>
        </w:rPr>
        <w:t>Средњорочни сценарио кретања привредне активности Републике Србије праћен је бројним ризицима</w:t>
      </w:r>
      <w:r w:rsidR="00F10508" w:rsidRPr="00646254">
        <w:rPr>
          <w:rFonts w:cstheme="minorHAnsi"/>
          <w:bCs/>
          <w:szCs w:val="72"/>
          <w:lang w:val="sr-Cyrl-CS"/>
        </w:rPr>
        <w:t>,</w:t>
      </w:r>
      <w:r w:rsidRPr="00646254">
        <w:rPr>
          <w:rFonts w:cstheme="minorHAnsi"/>
          <w:bCs/>
          <w:szCs w:val="72"/>
          <w:lang w:val="sr-Cyrl-CS"/>
        </w:rPr>
        <w:t xml:space="preserve"> пре свега из међународног окружења. Ризици макроекономског оквира</w:t>
      </w:r>
      <w:r w:rsidRPr="00646254">
        <w:rPr>
          <w:color w:val="auto"/>
          <w:lang w:val="sr-Cyrl-CS"/>
        </w:rPr>
        <w:t xml:space="preserve"> </w:t>
      </w:r>
      <w:r w:rsidRPr="00646254">
        <w:rPr>
          <w:rFonts w:cstheme="minorHAnsi"/>
          <w:bCs/>
          <w:szCs w:val="72"/>
          <w:lang w:val="sr-Cyrl-CS"/>
        </w:rPr>
        <w:t>у највећој мери потичу од неизвесности у погледу тока пандемије на светском нивоу и ефикасности у њеном сузбијању.</w:t>
      </w:r>
    </w:p>
    <w:p w14:paraId="4AD963AB" w14:textId="6F947F93" w:rsidR="004263FC" w:rsidRPr="00646254" w:rsidRDefault="004263FC" w:rsidP="00E96A1D">
      <w:pPr>
        <w:rPr>
          <w:rFonts w:cstheme="minorHAnsi"/>
          <w:bCs/>
          <w:szCs w:val="72"/>
          <w:lang w:val="sr-Cyrl-CS"/>
        </w:rPr>
      </w:pPr>
      <w:r w:rsidRPr="00646254">
        <w:rPr>
          <w:rFonts w:cstheme="minorHAnsi"/>
          <w:bCs/>
          <w:szCs w:val="72"/>
          <w:lang w:val="sr-Cyrl-CS"/>
        </w:rPr>
        <w:t>Основним макроекономским сценариом претпостав</w:t>
      </w:r>
      <w:r w:rsidR="00D677AD" w:rsidRPr="00646254">
        <w:rPr>
          <w:rFonts w:cstheme="minorHAnsi"/>
          <w:bCs/>
          <w:szCs w:val="72"/>
          <w:lang w:val="sr-Cyrl-CS"/>
        </w:rPr>
        <w:t>љ</w:t>
      </w:r>
      <w:r w:rsidRPr="00646254">
        <w:rPr>
          <w:rFonts w:cstheme="minorHAnsi"/>
          <w:bCs/>
          <w:szCs w:val="72"/>
          <w:lang w:val="sr-Cyrl-CS"/>
        </w:rPr>
        <w:t>ено је да ће утицај пандемије слабити током 2022. године како</w:t>
      </w:r>
      <w:r w:rsidRPr="00646254">
        <w:rPr>
          <w:color w:val="auto"/>
          <w:lang w:val="sr-Cyrl-CS"/>
        </w:rPr>
        <w:t xml:space="preserve"> </w:t>
      </w:r>
      <w:r w:rsidRPr="00646254">
        <w:rPr>
          <w:rFonts w:cstheme="minorHAnsi"/>
          <w:bCs/>
          <w:szCs w:val="72"/>
          <w:lang w:val="sr-Cyrl-CS"/>
        </w:rPr>
        <w:t xml:space="preserve">трансмисија вируса буде слабила и како буде расла употреба вакцине. У супротном, погоршање епидемиолошке ситуације и увођење додатних рестриктивних мера, потенцијално пооштравање финансијских услова и изражени трошковни притисци на глобалну инфлацију водили би рецесионим трендовима. Осим могућих нових таласа пандемије и повезаних епидемиолошких ограничења, на успоравање привредног раста могу да утичу и чиниоци попут раста цена сировина (пре свега енергената), тј. убрзање инфлације на светском нивоу. </w:t>
      </w:r>
      <w:r w:rsidR="0070506F" w:rsidRPr="00646254">
        <w:rPr>
          <w:rFonts w:cstheme="minorHAnsi"/>
          <w:bCs/>
          <w:szCs w:val="72"/>
          <w:lang w:val="sr-Cyrl-CS"/>
        </w:rPr>
        <w:t>Неуједначен опоравак наших најважнијих трговинских партнера праћен је ризиком од даљег успоравања услед</w:t>
      </w:r>
      <w:r w:rsidRPr="00646254">
        <w:rPr>
          <w:rFonts w:cstheme="minorHAnsi"/>
          <w:bCs/>
          <w:szCs w:val="72"/>
          <w:lang w:val="sr-Cyrl-CS"/>
        </w:rPr>
        <w:t xml:space="preserve"> ширења нових сојева вируса</w:t>
      </w:r>
      <w:r w:rsidR="00B5046F" w:rsidRPr="00646254">
        <w:rPr>
          <w:rFonts w:cstheme="minorHAnsi"/>
          <w:bCs/>
          <w:szCs w:val="72"/>
          <w:lang w:val="sr-Cyrl-CS"/>
        </w:rPr>
        <w:t>. Истовремено</w:t>
      </w:r>
      <w:r w:rsidRPr="00646254">
        <w:rPr>
          <w:rFonts w:cstheme="minorHAnsi"/>
          <w:bCs/>
          <w:szCs w:val="72"/>
          <w:lang w:val="sr-Cyrl-CS"/>
        </w:rPr>
        <w:t>, неповољним средњорочним изгледима за раст ових привреда доприносе и застоји у ланцима снабдевања и неравнотеже на тржишту рада, јер повећавају тр</w:t>
      </w:r>
      <w:r w:rsidR="00721982" w:rsidRPr="00646254">
        <w:rPr>
          <w:rFonts w:cstheme="minorHAnsi"/>
          <w:bCs/>
          <w:szCs w:val="72"/>
          <w:lang w:val="sr-Cyrl-CS"/>
        </w:rPr>
        <w:t xml:space="preserve">ошкове производње и подгревају </w:t>
      </w:r>
      <w:r w:rsidRPr="00646254">
        <w:rPr>
          <w:rFonts w:cstheme="minorHAnsi"/>
          <w:bCs/>
          <w:szCs w:val="72"/>
          <w:lang w:val="sr-Cyrl-CS"/>
        </w:rPr>
        <w:t>инфлаторна очекивања.</w:t>
      </w:r>
    </w:p>
    <w:p w14:paraId="10D182A5" w14:textId="6BA1FCF0" w:rsidR="004263FC" w:rsidRPr="00646254" w:rsidRDefault="004263FC" w:rsidP="00E96A1D">
      <w:pPr>
        <w:rPr>
          <w:rFonts w:cstheme="minorHAnsi"/>
          <w:bCs/>
          <w:szCs w:val="72"/>
          <w:lang w:val="sr-Cyrl-CS"/>
        </w:rPr>
      </w:pPr>
      <w:r w:rsidRPr="00646254">
        <w:rPr>
          <w:rFonts w:cstheme="minorHAnsi"/>
          <w:bCs/>
          <w:szCs w:val="72"/>
          <w:lang w:val="sr-Cyrl-CS"/>
        </w:rPr>
        <w:t>У кратком року, ризике пројекције оцењујемо као симетричне, при чему су асиметрични наниже по основу фактора из међународног окружења и благо навише по основу фактора из домаћег окружења. Већа производња и дистрибуција вакцине би требало да пандeмију сведе на прихватљиве оквире и да подстакне бржи од очекиваног опоравака потрошачког и инвестиционог поверења, а тиме и бржи привредни раст. С друге стране, потешкоће у процесу производње и дистрибуције вакцине и појава нових сојева вируса, који се брже шире, могли би да продуже трајање рестриктивних здравствених мера и тиме успоре опоравак. Неизвесност на међународном робном и финансиј</w:t>
      </w:r>
      <w:r w:rsidR="00DC381C" w:rsidRPr="00646254">
        <w:rPr>
          <w:rFonts w:cstheme="minorHAnsi"/>
          <w:bCs/>
          <w:szCs w:val="72"/>
          <w:lang w:val="sr-Cyrl-CS"/>
        </w:rPr>
        <w:t>с</w:t>
      </w:r>
      <w:r w:rsidRPr="00646254">
        <w:rPr>
          <w:rFonts w:cstheme="minorHAnsi"/>
          <w:bCs/>
          <w:szCs w:val="72"/>
          <w:lang w:val="sr-Cyrl-CS"/>
        </w:rPr>
        <w:t>ком тржишту, трговинске тензије и урушено пословно поверење негативно би се одразили на токове капитала. Што се тиче робног тржишта, раст цена примарних производа може имати утицај на привредни раст Србије. Кретање цене нафте и осталих енергената изнад пројектованог негативно би се одразило на трошкове производње, али би и променило структуру потрошње домаћинстава повећањем удела увозних добара, што би удружено успорило привредни раст. Ризици везани за домаће тржиште односе се на нову пољопривредну сезону, брзину опоравка тражње и кретање регулисаних цена.</w:t>
      </w:r>
    </w:p>
    <w:p w14:paraId="508DC084" w14:textId="77777777" w:rsidR="004263FC" w:rsidRPr="00646254" w:rsidRDefault="004263FC" w:rsidP="00E96A1D">
      <w:pPr>
        <w:rPr>
          <w:rFonts w:cstheme="minorHAnsi"/>
          <w:bCs/>
          <w:szCs w:val="72"/>
          <w:lang w:val="sr-Cyrl-CS"/>
        </w:rPr>
      </w:pPr>
      <w:r w:rsidRPr="00646254">
        <w:rPr>
          <w:rFonts w:cstheme="minorHAnsi"/>
          <w:bCs/>
          <w:szCs w:val="72"/>
          <w:lang w:val="sr-Cyrl-CS"/>
        </w:rPr>
        <w:t>Србија је задржала улогу нето извозника основних метала и руда, тако да би бржи раст њихових цена погодовао економској активности. Ублажавању негативних ризика допринеће активирање нових и проширење постојећих извозних капацитета, повољнији односи робне размене.</w:t>
      </w:r>
      <w:r w:rsidRPr="00646254">
        <w:rPr>
          <w:color w:val="auto"/>
          <w:lang w:val="sr-Cyrl-CS"/>
        </w:rPr>
        <w:t xml:space="preserve"> </w:t>
      </w:r>
      <w:r w:rsidRPr="00646254">
        <w:rPr>
          <w:rFonts w:cstheme="minorHAnsi"/>
          <w:bCs/>
          <w:szCs w:val="72"/>
          <w:lang w:val="sr-Cyrl-CS"/>
        </w:rPr>
        <w:t>Захваљујући инвестицијама из претходног периода, пре свега у разменљиве секторе, укупан извоз Србије је мање погођен смањеном екстерном тражњом из зоне евра, а индустријски сектор је остао релативно отпоран на шокове из глобалног окружења.</w:t>
      </w:r>
    </w:p>
    <w:p w14:paraId="691F7A37" w14:textId="58EB8CD5" w:rsidR="004263FC" w:rsidRPr="00646254" w:rsidRDefault="004263FC" w:rsidP="00E96A1D">
      <w:pPr>
        <w:rPr>
          <w:rFonts w:cstheme="minorHAnsi"/>
          <w:bCs/>
          <w:szCs w:val="72"/>
          <w:lang w:val="sr-Cyrl-CS"/>
        </w:rPr>
      </w:pPr>
      <w:r w:rsidRPr="00646254">
        <w:rPr>
          <w:rFonts w:cstheme="minorHAnsi"/>
          <w:bCs/>
          <w:szCs w:val="72"/>
          <w:lang w:val="sr-Cyrl-CS"/>
        </w:rPr>
        <w:t>Ендогени ризици су идентификовани као израженији навише.</w:t>
      </w:r>
      <w:r w:rsidRPr="00646254">
        <w:rPr>
          <w:color w:val="auto"/>
          <w:lang w:val="sr-Cyrl-CS"/>
        </w:rPr>
        <w:t xml:space="preserve"> </w:t>
      </w:r>
      <w:r w:rsidRPr="00646254">
        <w:rPr>
          <w:rFonts w:cstheme="minorHAnsi"/>
          <w:bCs/>
          <w:szCs w:val="72"/>
          <w:lang w:val="sr-Cyrl-CS"/>
        </w:rPr>
        <w:t>Пакет економских мера Владе и НБС очувао је расположиви доходак становништва и постојећа радна места, те обезбедио опоравак бржи од очекиваног. Ток пандемије ће определити кретања у услужном сектору, посебно у секторима саобраћаја, угоститељства и туризма. Штета проузрокована пандемијом у овим секторима може се прелити и на друге привредне гране. Остали фактори из домаћег окружења односе се на волатилност пољопривредне производње, ефикасност у реализацији јавних пројеката и динамику спровођења започетих реформи. Наставак структурних реформи и даља унапређења пословног амбијента требало би да допринесу бржем расту. И поред унапређења и модернизације сектора пољопривреде, производња главних биљних култура и даље је значајно зависна од агрометеоролошких услова, што може довести до битних одступања од вишегодишње просечне пољопривредне производње на бази које се пројектује кретање овог сектора. У основном сценарију је претпостављена просечна пољопривредна производња и неутралан допринос пољопривреде расту БДП. Раст грађевинарства у наредном периоду базиран је на успостављеној путањи раста приватне грађевинске оперативе као и на наставку инвестиционог циклуса државе. Динамика и ефикасност у спровођењу јавних пројеката</w:t>
      </w:r>
      <w:r w:rsidR="00F10508" w:rsidRPr="00646254">
        <w:rPr>
          <w:rFonts w:cstheme="minorHAnsi"/>
          <w:bCs/>
          <w:szCs w:val="72"/>
          <w:lang w:val="sr-Cyrl-CS"/>
        </w:rPr>
        <w:t>,</w:t>
      </w:r>
      <w:r w:rsidRPr="00646254">
        <w:rPr>
          <w:rFonts w:cstheme="minorHAnsi"/>
          <w:bCs/>
          <w:szCs w:val="72"/>
          <w:lang w:val="sr-Cyrl-CS"/>
        </w:rPr>
        <w:t xml:space="preserve"> као и активности у сегменту изградње зграда и производних капацитета</w:t>
      </w:r>
      <w:r w:rsidR="00F10508" w:rsidRPr="00646254">
        <w:rPr>
          <w:rFonts w:cstheme="minorHAnsi"/>
          <w:bCs/>
          <w:szCs w:val="72"/>
          <w:lang w:val="sr-Cyrl-CS"/>
        </w:rPr>
        <w:t>,</w:t>
      </w:r>
      <w:r w:rsidRPr="00646254">
        <w:rPr>
          <w:rFonts w:cstheme="minorHAnsi"/>
          <w:bCs/>
          <w:szCs w:val="72"/>
          <w:lang w:val="sr-Cyrl-CS"/>
        </w:rPr>
        <w:t xml:space="preserve"> носе са собом симетричне ризике. Кретање индустријске производње у највећој мери опредељено је екстерним факторима. </w:t>
      </w:r>
    </w:p>
    <w:p w14:paraId="77A09041" w14:textId="77777777" w:rsidR="004263FC" w:rsidRPr="00646254" w:rsidRDefault="004263FC" w:rsidP="00E96A1D">
      <w:pPr>
        <w:rPr>
          <w:rFonts w:cstheme="minorHAnsi"/>
          <w:bCs/>
          <w:szCs w:val="72"/>
          <w:lang w:val="sr-Cyrl-CS"/>
        </w:rPr>
      </w:pPr>
      <w:r w:rsidRPr="00646254">
        <w:rPr>
          <w:rFonts w:cstheme="minorHAnsi"/>
          <w:bCs/>
          <w:szCs w:val="72"/>
          <w:lang w:val="sr-Cyrl-CS"/>
        </w:rPr>
        <w:t>Иако је неутралисањем унутрашњих и спољашњих неравнотежа у претходном периоду повећана резистентност српске привреде на екстерне шокове, не треба губити из вида да смо мала и отворена економија која им је значајно изложена.</w:t>
      </w:r>
    </w:p>
    <w:p w14:paraId="65CB0C9D" w14:textId="77777777" w:rsidR="004263FC" w:rsidRPr="00646254" w:rsidRDefault="004263FC" w:rsidP="00E96A1D">
      <w:pPr>
        <w:rPr>
          <w:rFonts w:cstheme="minorHAnsi"/>
          <w:bCs/>
          <w:szCs w:val="72"/>
          <w:lang w:val="sr-Cyrl-CS"/>
        </w:rPr>
      </w:pPr>
      <w:r w:rsidRPr="00646254">
        <w:rPr>
          <w:rFonts w:cstheme="minorHAnsi"/>
          <w:bCs/>
          <w:szCs w:val="72"/>
          <w:lang w:val="sr-Cyrl-CS"/>
        </w:rPr>
        <w:t xml:space="preserve">Повољна макроекономска перспектива земље, унапређен пословни амбијент, задржавање повољних финансијских услова и ефикасна реализација инвестиционих пројеката државе умањиће неизвесност присутну у погледу спремности за инвестициона улагања и ширење производних капацитета. </w:t>
      </w:r>
    </w:p>
    <w:p w14:paraId="39AFDEBE" w14:textId="77777777" w:rsidR="004263FC" w:rsidRPr="00646254" w:rsidRDefault="004263FC" w:rsidP="0023268B">
      <w:pPr>
        <w:pStyle w:val="Caption"/>
        <w:keepNext/>
        <w:spacing w:after="0"/>
        <w:rPr>
          <w:rFonts w:cstheme="minorHAnsi"/>
          <w:b w:val="0"/>
          <w:i/>
          <w:iCs w:val="0"/>
          <w:szCs w:val="22"/>
          <w:lang w:val="sr-Cyrl-CS"/>
        </w:rPr>
      </w:pPr>
      <w:r w:rsidRPr="00646254">
        <w:rPr>
          <w:rFonts w:cstheme="minorHAnsi"/>
          <w:iCs w:val="0"/>
          <w:szCs w:val="22"/>
          <w:lang w:val="sr-Cyrl-CS"/>
        </w:rPr>
        <w:t xml:space="preserve">Пројекција кретања БДП, међугодишње </w:t>
      </w:r>
      <w:r w:rsidRPr="00646254">
        <w:rPr>
          <w:rFonts w:cstheme="minorHAnsi"/>
          <w:iCs w:val="0"/>
          <w:szCs w:val="22"/>
          <w:lang w:val="sr-Cyrl-CS"/>
        </w:rPr>
        <w:br w:type="textWrapping" w:clear="all"/>
        <w:t>стопе раста, %</w:t>
      </w:r>
    </w:p>
    <w:p w14:paraId="2B00F498" w14:textId="77777777" w:rsidR="004263FC" w:rsidRPr="00646254" w:rsidRDefault="004263FC" w:rsidP="0023268B">
      <w:pPr>
        <w:spacing w:after="120"/>
        <w:rPr>
          <w:rFonts w:cstheme="minorHAnsi"/>
          <w:bCs/>
          <w:sz w:val="16"/>
          <w:szCs w:val="72"/>
          <w:lang w:val="sr-Cyrl-CS"/>
        </w:rPr>
      </w:pPr>
      <w:r w:rsidRPr="00646254">
        <w:rPr>
          <w:noProof/>
        </w:rPr>
        <w:drawing>
          <wp:inline distT="0" distB="0" distL="0" distR="0" wp14:anchorId="0875BFF0" wp14:editId="28511D06">
            <wp:extent cx="2743200" cy="1372235"/>
            <wp:effectExtent l="0" t="0" r="0" b="0"/>
            <wp:docPr id="50" name="Chart 50">
              <a:extLst xmlns:a="http://schemas.openxmlformats.org/drawingml/2006/main">
                <a:ext uri="{FF2B5EF4-FFF2-40B4-BE49-F238E27FC236}">
                  <a16:creationId xmlns:a16="http://schemas.microsoft.com/office/drawing/2014/main" id="{00000000-0008-0000-08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7"/>
              </a:graphicData>
            </a:graphic>
          </wp:inline>
        </w:drawing>
      </w:r>
    </w:p>
    <w:p w14:paraId="418887A0" w14:textId="21AEA0E0" w:rsidR="004263FC" w:rsidRPr="00646254" w:rsidRDefault="004263FC" w:rsidP="00B435B3">
      <w:pPr>
        <w:rPr>
          <w:rFonts w:cstheme="minorHAnsi"/>
          <w:bCs/>
          <w:sz w:val="16"/>
          <w:szCs w:val="72"/>
          <w:lang w:val="sr-Cyrl-CS"/>
        </w:rPr>
      </w:pPr>
      <w:r w:rsidRPr="00646254">
        <w:rPr>
          <w:rFonts w:cstheme="minorHAnsi"/>
          <w:bCs/>
          <w:sz w:val="16"/>
          <w:szCs w:val="72"/>
          <w:lang w:val="sr-Cyrl-CS"/>
        </w:rPr>
        <w:t>Извор: Министарство финансија</w:t>
      </w:r>
      <w:bookmarkStart w:id="12" w:name="_Toc530635103"/>
    </w:p>
    <w:p w14:paraId="2DC7E45C" w14:textId="77777777" w:rsidR="004263FC" w:rsidRPr="00646254" w:rsidRDefault="004263FC" w:rsidP="00B435B3">
      <w:pPr>
        <w:rPr>
          <w:color w:val="auto"/>
          <w:lang w:val="sr-Cyrl-CS"/>
        </w:rPr>
        <w:sectPr w:rsidR="004263FC" w:rsidRPr="00646254" w:rsidSect="00C130D2">
          <w:headerReference w:type="even" r:id="rId98"/>
          <w:footerReference w:type="even" r:id="rId99"/>
          <w:footerReference w:type="default" r:id="rId100"/>
          <w:headerReference w:type="first" r:id="rId101"/>
          <w:type w:val="continuous"/>
          <w:pgSz w:w="12240" w:h="15840"/>
          <w:pgMar w:top="1440" w:right="1440" w:bottom="1440" w:left="1440" w:header="720" w:footer="720" w:gutter="0"/>
          <w:cols w:num="2" w:space="720"/>
          <w:docGrid w:linePitch="360"/>
          <w15:footnoteColumns w:val="1"/>
        </w:sectPr>
      </w:pPr>
    </w:p>
    <w:bookmarkEnd w:id="12"/>
    <w:p w14:paraId="68907217" w14:textId="77777777" w:rsidR="004263FC" w:rsidRPr="00646254" w:rsidRDefault="004263FC" w:rsidP="00E96A1D">
      <w:pPr>
        <w:jc w:val="left"/>
        <w:rPr>
          <w:color w:val="auto"/>
          <w:lang w:val="sr-Cyrl-CS"/>
        </w:rPr>
      </w:pPr>
    </w:p>
    <w:p w14:paraId="6FAED53B" w14:textId="4B1BC626" w:rsidR="00274E4F" w:rsidRPr="00646254" w:rsidRDefault="00274E4F">
      <w:pPr>
        <w:jc w:val="left"/>
        <w:rPr>
          <w:rFonts w:cstheme="minorHAnsi"/>
          <w:bCs/>
          <w:spacing w:val="-2"/>
          <w:szCs w:val="72"/>
          <w:lang w:val="sr-Cyrl-CS"/>
        </w:rPr>
      </w:pPr>
    </w:p>
    <w:p w14:paraId="038D74B4" w14:textId="4CE244A0" w:rsidR="00D162AA" w:rsidRPr="00646254" w:rsidRDefault="00D162AA">
      <w:pPr>
        <w:jc w:val="left"/>
        <w:rPr>
          <w:rFonts w:cstheme="minorHAnsi"/>
          <w:bCs/>
          <w:spacing w:val="-2"/>
          <w:szCs w:val="72"/>
          <w:lang w:val="sr-Cyrl-CS"/>
        </w:rPr>
      </w:pPr>
    </w:p>
    <w:p w14:paraId="1F6F9634" w14:textId="3E19A86C" w:rsidR="00D162AA" w:rsidRPr="00646254" w:rsidRDefault="00D162AA">
      <w:pPr>
        <w:jc w:val="left"/>
        <w:rPr>
          <w:rFonts w:cstheme="minorHAnsi"/>
          <w:bCs/>
          <w:spacing w:val="-2"/>
          <w:szCs w:val="72"/>
          <w:lang w:val="sr-Cyrl-CS"/>
        </w:rPr>
      </w:pPr>
    </w:p>
    <w:p w14:paraId="795F139E" w14:textId="77777777" w:rsidR="00D162AA" w:rsidRPr="00646254" w:rsidRDefault="00D162AA">
      <w:pPr>
        <w:jc w:val="left"/>
        <w:rPr>
          <w:rFonts w:cstheme="minorHAnsi"/>
          <w:bCs/>
          <w:spacing w:val="-2"/>
          <w:szCs w:val="72"/>
          <w:lang w:val="sr-Cyrl-CS"/>
        </w:rPr>
      </w:pPr>
    </w:p>
    <w:p w14:paraId="3218FD2A" w14:textId="45EFDC71" w:rsidR="00CA7E88" w:rsidRPr="00646254" w:rsidRDefault="00CA7E88">
      <w:pPr>
        <w:jc w:val="left"/>
        <w:rPr>
          <w:rFonts w:cstheme="minorHAnsi"/>
          <w:bCs/>
          <w:spacing w:val="-2"/>
          <w:szCs w:val="72"/>
          <w:lang w:val="sr-Cyrl-CS"/>
        </w:rPr>
      </w:pPr>
    </w:p>
    <w:p w14:paraId="1DE8A6CE" w14:textId="77777777" w:rsidR="004263FC" w:rsidRPr="00646254" w:rsidRDefault="004263FC">
      <w:pPr>
        <w:jc w:val="left"/>
        <w:rPr>
          <w:rFonts w:cstheme="minorHAnsi"/>
          <w:bCs/>
          <w:spacing w:val="-2"/>
          <w:szCs w:val="72"/>
          <w:lang w:val="sr-Cyrl-CS"/>
        </w:rPr>
        <w:sectPr w:rsidR="004263FC" w:rsidRPr="00646254" w:rsidSect="00CA7E88">
          <w:headerReference w:type="even" r:id="rId102"/>
          <w:footerReference w:type="even" r:id="rId103"/>
          <w:footerReference w:type="default" r:id="rId104"/>
          <w:headerReference w:type="first" r:id="rId105"/>
          <w:type w:val="continuous"/>
          <w:pgSz w:w="12240" w:h="15840" w:code="1"/>
          <w:pgMar w:top="1418" w:right="1418" w:bottom="1418" w:left="1418" w:header="720" w:footer="720" w:gutter="0"/>
          <w:cols w:num="2" w:space="720"/>
          <w:docGrid w:linePitch="272"/>
          <w15:footnoteColumns w:val="1"/>
        </w:sectPr>
      </w:pPr>
    </w:p>
    <w:p w14:paraId="7FC4DA4A" w14:textId="77777777" w:rsidR="00D162AA" w:rsidRPr="00646254" w:rsidRDefault="00D162AA">
      <w:pPr>
        <w:jc w:val="left"/>
        <w:rPr>
          <w:rFonts w:cstheme="minorHAnsi"/>
          <w:bCs/>
          <w:spacing w:val="-2"/>
          <w:szCs w:val="72"/>
          <w:lang w:val="sr-Cyrl-CS"/>
        </w:rPr>
      </w:pPr>
      <w:r w:rsidRPr="00646254">
        <w:rPr>
          <w:rFonts w:cstheme="minorHAnsi"/>
          <w:bCs/>
          <w:spacing w:val="-2"/>
          <w:szCs w:val="72"/>
          <w:lang w:val="sr-Cyrl-CS"/>
        </w:rPr>
        <w:br w:type="page"/>
      </w:r>
    </w:p>
    <w:p w14:paraId="5CD909F2" w14:textId="77777777" w:rsidR="00D162AA" w:rsidRPr="00646254" w:rsidRDefault="00D162AA" w:rsidP="00A70E96">
      <w:pPr>
        <w:pStyle w:val="Heading1"/>
        <w:jc w:val="center"/>
        <w:rPr>
          <w:rFonts w:asciiTheme="minorHAnsi" w:hAnsiTheme="minorHAnsi" w:cstheme="minorHAnsi"/>
          <w:b/>
          <w:sz w:val="24"/>
          <w:szCs w:val="24"/>
          <w:lang w:val="sr-Cyrl-CS"/>
        </w:rPr>
      </w:pPr>
      <w:bookmarkStart w:id="13" w:name="_Toc11155989"/>
      <w:bookmarkStart w:id="14" w:name="_Toc56667074"/>
      <w:bookmarkStart w:id="15" w:name="_Toc86650472"/>
      <w:bookmarkStart w:id="16" w:name="_Toc24119837"/>
      <w:r w:rsidRPr="00646254">
        <w:rPr>
          <w:rFonts w:asciiTheme="minorHAnsi" w:hAnsiTheme="minorHAnsi" w:cstheme="minorHAnsi"/>
          <w:b/>
          <w:sz w:val="24"/>
          <w:szCs w:val="24"/>
          <w:lang w:val="sr-Cyrl-CS"/>
        </w:rPr>
        <w:t>II. ФИСКАЛНИ ОКВИР ЗА ПЕРИОД ОД 2022. ДО 2024. ГОДИНЕ</w:t>
      </w:r>
      <w:bookmarkStart w:id="17" w:name="_Toc528909823"/>
      <w:bookmarkStart w:id="18" w:name="_Toc530635104"/>
      <w:bookmarkEnd w:id="13"/>
      <w:bookmarkEnd w:id="14"/>
      <w:bookmarkEnd w:id="15"/>
    </w:p>
    <w:p w14:paraId="0D5F7317" w14:textId="77777777" w:rsidR="00D162AA" w:rsidRPr="00646254" w:rsidRDefault="00D162AA" w:rsidP="009E4B86">
      <w:pPr>
        <w:keepNext/>
        <w:keepLines/>
        <w:spacing w:before="40" w:after="360"/>
        <w:jc w:val="center"/>
        <w:outlineLvl w:val="1"/>
        <w:rPr>
          <w:rFonts w:eastAsiaTheme="majorEastAsia" w:cstheme="minorHAnsi"/>
          <w:b/>
          <w:color w:val="2F5496" w:themeColor="accent1" w:themeShade="BF"/>
          <w:sz w:val="24"/>
          <w:szCs w:val="26"/>
          <w:lang w:val="sr-Cyrl-CS"/>
        </w:rPr>
      </w:pPr>
      <w:bookmarkStart w:id="19" w:name="_Toc11155990"/>
      <w:bookmarkStart w:id="20" w:name="_Toc56667075"/>
      <w:bookmarkStart w:id="21" w:name="_Toc86650473"/>
      <w:r w:rsidRPr="00646254">
        <w:rPr>
          <w:rFonts w:eastAsiaTheme="majorEastAsia" w:cstheme="minorHAnsi"/>
          <w:b/>
          <w:color w:val="2F5496" w:themeColor="accent1" w:themeShade="BF"/>
          <w:sz w:val="24"/>
          <w:szCs w:val="26"/>
          <w:lang w:val="sr-Cyrl-CS"/>
        </w:rPr>
        <w:t xml:space="preserve">1. </w:t>
      </w:r>
      <w:bookmarkEnd w:id="17"/>
      <w:r w:rsidRPr="00646254">
        <w:rPr>
          <w:rFonts w:eastAsiaTheme="majorEastAsia" w:cstheme="minorHAnsi"/>
          <w:b/>
          <w:color w:val="2F5496" w:themeColor="accent1" w:themeShade="BF"/>
          <w:sz w:val="24"/>
          <w:szCs w:val="26"/>
          <w:lang w:val="sr-Cyrl-CS"/>
        </w:rPr>
        <w:t>Средњорочни циљеви фискалне политике</w:t>
      </w:r>
      <w:bookmarkEnd w:id="18"/>
      <w:bookmarkEnd w:id="19"/>
      <w:bookmarkEnd w:id="20"/>
      <w:bookmarkEnd w:id="21"/>
    </w:p>
    <w:p w14:paraId="21CEFB98" w14:textId="77777777" w:rsidR="00D162AA" w:rsidRPr="00646254" w:rsidRDefault="00D162AA" w:rsidP="00C130D2">
      <w:pPr>
        <w:spacing w:after="120" w:line="276" w:lineRule="auto"/>
        <w:rPr>
          <w:rFonts w:ascii="Calibri" w:hAnsi="Calibri" w:cs="Calibri"/>
          <w:bCs/>
          <w:color w:val="FF0000"/>
          <w:szCs w:val="20"/>
          <w:lang w:val="sr-Cyrl-CS"/>
        </w:rPr>
        <w:sectPr w:rsidR="00D162AA" w:rsidRPr="00646254" w:rsidSect="00E96A1D">
          <w:headerReference w:type="even" r:id="rId106"/>
          <w:headerReference w:type="default" r:id="rId107"/>
          <w:footerReference w:type="even" r:id="rId108"/>
          <w:footerReference w:type="default" r:id="rId109"/>
          <w:headerReference w:type="first" r:id="rId110"/>
          <w:type w:val="continuous"/>
          <w:pgSz w:w="12240" w:h="15840" w:code="1"/>
          <w:pgMar w:top="1418" w:right="1418" w:bottom="1418" w:left="1418" w:header="720" w:footer="720" w:gutter="0"/>
          <w:cols w:space="720"/>
          <w:docGrid w:linePitch="272"/>
        </w:sectPr>
      </w:pPr>
    </w:p>
    <w:p w14:paraId="1C96BF93" w14:textId="77777777" w:rsidR="00D162AA" w:rsidRPr="00646254" w:rsidRDefault="00D162AA" w:rsidP="00E96A1D">
      <w:pPr>
        <w:rPr>
          <w:rFonts w:ascii="Calibri" w:hAnsi="Calibri" w:cs="Calibri"/>
          <w:bCs/>
          <w:szCs w:val="20"/>
          <w:lang w:val="sr-Cyrl-CS"/>
        </w:rPr>
      </w:pPr>
      <w:r w:rsidRPr="00646254">
        <w:rPr>
          <w:rFonts w:ascii="Calibri" w:hAnsi="Calibri" w:cs="Calibri"/>
          <w:bCs/>
          <w:szCs w:val="20"/>
          <w:lang w:val="sr-Cyrl-CS"/>
        </w:rPr>
        <w:t>Наставак борбе са пандемијом коронавируса и привредни опоравак обележили су 2021. годину. Почетком године обезбеђен је нови пакет мера подршке привреди и становништву у износу од око 4,2% БДП. Пакетом је предвиђена директна помоћ привреди и грађанима, уз додатне мере намењене секторима чије је пословање у највећој мери ограничено мерама за сузбијање епидемије (угоститељство, транспорт, хотелијерство и туристички сектор). Поред директне помоћи, овим пакетом мера, обезбеђена су додатна средства за очување ликвидности привредних субјеката и продужен рок за коришћење овог облика помоћи, а повећан је и износ средстава намењених сектору здравства.</w:t>
      </w:r>
    </w:p>
    <w:p w14:paraId="5E403D92" w14:textId="77777777" w:rsidR="00D162AA" w:rsidRPr="00646254" w:rsidRDefault="00D162AA" w:rsidP="00E96A1D">
      <w:pPr>
        <w:rPr>
          <w:rFonts w:ascii="Calibri" w:hAnsi="Calibri" w:cs="Calibri"/>
          <w:bCs/>
          <w:szCs w:val="20"/>
          <w:lang w:val="sr-Cyrl-CS"/>
        </w:rPr>
      </w:pPr>
      <w:r w:rsidRPr="00646254">
        <w:rPr>
          <w:rFonts w:ascii="Calibri" w:hAnsi="Calibri" w:cs="Calibri"/>
          <w:bCs/>
          <w:szCs w:val="20"/>
          <w:lang w:val="sr-Cyrl-CS"/>
        </w:rPr>
        <w:t>Пакет мера је додатно помогао опоравак привреде што се рефлектовало кроз бољу наплату прихода и последично мањи дефицит и ниво јавног дуга на крају године. Другим ребалансом је предвиђен дефицит опште државе од 4,9% БДП и ниво јавног дуга од 58,2% БДП, уз повећање износа средстава намењених инфраструктурним пројектима.</w:t>
      </w:r>
    </w:p>
    <w:p w14:paraId="6186FBB4" w14:textId="77777777" w:rsidR="00D162AA" w:rsidRPr="00646254" w:rsidRDefault="00D162AA" w:rsidP="00E96A1D">
      <w:pPr>
        <w:rPr>
          <w:rFonts w:ascii="Calibri" w:hAnsi="Calibri" w:cs="Calibri"/>
          <w:bCs/>
          <w:szCs w:val="20"/>
          <w:lang w:val="sr-Cyrl-CS"/>
        </w:rPr>
      </w:pPr>
      <w:r w:rsidRPr="00646254">
        <w:rPr>
          <w:rFonts w:ascii="Calibri" w:hAnsi="Calibri" w:cs="Calibri"/>
          <w:bCs/>
          <w:szCs w:val="20"/>
          <w:lang w:val="sr-Cyrl-CS"/>
        </w:rPr>
        <w:t>Глобална пандемија још није завршена тако да је предстојећи период пун неизвесности. Планирање економске и, посебно, фискалне политике првенствено ће зависити од сузбијања пандемије и њеног окончања. Опште је опредељење да се у периоду након кризе изазване пандемијом омогући постепено уравнотежење и стабилизација јавних финансија, како би се смањило учешће јавног дуга у БДП и створиле основе за стабилан привредни раст. До тада, потребно је обезбедити простор за правовремену реакцију фискалне политике у случају продубљивања кризе. Евентуална фискална интервенција државе у циљу минимизирања ефеката кризе свакако ће бити комбинована са настојањима да се не зауставе развојни програми и инфраструктурни пројекти финансирани из буџета.</w:t>
      </w:r>
    </w:p>
    <w:p w14:paraId="1273174A" w14:textId="77777777" w:rsidR="00D162AA" w:rsidRPr="00646254" w:rsidRDefault="00D162AA" w:rsidP="00E96A1D">
      <w:pPr>
        <w:rPr>
          <w:rFonts w:ascii="Calibri" w:hAnsi="Calibri" w:cs="Calibri"/>
          <w:bCs/>
          <w:szCs w:val="20"/>
          <w:lang w:val="sr-Cyrl-CS"/>
        </w:rPr>
      </w:pPr>
      <w:r w:rsidRPr="00646254">
        <w:rPr>
          <w:rFonts w:ascii="Calibri" w:hAnsi="Calibri" w:cs="Calibri"/>
          <w:bCs/>
          <w:szCs w:val="20"/>
          <w:lang w:val="sr-Cyrl-CS"/>
        </w:rPr>
        <w:t>Средњорочни фискални оквир предвиђа умерено напуштање експанзивне фискалне политике. С обзиром на неизвесну економску ситуацију, буџет ће свакако представљати „сигурносну мрежу” у случају ескалације неповољних кретања. Са једне стране обезбедиће се континуитет развојних и социјалних програма, а са друге стране обезбедиће се одрживост јавних финансија и наставак смањења нивоа јавног дуга у смислу учешћа у БДП. Имајући у виду очекивана макроекономска кретања, предвиђени годишњи фискални дефицити омогућавају смањење учешћа дуга опште државе у БДП и у наредном периоду.</w:t>
      </w:r>
    </w:p>
    <w:p w14:paraId="64511EC3" w14:textId="77777777" w:rsidR="00D162AA" w:rsidRPr="00646254" w:rsidRDefault="00D162AA" w:rsidP="00E96A1D">
      <w:pPr>
        <w:rPr>
          <w:rFonts w:ascii="Calibri" w:hAnsi="Calibri" w:cs="Calibri"/>
          <w:bCs/>
          <w:szCs w:val="20"/>
          <w:lang w:val="sr-Cyrl-CS"/>
        </w:rPr>
      </w:pPr>
      <w:r w:rsidRPr="00646254">
        <w:rPr>
          <w:rFonts w:ascii="Calibri" w:hAnsi="Calibri" w:cs="Calibri"/>
          <w:bCs/>
          <w:szCs w:val="20"/>
          <w:lang w:val="sr-Cyrl-CS"/>
        </w:rPr>
        <w:t>Фискална политика ће у наредном периоду бити фокусирана на наставак смањења укупног пореског оптерећења рада чиме се додатно растерећује привреда, односно повећава конкурентност приватног сектора. На расходној страни, приоритет ће имати инфраструктурни и капитални пројекти, те политика пензија и плата. При томе ће се водити рачуна да се повећањем ове две, највеће, категорије расхода не изађе из планираног одрживог оквира. Додатно, стабилности јавних финансија и одрживом фискалном оквиру допринеће планиране измене Закона о буџетском систему, којима ће, између осталог, бити редизајниран скуп фискалних правила, општих и посебних, те дефинисане посебне мере и консеквенце у случају њиховог непоштовања. Посебан акценат биће стављен на измену општих правила која се односе на јавни дуг и дефицит опште државе, те посебних правила везаних за одрживи ниво расхода за плате и пензије.</w:t>
      </w:r>
    </w:p>
    <w:p w14:paraId="1716177A" w14:textId="77777777" w:rsidR="00D162AA" w:rsidRPr="00646254" w:rsidRDefault="00D162AA" w:rsidP="0084203C">
      <w:pPr>
        <w:spacing w:after="120"/>
        <w:rPr>
          <w:rFonts w:ascii="Calibri" w:hAnsi="Calibri" w:cs="Calibri"/>
          <w:bCs/>
          <w:color w:val="FF0000"/>
          <w:szCs w:val="20"/>
          <w:lang w:val="sr-Cyrl-CS"/>
        </w:rPr>
        <w:sectPr w:rsidR="00D162AA" w:rsidRPr="00646254" w:rsidSect="00AE40EB">
          <w:type w:val="continuous"/>
          <w:pgSz w:w="12240" w:h="15840" w:code="1"/>
          <w:pgMar w:top="1440" w:right="1440" w:bottom="1440" w:left="1440" w:header="720" w:footer="720" w:gutter="0"/>
          <w:cols w:num="2" w:space="720"/>
          <w:docGrid w:linePitch="360"/>
        </w:sectPr>
      </w:pPr>
    </w:p>
    <w:p w14:paraId="458F67BB" w14:textId="77777777" w:rsidR="00D162AA" w:rsidRPr="00646254" w:rsidRDefault="00D162AA" w:rsidP="005D42AC">
      <w:pPr>
        <w:spacing w:after="120" w:line="276" w:lineRule="auto"/>
        <w:rPr>
          <w:rFonts w:ascii="Calibri" w:hAnsi="Calibri" w:cs="Calibri"/>
          <w:bCs/>
          <w:szCs w:val="20"/>
          <w:lang w:val="sr-Cyrl-CS"/>
        </w:rPr>
        <w:sectPr w:rsidR="00D162AA" w:rsidRPr="00646254" w:rsidSect="00AE40EB">
          <w:type w:val="continuous"/>
          <w:pgSz w:w="12240" w:h="15840" w:code="1"/>
          <w:pgMar w:top="1440" w:right="1440" w:bottom="1440" w:left="1440" w:header="720" w:footer="720" w:gutter="0"/>
          <w:cols w:num="2" w:space="720"/>
          <w:docGrid w:linePitch="360"/>
        </w:sectPr>
      </w:pPr>
      <w:r w:rsidRPr="00646254">
        <w:rPr>
          <w:rFonts w:ascii="Calibri" w:hAnsi="Calibri" w:cs="Calibri"/>
          <w:bCs/>
          <w:color w:val="FF0000"/>
          <w:szCs w:val="20"/>
          <w:lang w:val="sr-Cyrl-CS"/>
        </w:rPr>
        <w:t xml:space="preserve"> </w:t>
      </w:r>
    </w:p>
    <w:p w14:paraId="58DF9B99" w14:textId="77777777" w:rsidR="001A5BCF" w:rsidRPr="00646254" w:rsidRDefault="001A5BCF" w:rsidP="00D81397">
      <w:pPr>
        <w:keepNext/>
        <w:keepLines/>
        <w:spacing w:after="120"/>
        <w:jc w:val="center"/>
        <w:outlineLvl w:val="1"/>
        <w:rPr>
          <w:rFonts w:eastAsia="MS PGothic" w:cstheme="minorHAnsi"/>
          <w:b/>
          <w:color w:val="2F5496" w:themeColor="accent1" w:themeShade="BF"/>
          <w:sz w:val="24"/>
          <w:szCs w:val="26"/>
          <w:lang w:val="sr-Cyrl-CS" w:eastAsia="ja-JP"/>
        </w:rPr>
      </w:pPr>
      <w:bookmarkStart w:id="22" w:name="_Toc86650474"/>
      <w:bookmarkStart w:id="23" w:name="_Toc11155992"/>
      <w:bookmarkStart w:id="24" w:name="_Toc56667077"/>
      <w:bookmarkStart w:id="25" w:name="_Toc530635105"/>
      <w:bookmarkStart w:id="26" w:name="_Toc24119831"/>
      <w:bookmarkStart w:id="27" w:name="_Toc56667076"/>
      <w:bookmarkStart w:id="28" w:name="_Toc530635106"/>
      <w:r w:rsidRPr="00646254">
        <w:rPr>
          <w:rFonts w:eastAsia="MS PGothic" w:cstheme="minorHAnsi"/>
          <w:b/>
          <w:color w:val="2F5496" w:themeColor="accent1" w:themeShade="BF"/>
          <w:sz w:val="24"/>
          <w:szCs w:val="26"/>
          <w:lang w:val="sr-Cyrl-CS" w:eastAsia="ja-JP"/>
        </w:rPr>
        <w:t>2. Фискална кретања у 2020. години</w:t>
      </w:r>
      <w:bookmarkEnd w:id="22"/>
    </w:p>
    <w:p w14:paraId="15612483" w14:textId="77777777" w:rsidR="001A5BCF" w:rsidRPr="00646254" w:rsidRDefault="001A5BCF" w:rsidP="00D81397">
      <w:pPr>
        <w:spacing w:after="120"/>
        <w:rPr>
          <w:rFonts w:cstheme="minorHAnsi"/>
          <w:lang w:val="sr-Cyrl-CS" w:eastAsia="ja-JP"/>
        </w:rPr>
      </w:pPr>
    </w:p>
    <w:p w14:paraId="4AC26698" w14:textId="77777777" w:rsidR="001A5BCF" w:rsidRPr="00646254" w:rsidRDefault="001A5BCF" w:rsidP="00E4657F">
      <w:pPr>
        <w:spacing w:line="276" w:lineRule="auto"/>
        <w:rPr>
          <w:rFonts w:cstheme="minorHAnsi"/>
          <w:bCs/>
          <w:szCs w:val="72"/>
          <w:lang w:val="sr-Cyrl-CS"/>
        </w:rPr>
        <w:sectPr w:rsidR="001A5BCF" w:rsidRPr="00646254" w:rsidSect="00E96A1D">
          <w:headerReference w:type="even" r:id="rId111"/>
          <w:headerReference w:type="default" r:id="rId112"/>
          <w:footerReference w:type="even" r:id="rId113"/>
          <w:footerReference w:type="default" r:id="rId114"/>
          <w:headerReference w:type="first" r:id="rId115"/>
          <w:pgSz w:w="12240" w:h="15840" w:code="1"/>
          <w:pgMar w:top="1440" w:right="1440" w:bottom="1440" w:left="1440" w:header="720" w:footer="720" w:gutter="0"/>
          <w:cols w:space="720"/>
          <w:docGrid w:linePitch="360"/>
        </w:sectPr>
      </w:pPr>
    </w:p>
    <w:p w14:paraId="1EE6A71E" w14:textId="126144AD" w:rsidR="001A5BCF" w:rsidRPr="00646254" w:rsidRDefault="001A5BCF" w:rsidP="00E96A1D">
      <w:pPr>
        <w:spacing w:line="276" w:lineRule="auto"/>
        <w:rPr>
          <w:rFonts w:cstheme="minorHAnsi"/>
          <w:bCs/>
          <w:szCs w:val="72"/>
          <w:lang w:val="sr-Cyrl-CS"/>
        </w:rPr>
      </w:pPr>
      <w:r w:rsidRPr="00646254">
        <w:rPr>
          <w:rFonts w:cstheme="minorHAnsi"/>
          <w:bCs/>
          <w:szCs w:val="72"/>
          <w:lang w:val="sr-Cyrl-CS"/>
        </w:rPr>
        <w:t>На крају 2020. године, на нивоу опште државе остварен је фискални дефицит у износу од 442,8 млрд динара, односно 8% БДП, што је за 0,9% БДП боље од планираног, с обзиром да је ребалансом планиран фискални дефицит од 8,9% БДП. У истом периоду остварен је примарни фискални дефицит од 6% БДП. У оригиналном буџетском плану дефицит је износио 0,5% БДП. Дуг је повећан за 5 п.п, са 52,8% БДП, колико је износио на крају 2019. године на 57,8% БДП на крају 2020. године. Оваква неповољна фискална кретања су условљена кризом коју је изазвала пандемија COVID-19, односно напорима које је Република Србија уложила у ублажавање њеног утицаја на економске и друштвене токове значајним улагањима у здравствени систем и набавку неопходних медицинских средстава. Укупан пакет мера планиран за 2020. годину износио је 704,4 млрд динара, односно 12,8% БДП, од чега је реализовано 564,1 млрд динара мера за подршку привреди и становништву (10,3%</w:t>
      </w:r>
      <w:r w:rsidR="00DC28C8" w:rsidRPr="00646254">
        <w:rPr>
          <w:rFonts w:cstheme="minorHAnsi"/>
          <w:bCs/>
          <w:szCs w:val="72"/>
          <w:lang w:val="sr-Cyrl-CS"/>
        </w:rPr>
        <w:t xml:space="preserve"> </w:t>
      </w:r>
      <w:r w:rsidRPr="00646254">
        <w:rPr>
          <w:rFonts w:cstheme="minorHAnsi"/>
          <w:bCs/>
          <w:szCs w:val="72"/>
          <w:lang w:val="sr-Cyrl-CS"/>
        </w:rPr>
        <w:t>БДП), што уз набавку медицинске опреме и лекова у износу од око 72 млрд динара (1,3% БДП), чини укупан трошак за борбу против COVID-19 од 636,1 млрд динара, односно 11,6% БДП.</w:t>
      </w:r>
    </w:p>
    <w:p w14:paraId="11A5F1D5" w14:textId="2E9F9604" w:rsidR="001A5BCF" w:rsidRPr="00646254" w:rsidRDefault="001A5BCF" w:rsidP="00E96A1D">
      <w:pPr>
        <w:spacing w:line="276" w:lineRule="auto"/>
        <w:rPr>
          <w:rFonts w:cstheme="minorHAnsi"/>
          <w:bCs/>
          <w:szCs w:val="72"/>
          <w:lang w:val="sr-Cyrl-CS"/>
        </w:rPr>
      </w:pPr>
      <w:r w:rsidRPr="00646254">
        <w:rPr>
          <w:rFonts w:cstheme="minorHAnsi"/>
          <w:bCs/>
          <w:szCs w:val="72"/>
          <w:lang w:val="sr-Cyrl-CS"/>
        </w:rPr>
        <w:t>У односу на оригинални буџетски план, приходи и расходи су остварени уз значајна одступања, како у номиналним износима, тако и у структури.</w:t>
      </w:r>
    </w:p>
    <w:p w14:paraId="263B3A3E" w14:textId="77777777" w:rsidR="001A5BCF" w:rsidRPr="00646254" w:rsidRDefault="001A5BCF" w:rsidP="00E96A1D">
      <w:pPr>
        <w:spacing w:line="276" w:lineRule="auto"/>
        <w:rPr>
          <w:rFonts w:cstheme="minorHAnsi"/>
          <w:bCs/>
          <w:spacing w:val="-2"/>
          <w:szCs w:val="72"/>
          <w:lang w:val="sr-Cyrl-CS"/>
        </w:rPr>
      </w:pPr>
      <w:r w:rsidRPr="00646254">
        <w:rPr>
          <w:rFonts w:cstheme="minorHAnsi"/>
          <w:bCs/>
          <w:spacing w:val="-2"/>
          <w:szCs w:val="72"/>
          <w:lang w:val="sr-Cyrl-CS"/>
        </w:rPr>
        <w:t>Јавни приходи су остварени у износу мањем за 85,8 млрд динара (1,6% БДП) у односу на износ планиран оригиналним буџетом, док су у односу на 2019. годину номинално мањи за 1%. Највеће одступање у односу на план је забележено код пореских прихода тј. доприноса, пореза на доходак грађана и ПДВ. Доприноси и порез на доходак грађана су укупно мањи у односу на план за 1,2% БДП, што је последица мера којима су пореске обавезе по овом основу одложене и плаћају се у ратама, почевши од јануара 2021. године. Након периода у којем су важиле мере забележен је већи раст код ових категорија од иницијалног плана, делом и због тога што су неки порески обвезници већ почели да измирују део својих одложених обавеза. Индиректни порези (највећим делом ПДВ) нижи су за 0,7% БДП у односу на план, што је последица пада личне потрошње, мера ограничења кретања становништва, смањеног обима транзитног саобраћаја и сл. Порез на добит правних лица је остварен у износу вишем од планираног за око 0,2% БДП и поред мере одлагања уплата аконтација за други квартал, услед конзервативног приступа у планирању ове категорије заснованог на умереном расту профитабилности привреде. Непорески приходи су виши за 0,2% БДП у односу на план, захваљујући уплатама ванредних непореских прихода, који нису обухваћени планом (добит, дивиденде, премије итд.), док су редовни непорески приходи били значајно умањени због пандемије (путарине, казне, судске и административне таксе и накнаде и сл.).</w:t>
      </w:r>
    </w:p>
    <w:p w14:paraId="49362966" w14:textId="77777777" w:rsidR="001A5BCF" w:rsidRPr="00646254" w:rsidRDefault="001A5BCF" w:rsidP="00E96A1D">
      <w:pPr>
        <w:spacing w:line="276" w:lineRule="auto"/>
        <w:rPr>
          <w:rFonts w:cstheme="minorHAnsi"/>
          <w:bCs/>
          <w:szCs w:val="72"/>
          <w:lang w:val="sr-Cyrl-CS"/>
        </w:rPr>
        <w:sectPr w:rsidR="001A5BCF" w:rsidRPr="00646254" w:rsidSect="00E96A1D">
          <w:type w:val="continuous"/>
          <w:pgSz w:w="12240" w:h="15840"/>
          <w:pgMar w:top="1440" w:right="1440" w:bottom="1440" w:left="1440" w:header="720" w:footer="720" w:gutter="0"/>
          <w:cols w:num="2" w:space="720"/>
          <w:docGrid w:linePitch="360"/>
        </w:sectPr>
      </w:pPr>
      <w:r w:rsidRPr="00646254">
        <w:rPr>
          <w:rFonts w:cstheme="minorHAnsi"/>
          <w:bCs/>
          <w:szCs w:val="72"/>
          <w:lang w:val="sr-Cyrl-CS"/>
        </w:rPr>
        <w:t>Јавни расходи извршени су у износу вишем за 327,9 млрд динара (6% БДП) у односу на оригинални план. У односу на 2019. годину бележе раст од 13,8%. Највеће одступање је остварено код субвенција (2,5% БДП), колико износи и директна подршка приватном сектору исплаћена са ове позиције. Исплата директне новчане помоћи становништву са позиције осталих текућих расхода утицала је да ови расходи буду већи за 1,4% БДП у односу на план. Расходи за робе и услуге су већи од плана за око 0,8% БДП због повећаних издатака за набавку лекова и медицинске опреме, али и повећаних расхода за одржавање путне мреже код ЈП „Путеви Србије”, док су расходи за запослене већи за 0,4% БДП највише због повећања плата у здравственом сектору. Реализација јавних инвестиција у 2020. години је надмашила све претходне године достигавши ниво од 5,3% БДП и премашивши план за 0,5% БДП. Улагано је како у саобраћајну инфраструктуру, тако и у нове здравствене капацитете, што представља значајан квалитативан помак у управљању јавним финансијама у кризним временима и подстрек даљем економском расту. Позиција нето буџетских позајмица увећана је за 0,6% БДП у односу на оригинални буџетски план. У оквиру ове категорије расхода извршен је пренос средстава за кредитну помоћ привреди преко Фонда за развој Републике Србије.</w:t>
      </w:r>
    </w:p>
    <w:p w14:paraId="3DDF15D5" w14:textId="6FB3ECAD" w:rsidR="001A5BCF" w:rsidRPr="00646254" w:rsidRDefault="00B066B3" w:rsidP="00E96A1D">
      <w:pPr>
        <w:spacing w:after="0" w:line="276" w:lineRule="auto"/>
        <w:jc w:val="center"/>
        <w:rPr>
          <w:rFonts w:cs="Times New Roman"/>
          <w:b/>
          <w:sz w:val="24"/>
          <w:szCs w:val="24"/>
          <w:lang w:val="sr-Cyrl-CS"/>
        </w:rPr>
        <w:sectPr w:rsidR="001A5BCF" w:rsidRPr="00646254" w:rsidSect="00AE40EB">
          <w:type w:val="continuous"/>
          <w:pgSz w:w="12240" w:h="15840" w:code="1"/>
          <w:pgMar w:top="1440" w:right="1440" w:bottom="1440" w:left="1440" w:header="720" w:footer="720" w:gutter="0"/>
          <w:cols w:space="720"/>
          <w:docGrid w:linePitch="360"/>
        </w:sectPr>
      </w:pPr>
      <w:r w:rsidRPr="00646254">
        <w:rPr>
          <w:rFonts w:cstheme="minorHAnsi"/>
          <w:b/>
          <w:color w:val="002060"/>
          <w:lang w:val="sr-Cyrl-CS"/>
        </w:rPr>
        <w:t xml:space="preserve">Табела 5. </w:t>
      </w:r>
      <w:r w:rsidR="001A5BCF" w:rsidRPr="00646254">
        <w:rPr>
          <w:rFonts w:cstheme="minorHAnsi"/>
          <w:b/>
          <w:color w:val="002060"/>
          <w:lang w:val="sr-Cyrl-CS"/>
        </w:rPr>
        <w:t>Преглед пакета мера за подршку привреди и становништву у 2020. години</w:t>
      </w:r>
    </w:p>
    <w:tbl>
      <w:tblPr>
        <w:tblStyle w:val="PlainTable41"/>
        <w:tblW w:w="11013" w:type="dxa"/>
        <w:jc w:val="center"/>
        <w:tblLook w:val="04A0" w:firstRow="1" w:lastRow="0" w:firstColumn="1" w:lastColumn="0" w:noHBand="0" w:noVBand="1"/>
      </w:tblPr>
      <w:tblGrid>
        <w:gridCol w:w="7355"/>
        <w:gridCol w:w="1087"/>
        <w:gridCol w:w="742"/>
        <w:gridCol w:w="1087"/>
        <w:gridCol w:w="742"/>
      </w:tblGrid>
      <w:tr w:rsidR="001A5BCF" w:rsidRPr="00646254" w14:paraId="17935E4A" w14:textId="77777777" w:rsidTr="00E96A1D">
        <w:trPr>
          <w:cnfStyle w:val="100000000000" w:firstRow="1" w:lastRow="0" w:firstColumn="0" w:lastColumn="0" w:oddVBand="0" w:evenVBand="0" w:oddHBand="0" w:evenHBand="0" w:firstRowFirstColumn="0" w:firstRowLastColumn="0" w:lastRowFirstColumn="0" w:lastRowLastColumn="0"/>
          <w:trHeight w:val="22"/>
          <w:jc w:val="center"/>
        </w:trPr>
        <w:tc>
          <w:tcPr>
            <w:cnfStyle w:val="001000000000" w:firstRow="0" w:lastRow="0" w:firstColumn="1" w:lastColumn="0" w:oddVBand="0" w:evenVBand="0" w:oddHBand="0" w:evenHBand="0" w:firstRowFirstColumn="0" w:firstRowLastColumn="0" w:lastRowFirstColumn="0" w:lastRowLastColumn="0"/>
            <w:tcW w:w="7355" w:type="dxa"/>
            <w:noWrap/>
            <w:hideMark/>
          </w:tcPr>
          <w:p w14:paraId="325555CF" w14:textId="77777777" w:rsidR="001A5BCF" w:rsidRPr="00646254" w:rsidRDefault="001A5BCF" w:rsidP="00E96A1D">
            <w:pPr>
              <w:rPr>
                <w:rFonts w:ascii="Times New Roman" w:eastAsia="Times New Roman" w:hAnsi="Times New Roman" w:cs="Times New Roman"/>
                <w:color w:val="002060"/>
                <w:szCs w:val="20"/>
                <w:lang w:val="sr-Cyrl-CS"/>
              </w:rPr>
            </w:pPr>
          </w:p>
        </w:tc>
        <w:tc>
          <w:tcPr>
            <w:tcW w:w="1829" w:type="dxa"/>
            <w:gridSpan w:val="2"/>
            <w:hideMark/>
          </w:tcPr>
          <w:p w14:paraId="0EC9C057" w14:textId="77777777" w:rsidR="001A5BCF" w:rsidRPr="00646254" w:rsidRDefault="001A5BCF" w:rsidP="00E96A1D">
            <w:pPr>
              <w:jc w:val="center"/>
              <w:cnfStyle w:val="100000000000" w:firstRow="1" w:lastRow="0" w:firstColumn="0" w:lastColumn="0" w:oddVBand="0" w:evenVBand="0" w:oddHBand="0" w:evenHBand="0" w:firstRowFirstColumn="0" w:firstRowLastColumn="0" w:lastRowFirstColumn="0" w:lastRowLastColumn="0"/>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План</w:t>
            </w:r>
          </w:p>
        </w:tc>
        <w:tc>
          <w:tcPr>
            <w:tcW w:w="1829" w:type="dxa"/>
            <w:gridSpan w:val="2"/>
            <w:hideMark/>
          </w:tcPr>
          <w:p w14:paraId="6CE490C9" w14:textId="77777777" w:rsidR="001A5BCF" w:rsidRPr="00646254" w:rsidRDefault="001A5BCF" w:rsidP="00E96A1D">
            <w:pPr>
              <w:jc w:val="center"/>
              <w:cnfStyle w:val="100000000000" w:firstRow="1" w:lastRow="0" w:firstColumn="0" w:lastColumn="0" w:oddVBand="0" w:evenVBand="0" w:oddHBand="0" w:evenHBand="0" w:firstRowFirstColumn="0" w:firstRowLastColumn="0" w:lastRowFirstColumn="0" w:lastRowLastColumn="0"/>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 xml:space="preserve">Реализација </w:t>
            </w:r>
          </w:p>
        </w:tc>
      </w:tr>
      <w:tr w:rsidR="001A5BCF" w:rsidRPr="00646254" w14:paraId="068F3EB5" w14:textId="77777777" w:rsidTr="00E96A1D">
        <w:trPr>
          <w:cnfStyle w:val="000000100000" w:firstRow="0" w:lastRow="0" w:firstColumn="0" w:lastColumn="0" w:oddVBand="0" w:evenVBand="0" w:oddHBand="1" w:evenHBand="0" w:firstRowFirstColumn="0" w:firstRowLastColumn="0" w:lastRowFirstColumn="0" w:lastRowLastColumn="0"/>
          <w:trHeight w:val="22"/>
          <w:jc w:val="center"/>
        </w:trPr>
        <w:tc>
          <w:tcPr>
            <w:cnfStyle w:val="001000000000" w:firstRow="0" w:lastRow="0" w:firstColumn="1" w:lastColumn="0" w:oddVBand="0" w:evenVBand="0" w:oddHBand="0" w:evenHBand="0" w:firstRowFirstColumn="0" w:firstRowLastColumn="0" w:lastRowFirstColumn="0" w:lastRowLastColumn="0"/>
            <w:tcW w:w="7355" w:type="dxa"/>
            <w:noWrap/>
            <w:hideMark/>
          </w:tcPr>
          <w:p w14:paraId="0B950CAF" w14:textId="77777777" w:rsidR="001A5BCF" w:rsidRPr="00646254" w:rsidRDefault="001A5BCF" w:rsidP="00E96A1D">
            <w:pPr>
              <w:rPr>
                <w:rFonts w:ascii="Times New Roman" w:eastAsia="Times New Roman" w:hAnsi="Times New Roman" w:cs="Times New Roman"/>
                <w:color w:val="002060"/>
                <w:szCs w:val="20"/>
                <w:lang w:val="sr-Cyrl-CS"/>
              </w:rPr>
            </w:pPr>
            <w:r w:rsidRPr="00646254">
              <w:rPr>
                <w:rFonts w:ascii="Times New Roman" w:eastAsia="Times New Roman" w:hAnsi="Times New Roman" w:cs="Times New Roman"/>
                <w:color w:val="002060"/>
                <w:szCs w:val="20"/>
                <w:lang w:val="sr-Cyrl-CS"/>
              </w:rPr>
              <w:t> </w:t>
            </w:r>
          </w:p>
        </w:tc>
        <w:tc>
          <w:tcPr>
            <w:tcW w:w="1087" w:type="dxa"/>
            <w:noWrap/>
            <w:hideMark/>
          </w:tcPr>
          <w:p w14:paraId="70145A35" w14:textId="77777777" w:rsidR="001A5BCF" w:rsidRPr="00646254" w:rsidRDefault="001A5BCF" w:rsidP="00E96A1D">
            <w:pPr>
              <w:jc w:val="center"/>
              <w:cnfStyle w:val="000000100000" w:firstRow="0" w:lastRow="0" w:firstColumn="0" w:lastColumn="0" w:oddVBand="0" w:evenVBand="0" w:oddHBand="1" w:evenHBand="0" w:firstRowFirstColumn="0" w:firstRowLastColumn="0" w:lastRowFirstColumn="0" w:lastRowLastColumn="0"/>
              <w:rPr>
                <w:rFonts w:eastAsia="MS PGothic" w:cstheme="minorHAnsi"/>
                <w:b/>
                <w:color w:val="002060"/>
                <w:sz w:val="18"/>
                <w:szCs w:val="18"/>
                <w:lang w:val="sr-Cyrl-CS" w:eastAsia="ja-JP"/>
              </w:rPr>
            </w:pPr>
            <w:r w:rsidRPr="00646254">
              <w:rPr>
                <w:rFonts w:eastAsia="MS PGothic" w:cstheme="minorHAnsi"/>
                <w:b/>
                <w:color w:val="002060"/>
                <w:sz w:val="18"/>
                <w:szCs w:val="18"/>
                <w:lang w:val="sr-Cyrl-CS" w:eastAsia="ja-JP"/>
              </w:rPr>
              <w:t>у млрд РСД</w:t>
            </w:r>
          </w:p>
        </w:tc>
        <w:tc>
          <w:tcPr>
            <w:tcW w:w="742" w:type="dxa"/>
            <w:noWrap/>
            <w:hideMark/>
          </w:tcPr>
          <w:p w14:paraId="57D58BC7" w14:textId="77777777" w:rsidR="001A5BCF" w:rsidRPr="00646254" w:rsidRDefault="001A5BCF" w:rsidP="00E96A1D">
            <w:pPr>
              <w:jc w:val="center"/>
              <w:cnfStyle w:val="000000100000" w:firstRow="0" w:lastRow="0" w:firstColumn="0" w:lastColumn="0" w:oddVBand="0" w:evenVBand="0" w:oddHBand="1" w:evenHBand="0" w:firstRowFirstColumn="0" w:firstRowLastColumn="0" w:lastRowFirstColumn="0" w:lastRowLastColumn="0"/>
              <w:rPr>
                <w:rFonts w:eastAsia="MS PGothic" w:cstheme="minorHAnsi"/>
                <w:b/>
                <w:color w:val="002060"/>
                <w:sz w:val="18"/>
                <w:szCs w:val="18"/>
                <w:lang w:val="sr-Cyrl-CS" w:eastAsia="ja-JP"/>
              </w:rPr>
            </w:pPr>
            <w:r w:rsidRPr="00646254">
              <w:rPr>
                <w:rFonts w:eastAsia="MS PGothic" w:cstheme="minorHAnsi"/>
                <w:b/>
                <w:color w:val="002060"/>
                <w:sz w:val="18"/>
                <w:szCs w:val="18"/>
                <w:lang w:val="sr-Cyrl-CS" w:eastAsia="ja-JP"/>
              </w:rPr>
              <w:t>у % БДП</w:t>
            </w:r>
          </w:p>
        </w:tc>
        <w:tc>
          <w:tcPr>
            <w:tcW w:w="1087" w:type="dxa"/>
            <w:noWrap/>
            <w:hideMark/>
          </w:tcPr>
          <w:p w14:paraId="36603A1E" w14:textId="77777777" w:rsidR="001A5BCF" w:rsidRPr="00646254" w:rsidRDefault="001A5BCF" w:rsidP="00E96A1D">
            <w:pPr>
              <w:jc w:val="center"/>
              <w:cnfStyle w:val="000000100000" w:firstRow="0" w:lastRow="0" w:firstColumn="0" w:lastColumn="0" w:oddVBand="0" w:evenVBand="0" w:oddHBand="1" w:evenHBand="0" w:firstRowFirstColumn="0" w:firstRowLastColumn="0" w:lastRowFirstColumn="0" w:lastRowLastColumn="0"/>
              <w:rPr>
                <w:rFonts w:eastAsia="MS PGothic" w:cstheme="minorHAnsi"/>
                <w:b/>
                <w:color w:val="002060"/>
                <w:sz w:val="18"/>
                <w:szCs w:val="18"/>
                <w:lang w:val="sr-Cyrl-CS" w:eastAsia="ja-JP"/>
              </w:rPr>
            </w:pPr>
            <w:r w:rsidRPr="00646254">
              <w:rPr>
                <w:rFonts w:eastAsia="MS PGothic" w:cstheme="minorHAnsi"/>
                <w:b/>
                <w:color w:val="002060"/>
                <w:sz w:val="18"/>
                <w:szCs w:val="18"/>
                <w:lang w:val="sr-Cyrl-CS" w:eastAsia="ja-JP"/>
              </w:rPr>
              <w:t>у млрд РСД</w:t>
            </w:r>
          </w:p>
        </w:tc>
        <w:tc>
          <w:tcPr>
            <w:tcW w:w="742" w:type="dxa"/>
            <w:noWrap/>
            <w:hideMark/>
          </w:tcPr>
          <w:p w14:paraId="24A26F29" w14:textId="77777777" w:rsidR="001A5BCF" w:rsidRPr="00646254" w:rsidRDefault="001A5BCF" w:rsidP="00E96A1D">
            <w:pPr>
              <w:jc w:val="center"/>
              <w:cnfStyle w:val="000000100000" w:firstRow="0" w:lastRow="0" w:firstColumn="0" w:lastColumn="0" w:oddVBand="0" w:evenVBand="0" w:oddHBand="1" w:evenHBand="0" w:firstRowFirstColumn="0" w:firstRowLastColumn="0" w:lastRowFirstColumn="0" w:lastRowLastColumn="0"/>
              <w:rPr>
                <w:rFonts w:eastAsia="MS PGothic" w:cstheme="minorHAnsi"/>
                <w:b/>
                <w:color w:val="002060"/>
                <w:sz w:val="18"/>
                <w:szCs w:val="18"/>
                <w:lang w:val="sr-Cyrl-CS" w:eastAsia="ja-JP"/>
              </w:rPr>
            </w:pPr>
            <w:r w:rsidRPr="00646254">
              <w:rPr>
                <w:rFonts w:eastAsia="MS PGothic" w:cstheme="minorHAnsi"/>
                <w:b/>
                <w:color w:val="002060"/>
                <w:sz w:val="18"/>
                <w:szCs w:val="18"/>
                <w:lang w:val="sr-Cyrl-CS" w:eastAsia="ja-JP"/>
              </w:rPr>
              <w:t>у % БДП</w:t>
            </w:r>
          </w:p>
        </w:tc>
      </w:tr>
      <w:tr w:rsidR="001A5BCF" w:rsidRPr="00646254" w14:paraId="6A501C5F" w14:textId="77777777" w:rsidTr="00E96A1D">
        <w:trPr>
          <w:trHeight w:val="22"/>
          <w:jc w:val="center"/>
        </w:trPr>
        <w:tc>
          <w:tcPr>
            <w:cnfStyle w:val="001000000000" w:firstRow="0" w:lastRow="0" w:firstColumn="1" w:lastColumn="0" w:oddVBand="0" w:evenVBand="0" w:oddHBand="0" w:evenHBand="0" w:firstRowFirstColumn="0" w:firstRowLastColumn="0" w:lastRowFirstColumn="0" w:lastRowLastColumn="0"/>
            <w:tcW w:w="7355" w:type="dxa"/>
            <w:noWrap/>
            <w:hideMark/>
          </w:tcPr>
          <w:p w14:paraId="40654BD1" w14:textId="77777777" w:rsidR="001A5BCF" w:rsidRPr="00646254" w:rsidRDefault="001A5BCF" w:rsidP="00E96A1D">
            <w:pPr>
              <w:spacing w:line="276" w:lineRule="auto"/>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Мере пореске политике</w:t>
            </w:r>
          </w:p>
        </w:tc>
        <w:tc>
          <w:tcPr>
            <w:tcW w:w="1087" w:type="dxa"/>
            <w:noWrap/>
            <w:hideMark/>
          </w:tcPr>
          <w:p w14:paraId="091A7542" w14:textId="77777777" w:rsidR="001A5BCF" w:rsidRPr="00646254" w:rsidRDefault="001A5BCF" w:rsidP="00E96A1D">
            <w:pPr>
              <w:spacing w:line="276" w:lineRule="auto"/>
              <w:cnfStyle w:val="000000000000" w:firstRow="0" w:lastRow="0" w:firstColumn="0" w:lastColumn="0" w:oddVBand="0" w:evenVBand="0" w:oddHBand="0" w:evenHBand="0" w:firstRowFirstColumn="0" w:firstRowLastColumn="0" w:lastRowFirstColumn="0" w:lastRowLastColumn="0"/>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 </w:t>
            </w:r>
          </w:p>
        </w:tc>
        <w:tc>
          <w:tcPr>
            <w:tcW w:w="742" w:type="dxa"/>
            <w:noWrap/>
            <w:hideMark/>
          </w:tcPr>
          <w:p w14:paraId="571120C5" w14:textId="77777777" w:rsidR="001A5BCF" w:rsidRPr="00646254" w:rsidRDefault="001A5BCF" w:rsidP="00E96A1D">
            <w:pPr>
              <w:spacing w:line="276" w:lineRule="auto"/>
              <w:cnfStyle w:val="000000000000" w:firstRow="0" w:lastRow="0" w:firstColumn="0" w:lastColumn="0" w:oddVBand="0" w:evenVBand="0" w:oddHBand="0" w:evenHBand="0" w:firstRowFirstColumn="0" w:firstRowLastColumn="0" w:lastRowFirstColumn="0" w:lastRowLastColumn="0"/>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 </w:t>
            </w:r>
          </w:p>
        </w:tc>
        <w:tc>
          <w:tcPr>
            <w:tcW w:w="1087" w:type="dxa"/>
            <w:noWrap/>
            <w:hideMark/>
          </w:tcPr>
          <w:p w14:paraId="4722FD75" w14:textId="77777777" w:rsidR="001A5BCF" w:rsidRPr="00646254" w:rsidRDefault="001A5BCF" w:rsidP="00E96A1D">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 </w:t>
            </w:r>
          </w:p>
        </w:tc>
        <w:tc>
          <w:tcPr>
            <w:tcW w:w="742" w:type="dxa"/>
            <w:noWrap/>
            <w:hideMark/>
          </w:tcPr>
          <w:p w14:paraId="24624DD1" w14:textId="77777777" w:rsidR="001A5BCF" w:rsidRPr="00646254" w:rsidRDefault="001A5BCF" w:rsidP="00E96A1D">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 </w:t>
            </w:r>
          </w:p>
        </w:tc>
      </w:tr>
      <w:tr w:rsidR="001A5BCF" w:rsidRPr="00646254" w14:paraId="1C45CE17" w14:textId="77777777" w:rsidTr="00E96A1D">
        <w:trPr>
          <w:cnfStyle w:val="000000100000" w:firstRow="0" w:lastRow="0" w:firstColumn="0" w:lastColumn="0" w:oddVBand="0" w:evenVBand="0" w:oddHBand="1" w:evenHBand="0" w:firstRowFirstColumn="0" w:firstRowLastColumn="0" w:lastRowFirstColumn="0" w:lastRowLastColumn="0"/>
          <w:trHeight w:val="22"/>
          <w:jc w:val="center"/>
        </w:trPr>
        <w:tc>
          <w:tcPr>
            <w:cnfStyle w:val="001000000000" w:firstRow="0" w:lastRow="0" w:firstColumn="1" w:lastColumn="0" w:oddVBand="0" w:evenVBand="0" w:oddHBand="0" w:evenHBand="0" w:firstRowFirstColumn="0" w:firstRowLastColumn="0" w:lastRowFirstColumn="0" w:lastRowLastColumn="0"/>
            <w:tcW w:w="7355" w:type="dxa"/>
            <w:hideMark/>
          </w:tcPr>
          <w:p w14:paraId="1E5D535D" w14:textId="77777777" w:rsidR="001A5BCF" w:rsidRPr="00646254" w:rsidRDefault="001A5BCF" w:rsidP="00E96A1D">
            <w:pPr>
              <w:spacing w:line="276" w:lineRule="auto"/>
              <w:rPr>
                <w:rFonts w:eastAsia="MS PGothic" w:cstheme="minorHAnsi"/>
                <w:b w:val="0"/>
                <w:color w:val="002060"/>
                <w:sz w:val="18"/>
                <w:szCs w:val="18"/>
                <w:lang w:val="sr-Cyrl-CS" w:eastAsia="ja-JP"/>
              </w:rPr>
            </w:pPr>
            <w:r w:rsidRPr="00646254">
              <w:rPr>
                <w:rFonts w:eastAsia="MS PGothic" w:cstheme="minorHAnsi"/>
                <w:b w:val="0"/>
                <w:color w:val="002060"/>
                <w:sz w:val="18"/>
                <w:szCs w:val="18"/>
                <w:lang w:val="sr-Cyrl-CS" w:eastAsia="ja-JP"/>
              </w:rPr>
              <w:t>Одложено плаћање пореза на зараде и доприноса за приватни сектор током ванредног стања и за један додатни месец; приватне компаније обавезе отплаћују на рате, од јануара 2021. године</w:t>
            </w:r>
          </w:p>
        </w:tc>
        <w:tc>
          <w:tcPr>
            <w:tcW w:w="1087" w:type="dxa"/>
            <w:noWrap/>
            <w:vAlign w:val="center"/>
            <w:hideMark/>
          </w:tcPr>
          <w:p w14:paraId="7D53CB02" w14:textId="77777777" w:rsidR="001A5BCF" w:rsidRPr="00646254" w:rsidRDefault="001A5BCF" w:rsidP="00E96A1D">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168,0</w:t>
            </w:r>
          </w:p>
        </w:tc>
        <w:tc>
          <w:tcPr>
            <w:tcW w:w="742" w:type="dxa"/>
            <w:noWrap/>
            <w:vAlign w:val="center"/>
            <w:hideMark/>
          </w:tcPr>
          <w:p w14:paraId="129FFCB9" w14:textId="77777777" w:rsidR="001A5BCF" w:rsidRPr="00646254" w:rsidRDefault="001A5BCF" w:rsidP="00E96A1D">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3,1</w:t>
            </w:r>
          </w:p>
        </w:tc>
        <w:tc>
          <w:tcPr>
            <w:tcW w:w="1087" w:type="dxa"/>
            <w:noWrap/>
            <w:vAlign w:val="center"/>
            <w:hideMark/>
          </w:tcPr>
          <w:p w14:paraId="1EAEF563" w14:textId="77777777" w:rsidR="001A5BCF" w:rsidRPr="00646254" w:rsidRDefault="001A5BCF" w:rsidP="00E96A1D">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119,8</w:t>
            </w:r>
          </w:p>
        </w:tc>
        <w:tc>
          <w:tcPr>
            <w:tcW w:w="742" w:type="dxa"/>
            <w:noWrap/>
            <w:vAlign w:val="center"/>
            <w:hideMark/>
          </w:tcPr>
          <w:p w14:paraId="3908A8F0" w14:textId="77777777" w:rsidR="001A5BCF" w:rsidRPr="00646254" w:rsidRDefault="001A5BCF" w:rsidP="00E96A1D">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2,2</w:t>
            </w:r>
          </w:p>
        </w:tc>
      </w:tr>
      <w:tr w:rsidR="001A5BCF" w:rsidRPr="00646254" w14:paraId="51C85361" w14:textId="77777777" w:rsidTr="00E96A1D">
        <w:trPr>
          <w:trHeight w:val="22"/>
          <w:jc w:val="center"/>
        </w:trPr>
        <w:tc>
          <w:tcPr>
            <w:cnfStyle w:val="001000000000" w:firstRow="0" w:lastRow="0" w:firstColumn="1" w:lastColumn="0" w:oddVBand="0" w:evenVBand="0" w:oddHBand="0" w:evenHBand="0" w:firstRowFirstColumn="0" w:firstRowLastColumn="0" w:lastRowFirstColumn="0" w:lastRowLastColumn="0"/>
            <w:tcW w:w="7355" w:type="dxa"/>
            <w:hideMark/>
          </w:tcPr>
          <w:p w14:paraId="3D000619" w14:textId="77777777" w:rsidR="001A5BCF" w:rsidRPr="00646254" w:rsidRDefault="001A5BCF" w:rsidP="00E96A1D">
            <w:pPr>
              <w:spacing w:line="276" w:lineRule="auto"/>
              <w:rPr>
                <w:rFonts w:eastAsia="MS PGothic" w:cstheme="minorHAnsi"/>
                <w:b w:val="0"/>
                <w:color w:val="002060"/>
                <w:sz w:val="18"/>
                <w:szCs w:val="18"/>
                <w:lang w:val="sr-Cyrl-CS" w:eastAsia="ja-JP"/>
              </w:rPr>
            </w:pPr>
            <w:r w:rsidRPr="00646254">
              <w:rPr>
                <w:rFonts w:eastAsia="MS PGothic" w:cstheme="minorHAnsi"/>
                <w:b w:val="0"/>
                <w:color w:val="002060"/>
                <w:sz w:val="18"/>
                <w:szCs w:val="18"/>
                <w:lang w:val="sr-Cyrl-CS" w:eastAsia="ja-JP"/>
              </w:rPr>
              <w:t xml:space="preserve">Одложено плаћање аконтације за други квартал 2020. пореза на добит правних лица </w:t>
            </w:r>
          </w:p>
        </w:tc>
        <w:tc>
          <w:tcPr>
            <w:tcW w:w="1087" w:type="dxa"/>
            <w:noWrap/>
            <w:vAlign w:val="center"/>
            <w:hideMark/>
          </w:tcPr>
          <w:p w14:paraId="44F6BA55" w14:textId="77777777" w:rsidR="001A5BCF" w:rsidRPr="00646254" w:rsidRDefault="001A5BCF" w:rsidP="00E96A1D">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21,0</w:t>
            </w:r>
          </w:p>
        </w:tc>
        <w:tc>
          <w:tcPr>
            <w:tcW w:w="742" w:type="dxa"/>
            <w:noWrap/>
            <w:vAlign w:val="center"/>
            <w:hideMark/>
          </w:tcPr>
          <w:p w14:paraId="48573322" w14:textId="77777777" w:rsidR="001A5BCF" w:rsidRPr="00646254" w:rsidRDefault="001A5BCF" w:rsidP="00E96A1D">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0,4</w:t>
            </w:r>
          </w:p>
        </w:tc>
        <w:tc>
          <w:tcPr>
            <w:tcW w:w="1087" w:type="dxa"/>
            <w:noWrap/>
            <w:vAlign w:val="center"/>
            <w:hideMark/>
          </w:tcPr>
          <w:p w14:paraId="54517A8A" w14:textId="77777777" w:rsidR="001A5BCF" w:rsidRPr="00646254" w:rsidRDefault="001A5BCF" w:rsidP="00E96A1D">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13,5</w:t>
            </w:r>
          </w:p>
        </w:tc>
        <w:tc>
          <w:tcPr>
            <w:tcW w:w="742" w:type="dxa"/>
            <w:noWrap/>
            <w:vAlign w:val="center"/>
            <w:hideMark/>
          </w:tcPr>
          <w:p w14:paraId="54D6DC25" w14:textId="77777777" w:rsidR="001A5BCF" w:rsidRPr="00646254" w:rsidRDefault="001A5BCF" w:rsidP="00E96A1D">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0,2</w:t>
            </w:r>
          </w:p>
        </w:tc>
      </w:tr>
      <w:tr w:rsidR="001A5BCF" w:rsidRPr="00646254" w14:paraId="7B1A7C99" w14:textId="77777777" w:rsidTr="00E96A1D">
        <w:trPr>
          <w:cnfStyle w:val="000000100000" w:firstRow="0" w:lastRow="0" w:firstColumn="0" w:lastColumn="0" w:oddVBand="0" w:evenVBand="0" w:oddHBand="1" w:evenHBand="0" w:firstRowFirstColumn="0" w:firstRowLastColumn="0" w:lastRowFirstColumn="0" w:lastRowLastColumn="0"/>
          <w:trHeight w:val="22"/>
          <w:jc w:val="center"/>
        </w:trPr>
        <w:tc>
          <w:tcPr>
            <w:cnfStyle w:val="001000000000" w:firstRow="0" w:lastRow="0" w:firstColumn="1" w:lastColumn="0" w:oddVBand="0" w:evenVBand="0" w:oddHBand="0" w:evenHBand="0" w:firstRowFirstColumn="0" w:firstRowLastColumn="0" w:lastRowFirstColumn="0" w:lastRowLastColumn="0"/>
            <w:tcW w:w="7355" w:type="dxa"/>
            <w:noWrap/>
            <w:hideMark/>
          </w:tcPr>
          <w:p w14:paraId="0D338536" w14:textId="77777777" w:rsidR="001A5BCF" w:rsidRPr="00646254" w:rsidRDefault="001A5BCF" w:rsidP="00E96A1D">
            <w:pPr>
              <w:spacing w:line="276" w:lineRule="auto"/>
              <w:rPr>
                <w:rFonts w:eastAsia="MS PGothic" w:cstheme="minorHAnsi"/>
                <w:b w:val="0"/>
                <w:color w:val="002060"/>
                <w:sz w:val="18"/>
                <w:szCs w:val="18"/>
                <w:lang w:val="sr-Cyrl-CS" w:eastAsia="ja-JP"/>
              </w:rPr>
            </w:pPr>
            <w:r w:rsidRPr="00646254">
              <w:rPr>
                <w:rFonts w:eastAsia="MS PGothic" w:cstheme="minorHAnsi"/>
                <w:b w:val="0"/>
                <w:color w:val="002060"/>
                <w:sz w:val="18"/>
                <w:szCs w:val="18"/>
                <w:lang w:val="sr-Cyrl-CS" w:eastAsia="ja-JP"/>
              </w:rPr>
              <w:t>Ослобађање од плаћања ПДВ за све донаторе</w:t>
            </w:r>
          </w:p>
        </w:tc>
        <w:tc>
          <w:tcPr>
            <w:tcW w:w="1087" w:type="dxa"/>
            <w:noWrap/>
            <w:vAlign w:val="center"/>
            <w:hideMark/>
          </w:tcPr>
          <w:p w14:paraId="0C8A1B59" w14:textId="77777777" w:rsidR="001A5BCF" w:rsidRPr="00646254" w:rsidRDefault="001A5BCF" w:rsidP="00E96A1D">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w:t>
            </w:r>
          </w:p>
        </w:tc>
        <w:tc>
          <w:tcPr>
            <w:tcW w:w="742" w:type="dxa"/>
            <w:noWrap/>
            <w:vAlign w:val="center"/>
            <w:hideMark/>
          </w:tcPr>
          <w:p w14:paraId="2947D7B0" w14:textId="77777777" w:rsidR="001A5BCF" w:rsidRPr="00646254" w:rsidRDefault="001A5BCF" w:rsidP="00E96A1D">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w:t>
            </w:r>
          </w:p>
        </w:tc>
        <w:tc>
          <w:tcPr>
            <w:tcW w:w="1087" w:type="dxa"/>
            <w:noWrap/>
            <w:vAlign w:val="center"/>
            <w:hideMark/>
          </w:tcPr>
          <w:p w14:paraId="442A30D0" w14:textId="77777777" w:rsidR="001A5BCF" w:rsidRPr="00646254" w:rsidRDefault="001A5BCF" w:rsidP="00E96A1D">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w:t>
            </w:r>
          </w:p>
        </w:tc>
        <w:tc>
          <w:tcPr>
            <w:tcW w:w="742" w:type="dxa"/>
            <w:noWrap/>
            <w:vAlign w:val="center"/>
            <w:hideMark/>
          </w:tcPr>
          <w:p w14:paraId="219F660B" w14:textId="77777777" w:rsidR="001A5BCF" w:rsidRPr="00646254" w:rsidRDefault="001A5BCF" w:rsidP="00E96A1D">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w:t>
            </w:r>
          </w:p>
        </w:tc>
      </w:tr>
      <w:tr w:rsidR="001A5BCF" w:rsidRPr="00646254" w14:paraId="6834FE7D" w14:textId="77777777" w:rsidTr="00E96A1D">
        <w:trPr>
          <w:trHeight w:val="22"/>
          <w:jc w:val="center"/>
        </w:trPr>
        <w:tc>
          <w:tcPr>
            <w:cnfStyle w:val="001000000000" w:firstRow="0" w:lastRow="0" w:firstColumn="1" w:lastColumn="0" w:oddVBand="0" w:evenVBand="0" w:oddHBand="0" w:evenHBand="0" w:firstRowFirstColumn="0" w:firstRowLastColumn="0" w:lastRowFirstColumn="0" w:lastRowLastColumn="0"/>
            <w:tcW w:w="7355" w:type="dxa"/>
            <w:noWrap/>
            <w:hideMark/>
          </w:tcPr>
          <w:p w14:paraId="422AFA29" w14:textId="77777777" w:rsidR="001A5BCF" w:rsidRPr="00646254" w:rsidRDefault="001A5BCF" w:rsidP="00E96A1D">
            <w:pPr>
              <w:spacing w:line="276" w:lineRule="auto"/>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Укупно</w:t>
            </w:r>
          </w:p>
        </w:tc>
        <w:tc>
          <w:tcPr>
            <w:tcW w:w="1087" w:type="dxa"/>
            <w:noWrap/>
            <w:vAlign w:val="center"/>
            <w:hideMark/>
          </w:tcPr>
          <w:p w14:paraId="05CBC50C" w14:textId="77777777" w:rsidR="001A5BCF" w:rsidRPr="00646254" w:rsidRDefault="001A5BCF" w:rsidP="00E96A1D">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b/>
                <w:color w:val="002060"/>
                <w:sz w:val="18"/>
                <w:szCs w:val="18"/>
                <w:lang w:val="sr-Cyrl-CS" w:eastAsia="ja-JP"/>
              </w:rPr>
            </w:pPr>
            <w:r w:rsidRPr="00646254">
              <w:rPr>
                <w:rFonts w:eastAsia="MS PGothic" w:cstheme="minorHAnsi"/>
                <w:b/>
                <w:color w:val="002060"/>
                <w:sz w:val="18"/>
                <w:szCs w:val="18"/>
                <w:lang w:val="sr-Cyrl-CS" w:eastAsia="ja-JP"/>
              </w:rPr>
              <w:t>189,0</w:t>
            </w:r>
          </w:p>
        </w:tc>
        <w:tc>
          <w:tcPr>
            <w:tcW w:w="742" w:type="dxa"/>
            <w:noWrap/>
            <w:vAlign w:val="center"/>
            <w:hideMark/>
          </w:tcPr>
          <w:p w14:paraId="75532224" w14:textId="77777777" w:rsidR="001A5BCF" w:rsidRPr="00646254" w:rsidRDefault="001A5BCF" w:rsidP="00E96A1D">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b/>
                <w:color w:val="002060"/>
                <w:sz w:val="18"/>
                <w:szCs w:val="18"/>
                <w:lang w:val="sr-Cyrl-CS" w:eastAsia="ja-JP"/>
              </w:rPr>
            </w:pPr>
            <w:r w:rsidRPr="00646254">
              <w:rPr>
                <w:rFonts w:eastAsia="MS PGothic" w:cstheme="minorHAnsi"/>
                <w:b/>
                <w:color w:val="002060"/>
                <w:sz w:val="18"/>
                <w:szCs w:val="18"/>
                <w:lang w:val="sr-Cyrl-CS" w:eastAsia="ja-JP"/>
              </w:rPr>
              <w:t>3,4</w:t>
            </w:r>
          </w:p>
        </w:tc>
        <w:tc>
          <w:tcPr>
            <w:tcW w:w="1087" w:type="dxa"/>
            <w:noWrap/>
            <w:vAlign w:val="center"/>
            <w:hideMark/>
          </w:tcPr>
          <w:p w14:paraId="1151B58B" w14:textId="77777777" w:rsidR="001A5BCF" w:rsidRPr="00646254" w:rsidRDefault="001A5BCF" w:rsidP="00E96A1D">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b/>
                <w:color w:val="002060"/>
                <w:sz w:val="18"/>
                <w:szCs w:val="18"/>
                <w:lang w:val="sr-Cyrl-CS" w:eastAsia="ja-JP"/>
              </w:rPr>
            </w:pPr>
            <w:r w:rsidRPr="00646254">
              <w:rPr>
                <w:rFonts w:eastAsia="MS PGothic" w:cstheme="minorHAnsi"/>
                <w:b/>
                <w:color w:val="002060"/>
                <w:sz w:val="18"/>
                <w:szCs w:val="18"/>
                <w:lang w:val="sr-Cyrl-CS" w:eastAsia="ja-JP"/>
              </w:rPr>
              <w:t>133,3</w:t>
            </w:r>
          </w:p>
        </w:tc>
        <w:tc>
          <w:tcPr>
            <w:tcW w:w="742" w:type="dxa"/>
            <w:noWrap/>
            <w:vAlign w:val="center"/>
            <w:hideMark/>
          </w:tcPr>
          <w:p w14:paraId="06AE4FB8" w14:textId="77777777" w:rsidR="001A5BCF" w:rsidRPr="00646254" w:rsidRDefault="001A5BCF" w:rsidP="00E96A1D">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b/>
                <w:color w:val="002060"/>
                <w:sz w:val="18"/>
                <w:szCs w:val="18"/>
                <w:lang w:val="sr-Cyrl-CS" w:eastAsia="ja-JP"/>
              </w:rPr>
            </w:pPr>
            <w:r w:rsidRPr="00646254">
              <w:rPr>
                <w:rFonts w:eastAsia="MS PGothic" w:cstheme="minorHAnsi"/>
                <w:b/>
                <w:color w:val="002060"/>
                <w:sz w:val="18"/>
                <w:szCs w:val="18"/>
                <w:lang w:val="sr-Cyrl-CS" w:eastAsia="ja-JP"/>
              </w:rPr>
              <w:t>2,4</w:t>
            </w:r>
          </w:p>
        </w:tc>
      </w:tr>
      <w:tr w:rsidR="001A5BCF" w:rsidRPr="00646254" w14:paraId="6FC3CBE9" w14:textId="77777777" w:rsidTr="00E96A1D">
        <w:trPr>
          <w:cnfStyle w:val="000000100000" w:firstRow="0" w:lastRow="0" w:firstColumn="0" w:lastColumn="0" w:oddVBand="0" w:evenVBand="0" w:oddHBand="1" w:evenHBand="0" w:firstRowFirstColumn="0" w:firstRowLastColumn="0" w:lastRowFirstColumn="0" w:lastRowLastColumn="0"/>
          <w:trHeight w:val="22"/>
          <w:jc w:val="center"/>
        </w:trPr>
        <w:tc>
          <w:tcPr>
            <w:cnfStyle w:val="001000000000" w:firstRow="0" w:lastRow="0" w:firstColumn="1" w:lastColumn="0" w:oddVBand="0" w:evenVBand="0" w:oddHBand="0" w:evenHBand="0" w:firstRowFirstColumn="0" w:firstRowLastColumn="0" w:lastRowFirstColumn="0" w:lastRowLastColumn="0"/>
            <w:tcW w:w="7355" w:type="dxa"/>
            <w:noWrap/>
            <w:hideMark/>
          </w:tcPr>
          <w:p w14:paraId="5413E789" w14:textId="77777777" w:rsidR="001A5BCF" w:rsidRPr="00646254" w:rsidRDefault="001A5BCF" w:rsidP="00E96A1D">
            <w:pPr>
              <w:spacing w:line="276" w:lineRule="auto"/>
              <w:rPr>
                <w:rFonts w:eastAsia="MS PGothic" w:cstheme="minorHAnsi"/>
                <w:b w:val="0"/>
                <w:color w:val="002060"/>
                <w:sz w:val="18"/>
                <w:szCs w:val="18"/>
                <w:lang w:val="sr-Cyrl-CS" w:eastAsia="ja-JP"/>
              </w:rPr>
            </w:pPr>
            <w:r w:rsidRPr="00646254">
              <w:rPr>
                <w:rFonts w:eastAsia="MS PGothic" w:cstheme="minorHAnsi"/>
                <w:b w:val="0"/>
                <w:color w:val="002060"/>
                <w:sz w:val="18"/>
                <w:szCs w:val="18"/>
                <w:lang w:val="sr-Cyrl-CS" w:eastAsia="ja-JP"/>
              </w:rPr>
              <w:t>Директна подршка приватном сектору</w:t>
            </w:r>
          </w:p>
        </w:tc>
        <w:tc>
          <w:tcPr>
            <w:tcW w:w="1087" w:type="dxa"/>
            <w:noWrap/>
            <w:vAlign w:val="center"/>
            <w:hideMark/>
          </w:tcPr>
          <w:p w14:paraId="1AA662B7" w14:textId="77777777" w:rsidR="001A5BCF" w:rsidRPr="00646254" w:rsidRDefault="001A5BCF" w:rsidP="00E96A1D">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color w:val="002060"/>
                <w:sz w:val="18"/>
                <w:szCs w:val="18"/>
                <w:lang w:val="sr-Cyrl-CS" w:eastAsia="ja-JP"/>
              </w:rPr>
            </w:pPr>
          </w:p>
        </w:tc>
        <w:tc>
          <w:tcPr>
            <w:tcW w:w="742" w:type="dxa"/>
            <w:noWrap/>
            <w:vAlign w:val="center"/>
            <w:hideMark/>
          </w:tcPr>
          <w:p w14:paraId="7C25C830" w14:textId="77777777" w:rsidR="001A5BCF" w:rsidRPr="00646254" w:rsidRDefault="001A5BCF" w:rsidP="00E96A1D">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color w:val="002060"/>
                <w:sz w:val="18"/>
                <w:szCs w:val="18"/>
                <w:lang w:val="sr-Cyrl-CS" w:eastAsia="ja-JP"/>
              </w:rPr>
            </w:pPr>
          </w:p>
        </w:tc>
        <w:tc>
          <w:tcPr>
            <w:tcW w:w="1087" w:type="dxa"/>
            <w:noWrap/>
            <w:vAlign w:val="center"/>
            <w:hideMark/>
          </w:tcPr>
          <w:p w14:paraId="507DE51A" w14:textId="77777777" w:rsidR="001A5BCF" w:rsidRPr="00646254" w:rsidRDefault="001A5BCF" w:rsidP="00E96A1D">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color w:val="002060"/>
                <w:sz w:val="18"/>
                <w:szCs w:val="18"/>
                <w:lang w:val="sr-Cyrl-CS" w:eastAsia="ja-JP"/>
              </w:rPr>
            </w:pPr>
          </w:p>
        </w:tc>
        <w:tc>
          <w:tcPr>
            <w:tcW w:w="742" w:type="dxa"/>
            <w:noWrap/>
            <w:vAlign w:val="center"/>
            <w:hideMark/>
          </w:tcPr>
          <w:p w14:paraId="08CB0678" w14:textId="77777777" w:rsidR="001A5BCF" w:rsidRPr="00646254" w:rsidRDefault="001A5BCF" w:rsidP="00E96A1D">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color w:val="002060"/>
                <w:sz w:val="18"/>
                <w:szCs w:val="18"/>
                <w:lang w:val="sr-Cyrl-CS" w:eastAsia="ja-JP"/>
              </w:rPr>
            </w:pPr>
          </w:p>
        </w:tc>
      </w:tr>
      <w:tr w:rsidR="001A5BCF" w:rsidRPr="00646254" w14:paraId="58FD3300" w14:textId="77777777" w:rsidTr="00E96A1D">
        <w:trPr>
          <w:trHeight w:val="22"/>
          <w:jc w:val="center"/>
        </w:trPr>
        <w:tc>
          <w:tcPr>
            <w:cnfStyle w:val="001000000000" w:firstRow="0" w:lastRow="0" w:firstColumn="1" w:lastColumn="0" w:oddVBand="0" w:evenVBand="0" w:oddHBand="0" w:evenHBand="0" w:firstRowFirstColumn="0" w:firstRowLastColumn="0" w:lastRowFirstColumn="0" w:lastRowLastColumn="0"/>
            <w:tcW w:w="7355" w:type="dxa"/>
            <w:hideMark/>
          </w:tcPr>
          <w:p w14:paraId="45728AD4" w14:textId="77777777" w:rsidR="001A5BCF" w:rsidRPr="00646254" w:rsidRDefault="001A5BCF" w:rsidP="00E96A1D">
            <w:pPr>
              <w:spacing w:line="276" w:lineRule="auto"/>
              <w:rPr>
                <w:rFonts w:eastAsia="MS PGothic" w:cstheme="minorHAnsi"/>
                <w:b w:val="0"/>
                <w:color w:val="002060"/>
                <w:sz w:val="18"/>
                <w:szCs w:val="18"/>
                <w:lang w:val="sr-Cyrl-CS" w:eastAsia="ja-JP"/>
              </w:rPr>
            </w:pPr>
            <w:r w:rsidRPr="00646254">
              <w:rPr>
                <w:rFonts w:eastAsia="MS PGothic" w:cstheme="minorHAnsi"/>
                <w:b w:val="0"/>
                <w:color w:val="002060"/>
                <w:sz w:val="18"/>
                <w:szCs w:val="18"/>
                <w:lang w:val="sr-Cyrl-CS" w:eastAsia="ja-JP"/>
              </w:rPr>
              <w:t>Директна подршка предузетницима који плаћају паушални порез и предузетницима који плаћају порез на стварне приходе, микро, малим и средњим предузећима у приватном сектору - три месеца исплата нето минималне зараде и још два додатна месеца исплата 60% нето минималне зараде</w:t>
            </w:r>
          </w:p>
        </w:tc>
        <w:tc>
          <w:tcPr>
            <w:tcW w:w="1087" w:type="dxa"/>
            <w:noWrap/>
            <w:vAlign w:val="center"/>
            <w:hideMark/>
          </w:tcPr>
          <w:p w14:paraId="5644B11E" w14:textId="77777777" w:rsidR="001A5BCF" w:rsidRPr="00646254" w:rsidRDefault="001A5BCF" w:rsidP="00E96A1D">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128,8</w:t>
            </w:r>
          </w:p>
        </w:tc>
        <w:tc>
          <w:tcPr>
            <w:tcW w:w="742" w:type="dxa"/>
            <w:noWrap/>
            <w:vAlign w:val="center"/>
            <w:hideMark/>
          </w:tcPr>
          <w:p w14:paraId="244BBE64" w14:textId="77777777" w:rsidR="001A5BCF" w:rsidRPr="00646254" w:rsidRDefault="001A5BCF" w:rsidP="00E96A1D">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2,3</w:t>
            </w:r>
          </w:p>
        </w:tc>
        <w:tc>
          <w:tcPr>
            <w:tcW w:w="1087" w:type="dxa"/>
            <w:noWrap/>
            <w:vAlign w:val="center"/>
            <w:hideMark/>
          </w:tcPr>
          <w:p w14:paraId="08D3CACA" w14:textId="77777777" w:rsidR="001A5BCF" w:rsidRPr="00646254" w:rsidRDefault="001A5BCF" w:rsidP="00E96A1D">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130,1</w:t>
            </w:r>
          </w:p>
        </w:tc>
        <w:tc>
          <w:tcPr>
            <w:tcW w:w="742" w:type="dxa"/>
            <w:noWrap/>
            <w:vAlign w:val="center"/>
            <w:hideMark/>
          </w:tcPr>
          <w:p w14:paraId="40174D4C" w14:textId="77777777" w:rsidR="001A5BCF" w:rsidRPr="00646254" w:rsidRDefault="001A5BCF" w:rsidP="00E96A1D">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2,4</w:t>
            </w:r>
          </w:p>
        </w:tc>
      </w:tr>
      <w:tr w:rsidR="001A5BCF" w:rsidRPr="00646254" w14:paraId="68CF425E" w14:textId="77777777" w:rsidTr="00E96A1D">
        <w:trPr>
          <w:cnfStyle w:val="000000100000" w:firstRow="0" w:lastRow="0" w:firstColumn="0" w:lastColumn="0" w:oddVBand="0" w:evenVBand="0" w:oddHBand="1" w:evenHBand="0" w:firstRowFirstColumn="0" w:firstRowLastColumn="0" w:lastRowFirstColumn="0" w:lastRowLastColumn="0"/>
          <w:trHeight w:val="22"/>
          <w:jc w:val="center"/>
        </w:trPr>
        <w:tc>
          <w:tcPr>
            <w:cnfStyle w:val="001000000000" w:firstRow="0" w:lastRow="0" w:firstColumn="1" w:lastColumn="0" w:oddVBand="0" w:evenVBand="0" w:oddHBand="0" w:evenHBand="0" w:firstRowFirstColumn="0" w:firstRowLastColumn="0" w:lastRowFirstColumn="0" w:lastRowLastColumn="0"/>
            <w:tcW w:w="7355" w:type="dxa"/>
            <w:hideMark/>
          </w:tcPr>
          <w:p w14:paraId="049A7167" w14:textId="77777777" w:rsidR="001A5BCF" w:rsidRPr="00646254" w:rsidRDefault="001A5BCF" w:rsidP="00E96A1D">
            <w:pPr>
              <w:spacing w:line="276" w:lineRule="auto"/>
              <w:rPr>
                <w:rFonts w:eastAsia="MS PGothic" w:cstheme="minorHAnsi"/>
                <w:b w:val="0"/>
                <w:color w:val="002060"/>
                <w:sz w:val="18"/>
                <w:szCs w:val="18"/>
                <w:lang w:val="sr-Cyrl-CS" w:eastAsia="ja-JP"/>
              </w:rPr>
            </w:pPr>
            <w:r w:rsidRPr="00646254">
              <w:rPr>
                <w:rFonts w:eastAsia="MS PGothic" w:cstheme="minorHAnsi"/>
                <w:b w:val="0"/>
                <w:color w:val="002060"/>
                <w:sz w:val="18"/>
                <w:szCs w:val="18"/>
                <w:lang w:val="sr-Cyrl-CS" w:eastAsia="ja-JP"/>
              </w:rPr>
              <w:t>Директна подршка великим приватним компанијама - подршка у износу од 50% нето минималне зараде (за време ванредног стања) запосленима који су добили решење о престанку рада (на основу чл. 116. и 117. Закона о раду).</w:t>
            </w:r>
          </w:p>
        </w:tc>
        <w:tc>
          <w:tcPr>
            <w:tcW w:w="1087" w:type="dxa"/>
            <w:noWrap/>
            <w:vAlign w:val="center"/>
            <w:hideMark/>
          </w:tcPr>
          <w:p w14:paraId="33FD2D33" w14:textId="77777777" w:rsidR="001A5BCF" w:rsidRPr="00646254" w:rsidRDefault="001A5BCF" w:rsidP="00E96A1D">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4,5</w:t>
            </w:r>
          </w:p>
        </w:tc>
        <w:tc>
          <w:tcPr>
            <w:tcW w:w="742" w:type="dxa"/>
            <w:noWrap/>
            <w:vAlign w:val="center"/>
            <w:hideMark/>
          </w:tcPr>
          <w:p w14:paraId="12BBBA86" w14:textId="77777777" w:rsidR="001A5BCF" w:rsidRPr="00646254" w:rsidRDefault="001A5BCF" w:rsidP="00E96A1D">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0,1</w:t>
            </w:r>
          </w:p>
        </w:tc>
        <w:tc>
          <w:tcPr>
            <w:tcW w:w="1087" w:type="dxa"/>
            <w:noWrap/>
            <w:vAlign w:val="center"/>
            <w:hideMark/>
          </w:tcPr>
          <w:p w14:paraId="46EF549C" w14:textId="77777777" w:rsidR="001A5BCF" w:rsidRPr="00646254" w:rsidRDefault="001A5BCF" w:rsidP="00E96A1D">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1,6</w:t>
            </w:r>
          </w:p>
        </w:tc>
        <w:tc>
          <w:tcPr>
            <w:tcW w:w="742" w:type="dxa"/>
            <w:noWrap/>
            <w:vAlign w:val="center"/>
            <w:hideMark/>
          </w:tcPr>
          <w:p w14:paraId="668DCBC5" w14:textId="77777777" w:rsidR="001A5BCF" w:rsidRPr="00646254" w:rsidRDefault="001A5BCF" w:rsidP="00E96A1D">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0,0</w:t>
            </w:r>
          </w:p>
        </w:tc>
      </w:tr>
      <w:tr w:rsidR="001A5BCF" w:rsidRPr="00646254" w14:paraId="26FE1ABF" w14:textId="77777777" w:rsidTr="00E96A1D">
        <w:trPr>
          <w:trHeight w:val="22"/>
          <w:jc w:val="center"/>
        </w:trPr>
        <w:tc>
          <w:tcPr>
            <w:cnfStyle w:val="001000000000" w:firstRow="0" w:lastRow="0" w:firstColumn="1" w:lastColumn="0" w:oddVBand="0" w:evenVBand="0" w:oddHBand="0" w:evenHBand="0" w:firstRowFirstColumn="0" w:firstRowLastColumn="0" w:lastRowFirstColumn="0" w:lastRowLastColumn="0"/>
            <w:tcW w:w="7355" w:type="dxa"/>
            <w:hideMark/>
          </w:tcPr>
          <w:p w14:paraId="72320F60" w14:textId="77777777" w:rsidR="001A5BCF" w:rsidRPr="00646254" w:rsidRDefault="001A5BCF" w:rsidP="00E96A1D">
            <w:pPr>
              <w:spacing w:line="276" w:lineRule="auto"/>
              <w:rPr>
                <w:rFonts w:eastAsia="MS PGothic" w:cstheme="minorHAnsi"/>
                <w:b w:val="0"/>
                <w:color w:val="002060"/>
                <w:sz w:val="18"/>
                <w:szCs w:val="18"/>
                <w:lang w:val="sr-Cyrl-CS" w:eastAsia="ja-JP"/>
              </w:rPr>
            </w:pPr>
            <w:r w:rsidRPr="00646254">
              <w:rPr>
                <w:rFonts w:eastAsia="MS PGothic" w:cstheme="minorHAnsi"/>
                <w:b w:val="0"/>
                <w:color w:val="002060"/>
                <w:sz w:val="18"/>
                <w:szCs w:val="18"/>
                <w:lang w:val="sr-Cyrl-CS" w:eastAsia="ja-JP"/>
              </w:rPr>
              <w:t>Директна подршка хотелијерском сектору - 350€ по кревету, 150€ по соби, у динарској противвредности прерачунато по званичном средњем курсу НБС</w:t>
            </w:r>
          </w:p>
        </w:tc>
        <w:tc>
          <w:tcPr>
            <w:tcW w:w="1087" w:type="dxa"/>
            <w:noWrap/>
            <w:vAlign w:val="center"/>
            <w:hideMark/>
          </w:tcPr>
          <w:p w14:paraId="0584C00D" w14:textId="77777777" w:rsidR="001A5BCF" w:rsidRPr="00646254" w:rsidRDefault="001A5BCF" w:rsidP="00E96A1D">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2,0</w:t>
            </w:r>
          </w:p>
        </w:tc>
        <w:tc>
          <w:tcPr>
            <w:tcW w:w="742" w:type="dxa"/>
            <w:noWrap/>
            <w:vAlign w:val="center"/>
            <w:hideMark/>
          </w:tcPr>
          <w:p w14:paraId="50C87509" w14:textId="77777777" w:rsidR="001A5BCF" w:rsidRPr="00646254" w:rsidRDefault="001A5BCF" w:rsidP="00E96A1D">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0,0</w:t>
            </w:r>
          </w:p>
        </w:tc>
        <w:tc>
          <w:tcPr>
            <w:tcW w:w="1087" w:type="dxa"/>
            <w:noWrap/>
            <w:vAlign w:val="center"/>
            <w:hideMark/>
          </w:tcPr>
          <w:p w14:paraId="353EAA98" w14:textId="77777777" w:rsidR="001A5BCF" w:rsidRPr="00646254" w:rsidRDefault="001A5BCF" w:rsidP="00E96A1D">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1,2</w:t>
            </w:r>
          </w:p>
        </w:tc>
        <w:tc>
          <w:tcPr>
            <w:tcW w:w="742" w:type="dxa"/>
            <w:noWrap/>
            <w:vAlign w:val="center"/>
            <w:hideMark/>
          </w:tcPr>
          <w:p w14:paraId="40235845" w14:textId="77777777" w:rsidR="001A5BCF" w:rsidRPr="00646254" w:rsidRDefault="001A5BCF" w:rsidP="00E96A1D">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0,0</w:t>
            </w:r>
          </w:p>
        </w:tc>
      </w:tr>
      <w:tr w:rsidR="001A5BCF" w:rsidRPr="00646254" w14:paraId="3E17A9B6" w14:textId="77777777" w:rsidTr="00E96A1D">
        <w:trPr>
          <w:cnfStyle w:val="000000100000" w:firstRow="0" w:lastRow="0" w:firstColumn="0" w:lastColumn="0" w:oddVBand="0" w:evenVBand="0" w:oddHBand="1" w:evenHBand="0" w:firstRowFirstColumn="0" w:firstRowLastColumn="0" w:lastRowFirstColumn="0" w:lastRowLastColumn="0"/>
          <w:trHeight w:val="22"/>
          <w:jc w:val="center"/>
        </w:trPr>
        <w:tc>
          <w:tcPr>
            <w:cnfStyle w:val="001000000000" w:firstRow="0" w:lastRow="0" w:firstColumn="1" w:lastColumn="0" w:oddVBand="0" w:evenVBand="0" w:oddHBand="0" w:evenHBand="0" w:firstRowFirstColumn="0" w:firstRowLastColumn="0" w:lastRowFirstColumn="0" w:lastRowLastColumn="0"/>
            <w:tcW w:w="7355" w:type="dxa"/>
          </w:tcPr>
          <w:p w14:paraId="7D54D664" w14:textId="77777777" w:rsidR="001A5BCF" w:rsidRPr="00646254" w:rsidRDefault="001A5BCF" w:rsidP="00E96A1D">
            <w:pPr>
              <w:spacing w:line="276" w:lineRule="auto"/>
              <w:rPr>
                <w:rFonts w:eastAsia="MS PGothic" w:cstheme="minorHAnsi"/>
                <w:b w:val="0"/>
                <w:color w:val="002060"/>
                <w:sz w:val="18"/>
                <w:szCs w:val="18"/>
                <w:lang w:val="sr-Cyrl-CS" w:eastAsia="ja-JP"/>
              </w:rPr>
            </w:pPr>
            <w:r w:rsidRPr="00646254">
              <w:rPr>
                <w:rFonts w:eastAsia="MS PGothic" w:cstheme="minorHAnsi"/>
                <w:b w:val="0"/>
                <w:color w:val="002060"/>
                <w:sz w:val="18"/>
                <w:szCs w:val="18"/>
                <w:lang w:val="sr-Cyrl-CS" w:eastAsia="ja-JP"/>
              </w:rPr>
              <w:t xml:space="preserve">Директна подршка угоститељима, туристичким агенцијама, хотелима и </w:t>
            </w:r>
            <w:r w:rsidRPr="00646254">
              <w:rPr>
                <w:rFonts w:eastAsia="MS PGothic" w:cstheme="minorHAnsi"/>
                <w:b w:val="0"/>
                <w:i/>
                <w:color w:val="002060"/>
                <w:sz w:val="18"/>
                <w:szCs w:val="18"/>
                <w:lang w:val="sr-Cyrl-CS" w:eastAsia="ja-JP"/>
              </w:rPr>
              <w:t>rent a car</w:t>
            </w:r>
            <w:r w:rsidRPr="00646254">
              <w:rPr>
                <w:rFonts w:eastAsia="MS PGothic" w:cstheme="minorHAnsi"/>
                <w:b w:val="0"/>
                <w:color w:val="002060"/>
                <w:sz w:val="18"/>
                <w:szCs w:val="18"/>
                <w:lang w:val="sr-Cyrl-CS" w:eastAsia="ja-JP"/>
              </w:rPr>
              <w:t xml:space="preserve"> агенцијама (30.000 РСД)</w:t>
            </w:r>
          </w:p>
        </w:tc>
        <w:tc>
          <w:tcPr>
            <w:tcW w:w="1087" w:type="dxa"/>
            <w:noWrap/>
            <w:vAlign w:val="center"/>
          </w:tcPr>
          <w:p w14:paraId="3AB1C5B2" w14:textId="77777777" w:rsidR="001A5BCF" w:rsidRPr="00646254" w:rsidRDefault="001A5BCF" w:rsidP="00E96A1D">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2,7</w:t>
            </w:r>
          </w:p>
        </w:tc>
        <w:tc>
          <w:tcPr>
            <w:tcW w:w="742" w:type="dxa"/>
            <w:noWrap/>
            <w:vAlign w:val="center"/>
          </w:tcPr>
          <w:p w14:paraId="50FA11CF" w14:textId="77777777" w:rsidR="001A5BCF" w:rsidRPr="00646254" w:rsidRDefault="001A5BCF" w:rsidP="00E96A1D">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0,0</w:t>
            </w:r>
          </w:p>
        </w:tc>
        <w:tc>
          <w:tcPr>
            <w:tcW w:w="1087" w:type="dxa"/>
            <w:noWrap/>
            <w:vAlign w:val="center"/>
          </w:tcPr>
          <w:p w14:paraId="248A0B5E" w14:textId="77777777" w:rsidR="001A5BCF" w:rsidRPr="00646254" w:rsidRDefault="001A5BCF" w:rsidP="00E96A1D">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2,0</w:t>
            </w:r>
          </w:p>
        </w:tc>
        <w:tc>
          <w:tcPr>
            <w:tcW w:w="742" w:type="dxa"/>
            <w:noWrap/>
            <w:vAlign w:val="center"/>
          </w:tcPr>
          <w:p w14:paraId="5EE2CE78" w14:textId="77777777" w:rsidR="001A5BCF" w:rsidRPr="00646254" w:rsidRDefault="001A5BCF" w:rsidP="00E96A1D">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0,0</w:t>
            </w:r>
          </w:p>
        </w:tc>
      </w:tr>
      <w:tr w:rsidR="001A5BCF" w:rsidRPr="00646254" w14:paraId="6D3AB288" w14:textId="77777777" w:rsidTr="00E96A1D">
        <w:trPr>
          <w:trHeight w:val="22"/>
          <w:jc w:val="center"/>
        </w:trPr>
        <w:tc>
          <w:tcPr>
            <w:cnfStyle w:val="001000000000" w:firstRow="0" w:lastRow="0" w:firstColumn="1" w:lastColumn="0" w:oddVBand="0" w:evenVBand="0" w:oddHBand="0" w:evenHBand="0" w:firstRowFirstColumn="0" w:firstRowLastColumn="0" w:lastRowFirstColumn="0" w:lastRowLastColumn="0"/>
            <w:tcW w:w="7355" w:type="dxa"/>
            <w:noWrap/>
          </w:tcPr>
          <w:p w14:paraId="2CD675F9" w14:textId="77777777" w:rsidR="001A5BCF" w:rsidRPr="00646254" w:rsidRDefault="001A5BCF" w:rsidP="00E96A1D">
            <w:pPr>
              <w:spacing w:line="276" w:lineRule="auto"/>
              <w:rPr>
                <w:rFonts w:eastAsia="MS PGothic" w:cstheme="minorHAnsi"/>
                <w:b w:val="0"/>
                <w:color w:val="002060"/>
                <w:sz w:val="18"/>
                <w:szCs w:val="18"/>
                <w:lang w:val="sr-Cyrl-CS" w:eastAsia="ja-JP"/>
              </w:rPr>
            </w:pPr>
            <w:r w:rsidRPr="00646254">
              <w:rPr>
                <w:rFonts w:eastAsia="MS PGothic" w:cstheme="minorHAnsi"/>
                <w:b w:val="0"/>
                <w:color w:val="002060"/>
                <w:sz w:val="18"/>
                <w:szCs w:val="18"/>
                <w:lang w:val="sr-Cyrl-CS" w:eastAsia="ja-JP"/>
              </w:rPr>
              <w:t>Директна подршка спортским клубовима</w:t>
            </w:r>
          </w:p>
        </w:tc>
        <w:tc>
          <w:tcPr>
            <w:tcW w:w="1087" w:type="dxa"/>
            <w:noWrap/>
            <w:vAlign w:val="center"/>
          </w:tcPr>
          <w:p w14:paraId="3A78968B" w14:textId="77777777" w:rsidR="001A5BCF" w:rsidRPr="00646254" w:rsidRDefault="001A5BCF" w:rsidP="00E96A1D">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1,1</w:t>
            </w:r>
          </w:p>
        </w:tc>
        <w:tc>
          <w:tcPr>
            <w:tcW w:w="742" w:type="dxa"/>
            <w:noWrap/>
            <w:vAlign w:val="center"/>
          </w:tcPr>
          <w:p w14:paraId="3F34181B" w14:textId="77777777" w:rsidR="001A5BCF" w:rsidRPr="00646254" w:rsidRDefault="001A5BCF" w:rsidP="00E96A1D">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0,0</w:t>
            </w:r>
          </w:p>
        </w:tc>
        <w:tc>
          <w:tcPr>
            <w:tcW w:w="1087" w:type="dxa"/>
            <w:noWrap/>
            <w:vAlign w:val="center"/>
          </w:tcPr>
          <w:p w14:paraId="4C8D93D5" w14:textId="77777777" w:rsidR="001A5BCF" w:rsidRPr="00646254" w:rsidRDefault="001A5BCF" w:rsidP="00E96A1D">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1,1</w:t>
            </w:r>
          </w:p>
        </w:tc>
        <w:tc>
          <w:tcPr>
            <w:tcW w:w="742" w:type="dxa"/>
            <w:noWrap/>
            <w:vAlign w:val="center"/>
          </w:tcPr>
          <w:p w14:paraId="6E6D2BEA" w14:textId="77777777" w:rsidR="001A5BCF" w:rsidRPr="00646254" w:rsidRDefault="001A5BCF" w:rsidP="00E96A1D">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0,0</w:t>
            </w:r>
          </w:p>
        </w:tc>
      </w:tr>
      <w:tr w:rsidR="001A5BCF" w:rsidRPr="00646254" w14:paraId="1C050FB2" w14:textId="77777777" w:rsidTr="00E96A1D">
        <w:trPr>
          <w:cnfStyle w:val="000000100000" w:firstRow="0" w:lastRow="0" w:firstColumn="0" w:lastColumn="0" w:oddVBand="0" w:evenVBand="0" w:oddHBand="1" w:evenHBand="0" w:firstRowFirstColumn="0" w:firstRowLastColumn="0" w:lastRowFirstColumn="0" w:lastRowLastColumn="0"/>
          <w:trHeight w:val="22"/>
          <w:jc w:val="center"/>
        </w:trPr>
        <w:tc>
          <w:tcPr>
            <w:cnfStyle w:val="001000000000" w:firstRow="0" w:lastRow="0" w:firstColumn="1" w:lastColumn="0" w:oddVBand="0" w:evenVBand="0" w:oddHBand="0" w:evenHBand="0" w:firstRowFirstColumn="0" w:firstRowLastColumn="0" w:lastRowFirstColumn="0" w:lastRowLastColumn="0"/>
            <w:tcW w:w="7355" w:type="dxa"/>
            <w:noWrap/>
            <w:hideMark/>
          </w:tcPr>
          <w:p w14:paraId="7FDFF56D" w14:textId="77777777" w:rsidR="001A5BCF" w:rsidRPr="00646254" w:rsidRDefault="001A5BCF" w:rsidP="00E96A1D">
            <w:pPr>
              <w:spacing w:line="276" w:lineRule="auto"/>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Укупно</w:t>
            </w:r>
          </w:p>
        </w:tc>
        <w:tc>
          <w:tcPr>
            <w:tcW w:w="1087" w:type="dxa"/>
            <w:noWrap/>
            <w:vAlign w:val="center"/>
            <w:hideMark/>
          </w:tcPr>
          <w:p w14:paraId="4DD757B3" w14:textId="77777777" w:rsidR="001A5BCF" w:rsidRPr="00646254" w:rsidRDefault="001A5BCF" w:rsidP="00E96A1D">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b/>
                <w:color w:val="002060"/>
                <w:sz w:val="18"/>
                <w:szCs w:val="18"/>
                <w:lang w:val="sr-Cyrl-CS" w:eastAsia="ja-JP"/>
              </w:rPr>
            </w:pPr>
            <w:r w:rsidRPr="00646254">
              <w:rPr>
                <w:rFonts w:eastAsia="MS PGothic" w:cstheme="minorHAnsi"/>
                <w:b/>
                <w:color w:val="002060"/>
                <w:sz w:val="18"/>
                <w:szCs w:val="18"/>
                <w:lang w:val="sr-Cyrl-CS" w:eastAsia="ja-JP"/>
              </w:rPr>
              <w:t>139,1</w:t>
            </w:r>
          </w:p>
        </w:tc>
        <w:tc>
          <w:tcPr>
            <w:tcW w:w="742" w:type="dxa"/>
            <w:noWrap/>
            <w:vAlign w:val="center"/>
            <w:hideMark/>
          </w:tcPr>
          <w:p w14:paraId="594C46AB" w14:textId="77777777" w:rsidR="001A5BCF" w:rsidRPr="00646254" w:rsidRDefault="001A5BCF" w:rsidP="00E96A1D">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b/>
                <w:color w:val="002060"/>
                <w:sz w:val="18"/>
                <w:szCs w:val="18"/>
                <w:lang w:val="sr-Cyrl-CS" w:eastAsia="ja-JP"/>
              </w:rPr>
            </w:pPr>
            <w:r w:rsidRPr="00646254">
              <w:rPr>
                <w:rFonts w:eastAsia="MS PGothic" w:cstheme="minorHAnsi"/>
                <w:b/>
                <w:color w:val="002060"/>
                <w:sz w:val="18"/>
                <w:szCs w:val="18"/>
                <w:lang w:val="sr-Cyrl-CS" w:eastAsia="ja-JP"/>
              </w:rPr>
              <w:t>2,5</w:t>
            </w:r>
          </w:p>
        </w:tc>
        <w:tc>
          <w:tcPr>
            <w:tcW w:w="1087" w:type="dxa"/>
            <w:noWrap/>
            <w:vAlign w:val="center"/>
            <w:hideMark/>
          </w:tcPr>
          <w:p w14:paraId="5E3FE363" w14:textId="77777777" w:rsidR="001A5BCF" w:rsidRPr="00646254" w:rsidRDefault="001A5BCF" w:rsidP="00E96A1D">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b/>
                <w:color w:val="002060"/>
                <w:sz w:val="18"/>
                <w:szCs w:val="18"/>
                <w:lang w:val="sr-Cyrl-CS" w:eastAsia="ja-JP"/>
              </w:rPr>
            </w:pPr>
            <w:r w:rsidRPr="00646254">
              <w:rPr>
                <w:rFonts w:eastAsia="MS PGothic" w:cstheme="minorHAnsi"/>
                <w:b/>
                <w:color w:val="002060"/>
                <w:sz w:val="18"/>
                <w:szCs w:val="18"/>
                <w:lang w:val="sr-Cyrl-CS" w:eastAsia="ja-JP"/>
              </w:rPr>
              <w:t>136,0</w:t>
            </w:r>
          </w:p>
        </w:tc>
        <w:tc>
          <w:tcPr>
            <w:tcW w:w="742" w:type="dxa"/>
            <w:noWrap/>
            <w:vAlign w:val="center"/>
            <w:hideMark/>
          </w:tcPr>
          <w:p w14:paraId="540341ED" w14:textId="77777777" w:rsidR="001A5BCF" w:rsidRPr="00646254" w:rsidRDefault="001A5BCF" w:rsidP="00E96A1D">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b/>
                <w:color w:val="002060"/>
                <w:sz w:val="18"/>
                <w:szCs w:val="18"/>
                <w:lang w:val="sr-Cyrl-CS" w:eastAsia="ja-JP"/>
              </w:rPr>
            </w:pPr>
            <w:r w:rsidRPr="00646254">
              <w:rPr>
                <w:rFonts w:eastAsia="MS PGothic" w:cstheme="minorHAnsi"/>
                <w:b/>
                <w:color w:val="002060"/>
                <w:sz w:val="18"/>
                <w:szCs w:val="18"/>
                <w:lang w:val="sr-Cyrl-CS" w:eastAsia="ja-JP"/>
              </w:rPr>
              <w:t>2,5</w:t>
            </w:r>
          </w:p>
        </w:tc>
      </w:tr>
      <w:tr w:rsidR="001A5BCF" w:rsidRPr="00646254" w14:paraId="40567478" w14:textId="77777777" w:rsidTr="00E96A1D">
        <w:trPr>
          <w:trHeight w:val="22"/>
          <w:jc w:val="center"/>
        </w:trPr>
        <w:tc>
          <w:tcPr>
            <w:cnfStyle w:val="001000000000" w:firstRow="0" w:lastRow="0" w:firstColumn="1" w:lastColumn="0" w:oddVBand="0" w:evenVBand="0" w:oddHBand="0" w:evenHBand="0" w:firstRowFirstColumn="0" w:firstRowLastColumn="0" w:lastRowFirstColumn="0" w:lastRowLastColumn="0"/>
            <w:tcW w:w="7355" w:type="dxa"/>
            <w:noWrap/>
            <w:hideMark/>
          </w:tcPr>
          <w:p w14:paraId="0937D70A" w14:textId="77777777" w:rsidR="001A5BCF" w:rsidRPr="00646254" w:rsidRDefault="001A5BCF" w:rsidP="00E96A1D">
            <w:pPr>
              <w:spacing w:line="276" w:lineRule="auto"/>
              <w:rPr>
                <w:rFonts w:eastAsia="MS PGothic" w:cstheme="minorHAnsi"/>
                <w:b w:val="0"/>
                <w:color w:val="002060"/>
                <w:sz w:val="18"/>
                <w:szCs w:val="18"/>
                <w:lang w:val="sr-Cyrl-CS" w:eastAsia="ja-JP"/>
              </w:rPr>
            </w:pPr>
            <w:r w:rsidRPr="00646254">
              <w:rPr>
                <w:rFonts w:eastAsia="MS PGothic" w:cstheme="minorHAnsi"/>
                <w:b w:val="0"/>
                <w:color w:val="002060"/>
                <w:sz w:val="18"/>
                <w:szCs w:val="18"/>
                <w:lang w:val="sr-Cyrl-CS" w:eastAsia="ja-JP"/>
              </w:rPr>
              <w:t>Мере за очување ликвидности приватног сектора</w:t>
            </w:r>
          </w:p>
        </w:tc>
        <w:tc>
          <w:tcPr>
            <w:tcW w:w="1087" w:type="dxa"/>
            <w:noWrap/>
            <w:vAlign w:val="center"/>
            <w:hideMark/>
          </w:tcPr>
          <w:p w14:paraId="3E415707" w14:textId="77777777" w:rsidR="001A5BCF" w:rsidRPr="00646254" w:rsidRDefault="001A5BCF" w:rsidP="00E96A1D">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color w:val="002060"/>
                <w:sz w:val="18"/>
                <w:szCs w:val="18"/>
                <w:lang w:val="sr-Cyrl-CS" w:eastAsia="ja-JP"/>
              </w:rPr>
            </w:pPr>
          </w:p>
        </w:tc>
        <w:tc>
          <w:tcPr>
            <w:tcW w:w="742" w:type="dxa"/>
            <w:noWrap/>
            <w:vAlign w:val="center"/>
            <w:hideMark/>
          </w:tcPr>
          <w:p w14:paraId="6BB46A74" w14:textId="77777777" w:rsidR="001A5BCF" w:rsidRPr="00646254" w:rsidRDefault="001A5BCF" w:rsidP="00E96A1D">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color w:val="002060"/>
                <w:sz w:val="18"/>
                <w:szCs w:val="18"/>
                <w:lang w:val="sr-Cyrl-CS" w:eastAsia="ja-JP"/>
              </w:rPr>
            </w:pPr>
          </w:p>
        </w:tc>
        <w:tc>
          <w:tcPr>
            <w:tcW w:w="1087" w:type="dxa"/>
            <w:noWrap/>
            <w:vAlign w:val="center"/>
            <w:hideMark/>
          </w:tcPr>
          <w:p w14:paraId="0364C5DA" w14:textId="77777777" w:rsidR="001A5BCF" w:rsidRPr="00646254" w:rsidRDefault="001A5BCF" w:rsidP="00E96A1D">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color w:val="002060"/>
                <w:sz w:val="18"/>
                <w:szCs w:val="18"/>
                <w:lang w:val="sr-Cyrl-CS" w:eastAsia="ja-JP"/>
              </w:rPr>
            </w:pPr>
          </w:p>
        </w:tc>
        <w:tc>
          <w:tcPr>
            <w:tcW w:w="742" w:type="dxa"/>
            <w:noWrap/>
            <w:vAlign w:val="center"/>
            <w:hideMark/>
          </w:tcPr>
          <w:p w14:paraId="4C06EA47" w14:textId="77777777" w:rsidR="001A5BCF" w:rsidRPr="00646254" w:rsidRDefault="001A5BCF" w:rsidP="00E96A1D">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color w:val="002060"/>
                <w:sz w:val="18"/>
                <w:szCs w:val="18"/>
                <w:lang w:val="sr-Cyrl-CS" w:eastAsia="ja-JP"/>
              </w:rPr>
            </w:pPr>
          </w:p>
        </w:tc>
      </w:tr>
      <w:tr w:rsidR="001A5BCF" w:rsidRPr="00646254" w14:paraId="6E55B1F1" w14:textId="77777777" w:rsidTr="00E96A1D">
        <w:trPr>
          <w:cnfStyle w:val="000000100000" w:firstRow="0" w:lastRow="0" w:firstColumn="0" w:lastColumn="0" w:oddVBand="0" w:evenVBand="0" w:oddHBand="1" w:evenHBand="0" w:firstRowFirstColumn="0" w:firstRowLastColumn="0" w:lastRowFirstColumn="0" w:lastRowLastColumn="0"/>
          <w:trHeight w:val="22"/>
          <w:jc w:val="center"/>
        </w:trPr>
        <w:tc>
          <w:tcPr>
            <w:cnfStyle w:val="001000000000" w:firstRow="0" w:lastRow="0" w:firstColumn="1" w:lastColumn="0" w:oddVBand="0" w:evenVBand="0" w:oddHBand="0" w:evenHBand="0" w:firstRowFirstColumn="0" w:firstRowLastColumn="0" w:lastRowFirstColumn="0" w:lastRowLastColumn="0"/>
            <w:tcW w:w="7355" w:type="dxa"/>
            <w:hideMark/>
          </w:tcPr>
          <w:p w14:paraId="4FBEEECB" w14:textId="77777777" w:rsidR="001A5BCF" w:rsidRPr="00646254" w:rsidRDefault="001A5BCF" w:rsidP="00E96A1D">
            <w:pPr>
              <w:spacing w:line="276" w:lineRule="auto"/>
              <w:rPr>
                <w:rFonts w:eastAsia="MS PGothic" w:cstheme="minorHAnsi"/>
                <w:b w:val="0"/>
                <w:color w:val="002060"/>
                <w:sz w:val="18"/>
                <w:szCs w:val="18"/>
                <w:lang w:val="sr-Cyrl-CS" w:eastAsia="ja-JP"/>
              </w:rPr>
            </w:pPr>
            <w:r w:rsidRPr="00646254">
              <w:rPr>
                <w:rFonts w:eastAsia="MS PGothic" w:cstheme="minorHAnsi"/>
                <w:b w:val="0"/>
                <w:color w:val="002060"/>
                <w:sz w:val="18"/>
                <w:szCs w:val="18"/>
                <w:lang w:val="sr-Cyrl-CS" w:eastAsia="ja-JP"/>
              </w:rPr>
              <w:t>Програм финансијске подршке током кризе COVID-19 преко Фонда за развој Републике Србије</w:t>
            </w:r>
          </w:p>
        </w:tc>
        <w:tc>
          <w:tcPr>
            <w:tcW w:w="1087" w:type="dxa"/>
            <w:noWrap/>
            <w:vAlign w:val="center"/>
            <w:hideMark/>
          </w:tcPr>
          <w:p w14:paraId="6ADBBB5C" w14:textId="77777777" w:rsidR="001A5BCF" w:rsidRPr="00646254" w:rsidRDefault="001A5BCF" w:rsidP="00E96A1D">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24,0</w:t>
            </w:r>
          </w:p>
        </w:tc>
        <w:tc>
          <w:tcPr>
            <w:tcW w:w="742" w:type="dxa"/>
            <w:noWrap/>
            <w:vAlign w:val="center"/>
            <w:hideMark/>
          </w:tcPr>
          <w:p w14:paraId="0AAF9B8E" w14:textId="77777777" w:rsidR="001A5BCF" w:rsidRPr="00646254" w:rsidRDefault="001A5BCF" w:rsidP="00E96A1D">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0,4</w:t>
            </w:r>
          </w:p>
        </w:tc>
        <w:tc>
          <w:tcPr>
            <w:tcW w:w="1087" w:type="dxa"/>
            <w:noWrap/>
            <w:vAlign w:val="center"/>
            <w:hideMark/>
          </w:tcPr>
          <w:p w14:paraId="0DEF560E" w14:textId="77777777" w:rsidR="001A5BCF" w:rsidRPr="00646254" w:rsidRDefault="001A5BCF" w:rsidP="00E96A1D">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16,3</w:t>
            </w:r>
          </w:p>
        </w:tc>
        <w:tc>
          <w:tcPr>
            <w:tcW w:w="742" w:type="dxa"/>
            <w:noWrap/>
            <w:vAlign w:val="center"/>
            <w:hideMark/>
          </w:tcPr>
          <w:p w14:paraId="31C504CB" w14:textId="77777777" w:rsidR="001A5BCF" w:rsidRPr="00646254" w:rsidRDefault="001A5BCF" w:rsidP="00E96A1D">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0,3</w:t>
            </w:r>
          </w:p>
        </w:tc>
      </w:tr>
      <w:tr w:rsidR="001A5BCF" w:rsidRPr="00646254" w14:paraId="01A57825" w14:textId="77777777" w:rsidTr="00E96A1D">
        <w:trPr>
          <w:trHeight w:val="22"/>
          <w:jc w:val="center"/>
        </w:trPr>
        <w:tc>
          <w:tcPr>
            <w:cnfStyle w:val="001000000000" w:firstRow="0" w:lastRow="0" w:firstColumn="1" w:lastColumn="0" w:oddVBand="0" w:evenVBand="0" w:oddHBand="0" w:evenHBand="0" w:firstRowFirstColumn="0" w:firstRowLastColumn="0" w:lastRowFirstColumn="0" w:lastRowLastColumn="0"/>
            <w:tcW w:w="7355" w:type="dxa"/>
            <w:noWrap/>
            <w:hideMark/>
          </w:tcPr>
          <w:p w14:paraId="68984E5A" w14:textId="77777777" w:rsidR="001A5BCF" w:rsidRPr="00646254" w:rsidRDefault="001A5BCF" w:rsidP="00E96A1D">
            <w:pPr>
              <w:spacing w:line="276" w:lineRule="auto"/>
              <w:rPr>
                <w:rFonts w:eastAsia="MS PGothic" w:cstheme="minorHAnsi"/>
                <w:b w:val="0"/>
                <w:color w:val="002060"/>
                <w:sz w:val="18"/>
                <w:szCs w:val="18"/>
                <w:lang w:val="sr-Cyrl-CS" w:eastAsia="ja-JP"/>
              </w:rPr>
            </w:pPr>
            <w:r w:rsidRPr="00646254">
              <w:rPr>
                <w:rFonts w:eastAsia="MS PGothic" w:cstheme="minorHAnsi"/>
                <w:b w:val="0"/>
                <w:color w:val="002060"/>
                <w:sz w:val="18"/>
                <w:szCs w:val="18"/>
                <w:lang w:val="sr-Cyrl-CS" w:eastAsia="ja-JP"/>
              </w:rPr>
              <w:t>Гарантне шеме за подршку економији током кризе COVID-19</w:t>
            </w:r>
          </w:p>
        </w:tc>
        <w:tc>
          <w:tcPr>
            <w:tcW w:w="1087" w:type="dxa"/>
            <w:noWrap/>
            <w:vAlign w:val="center"/>
            <w:hideMark/>
          </w:tcPr>
          <w:p w14:paraId="3602D0CD" w14:textId="77777777" w:rsidR="001A5BCF" w:rsidRPr="00646254" w:rsidRDefault="001A5BCF" w:rsidP="00E96A1D">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240,0</w:t>
            </w:r>
          </w:p>
        </w:tc>
        <w:tc>
          <w:tcPr>
            <w:tcW w:w="742" w:type="dxa"/>
            <w:noWrap/>
            <w:vAlign w:val="center"/>
            <w:hideMark/>
          </w:tcPr>
          <w:p w14:paraId="251116DA" w14:textId="77777777" w:rsidR="001A5BCF" w:rsidRPr="00646254" w:rsidRDefault="001A5BCF" w:rsidP="00E96A1D">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4,4</w:t>
            </w:r>
          </w:p>
        </w:tc>
        <w:tc>
          <w:tcPr>
            <w:tcW w:w="1087" w:type="dxa"/>
            <w:noWrap/>
            <w:vAlign w:val="center"/>
            <w:hideMark/>
          </w:tcPr>
          <w:p w14:paraId="1BA65C86" w14:textId="77777777" w:rsidR="001A5BCF" w:rsidRPr="00646254" w:rsidRDefault="001A5BCF" w:rsidP="00E96A1D">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174,5</w:t>
            </w:r>
          </w:p>
        </w:tc>
        <w:tc>
          <w:tcPr>
            <w:tcW w:w="742" w:type="dxa"/>
            <w:noWrap/>
            <w:vAlign w:val="center"/>
            <w:hideMark/>
          </w:tcPr>
          <w:p w14:paraId="5838446A" w14:textId="77777777" w:rsidR="001A5BCF" w:rsidRPr="00646254" w:rsidRDefault="001A5BCF" w:rsidP="00E96A1D">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3,2</w:t>
            </w:r>
          </w:p>
        </w:tc>
      </w:tr>
      <w:tr w:rsidR="001A5BCF" w:rsidRPr="00646254" w14:paraId="038A5007" w14:textId="77777777" w:rsidTr="00E96A1D">
        <w:trPr>
          <w:cnfStyle w:val="000000100000" w:firstRow="0" w:lastRow="0" w:firstColumn="0" w:lastColumn="0" w:oddVBand="0" w:evenVBand="0" w:oddHBand="1" w:evenHBand="0" w:firstRowFirstColumn="0" w:firstRowLastColumn="0" w:lastRowFirstColumn="0" w:lastRowLastColumn="0"/>
          <w:trHeight w:val="22"/>
          <w:jc w:val="center"/>
        </w:trPr>
        <w:tc>
          <w:tcPr>
            <w:cnfStyle w:val="001000000000" w:firstRow="0" w:lastRow="0" w:firstColumn="1" w:lastColumn="0" w:oddVBand="0" w:evenVBand="0" w:oddHBand="0" w:evenHBand="0" w:firstRowFirstColumn="0" w:firstRowLastColumn="0" w:lastRowFirstColumn="0" w:lastRowLastColumn="0"/>
            <w:tcW w:w="7355" w:type="dxa"/>
            <w:noWrap/>
            <w:hideMark/>
          </w:tcPr>
          <w:p w14:paraId="43FECA8E" w14:textId="77777777" w:rsidR="001A5BCF" w:rsidRPr="00646254" w:rsidRDefault="001A5BCF" w:rsidP="00E96A1D">
            <w:pPr>
              <w:spacing w:line="276" w:lineRule="auto"/>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Укупно</w:t>
            </w:r>
          </w:p>
        </w:tc>
        <w:tc>
          <w:tcPr>
            <w:tcW w:w="1087" w:type="dxa"/>
            <w:noWrap/>
            <w:vAlign w:val="center"/>
            <w:hideMark/>
          </w:tcPr>
          <w:p w14:paraId="20AD7C63" w14:textId="77777777" w:rsidR="001A5BCF" w:rsidRPr="00646254" w:rsidRDefault="001A5BCF" w:rsidP="00E96A1D">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b/>
                <w:color w:val="002060"/>
                <w:sz w:val="18"/>
                <w:szCs w:val="18"/>
                <w:lang w:val="sr-Cyrl-CS" w:eastAsia="ja-JP"/>
              </w:rPr>
            </w:pPr>
            <w:r w:rsidRPr="00646254">
              <w:rPr>
                <w:rFonts w:eastAsia="MS PGothic" w:cstheme="minorHAnsi"/>
                <w:b/>
                <w:color w:val="002060"/>
                <w:sz w:val="18"/>
                <w:szCs w:val="18"/>
                <w:lang w:val="sr-Cyrl-CS" w:eastAsia="ja-JP"/>
              </w:rPr>
              <w:t>264,0</w:t>
            </w:r>
          </w:p>
        </w:tc>
        <w:tc>
          <w:tcPr>
            <w:tcW w:w="742" w:type="dxa"/>
            <w:noWrap/>
            <w:vAlign w:val="center"/>
            <w:hideMark/>
          </w:tcPr>
          <w:p w14:paraId="3A8995E4" w14:textId="77777777" w:rsidR="001A5BCF" w:rsidRPr="00646254" w:rsidRDefault="001A5BCF" w:rsidP="00E96A1D">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b/>
                <w:color w:val="002060"/>
                <w:sz w:val="18"/>
                <w:szCs w:val="18"/>
                <w:lang w:val="sr-Cyrl-CS" w:eastAsia="ja-JP"/>
              </w:rPr>
            </w:pPr>
            <w:r w:rsidRPr="00646254">
              <w:rPr>
                <w:rFonts w:eastAsia="MS PGothic" w:cstheme="minorHAnsi"/>
                <w:b/>
                <w:color w:val="002060"/>
                <w:sz w:val="18"/>
                <w:szCs w:val="18"/>
                <w:lang w:val="sr-Cyrl-CS" w:eastAsia="ja-JP"/>
              </w:rPr>
              <w:t>4,8</w:t>
            </w:r>
          </w:p>
        </w:tc>
        <w:tc>
          <w:tcPr>
            <w:tcW w:w="1087" w:type="dxa"/>
            <w:noWrap/>
            <w:vAlign w:val="center"/>
            <w:hideMark/>
          </w:tcPr>
          <w:p w14:paraId="4B4820F2" w14:textId="77777777" w:rsidR="001A5BCF" w:rsidRPr="00646254" w:rsidRDefault="001A5BCF" w:rsidP="00E96A1D">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b/>
                <w:color w:val="002060"/>
                <w:sz w:val="18"/>
                <w:szCs w:val="18"/>
                <w:lang w:val="sr-Cyrl-CS" w:eastAsia="ja-JP"/>
              </w:rPr>
            </w:pPr>
            <w:r w:rsidRPr="00646254">
              <w:rPr>
                <w:rFonts w:eastAsia="MS PGothic" w:cstheme="minorHAnsi"/>
                <w:b/>
                <w:color w:val="002060"/>
                <w:sz w:val="18"/>
                <w:szCs w:val="18"/>
                <w:lang w:val="sr-Cyrl-CS" w:eastAsia="ja-JP"/>
              </w:rPr>
              <w:t>190,8</w:t>
            </w:r>
          </w:p>
        </w:tc>
        <w:tc>
          <w:tcPr>
            <w:tcW w:w="742" w:type="dxa"/>
            <w:noWrap/>
            <w:vAlign w:val="center"/>
            <w:hideMark/>
          </w:tcPr>
          <w:p w14:paraId="2924CAF1" w14:textId="77777777" w:rsidR="001A5BCF" w:rsidRPr="00646254" w:rsidRDefault="001A5BCF" w:rsidP="00E96A1D">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b/>
                <w:color w:val="002060"/>
                <w:sz w:val="18"/>
                <w:szCs w:val="18"/>
                <w:lang w:val="sr-Cyrl-CS" w:eastAsia="ja-JP"/>
              </w:rPr>
            </w:pPr>
            <w:r w:rsidRPr="00646254">
              <w:rPr>
                <w:rFonts w:eastAsia="MS PGothic" w:cstheme="minorHAnsi"/>
                <w:b/>
                <w:color w:val="002060"/>
                <w:sz w:val="18"/>
                <w:szCs w:val="18"/>
                <w:lang w:val="sr-Cyrl-CS" w:eastAsia="ja-JP"/>
              </w:rPr>
              <w:t>3,5</w:t>
            </w:r>
          </w:p>
        </w:tc>
      </w:tr>
      <w:tr w:rsidR="001A5BCF" w:rsidRPr="00646254" w14:paraId="74C92FB3" w14:textId="77777777" w:rsidTr="00E96A1D">
        <w:trPr>
          <w:trHeight w:val="22"/>
          <w:jc w:val="center"/>
        </w:trPr>
        <w:tc>
          <w:tcPr>
            <w:cnfStyle w:val="001000000000" w:firstRow="0" w:lastRow="0" w:firstColumn="1" w:lastColumn="0" w:oddVBand="0" w:evenVBand="0" w:oddHBand="0" w:evenHBand="0" w:firstRowFirstColumn="0" w:firstRowLastColumn="0" w:lastRowFirstColumn="0" w:lastRowLastColumn="0"/>
            <w:tcW w:w="7355" w:type="dxa"/>
            <w:noWrap/>
            <w:hideMark/>
          </w:tcPr>
          <w:p w14:paraId="6C2CD32A" w14:textId="77777777" w:rsidR="001A5BCF" w:rsidRPr="00646254" w:rsidRDefault="001A5BCF" w:rsidP="00E96A1D">
            <w:pPr>
              <w:spacing w:line="276" w:lineRule="auto"/>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Остале мере</w:t>
            </w:r>
          </w:p>
        </w:tc>
        <w:tc>
          <w:tcPr>
            <w:tcW w:w="1087" w:type="dxa"/>
            <w:noWrap/>
            <w:vAlign w:val="center"/>
            <w:hideMark/>
          </w:tcPr>
          <w:p w14:paraId="0EADDC0F" w14:textId="77777777" w:rsidR="001A5BCF" w:rsidRPr="00646254" w:rsidRDefault="001A5BCF" w:rsidP="00E96A1D">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color w:val="002060"/>
                <w:sz w:val="18"/>
                <w:szCs w:val="18"/>
                <w:lang w:val="sr-Cyrl-CS" w:eastAsia="ja-JP"/>
              </w:rPr>
            </w:pPr>
          </w:p>
        </w:tc>
        <w:tc>
          <w:tcPr>
            <w:tcW w:w="742" w:type="dxa"/>
            <w:noWrap/>
            <w:vAlign w:val="center"/>
            <w:hideMark/>
          </w:tcPr>
          <w:p w14:paraId="3EDFF135" w14:textId="77777777" w:rsidR="001A5BCF" w:rsidRPr="00646254" w:rsidRDefault="001A5BCF" w:rsidP="00E96A1D">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color w:val="002060"/>
                <w:sz w:val="18"/>
                <w:szCs w:val="18"/>
                <w:lang w:val="sr-Cyrl-CS" w:eastAsia="ja-JP"/>
              </w:rPr>
            </w:pPr>
          </w:p>
        </w:tc>
        <w:tc>
          <w:tcPr>
            <w:tcW w:w="1087" w:type="dxa"/>
            <w:noWrap/>
            <w:vAlign w:val="center"/>
            <w:hideMark/>
          </w:tcPr>
          <w:p w14:paraId="30355C37" w14:textId="77777777" w:rsidR="001A5BCF" w:rsidRPr="00646254" w:rsidRDefault="001A5BCF" w:rsidP="00E96A1D">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color w:val="002060"/>
                <w:sz w:val="18"/>
                <w:szCs w:val="18"/>
                <w:lang w:val="sr-Cyrl-CS" w:eastAsia="ja-JP"/>
              </w:rPr>
            </w:pPr>
          </w:p>
        </w:tc>
        <w:tc>
          <w:tcPr>
            <w:tcW w:w="742" w:type="dxa"/>
            <w:noWrap/>
            <w:vAlign w:val="center"/>
            <w:hideMark/>
          </w:tcPr>
          <w:p w14:paraId="0A1F7B48" w14:textId="77777777" w:rsidR="001A5BCF" w:rsidRPr="00646254" w:rsidRDefault="001A5BCF" w:rsidP="00E96A1D">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color w:val="002060"/>
                <w:sz w:val="18"/>
                <w:szCs w:val="18"/>
                <w:lang w:val="sr-Cyrl-CS" w:eastAsia="ja-JP"/>
              </w:rPr>
            </w:pPr>
          </w:p>
        </w:tc>
      </w:tr>
      <w:tr w:rsidR="001A5BCF" w:rsidRPr="00646254" w14:paraId="0CD9A1C5" w14:textId="77777777" w:rsidTr="00E96A1D">
        <w:trPr>
          <w:cnfStyle w:val="000000100000" w:firstRow="0" w:lastRow="0" w:firstColumn="0" w:lastColumn="0" w:oddVBand="0" w:evenVBand="0" w:oddHBand="1" w:evenHBand="0" w:firstRowFirstColumn="0" w:firstRowLastColumn="0" w:lastRowFirstColumn="0" w:lastRowLastColumn="0"/>
          <w:trHeight w:val="22"/>
          <w:jc w:val="center"/>
        </w:trPr>
        <w:tc>
          <w:tcPr>
            <w:cnfStyle w:val="001000000000" w:firstRow="0" w:lastRow="0" w:firstColumn="1" w:lastColumn="0" w:oddVBand="0" w:evenVBand="0" w:oddHBand="0" w:evenHBand="0" w:firstRowFirstColumn="0" w:firstRowLastColumn="0" w:lastRowFirstColumn="0" w:lastRowLastColumn="0"/>
            <w:tcW w:w="7355" w:type="dxa"/>
            <w:hideMark/>
          </w:tcPr>
          <w:p w14:paraId="6537EF38" w14:textId="77777777" w:rsidR="001A5BCF" w:rsidRPr="00646254" w:rsidRDefault="001A5BCF" w:rsidP="00E96A1D">
            <w:pPr>
              <w:spacing w:line="276" w:lineRule="auto"/>
              <w:rPr>
                <w:rFonts w:eastAsia="MS PGothic" w:cstheme="minorHAnsi"/>
                <w:b w:val="0"/>
                <w:color w:val="002060"/>
                <w:sz w:val="18"/>
                <w:szCs w:val="18"/>
                <w:lang w:val="sr-Cyrl-CS" w:eastAsia="ja-JP"/>
              </w:rPr>
            </w:pPr>
            <w:r w:rsidRPr="00646254">
              <w:rPr>
                <w:rFonts w:eastAsia="MS PGothic" w:cstheme="minorHAnsi"/>
                <w:b w:val="0"/>
                <w:color w:val="002060"/>
                <w:sz w:val="18"/>
                <w:szCs w:val="18"/>
                <w:lang w:val="sr-Cyrl-CS" w:eastAsia="ja-JP"/>
              </w:rPr>
              <w:t xml:space="preserve">Мораторијум на дивиденде до краја године, искључујући јавна предузећа и губитак прихода који произлази из дивиденди </w:t>
            </w:r>
          </w:p>
        </w:tc>
        <w:tc>
          <w:tcPr>
            <w:tcW w:w="1087" w:type="dxa"/>
            <w:noWrap/>
            <w:vAlign w:val="center"/>
            <w:hideMark/>
          </w:tcPr>
          <w:p w14:paraId="2DE127AA" w14:textId="77777777" w:rsidR="001A5BCF" w:rsidRPr="00646254" w:rsidRDefault="001A5BCF" w:rsidP="00E96A1D">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16,0</w:t>
            </w:r>
          </w:p>
        </w:tc>
        <w:tc>
          <w:tcPr>
            <w:tcW w:w="742" w:type="dxa"/>
            <w:noWrap/>
            <w:vAlign w:val="center"/>
            <w:hideMark/>
          </w:tcPr>
          <w:p w14:paraId="31BB62F3" w14:textId="77777777" w:rsidR="001A5BCF" w:rsidRPr="00646254" w:rsidRDefault="001A5BCF" w:rsidP="00E96A1D">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0,3</w:t>
            </w:r>
          </w:p>
        </w:tc>
        <w:tc>
          <w:tcPr>
            <w:tcW w:w="1087" w:type="dxa"/>
            <w:noWrap/>
            <w:vAlign w:val="center"/>
            <w:hideMark/>
          </w:tcPr>
          <w:p w14:paraId="7CCFD4F9" w14:textId="77777777" w:rsidR="001A5BCF" w:rsidRPr="00646254" w:rsidRDefault="001A5BCF" w:rsidP="00E96A1D">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6,0</w:t>
            </w:r>
          </w:p>
        </w:tc>
        <w:tc>
          <w:tcPr>
            <w:tcW w:w="742" w:type="dxa"/>
            <w:noWrap/>
            <w:vAlign w:val="center"/>
            <w:hideMark/>
          </w:tcPr>
          <w:p w14:paraId="4C2A4659" w14:textId="77777777" w:rsidR="001A5BCF" w:rsidRPr="00646254" w:rsidRDefault="001A5BCF" w:rsidP="00E96A1D">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0,1</w:t>
            </w:r>
          </w:p>
        </w:tc>
      </w:tr>
      <w:tr w:rsidR="001A5BCF" w:rsidRPr="00646254" w14:paraId="0E5741F6" w14:textId="77777777" w:rsidTr="00E96A1D">
        <w:trPr>
          <w:trHeight w:val="22"/>
          <w:jc w:val="center"/>
        </w:trPr>
        <w:tc>
          <w:tcPr>
            <w:cnfStyle w:val="001000000000" w:firstRow="0" w:lastRow="0" w:firstColumn="1" w:lastColumn="0" w:oddVBand="0" w:evenVBand="0" w:oddHBand="0" w:evenHBand="0" w:firstRowFirstColumn="0" w:firstRowLastColumn="0" w:lastRowFirstColumn="0" w:lastRowLastColumn="0"/>
            <w:tcW w:w="7355" w:type="dxa"/>
            <w:hideMark/>
          </w:tcPr>
          <w:p w14:paraId="141FC974" w14:textId="77777777" w:rsidR="001A5BCF" w:rsidRPr="00646254" w:rsidRDefault="001A5BCF" w:rsidP="00E96A1D">
            <w:pPr>
              <w:spacing w:line="276" w:lineRule="auto"/>
              <w:rPr>
                <w:rFonts w:eastAsia="MS PGothic" w:cstheme="minorHAnsi"/>
                <w:b w:val="0"/>
                <w:color w:val="002060"/>
                <w:sz w:val="18"/>
                <w:szCs w:val="18"/>
                <w:lang w:val="sr-Cyrl-CS" w:eastAsia="ja-JP"/>
              </w:rPr>
            </w:pPr>
            <w:r w:rsidRPr="00646254">
              <w:rPr>
                <w:rFonts w:eastAsia="MS PGothic" w:cstheme="minorHAnsi"/>
                <w:b w:val="0"/>
                <w:color w:val="002060"/>
                <w:sz w:val="18"/>
                <w:szCs w:val="18"/>
                <w:lang w:val="sr-Cyrl-CS" w:eastAsia="ja-JP"/>
              </w:rPr>
              <w:t>Мере повећања зарада и друга директна новчана помоћ (10% повећање плата здравствених радника, директна новчана помоћ свим пензионерима (2 исплате - 4.000 РСД и 5.000 РСД), подршка пољопривредним произвођачима, бонус здравственим радницима од 10.000 РСД)</w:t>
            </w:r>
          </w:p>
        </w:tc>
        <w:tc>
          <w:tcPr>
            <w:tcW w:w="1087" w:type="dxa"/>
            <w:noWrap/>
            <w:vAlign w:val="center"/>
            <w:hideMark/>
          </w:tcPr>
          <w:p w14:paraId="2280142D" w14:textId="77777777" w:rsidR="001A5BCF" w:rsidRPr="00646254" w:rsidRDefault="001A5BCF" w:rsidP="00E96A1D">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26,3</w:t>
            </w:r>
          </w:p>
        </w:tc>
        <w:tc>
          <w:tcPr>
            <w:tcW w:w="742" w:type="dxa"/>
            <w:noWrap/>
            <w:vAlign w:val="center"/>
            <w:hideMark/>
          </w:tcPr>
          <w:p w14:paraId="2692BC32" w14:textId="77777777" w:rsidR="001A5BCF" w:rsidRPr="00646254" w:rsidRDefault="001A5BCF" w:rsidP="00E96A1D">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0,5</w:t>
            </w:r>
          </w:p>
        </w:tc>
        <w:tc>
          <w:tcPr>
            <w:tcW w:w="1087" w:type="dxa"/>
            <w:noWrap/>
            <w:vAlign w:val="center"/>
            <w:hideMark/>
          </w:tcPr>
          <w:p w14:paraId="664A8654" w14:textId="77777777" w:rsidR="001A5BCF" w:rsidRPr="00646254" w:rsidRDefault="001A5BCF" w:rsidP="00E96A1D">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26,0</w:t>
            </w:r>
          </w:p>
        </w:tc>
        <w:tc>
          <w:tcPr>
            <w:tcW w:w="742" w:type="dxa"/>
            <w:noWrap/>
            <w:vAlign w:val="center"/>
            <w:hideMark/>
          </w:tcPr>
          <w:p w14:paraId="54103F3F" w14:textId="77777777" w:rsidR="001A5BCF" w:rsidRPr="00646254" w:rsidRDefault="001A5BCF" w:rsidP="00E96A1D">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0,5</w:t>
            </w:r>
          </w:p>
        </w:tc>
      </w:tr>
      <w:tr w:rsidR="001A5BCF" w:rsidRPr="00646254" w14:paraId="3474C17C" w14:textId="77777777" w:rsidTr="00E96A1D">
        <w:trPr>
          <w:cnfStyle w:val="000000100000" w:firstRow="0" w:lastRow="0" w:firstColumn="0" w:lastColumn="0" w:oddVBand="0" w:evenVBand="0" w:oddHBand="1" w:evenHBand="0" w:firstRowFirstColumn="0" w:firstRowLastColumn="0" w:lastRowFirstColumn="0" w:lastRowLastColumn="0"/>
          <w:trHeight w:val="22"/>
          <w:jc w:val="center"/>
        </w:trPr>
        <w:tc>
          <w:tcPr>
            <w:cnfStyle w:val="001000000000" w:firstRow="0" w:lastRow="0" w:firstColumn="1" w:lastColumn="0" w:oddVBand="0" w:evenVBand="0" w:oddHBand="0" w:evenHBand="0" w:firstRowFirstColumn="0" w:firstRowLastColumn="0" w:lastRowFirstColumn="0" w:lastRowLastColumn="0"/>
            <w:tcW w:w="7355" w:type="dxa"/>
            <w:noWrap/>
            <w:hideMark/>
          </w:tcPr>
          <w:p w14:paraId="448A2753" w14:textId="77777777" w:rsidR="001A5BCF" w:rsidRPr="00646254" w:rsidRDefault="001A5BCF" w:rsidP="00E96A1D">
            <w:pPr>
              <w:spacing w:line="276" w:lineRule="auto"/>
              <w:rPr>
                <w:rFonts w:eastAsia="MS PGothic" w:cstheme="minorHAnsi"/>
                <w:b w:val="0"/>
                <w:color w:val="002060"/>
                <w:sz w:val="18"/>
                <w:szCs w:val="18"/>
                <w:lang w:val="sr-Cyrl-CS" w:eastAsia="ja-JP"/>
              </w:rPr>
            </w:pPr>
            <w:r w:rsidRPr="00646254">
              <w:rPr>
                <w:rFonts w:eastAsia="MS PGothic" w:cstheme="minorHAnsi"/>
                <w:b w:val="0"/>
                <w:color w:val="002060"/>
                <w:sz w:val="18"/>
                <w:szCs w:val="18"/>
                <w:lang w:val="sr-Cyrl-CS" w:eastAsia="ja-JP"/>
              </w:rPr>
              <w:t>Фискални подстицај - исплата 100€ свим пунолетним грађанима, у динарској противвредности прерачунато по званичном средњем курсу НБС</w:t>
            </w:r>
          </w:p>
        </w:tc>
        <w:tc>
          <w:tcPr>
            <w:tcW w:w="1087" w:type="dxa"/>
            <w:noWrap/>
            <w:vAlign w:val="center"/>
            <w:hideMark/>
          </w:tcPr>
          <w:p w14:paraId="03137465" w14:textId="77777777" w:rsidR="001A5BCF" w:rsidRPr="00646254" w:rsidRDefault="001A5BCF" w:rsidP="00E96A1D">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70,0</w:t>
            </w:r>
          </w:p>
        </w:tc>
        <w:tc>
          <w:tcPr>
            <w:tcW w:w="742" w:type="dxa"/>
            <w:noWrap/>
            <w:vAlign w:val="center"/>
            <w:hideMark/>
          </w:tcPr>
          <w:p w14:paraId="1C6506FB" w14:textId="77777777" w:rsidR="001A5BCF" w:rsidRPr="00646254" w:rsidRDefault="001A5BCF" w:rsidP="00E96A1D">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1,3</w:t>
            </w:r>
          </w:p>
        </w:tc>
        <w:tc>
          <w:tcPr>
            <w:tcW w:w="1087" w:type="dxa"/>
            <w:noWrap/>
            <w:vAlign w:val="center"/>
            <w:hideMark/>
          </w:tcPr>
          <w:p w14:paraId="6AC99F2E" w14:textId="77777777" w:rsidR="001A5BCF" w:rsidRPr="00646254" w:rsidRDefault="001A5BCF" w:rsidP="00E96A1D">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72,0</w:t>
            </w:r>
          </w:p>
        </w:tc>
        <w:tc>
          <w:tcPr>
            <w:tcW w:w="742" w:type="dxa"/>
            <w:noWrap/>
            <w:vAlign w:val="center"/>
            <w:hideMark/>
          </w:tcPr>
          <w:p w14:paraId="53EC89F1" w14:textId="77777777" w:rsidR="001A5BCF" w:rsidRPr="00646254" w:rsidRDefault="001A5BCF" w:rsidP="00E96A1D">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1,3</w:t>
            </w:r>
          </w:p>
        </w:tc>
      </w:tr>
      <w:tr w:rsidR="001A5BCF" w:rsidRPr="00646254" w14:paraId="6C808103" w14:textId="77777777" w:rsidTr="00E96A1D">
        <w:trPr>
          <w:trHeight w:val="22"/>
          <w:jc w:val="center"/>
        </w:trPr>
        <w:tc>
          <w:tcPr>
            <w:cnfStyle w:val="001000000000" w:firstRow="0" w:lastRow="0" w:firstColumn="1" w:lastColumn="0" w:oddVBand="0" w:evenVBand="0" w:oddHBand="0" w:evenHBand="0" w:firstRowFirstColumn="0" w:firstRowLastColumn="0" w:lastRowFirstColumn="0" w:lastRowLastColumn="0"/>
            <w:tcW w:w="7355" w:type="dxa"/>
            <w:noWrap/>
            <w:hideMark/>
          </w:tcPr>
          <w:p w14:paraId="7E2F9134" w14:textId="77777777" w:rsidR="001A5BCF" w:rsidRPr="00646254" w:rsidRDefault="001A5BCF" w:rsidP="00E96A1D">
            <w:pPr>
              <w:spacing w:line="276" w:lineRule="auto"/>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Укупно</w:t>
            </w:r>
          </w:p>
        </w:tc>
        <w:tc>
          <w:tcPr>
            <w:tcW w:w="1087" w:type="dxa"/>
            <w:noWrap/>
            <w:vAlign w:val="center"/>
            <w:hideMark/>
          </w:tcPr>
          <w:p w14:paraId="01E26BF5" w14:textId="77777777" w:rsidR="001A5BCF" w:rsidRPr="00646254" w:rsidRDefault="001A5BCF" w:rsidP="00E96A1D">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b/>
                <w:color w:val="002060"/>
                <w:sz w:val="18"/>
                <w:szCs w:val="18"/>
                <w:lang w:val="sr-Cyrl-CS" w:eastAsia="ja-JP"/>
              </w:rPr>
            </w:pPr>
            <w:r w:rsidRPr="00646254">
              <w:rPr>
                <w:rFonts w:eastAsia="MS PGothic" w:cstheme="minorHAnsi"/>
                <w:b/>
                <w:color w:val="002060"/>
                <w:sz w:val="18"/>
                <w:szCs w:val="18"/>
                <w:lang w:val="sr-Cyrl-CS" w:eastAsia="ja-JP"/>
              </w:rPr>
              <w:t>112,3</w:t>
            </w:r>
          </w:p>
        </w:tc>
        <w:tc>
          <w:tcPr>
            <w:tcW w:w="742" w:type="dxa"/>
            <w:noWrap/>
            <w:vAlign w:val="center"/>
            <w:hideMark/>
          </w:tcPr>
          <w:p w14:paraId="6654576A" w14:textId="77777777" w:rsidR="001A5BCF" w:rsidRPr="00646254" w:rsidRDefault="001A5BCF" w:rsidP="00E96A1D">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b/>
                <w:color w:val="002060"/>
                <w:sz w:val="18"/>
                <w:szCs w:val="18"/>
                <w:lang w:val="sr-Cyrl-CS" w:eastAsia="ja-JP"/>
              </w:rPr>
            </w:pPr>
            <w:r w:rsidRPr="00646254">
              <w:rPr>
                <w:rFonts w:eastAsia="MS PGothic" w:cstheme="minorHAnsi"/>
                <w:b/>
                <w:color w:val="002060"/>
                <w:sz w:val="18"/>
                <w:szCs w:val="18"/>
                <w:lang w:val="sr-Cyrl-CS" w:eastAsia="ja-JP"/>
              </w:rPr>
              <w:t>2,0</w:t>
            </w:r>
          </w:p>
        </w:tc>
        <w:tc>
          <w:tcPr>
            <w:tcW w:w="1087" w:type="dxa"/>
            <w:noWrap/>
            <w:vAlign w:val="center"/>
            <w:hideMark/>
          </w:tcPr>
          <w:p w14:paraId="4CAA6D4D" w14:textId="77777777" w:rsidR="001A5BCF" w:rsidRPr="00646254" w:rsidRDefault="001A5BCF" w:rsidP="00E96A1D">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b/>
                <w:color w:val="002060"/>
                <w:sz w:val="18"/>
                <w:szCs w:val="18"/>
                <w:lang w:val="sr-Cyrl-CS" w:eastAsia="ja-JP"/>
              </w:rPr>
            </w:pPr>
            <w:r w:rsidRPr="00646254">
              <w:rPr>
                <w:rFonts w:eastAsia="MS PGothic" w:cstheme="minorHAnsi"/>
                <w:b/>
                <w:color w:val="002060"/>
                <w:sz w:val="18"/>
                <w:szCs w:val="18"/>
                <w:lang w:val="sr-Cyrl-CS" w:eastAsia="ja-JP"/>
              </w:rPr>
              <w:t>104,0</w:t>
            </w:r>
          </w:p>
        </w:tc>
        <w:tc>
          <w:tcPr>
            <w:tcW w:w="742" w:type="dxa"/>
            <w:noWrap/>
            <w:vAlign w:val="center"/>
            <w:hideMark/>
          </w:tcPr>
          <w:p w14:paraId="4130141D" w14:textId="77777777" w:rsidR="001A5BCF" w:rsidRPr="00646254" w:rsidRDefault="001A5BCF" w:rsidP="00E96A1D">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b/>
                <w:color w:val="002060"/>
                <w:sz w:val="18"/>
                <w:szCs w:val="18"/>
                <w:lang w:val="sr-Cyrl-CS" w:eastAsia="ja-JP"/>
              </w:rPr>
            </w:pPr>
            <w:r w:rsidRPr="00646254">
              <w:rPr>
                <w:rFonts w:eastAsia="MS PGothic" w:cstheme="minorHAnsi"/>
                <w:b/>
                <w:color w:val="002060"/>
                <w:sz w:val="18"/>
                <w:szCs w:val="18"/>
                <w:lang w:val="sr-Cyrl-CS" w:eastAsia="ja-JP"/>
              </w:rPr>
              <w:t>1,9</w:t>
            </w:r>
          </w:p>
        </w:tc>
      </w:tr>
      <w:tr w:rsidR="001A5BCF" w:rsidRPr="00646254" w14:paraId="69EF2D8D" w14:textId="77777777" w:rsidTr="00E96A1D">
        <w:trPr>
          <w:cnfStyle w:val="000000100000" w:firstRow="0" w:lastRow="0" w:firstColumn="0" w:lastColumn="0" w:oddVBand="0" w:evenVBand="0" w:oddHBand="1" w:evenHBand="0" w:firstRowFirstColumn="0" w:firstRowLastColumn="0" w:lastRowFirstColumn="0" w:lastRowLastColumn="0"/>
          <w:trHeight w:val="22"/>
          <w:jc w:val="center"/>
        </w:trPr>
        <w:tc>
          <w:tcPr>
            <w:cnfStyle w:val="001000000000" w:firstRow="0" w:lastRow="0" w:firstColumn="1" w:lastColumn="0" w:oddVBand="0" w:evenVBand="0" w:oddHBand="0" w:evenHBand="0" w:firstRowFirstColumn="0" w:firstRowLastColumn="0" w:lastRowFirstColumn="0" w:lastRowLastColumn="0"/>
            <w:tcW w:w="7355" w:type="dxa"/>
            <w:noWrap/>
            <w:hideMark/>
          </w:tcPr>
          <w:p w14:paraId="18E2402F" w14:textId="77777777" w:rsidR="001A5BCF" w:rsidRPr="00646254" w:rsidRDefault="001A5BCF" w:rsidP="00E96A1D">
            <w:pPr>
              <w:spacing w:line="276" w:lineRule="auto"/>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Процена утицаја фискалних мера</w:t>
            </w:r>
          </w:p>
        </w:tc>
        <w:tc>
          <w:tcPr>
            <w:tcW w:w="1087" w:type="dxa"/>
            <w:noWrap/>
            <w:vAlign w:val="center"/>
            <w:hideMark/>
          </w:tcPr>
          <w:p w14:paraId="3AC51AB9" w14:textId="77777777" w:rsidR="001A5BCF" w:rsidRPr="00646254" w:rsidRDefault="001A5BCF" w:rsidP="00E96A1D">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b/>
                <w:color w:val="002060"/>
                <w:sz w:val="18"/>
                <w:szCs w:val="18"/>
                <w:lang w:val="sr-Cyrl-CS" w:eastAsia="ja-JP"/>
              </w:rPr>
            </w:pPr>
            <w:r w:rsidRPr="00646254">
              <w:rPr>
                <w:rFonts w:eastAsia="MS PGothic" w:cstheme="minorHAnsi"/>
                <w:b/>
                <w:color w:val="002060"/>
                <w:sz w:val="18"/>
                <w:szCs w:val="18"/>
                <w:lang w:val="sr-Cyrl-CS" w:eastAsia="ja-JP"/>
              </w:rPr>
              <w:t>464,4</w:t>
            </w:r>
          </w:p>
        </w:tc>
        <w:tc>
          <w:tcPr>
            <w:tcW w:w="742" w:type="dxa"/>
            <w:noWrap/>
            <w:vAlign w:val="center"/>
            <w:hideMark/>
          </w:tcPr>
          <w:p w14:paraId="369F0845" w14:textId="77777777" w:rsidR="001A5BCF" w:rsidRPr="00646254" w:rsidRDefault="001A5BCF" w:rsidP="00E96A1D">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b/>
                <w:color w:val="002060"/>
                <w:sz w:val="18"/>
                <w:szCs w:val="18"/>
                <w:lang w:val="sr-Cyrl-CS" w:eastAsia="ja-JP"/>
              </w:rPr>
            </w:pPr>
            <w:r w:rsidRPr="00646254">
              <w:rPr>
                <w:rFonts w:eastAsia="MS PGothic" w:cstheme="minorHAnsi"/>
                <w:b/>
                <w:color w:val="002060"/>
                <w:sz w:val="18"/>
                <w:szCs w:val="18"/>
                <w:lang w:val="sr-Cyrl-CS" w:eastAsia="ja-JP"/>
              </w:rPr>
              <w:t>8,4</w:t>
            </w:r>
          </w:p>
        </w:tc>
        <w:tc>
          <w:tcPr>
            <w:tcW w:w="1087" w:type="dxa"/>
            <w:noWrap/>
            <w:vAlign w:val="center"/>
            <w:hideMark/>
          </w:tcPr>
          <w:p w14:paraId="0E0D0979" w14:textId="77777777" w:rsidR="001A5BCF" w:rsidRPr="00646254" w:rsidRDefault="001A5BCF" w:rsidP="00E96A1D">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b/>
                <w:color w:val="002060"/>
                <w:sz w:val="18"/>
                <w:szCs w:val="18"/>
                <w:lang w:val="sr-Cyrl-CS" w:eastAsia="ja-JP"/>
              </w:rPr>
            </w:pPr>
            <w:r w:rsidRPr="00646254">
              <w:rPr>
                <w:rFonts w:eastAsia="MS PGothic" w:cstheme="minorHAnsi"/>
                <w:b/>
                <w:color w:val="002060"/>
                <w:sz w:val="18"/>
                <w:szCs w:val="18"/>
                <w:lang w:val="sr-Cyrl-CS" w:eastAsia="ja-JP"/>
              </w:rPr>
              <w:t>389,6</w:t>
            </w:r>
          </w:p>
        </w:tc>
        <w:tc>
          <w:tcPr>
            <w:tcW w:w="742" w:type="dxa"/>
            <w:noWrap/>
            <w:vAlign w:val="center"/>
            <w:hideMark/>
          </w:tcPr>
          <w:p w14:paraId="25312899" w14:textId="77777777" w:rsidR="001A5BCF" w:rsidRPr="00646254" w:rsidRDefault="001A5BCF" w:rsidP="00E96A1D">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b/>
                <w:color w:val="002060"/>
                <w:sz w:val="18"/>
                <w:szCs w:val="18"/>
                <w:lang w:val="sr-Cyrl-CS" w:eastAsia="ja-JP"/>
              </w:rPr>
            </w:pPr>
            <w:r w:rsidRPr="00646254">
              <w:rPr>
                <w:rFonts w:eastAsia="MS PGothic" w:cstheme="minorHAnsi"/>
                <w:b/>
                <w:color w:val="002060"/>
                <w:sz w:val="18"/>
                <w:szCs w:val="18"/>
                <w:lang w:val="sr-Cyrl-CS" w:eastAsia="ja-JP"/>
              </w:rPr>
              <w:t>7,1</w:t>
            </w:r>
          </w:p>
        </w:tc>
      </w:tr>
      <w:tr w:rsidR="001A5BCF" w:rsidRPr="00646254" w14:paraId="77324420" w14:textId="77777777" w:rsidTr="00E96A1D">
        <w:trPr>
          <w:trHeight w:val="22"/>
          <w:jc w:val="center"/>
        </w:trPr>
        <w:tc>
          <w:tcPr>
            <w:cnfStyle w:val="001000000000" w:firstRow="0" w:lastRow="0" w:firstColumn="1" w:lastColumn="0" w:oddVBand="0" w:evenVBand="0" w:oddHBand="0" w:evenHBand="0" w:firstRowFirstColumn="0" w:firstRowLastColumn="0" w:lastRowFirstColumn="0" w:lastRowLastColumn="0"/>
            <w:tcW w:w="7355" w:type="dxa"/>
            <w:noWrap/>
            <w:hideMark/>
          </w:tcPr>
          <w:p w14:paraId="17B36E5D" w14:textId="77777777" w:rsidR="001A5BCF" w:rsidRPr="00646254" w:rsidRDefault="001A5BCF" w:rsidP="00E96A1D">
            <w:pPr>
              <w:spacing w:line="276" w:lineRule="auto"/>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Укупан пакет мера</w:t>
            </w:r>
          </w:p>
        </w:tc>
        <w:tc>
          <w:tcPr>
            <w:tcW w:w="1087" w:type="dxa"/>
            <w:noWrap/>
            <w:vAlign w:val="center"/>
            <w:hideMark/>
          </w:tcPr>
          <w:p w14:paraId="599DAE17" w14:textId="77777777" w:rsidR="001A5BCF" w:rsidRPr="00646254" w:rsidRDefault="001A5BCF" w:rsidP="00E96A1D">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b/>
                <w:color w:val="002060"/>
                <w:sz w:val="18"/>
                <w:szCs w:val="18"/>
                <w:lang w:val="sr-Cyrl-CS" w:eastAsia="ja-JP"/>
              </w:rPr>
            </w:pPr>
            <w:r w:rsidRPr="00646254">
              <w:rPr>
                <w:rFonts w:eastAsia="MS PGothic" w:cstheme="minorHAnsi"/>
                <w:b/>
                <w:color w:val="002060"/>
                <w:sz w:val="18"/>
                <w:szCs w:val="18"/>
                <w:lang w:val="sr-Cyrl-CS" w:eastAsia="ja-JP"/>
              </w:rPr>
              <w:t>704,4</w:t>
            </w:r>
          </w:p>
        </w:tc>
        <w:tc>
          <w:tcPr>
            <w:tcW w:w="742" w:type="dxa"/>
            <w:noWrap/>
            <w:vAlign w:val="center"/>
            <w:hideMark/>
          </w:tcPr>
          <w:p w14:paraId="112C8D10" w14:textId="77777777" w:rsidR="001A5BCF" w:rsidRPr="00646254" w:rsidRDefault="001A5BCF" w:rsidP="00E96A1D">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b/>
                <w:color w:val="002060"/>
                <w:sz w:val="18"/>
                <w:szCs w:val="18"/>
                <w:lang w:val="sr-Cyrl-CS" w:eastAsia="ja-JP"/>
              </w:rPr>
            </w:pPr>
            <w:r w:rsidRPr="00646254">
              <w:rPr>
                <w:rFonts w:eastAsia="MS PGothic" w:cstheme="minorHAnsi"/>
                <w:b/>
                <w:color w:val="002060"/>
                <w:sz w:val="18"/>
                <w:szCs w:val="18"/>
                <w:lang w:val="sr-Cyrl-CS" w:eastAsia="ja-JP"/>
              </w:rPr>
              <w:t>12,8</w:t>
            </w:r>
          </w:p>
        </w:tc>
        <w:tc>
          <w:tcPr>
            <w:tcW w:w="1087" w:type="dxa"/>
            <w:noWrap/>
            <w:vAlign w:val="center"/>
            <w:hideMark/>
          </w:tcPr>
          <w:p w14:paraId="752C5715" w14:textId="77777777" w:rsidR="001A5BCF" w:rsidRPr="00646254" w:rsidRDefault="001A5BCF" w:rsidP="00E96A1D">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b/>
                <w:color w:val="002060"/>
                <w:sz w:val="18"/>
                <w:szCs w:val="18"/>
                <w:lang w:val="sr-Cyrl-CS" w:eastAsia="ja-JP"/>
              </w:rPr>
            </w:pPr>
            <w:r w:rsidRPr="00646254">
              <w:rPr>
                <w:rFonts w:eastAsia="MS PGothic" w:cstheme="minorHAnsi"/>
                <w:b/>
                <w:color w:val="002060"/>
                <w:sz w:val="18"/>
                <w:szCs w:val="18"/>
                <w:lang w:val="sr-Cyrl-CS" w:eastAsia="ja-JP"/>
              </w:rPr>
              <w:t>564,1</w:t>
            </w:r>
          </w:p>
        </w:tc>
        <w:tc>
          <w:tcPr>
            <w:tcW w:w="742" w:type="dxa"/>
            <w:noWrap/>
            <w:vAlign w:val="center"/>
            <w:hideMark/>
          </w:tcPr>
          <w:p w14:paraId="4115AA47" w14:textId="77777777" w:rsidR="001A5BCF" w:rsidRPr="00646254" w:rsidRDefault="001A5BCF" w:rsidP="00E96A1D">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b/>
                <w:color w:val="002060"/>
                <w:sz w:val="18"/>
                <w:szCs w:val="18"/>
                <w:lang w:val="sr-Cyrl-CS" w:eastAsia="ja-JP"/>
              </w:rPr>
            </w:pPr>
            <w:r w:rsidRPr="00646254">
              <w:rPr>
                <w:rFonts w:eastAsia="MS PGothic" w:cstheme="minorHAnsi"/>
                <w:b/>
                <w:color w:val="002060"/>
                <w:sz w:val="18"/>
                <w:szCs w:val="18"/>
                <w:lang w:val="sr-Cyrl-CS" w:eastAsia="ja-JP"/>
              </w:rPr>
              <w:t>10,3</w:t>
            </w:r>
          </w:p>
        </w:tc>
      </w:tr>
      <w:tr w:rsidR="001A5BCF" w:rsidRPr="00646254" w14:paraId="326F6349" w14:textId="77777777" w:rsidTr="00E96A1D">
        <w:trPr>
          <w:cnfStyle w:val="000000100000" w:firstRow="0" w:lastRow="0" w:firstColumn="0" w:lastColumn="0" w:oddVBand="0" w:evenVBand="0" w:oddHBand="1" w:evenHBand="0" w:firstRowFirstColumn="0" w:firstRowLastColumn="0" w:lastRowFirstColumn="0" w:lastRowLastColumn="0"/>
          <w:trHeight w:val="22"/>
          <w:jc w:val="center"/>
        </w:trPr>
        <w:tc>
          <w:tcPr>
            <w:cnfStyle w:val="001000000000" w:firstRow="0" w:lastRow="0" w:firstColumn="1" w:lastColumn="0" w:oddVBand="0" w:evenVBand="0" w:oddHBand="0" w:evenHBand="0" w:firstRowFirstColumn="0" w:firstRowLastColumn="0" w:lastRowFirstColumn="0" w:lastRowLastColumn="0"/>
            <w:tcW w:w="7355" w:type="dxa"/>
            <w:noWrap/>
            <w:hideMark/>
          </w:tcPr>
          <w:p w14:paraId="5E6C73C3" w14:textId="77777777" w:rsidR="001A5BCF" w:rsidRPr="00646254" w:rsidRDefault="001A5BCF" w:rsidP="00E96A1D">
            <w:pPr>
              <w:spacing w:line="276" w:lineRule="auto"/>
              <w:rPr>
                <w:rFonts w:eastAsia="MS PGothic" w:cstheme="minorHAnsi"/>
                <w:b w:val="0"/>
                <w:color w:val="002060"/>
                <w:sz w:val="18"/>
                <w:szCs w:val="18"/>
                <w:lang w:val="sr-Cyrl-CS" w:eastAsia="ja-JP"/>
              </w:rPr>
            </w:pPr>
            <w:r w:rsidRPr="00646254">
              <w:rPr>
                <w:rFonts w:eastAsia="MS PGothic" w:cstheme="minorHAnsi"/>
                <w:b w:val="0"/>
                <w:color w:val="002060"/>
                <w:sz w:val="18"/>
                <w:szCs w:val="18"/>
                <w:lang w:val="sr-Cyrl-CS" w:eastAsia="ja-JP"/>
              </w:rPr>
              <w:t>Остали трошкови везани за COVID-19 (медицинска опрема и лекови)</w:t>
            </w:r>
          </w:p>
        </w:tc>
        <w:tc>
          <w:tcPr>
            <w:tcW w:w="1087" w:type="dxa"/>
            <w:noWrap/>
            <w:vAlign w:val="center"/>
            <w:hideMark/>
          </w:tcPr>
          <w:p w14:paraId="01A1EEAA" w14:textId="77777777" w:rsidR="001A5BCF" w:rsidRPr="00646254" w:rsidRDefault="001A5BCF" w:rsidP="00E96A1D">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w:t>
            </w:r>
          </w:p>
        </w:tc>
        <w:tc>
          <w:tcPr>
            <w:tcW w:w="742" w:type="dxa"/>
            <w:noWrap/>
            <w:vAlign w:val="center"/>
            <w:hideMark/>
          </w:tcPr>
          <w:p w14:paraId="3C4D95AC" w14:textId="77777777" w:rsidR="001A5BCF" w:rsidRPr="00646254" w:rsidRDefault="001A5BCF" w:rsidP="00E96A1D">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w:t>
            </w:r>
          </w:p>
        </w:tc>
        <w:tc>
          <w:tcPr>
            <w:tcW w:w="1087" w:type="dxa"/>
            <w:noWrap/>
            <w:vAlign w:val="center"/>
            <w:hideMark/>
          </w:tcPr>
          <w:p w14:paraId="0773BDE2" w14:textId="77777777" w:rsidR="001A5BCF" w:rsidRPr="00646254" w:rsidRDefault="001A5BCF" w:rsidP="00E96A1D">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72</w:t>
            </w:r>
          </w:p>
        </w:tc>
        <w:tc>
          <w:tcPr>
            <w:tcW w:w="742" w:type="dxa"/>
            <w:noWrap/>
            <w:vAlign w:val="center"/>
            <w:hideMark/>
          </w:tcPr>
          <w:p w14:paraId="7E48303C" w14:textId="77777777" w:rsidR="001A5BCF" w:rsidRPr="00646254" w:rsidRDefault="001A5BCF" w:rsidP="00E96A1D">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1,3</w:t>
            </w:r>
          </w:p>
        </w:tc>
      </w:tr>
      <w:tr w:rsidR="001A5BCF" w:rsidRPr="00646254" w14:paraId="0E161091" w14:textId="77777777" w:rsidTr="00E96A1D">
        <w:trPr>
          <w:trHeight w:val="22"/>
          <w:jc w:val="center"/>
        </w:trPr>
        <w:tc>
          <w:tcPr>
            <w:cnfStyle w:val="001000000000" w:firstRow="0" w:lastRow="0" w:firstColumn="1" w:lastColumn="0" w:oddVBand="0" w:evenVBand="0" w:oddHBand="0" w:evenHBand="0" w:firstRowFirstColumn="0" w:firstRowLastColumn="0" w:lastRowFirstColumn="0" w:lastRowLastColumn="0"/>
            <w:tcW w:w="7355" w:type="dxa"/>
            <w:noWrap/>
            <w:hideMark/>
          </w:tcPr>
          <w:p w14:paraId="7640BA2A" w14:textId="77777777" w:rsidR="001A5BCF" w:rsidRPr="00646254" w:rsidRDefault="001A5BCF" w:rsidP="00E96A1D">
            <w:pPr>
              <w:spacing w:line="276" w:lineRule="auto"/>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 xml:space="preserve">Укупни трошкови везани за COVID-19 </w:t>
            </w:r>
          </w:p>
        </w:tc>
        <w:tc>
          <w:tcPr>
            <w:tcW w:w="1087" w:type="dxa"/>
            <w:noWrap/>
            <w:vAlign w:val="center"/>
            <w:hideMark/>
          </w:tcPr>
          <w:p w14:paraId="2C32C483" w14:textId="77777777" w:rsidR="001A5BCF" w:rsidRPr="00646254" w:rsidRDefault="001A5BCF" w:rsidP="00E96A1D">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bCs/>
                <w:color w:val="002060"/>
                <w:sz w:val="18"/>
                <w:szCs w:val="18"/>
                <w:lang w:val="sr-Cyrl-CS" w:eastAsia="ja-JP"/>
              </w:rPr>
            </w:pPr>
            <w:r w:rsidRPr="00646254">
              <w:rPr>
                <w:rFonts w:eastAsia="MS PGothic" w:cstheme="minorHAnsi"/>
                <w:b/>
                <w:bCs/>
                <w:color w:val="002060"/>
                <w:sz w:val="18"/>
                <w:szCs w:val="18"/>
                <w:lang w:val="sr-Cyrl-CS" w:eastAsia="ja-JP"/>
              </w:rPr>
              <w:t>704,4</w:t>
            </w:r>
          </w:p>
        </w:tc>
        <w:tc>
          <w:tcPr>
            <w:tcW w:w="742" w:type="dxa"/>
            <w:noWrap/>
            <w:vAlign w:val="center"/>
            <w:hideMark/>
          </w:tcPr>
          <w:p w14:paraId="32A994C1" w14:textId="77777777" w:rsidR="001A5BCF" w:rsidRPr="00646254" w:rsidRDefault="001A5BCF" w:rsidP="00E96A1D">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bCs/>
                <w:color w:val="002060"/>
                <w:sz w:val="18"/>
                <w:szCs w:val="18"/>
                <w:lang w:val="sr-Cyrl-CS" w:eastAsia="ja-JP"/>
              </w:rPr>
            </w:pPr>
            <w:r w:rsidRPr="00646254">
              <w:rPr>
                <w:rFonts w:eastAsia="MS PGothic" w:cstheme="minorHAnsi"/>
                <w:b/>
                <w:bCs/>
                <w:color w:val="002060"/>
                <w:sz w:val="18"/>
                <w:szCs w:val="18"/>
                <w:lang w:val="sr-Cyrl-CS" w:eastAsia="ja-JP"/>
              </w:rPr>
              <w:t>12,8</w:t>
            </w:r>
          </w:p>
        </w:tc>
        <w:tc>
          <w:tcPr>
            <w:tcW w:w="1087" w:type="dxa"/>
            <w:noWrap/>
            <w:vAlign w:val="center"/>
            <w:hideMark/>
          </w:tcPr>
          <w:p w14:paraId="2EBC8EAD" w14:textId="77777777" w:rsidR="001A5BCF" w:rsidRPr="00646254" w:rsidRDefault="001A5BCF" w:rsidP="00E96A1D">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bCs/>
                <w:color w:val="002060"/>
                <w:sz w:val="18"/>
                <w:szCs w:val="18"/>
                <w:lang w:val="sr-Cyrl-CS" w:eastAsia="ja-JP"/>
              </w:rPr>
            </w:pPr>
            <w:r w:rsidRPr="00646254">
              <w:rPr>
                <w:rFonts w:eastAsia="MS PGothic" w:cstheme="minorHAnsi"/>
                <w:b/>
                <w:bCs/>
                <w:color w:val="002060"/>
                <w:sz w:val="18"/>
                <w:szCs w:val="18"/>
                <w:lang w:val="sr-Cyrl-CS" w:eastAsia="ja-JP"/>
              </w:rPr>
              <w:t>636,1</w:t>
            </w:r>
          </w:p>
        </w:tc>
        <w:tc>
          <w:tcPr>
            <w:tcW w:w="742" w:type="dxa"/>
            <w:noWrap/>
            <w:vAlign w:val="center"/>
            <w:hideMark/>
          </w:tcPr>
          <w:p w14:paraId="12BA3F2B" w14:textId="77777777" w:rsidR="001A5BCF" w:rsidRPr="00646254" w:rsidRDefault="001A5BCF" w:rsidP="00E96A1D">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bCs/>
                <w:color w:val="002060"/>
                <w:sz w:val="18"/>
                <w:szCs w:val="18"/>
                <w:lang w:val="sr-Cyrl-CS" w:eastAsia="ja-JP"/>
              </w:rPr>
            </w:pPr>
            <w:r w:rsidRPr="00646254">
              <w:rPr>
                <w:rFonts w:eastAsia="MS PGothic" w:cstheme="minorHAnsi"/>
                <w:b/>
                <w:bCs/>
                <w:color w:val="002060"/>
                <w:sz w:val="18"/>
                <w:szCs w:val="18"/>
                <w:lang w:val="sr-Cyrl-CS" w:eastAsia="ja-JP"/>
              </w:rPr>
              <w:t>11,6</w:t>
            </w:r>
          </w:p>
        </w:tc>
      </w:tr>
      <w:tr w:rsidR="001A5BCF" w:rsidRPr="00646254" w14:paraId="6E4C948B" w14:textId="77777777" w:rsidTr="00E96A1D">
        <w:trPr>
          <w:cnfStyle w:val="000000100000" w:firstRow="0" w:lastRow="0" w:firstColumn="0" w:lastColumn="0" w:oddVBand="0" w:evenVBand="0" w:oddHBand="1" w:evenHBand="0" w:firstRowFirstColumn="0" w:firstRowLastColumn="0" w:lastRowFirstColumn="0" w:lastRowLastColumn="0"/>
          <w:trHeight w:val="22"/>
          <w:jc w:val="center"/>
        </w:trPr>
        <w:tc>
          <w:tcPr>
            <w:cnfStyle w:val="001000000000" w:firstRow="0" w:lastRow="0" w:firstColumn="1" w:lastColumn="0" w:oddVBand="0" w:evenVBand="0" w:oddHBand="0" w:evenHBand="0" w:firstRowFirstColumn="0" w:firstRowLastColumn="0" w:lastRowFirstColumn="0" w:lastRowLastColumn="0"/>
            <w:tcW w:w="7355" w:type="dxa"/>
            <w:noWrap/>
          </w:tcPr>
          <w:p w14:paraId="7F864A23" w14:textId="77777777" w:rsidR="001A5BCF" w:rsidRPr="00646254" w:rsidRDefault="001A5BCF" w:rsidP="00E96A1D">
            <w:pPr>
              <w:spacing w:line="276" w:lineRule="auto"/>
              <w:rPr>
                <w:rFonts w:eastAsia="MS PGothic" w:cstheme="minorHAnsi"/>
                <w:color w:val="002060"/>
                <w:szCs w:val="20"/>
                <w:lang w:val="sr-Cyrl-CS" w:eastAsia="ja-JP"/>
              </w:rPr>
            </w:pPr>
          </w:p>
        </w:tc>
        <w:tc>
          <w:tcPr>
            <w:tcW w:w="1087" w:type="dxa"/>
            <w:noWrap/>
            <w:vAlign w:val="bottom"/>
          </w:tcPr>
          <w:p w14:paraId="5DD71B25" w14:textId="77777777" w:rsidR="001A5BCF" w:rsidRPr="00646254" w:rsidRDefault="001A5BCF" w:rsidP="00E96A1D">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b/>
                <w:bCs/>
                <w:color w:val="002060"/>
                <w:szCs w:val="20"/>
                <w:lang w:val="sr-Cyrl-CS" w:eastAsia="ja-JP"/>
              </w:rPr>
            </w:pPr>
          </w:p>
        </w:tc>
        <w:tc>
          <w:tcPr>
            <w:tcW w:w="742" w:type="dxa"/>
            <w:noWrap/>
            <w:vAlign w:val="bottom"/>
          </w:tcPr>
          <w:p w14:paraId="20395327" w14:textId="77777777" w:rsidR="001A5BCF" w:rsidRPr="00646254" w:rsidRDefault="001A5BCF" w:rsidP="00E96A1D">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b/>
                <w:bCs/>
                <w:color w:val="002060"/>
                <w:szCs w:val="20"/>
                <w:lang w:val="sr-Cyrl-CS" w:eastAsia="ja-JP"/>
              </w:rPr>
            </w:pPr>
          </w:p>
        </w:tc>
        <w:tc>
          <w:tcPr>
            <w:tcW w:w="1087" w:type="dxa"/>
            <w:noWrap/>
            <w:vAlign w:val="bottom"/>
          </w:tcPr>
          <w:p w14:paraId="5237CA8C" w14:textId="77777777" w:rsidR="001A5BCF" w:rsidRPr="00646254" w:rsidRDefault="001A5BCF" w:rsidP="00E96A1D">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b/>
                <w:bCs/>
                <w:color w:val="002060"/>
                <w:szCs w:val="20"/>
                <w:lang w:val="sr-Cyrl-CS" w:eastAsia="ja-JP"/>
              </w:rPr>
            </w:pPr>
          </w:p>
        </w:tc>
        <w:tc>
          <w:tcPr>
            <w:tcW w:w="742" w:type="dxa"/>
            <w:noWrap/>
            <w:vAlign w:val="bottom"/>
          </w:tcPr>
          <w:p w14:paraId="41622C5C" w14:textId="77777777" w:rsidR="001A5BCF" w:rsidRPr="00646254" w:rsidRDefault="001A5BCF" w:rsidP="00E96A1D">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b/>
                <w:bCs/>
                <w:color w:val="002060"/>
                <w:szCs w:val="20"/>
                <w:lang w:val="sr-Cyrl-CS" w:eastAsia="ja-JP"/>
              </w:rPr>
            </w:pPr>
          </w:p>
        </w:tc>
      </w:tr>
    </w:tbl>
    <w:p w14:paraId="0AEB9182" w14:textId="77777777" w:rsidR="001A5BCF" w:rsidRPr="00646254" w:rsidRDefault="001A5BCF" w:rsidP="00E4657F">
      <w:pPr>
        <w:spacing w:line="276" w:lineRule="auto"/>
        <w:rPr>
          <w:rFonts w:cstheme="minorHAnsi"/>
          <w:bCs/>
          <w:szCs w:val="72"/>
          <w:lang w:val="sr-Cyrl-CS"/>
        </w:rPr>
      </w:pPr>
    </w:p>
    <w:p w14:paraId="0A39E931" w14:textId="77777777" w:rsidR="001A5BCF" w:rsidRPr="00646254" w:rsidRDefault="001A5BCF" w:rsidP="00E96A1D">
      <w:pPr>
        <w:spacing w:after="0"/>
        <w:rPr>
          <w:rFonts w:cstheme="minorHAnsi"/>
          <w:bCs/>
          <w:szCs w:val="72"/>
          <w:lang w:val="sr-Cyrl-CS"/>
        </w:rPr>
        <w:sectPr w:rsidR="001A5BCF" w:rsidRPr="00646254" w:rsidSect="00E96A1D">
          <w:type w:val="continuous"/>
          <w:pgSz w:w="12240" w:h="15840"/>
          <w:pgMar w:top="1440" w:right="1440" w:bottom="1440" w:left="1440" w:header="720" w:footer="720" w:gutter="0"/>
          <w:cols w:space="720"/>
          <w:docGrid w:linePitch="360"/>
        </w:sectPr>
      </w:pPr>
    </w:p>
    <w:p w14:paraId="56D2345A" w14:textId="77777777" w:rsidR="001A5BCF" w:rsidRPr="00646254" w:rsidRDefault="001A5BCF">
      <w:pPr>
        <w:jc w:val="left"/>
        <w:rPr>
          <w:rFonts w:eastAsia="MS PGothic" w:cstheme="minorHAnsi"/>
          <w:b/>
          <w:color w:val="2F5496" w:themeColor="accent1" w:themeShade="BF"/>
          <w:sz w:val="24"/>
          <w:szCs w:val="26"/>
          <w:lang w:val="sr-Cyrl-CS" w:eastAsia="ja-JP"/>
        </w:rPr>
      </w:pPr>
      <w:r w:rsidRPr="00646254">
        <w:rPr>
          <w:rFonts w:eastAsia="MS PGothic" w:cstheme="minorHAnsi"/>
          <w:b/>
          <w:color w:val="2F5496" w:themeColor="accent1" w:themeShade="BF"/>
          <w:sz w:val="24"/>
          <w:szCs w:val="26"/>
          <w:lang w:val="sr-Cyrl-CS" w:eastAsia="ja-JP"/>
        </w:rPr>
        <w:br w:type="page"/>
      </w:r>
    </w:p>
    <w:p w14:paraId="007F223F" w14:textId="22BA0EB0" w:rsidR="001A5BCF" w:rsidRPr="00646254" w:rsidRDefault="001A5BCF" w:rsidP="00E96A1D">
      <w:pPr>
        <w:keepNext/>
        <w:keepLines/>
        <w:spacing w:after="120"/>
        <w:jc w:val="center"/>
        <w:outlineLvl w:val="1"/>
        <w:rPr>
          <w:rFonts w:eastAsia="MS PGothic" w:cstheme="minorHAnsi"/>
          <w:b/>
          <w:color w:val="2F5496" w:themeColor="accent1" w:themeShade="BF"/>
          <w:sz w:val="24"/>
          <w:szCs w:val="26"/>
          <w:lang w:val="sr-Cyrl-CS" w:eastAsia="ja-JP"/>
        </w:rPr>
        <w:sectPr w:rsidR="001A5BCF" w:rsidRPr="00646254" w:rsidSect="008265F0">
          <w:headerReference w:type="even" r:id="rId116"/>
          <w:footerReference w:type="even" r:id="rId117"/>
          <w:footerReference w:type="default" r:id="rId118"/>
          <w:headerReference w:type="first" r:id="rId119"/>
          <w:type w:val="continuous"/>
          <w:pgSz w:w="12240" w:h="15840" w:code="1"/>
          <w:pgMar w:top="1440" w:right="1440" w:bottom="1440" w:left="1440" w:header="720" w:footer="720" w:gutter="0"/>
          <w:cols w:space="720"/>
          <w:docGrid w:linePitch="360"/>
        </w:sectPr>
      </w:pPr>
      <w:bookmarkStart w:id="29" w:name="_Toc86650475"/>
      <w:r w:rsidRPr="00646254">
        <w:rPr>
          <w:rFonts w:eastAsia="MS PGothic" w:cstheme="minorHAnsi"/>
          <w:b/>
          <w:color w:val="2F5496" w:themeColor="accent1" w:themeShade="BF"/>
          <w:sz w:val="24"/>
          <w:szCs w:val="26"/>
          <w:lang w:val="sr-Cyrl-CS" w:eastAsia="ja-JP"/>
        </w:rPr>
        <w:t>3. Текућа фискална кретања и изгледи за 2021. годину</w:t>
      </w:r>
      <w:bookmarkEnd w:id="23"/>
      <w:bookmarkEnd w:id="24"/>
      <w:bookmarkEnd w:id="29"/>
    </w:p>
    <w:p w14:paraId="28517E11" w14:textId="77777777" w:rsidR="001A5BCF" w:rsidRPr="00646254" w:rsidRDefault="001A5BCF" w:rsidP="008265F0">
      <w:pPr>
        <w:spacing w:after="60"/>
        <w:rPr>
          <w:rFonts w:eastAsia="MS PGothic" w:cstheme="minorHAnsi"/>
          <w:szCs w:val="20"/>
          <w:lang w:val="sr-Cyrl-CS" w:eastAsia="ja-JP"/>
        </w:rPr>
      </w:pPr>
      <w:r w:rsidRPr="00646254">
        <w:rPr>
          <w:rFonts w:eastAsia="MS PGothic" w:cstheme="minorHAnsi"/>
          <w:szCs w:val="20"/>
          <w:lang w:val="sr-Cyrl-CS" w:eastAsia="ja-JP"/>
        </w:rPr>
        <w:t>Фискални дефицит опште државе у 2021. години, према последњим проценама, износиће 4,9% БДП, што је значајно мање у односу на априлска предвиђања када је дефицит планиран у износу од 6,9% БДП. Посматрано у односу на резултат предвиђен оригиналним буџетом за 2021. годину дефицит је већи за 1,9 п.п. (планирани дефицит износио је 3% БДП). Следећи фактори довели су до ревизије фискалног резултата опште државе у текућој години:</w:t>
      </w:r>
    </w:p>
    <w:p w14:paraId="595E07F9" w14:textId="435752C6" w:rsidR="001A5BCF" w:rsidRPr="00646254" w:rsidRDefault="001A5BCF" w:rsidP="001A5BCF">
      <w:pPr>
        <w:numPr>
          <w:ilvl w:val="0"/>
          <w:numId w:val="49"/>
        </w:numPr>
        <w:ind w:left="567"/>
        <w:contextualSpacing/>
        <w:rPr>
          <w:rFonts w:eastAsia="MS PGothic" w:cstheme="minorHAnsi"/>
          <w:szCs w:val="20"/>
          <w:lang w:val="sr-Cyrl-CS" w:eastAsia="ja-JP"/>
        </w:rPr>
      </w:pPr>
      <w:r w:rsidRPr="00646254">
        <w:rPr>
          <w:rFonts w:eastAsia="MS PGothic" w:cstheme="minorHAnsi"/>
          <w:szCs w:val="20"/>
          <w:lang w:val="sr-Cyrl-CS" w:eastAsia="ja-JP"/>
        </w:rPr>
        <w:t xml:space="preserve">операционализација трећег пакета економске подршке привреди услед продуженог трајања пандемије </w:t>
      </w:r>
      <w:r w:rsidR="00F26771" w:rsidRPr="00646254">
        <w:rPr>
          <w:rFonts w:eastAsia="MS PGothic" w:cstheme="minorHAnsi"/>
          <w:szCs w:val="20"/>
          <w:lang w:val="sr-Cyrl-CS" w:eastAsia="ja-JP"/>
        </w:rPr>
        <w:t>COVID-19</w:t>
      </w:r>
      <w:r w:rsidRPr="00646254">
        <w:rPr>
          <w:rFonts w:eastAsia="MS PGothic" w:cstheme="minorHAnsi"/>
          <w:szCs w:val="20"/>
          <w:lang w:val="sr-Cyrl-CS" w:eastAsia="ja-JP"/>
        </w:rPr>
        <w:t>;</w:t>
      </w:r>
    </w:p>
    <w:p w14:paraId="0764D0D6" w14:textId="77777777" w:rsidR="001A5BCF" w:rsidRPr="00646254" w:rsidRDefault="001A5BCF" w:rsidP="001A5BCF">
      <w:pPr>
        <w:numPr>
          <w:ilvl w:val="0"/>
          <w:numId w:val="47"/>
        </w:numPr>
        <w:ind w:left="567"/>
        <w:contextualSpacing/>
        <w:rPr>
          <w:rFonts w:eastAsia="MS PGothic" w:cstheme="minorHAnsi"/>
          <w:szCs w:val="20"/>
          <w:lang w:val="sr-Cyrl-CS" w:eastAsia="ja-JP"/>
        </w:rPr>
      </w:pPr>
      <w:r w:rsidRPr="00646254">
        <w:rPr>
          <w:rFonts w:eastAsia="MS PGothic" w:cstheme="minorHAnsi"/>
          <w:szCs w:val="20"/>
          <w:lang w:val="sr-Cyrl-CS" w:eastAsia="ja-JP"/>
        </w:rPr>
        <w:t>обезбеђивање додатних средстава за здравствену заштиту становништва;</w:t>
      </w:r>
    </w:p>
    <w:p w14:paraId="41AC56CB" w14:textId="77777777" w:rsidR="001A5BCF" w:rsidRPr="00646254" w:rsidRDefault="001A5BCF" w:rsidP="001A5BCF">
      <w:pPr>
        <w:numPr>
          <w:ilvl w:val="0"/>
          <w:numId w:val="47"/>
        </w:numPr>
        <w:ind w:left="567"/>
        <w:contextualSpacing/>
        <w:rPr>
          <w:rFonts w:eastAsia="MS PGothic" w:cstheme="minorHAnsi"/>
          <w:szCs w:val="20"/>
          <w:lang w:val="sr-Cyrl-CS" w:eastAsia="ja-JP"/>
        </w:rPr>
      </w:pPr>
      <w:r w:rsidRPr="00646254">
        <w:rPr>
          <w:rFonts w:eastAsia="MS PGothic" w:cstheme="minorHAnsi"/>
          <w:szCs w:val="20"/>
          <w:lang w:val="sr-Cyrl-CS" w:eastAsia="ja-JP"/>
        </w:rPr>
        <w:t>повећано улагање у инфраструктурне пројекте у циљу опоравка и подстицаја привредног раста;</w:t>
      </w:r>
    </w:p>
    <w:p w14:paraId="0B8A744E" w14:textId="77777777" w:rsidR="001A5BCF" w:rsidRPr="00646254" w:rsidRDefault="001A5BCF" w:rsidP="001A5BCF">
      <w:pPr>
        <w:numPr>
          <w:ilvl w:val="0"/>
          <w:numId w:val="47"/>
        </w:numPr>
        <w:ind w:left="567" w:hanging="357"/>
        <w:rPr>
          <w:rFonts w:eastAsia="MS PGothic" w:cstheme="minorHAnsi"/>
          <w:szCs w:val="20"/>
          <w:lang w:val="sr-Cyrl-CS" w:eastAsia="ja-JP"/>
        </w:rPr>
      </w:pPr>
      <w:r w:rsidRPr="00646254">
        <w:rPr>
          <w:rFonts w:eastAsia="MS PGothic" w:cstheme="minorHAnsi"/>
          <w:szCs w:val="20"/>
          <w:lang w:val="sr-Cyrl-CS" w:eastAsia="ja-JP"/>
        </w:rPr>
        <w:t>значајна ревизија пројекције прихода опште државе.</w:t>
      </w:r>
    </w:p>
    <w:p w14:paraId="599C7D8C" w14:textId="03F532A7" w:rsidR="001A5BCF" w:rsidRPr="00646254" w:rsidRDefault="001A5BCF" w:rsidP="008265F0">
      <w:pPr>
        <w:rPr>
          <w:rFonts w:eastAsia="MS PGothic" w:cstheme="minorHAnsi"/>
          <w:szCs w:val="20"/>
          <w:lang w:val="sr-Cyrl-CS" w:eastAsia="ja-JP"/>
        </w:rPr>
      </w:pPr>
      <w:r w:rsidRPr="00646254">
        <w:rPr>
          <w:rFonts w:eastAsia="MS PGothic" w:cstheme="minorHAnsi"/>
          <w:szCs w:val="20"/>
          <w:lang w:val="sr-Cyrl-CS" w:eastAsia="ja-JP"/>
        </w:rPr>
        <w:t xml:space="preserve">Тренд смањења учешћа јавног дуга у БДП, присутан од 2016. године, услед кризе изазване пандемијом </w:t>
      </w:r>
      <w:r w:rsidR="00F26771" w:rsidRPr="00646254">
        <w:rPr>
          <w:rFonts w:eastAsia="MS PGothic" w:cstheme="minorHAnsi"/>
          <w:szCs w:val="20"/>
          <w:lang w:val="sr-Cyrl-CS" w:eastAsia="ja-JP"/>
        </w:rPr>
        <w:t>COVID-19</w:t>
      </w:r>
      <w:r w:rsidRPr="00646254">
        <w:rPr>
          <w:rFonts w:eastAsia="MS PGothic" w:cstheme="minorHAnsi"/>
          <w:szCs w:val="20"/>
          <w:lang w:val="sr-Cyrl-CS" w:eastAsia="ja-JP"/>
        </w:rPr>
        <w:t xml:space="preserve"> током 2020. и 2021. године, привремено је прекинут. У наредном периоду се очекује да ће услед стабилизације економских кретања, убрзаног привредног опоравка и планираног кретања фискалног резултата у средњем року, путања јавног дуга поново бити опадајућа.</w:t>
      </w:r>
    </w:p>
    <w:p w14:paraId="638939F3" w14:textId="77777777" w:rsidR="001A5BCF" w:rsidRPr="00646254" w:rsidRDefault="001A5BCF" w:rsidP="008265F0">
      <w:pPr>
        <w:keepNext/>
        <w:keepLines/>
        <w:jc w:val="center"/>
        <w:rPr>
          <w:rFonts w:cstheme="minorHAnsi"/>
          <w:b/>
          <w:color w:val="002060"/>
          <w:lang w:val="sr-Cyrl-CS"/>
        </w:rPr>
      </w:pPr>
      <w:r w:rsidRPr="00646254">
        <w:rPr>
          <w:rFonts w:cstheme="minorHAnsi"/>
          <w:b/>
          <w:color w:val="002060"/>
          <w:lang w:val="sr-Cyrl-CS"/>
        </w:rPr>
        <w:t>Фискални резултат опште државе у периоду од 2015. до 2021. године, % БДП</w:t>
      </w:r>
    </w:p>
    <w:p w14:paraId="2281142B" w14:textId="77777777" w:rsidR="001A5BCF" w:rsidRPr="00646254" w:rsidRDefault="001A5BCF" w:rsidP="00E96A1D">
      <w:pPr>
        <w:spacing w:after="0" w:line="276" w:lineRule="auto"/>
        <w:jc w:val="center"/>
        <w:rPr>
          <w:lang w:val="sr-Cyrl-CS"/>
        </w:rPr>
      </w:pPr>
      <w:r w:rsidRPr="00646254">
        <w:rPr>
          <w:noProof/>
        </w:rPr>
        <w:drawing>
          <wp:inline distT="0" distB="0" distL="0" distR="0" wp14:anchorId="6C9444C9" wp14:editId="353D0147">
            <wp:extent cx="2743200" cy="1810693"/>
            <wp:effectExtent l="0" t="0" r="0" b="0"/>
            <wp:docPr id="66" name="Chart 66"/>
            <wp:cNvGraphicFramePr/>
            <a:graphic xmlns:a="http://schemas.openxmlformats.org/drawingml/2006/main">
              <a:graphicData uri="http://schemas.openxmlformats.org/drawingml/2006/chart">
                <c:chart xmlns:c="http://schemas.openxmlformats.org/drawingml/2006/chart" xmlns:r="http://schemas.openxmlformats.org/officeDocument/2006/relationships" r:id="rId120"/>
              </a:graphicData>
            </a:graphic>
          </wp:inline>
        </w:drawing>
      </w:r>
    </w:p>
    <w:p w14:paraId="4CEF76E2" w14:textId="77777777" w:rsidR="001A5BCF" w:rsidRPr="00646254" w:rsidRDefault="001A5BCF" w:rsidP="00E96A1D">
      <w:pPr>
        <w:spacing w:after="0" w:line="240" w:lineRule="auto"/>
        <w:rPr>
          <w:rFonts w:cstheme="minorHAnsi"/>
          <w:bCs/>
          <w:sz w:val="16"/>
          <w:szCs w:val="72"/>
          <w:lang w:val="sr-Cyrl-CS"/>
        </w:rPr>
      </w:pPr>
      <w:r w:rsidRPr="00646254">
        <w:rPr>
          <w:rFonts w:cstheme="minorHAnsi"/>
          <w:bCs/>
          <w:sz w:val="16"/>
          <w:szCs w:val="72"/>
          <w:lang w:val="sr-Cyrl-CS"/>
        </w:rPr>
        <w:t>Извор: Министарство финансија</w:t>
      </w:r>
    </w:p>
    <w:p w14:paraId="19B09DF6" w14:textId="77777777" w:rsidR="001A5BCF" w:rsidRPr="00646254" w:rsidRDefault="001A5BCF" w:rsidP="00E96A1D">
      <w:pPr>
        <w:spacing w:after="0" w:line="240" w:lineRule="auto"/>
        <w:rPr>
          <w:rFonts w:cstheme="minorHAnsi"/>
          <w:bCs/>
          <w:sz w:val="16"/>
          <w:szCs w:val="72"/>
          <w:lang w:val="sr-Cyrl-CS"/>
        </w:rPr>
      </w:pPr>
    </w:p>
    <w:p w14:paraId="27A8A263" w14:textId="77777777" w:rsidR="001A5BCF" w:rsidRPr="00646254" w:rsidRDefault="001A5BCF" w:rsidP="008265F0">
      <w:pPr>
        <w:rPr>
          <w:rFonts w:eastAsia="MS PGothic" w:cstheme="minorHAnsi"/>
          <w:szCs w:val="20"/>
          <w:lang w:val="sr-Cyrl-CS" w:eastAsia="ja-JP"/>
        </w:rPr>
      </w:pPr>
      <w:r w:rsidRPr="00646254">
        <w:rPr>
          <w:rFonts w:eastAsia="MS PGothic" w:cstheme="minorHAnsi"/>
          <w:szCs w:val="20"/>
          <w:lang w:val="sr-Cyrl-CS" w:eastAsia="ja-JP"/>
        </w:rPr>
        <w:t>Пандемија изазвана коронавирусом током читаве 2020. године имала је изразито негативне здравствене, економске и шире друштвене последице, како у читавом свету, тако и у Републици Србији. Од марта 2020. године, када је регистрован први случај обољевања у Републици Србији, на снази су епидемиолошке мере различитог интензитета у циљу очувања здравља грађана и умањења притиска на јавно здравство. Криза изазвана пандемијом коронавируса настављена је и у 2021. години. Епидемиолошке мере различитог степена ограничења присутне су и даље широм света. Република Србија обезбедила је, и поред свих тешкоћа у набавци вакцина, довољне количине за масовну вакцинацију становништва.</w:t>
      </w:r>
    </w:p>
    <w:p w14:paraId="0B6A7667" w14:textId="77777777" w:rsidR="001A5BCF" w:rsidRPr="00646254" w:rsidRDefault="001A5BCF" w:rsidP="008265F0">
      <w:pPr>
        <w:rPr>
          <w:rFonts w:eastAsia="MS PGothic" w:cstheme="minorHAnsi"/>
          <w:szCs w:val="20"/>
          <w:lang w:val="sr-Cyrl-CS" w:eastAsia="ja-JP"/>
        </w:rPr>
      </w:pPr>
      <w:r w:rsidRPr="00646254">
        <w:rPr>
          <w:rFonts w:eastAsia="MS PGothic" w:cstheme="minorHAnsi"/>
          <w:szCs w:val="20"/>
          <w:lang w:val="sr-Cyrl-CS" w:eastAsia="ja-JP"/>
        </w:rPr>
        <w:t>Током 2020. године реализовани су први и други пакет мера економске подршке привреди и становништву за превазилажење кризе изазване пандемијом. Процењени обим ова два пакета износио је 12,8% БДП, док су, према прелиминарним подацима, реализоване мере у вредности од 11,6% БДП. Економски пакет подршке привреди и становништву значајно је допринео ублажавању негативних ефеката кризе и резултирао је мањим падом привреде, посебно у поређењу са другим европским економијама, а избегнуте су и турбуленције на тржишту радне снаге.</w:t>
      </w:r>
    </w:p>
    <w:p w14:paraId="0E4CF702" w14:textId="0FE8687A" w:rsidR="001A5BCF" w:rsidRPr="00646254" w:rsidRDefault="001A5BCF" w:rsidP="008265F0">
      <w:pPr>
        <w:rPr>
          <w:rFonts w:eastAsia="MS PGothic" w:cstheme="minorHAnsi"/>
          <w:szCs w:val="20"/>
          <w:lang w:val="sr-Cyrl-CS" w:eastAsia="ja-JP"/>
        </w:rPr>
      </w:pPr>
      <w:r w:rsidRPr="00646254">
        <w:rPr>
          <w:rFonts w:eastAsia="MS PGothic" w:cstheme="minorHAnsi"/>
          <w:szCs w:val="20"/>
          <w:lang w:val="sr-Cyrl-CS" w:eastAsia="ja-JP"/>
        </w:rPr>
        <w:t xml:space="preserve">Борба са пандемијом настављена је и током 2021. године. Примена епидемиолошких мера је на снази уз истовремену вакцинацију становништва. Позитивни ефекти претходног програма економске подршке пренели су се и на почетак 2021. године, али продужено деловање пандемије, са неизвесним временским трајањем, условило је потребу за новим пакетом подршке привреди и становништву. Сагледавањем економских кретања током четвртог квартала претходне године и првог квартала 2021. године, стања на тржишту рада, ефеката спроведеног сета мера, a у условима пролонгираног трајања сложене епидемиолошке ситуације, Влада </w:t>
      </w:r>
      <w:r w:rsidR="00FC0170">
        <w:rPr>
          <w:rFonts w:eastAsia="MS PGothic" w:cstheme="minorHAnsi"/>
          <w:szCs w:val="20"/>
          <w:lang w:val="sr-Cyrl-CS" w:eastAsia="ja-JP"/>
        </w:rPr>
        <w:t xml:space="preserve">је </w:t>
      </w:r>
      <w:r w:rsidRPr="00646254">
        <w:rPr>
          <w:rFonts w:eastAsia="MS PGothic" w:cstheme="minorHAnsi"/>
          <w:szCs w:val="20"/>
          <w:lang w:val="sr-Cyrl-CS" w:eastAsia="ja-JP"/>
        </w:rPr>
        <w:t xml:space="preserve">одлучила </w:t>
      </w:r>
      <w:r w:rsidR="00FC0170">
        <w:rPr>
          <w:rFonts w:eastAsia="MS PGothic" w:cstheme="minorHAnsi"/>
          <w:szCs w:val="20"/>
          <w:lang w:val="sr-Cyrl-CS" w:eastAsia="ja-JP"/>
        </w:rPr>
        <w:t xml:space="preserve"> </w:t>
      </w:r>
      <w:r w:rsidRPr="00646254">
        <w:rPr>
          <w:rFonts w:eastAsia="MS PGothic" w:cstheme="minorHAnsi"/>
          <w:szCs w:val="20"/>
          <w:lang w:val="sr-Cyrl-CS" w:eastAsia="ja-JP"/>
        </w:rPr>
        <w:t xml:space="preserve"> да донесе додатни </w:t>
      </w:r>
      <w:r w:rsidR="00FC0170">
        <w:rPr>
          <w:rFonts w:eastAsia="MS PGothic" w:cstheme="minorHAnsi"/>
          <w:szCs w:val="20"/>
          <w:lang w:val="sr-Cyrl-CS" w:eastAsia="ja-JP"/>
        </w:rPr>
        <w:t xml:space="preserve"> </w:t>
      </w:r>
      <w:r w:rsidRPr="00646254">
        <w:rPr>
          <w:rFonts w:eastAsia="MS PGothic" w:cstheme="minorHAnsi"/>
          <w:szCs w:val="20"/>
          <w:lang w:val="sr-Cyrl-CS" w:eastAsia="ja-JP"/>
        </w:rPr>
        <w:t xml:space="preserve">пакет мера подршке </w:t>
      </w:r>
      <w:r w:rsidR="00FC0170">
        <w:rPr>
          <w:rFonts w:eastAsia="MS PGothic" w:cstheme="minorHAnsi"/>
          <w:szCs w:val="20"/>
          <w:lang w:val="sr-Cyrl-CS" w:eastAsia="ja-JP"/>
        </w:rPr>
        <w:t xml:space="preserve"> </w:t>
      </w:r>
      <w:r w:rsidRPr="00646254">
        <w:rPr>
          <w:rFonts w:eastAsia="MS PGothic" w:cstheme="minorHAnsi"/>
          <w:szCs w:val="20"/>
          <w:lang w:val="sr-Cyrl-CS" w:eastAsia="ja-JP"/>
        </w:rPr>
        <w:t>привреди</w:t>
      </w:r>
      <w:r w:rsidR="00FC0170">
        <w:rPr>
          <w:rFonts w:eastAsia="MS PGothic" w:cstheme="minorHAnsi"/>
          <w:szCs w:val="20"/>
          <w:lang w:val="sr-Cyrl-CS" w:eastAsia="ja-JP"/>
        </w:rPr>
        <w:t xml:space="preserve"> </w:t>
      </w:r>
      <w:r w:rsidRPr="00646254">
        <w:rPr>
          <w:rFonts w:eastAsia="MS PGothic" w:cstheme="minorHAnsi"/>
          <w:szCs w:val="20"/>
          <w:lang w:val="sr-Cyrl-CS" w:eastAsia="ja-JP"/>
        </w:rPr>
        <w:t xml:space="preserve"> и становништву. </w:t>
      </w:r>
      <w:r w:rsidR="00FC0170">
        <w:rPr>
          <w:rFonts w:eastAsia="MS PGothic" w:cstheme="minorHAnsi"/>
          <w:szCs w:val="20"/>
          <w:lang w:val="sr-Cyrl-CS" w:eastAsia="ja-JP"/>
        </w:rPr>
        <w:t xml:space="preserve"> </w:t>
      </w:r>
      <w:r w:rsidRPr="00646254">
        <w:rPr>
          <w:rFonts w:eastAsia="MS PGothic" w:cstheme="minorHAnsi"/>
          <w:szCs w:val="20"/>
          <w:lang w:val="sr-Cyrl-CS" w:eastAsia="ja-JP"/>
        </w:rPr>
        <w:t>Како</w:t>
      </w:r>
      <w:r w:rsidR="00FC0170">
        <w:rPr>
          <w:rFonts w:eastAsia="MS PGothic" w:cstheme="minorHAnsi"/>
          <w:szCs w:val="20"/>
          <w:lang w:val="sr-Cyrl-CS" w:eastAsia="ja-JP"/>
        </w:rPr>
        <w:t xml:space="preserve"> </w:t>
      </w:r>
      <w:r w:rsidRPr="00646254">
        <w:rPr>
          <w:rFonts w:eastAsia="MS PGothic" w:cstheme="minorHAnsi"/>
          <w:szCs w:val="20"/>
          <w:lang w:val="sr-Cyrl-CS" w:eastAsia="ja-JP"/>
        </w:rPr>
        <w:t xml:space="preserve"> би</w:t>
      </w:r>
      <w:r w:rsidR="00FC0170">
        <w:rPr>
          <w:rFonts w:eastAsia="MS PGothic" w:cstheme="minorHAnsi"/>
          <w:szCs w:val="20"/>
          <w:lang w:val="sr-Cyrl-CS" w:eastAsia="ja-JP"/>
        </w:rPr>
        <w:t xml:space="preserve"> </w:t>
      </w:r>
      <w:r w:rsidRPr="00646254">
        <w:rPr>
          <w:rFonts w:eastAsia="MS PGothic" w:cstheme="minorHAnsi"/>
          <w:szCs w:val="20"/>
          <w:lang w:val="sr-Cyrl-CS" w:eastAsia="ja-JP"/>
        </w:rPr>
        <w:t xml:space="preserve"> се очували</w:t>
      </w:r>
      <w:r w:rsidR="00FC0170">
        <w:rPr>
          <w:rFonts w:eastAsia="MS PGothic" w:cstheme="minorHAnsi"/>
          <w:szCs w:val="20"/>
          <w:lang w:val="sr-Cyrl-CS" w:eastAsia="ja-JP"/>
        </w:rPr>
        <w:t xml:space="preserve"> </w:t>
      </w:r>
      <w:r w:rsidRPr="00646254">
        <w:rPr>
          <w:rFonts w:eastAsia="MS PGothic" w:cstheme="minorHAnsi"/>
          <w:szCs w:val="20"/>
          <w:lang w:val="sr-Cyrl-CS" w:eastAsia="ja-JP"/>
        </w:rPr>
        <w:t xml:space="preserve"> постигнути</w:t>
      </w:r>
      <w:r w:rsidR="00FC0170">
        <w:rPr>
          <w:rFonts w:eastAsia="MS PGothic" w:cstheme="minorHAnsi"/>
          <w:szCs w:val="20"/>
          <w:lang w:val="sr-Cyrl-CS" w:eastAsia="ja-JP"/>
        </w:rPr>
        <w:t xml:space="preserve"> </w:t>
      </w:r>
      <w:r w:rsidRPr="00646254">
        <w:rPr>
          <w:rFonts w:eastAsia="MS PGothic" w:cstheme="minorHAnsi"/>
          <w:szCs w:val="20"/>
          <w:lang w:val="sr-Cyrl-CS" w:eastAsia="ja-JP"/>
        </w:rPr>
        <w:t xml:space="preserve"> резултати </w:t>
      </w:r>
      <w:r w:rsidR="00FC0170">
        <w:rPr>
          <w:rFonts w:eastAsia="MS PGothic" w:cstheme="minorHAnsi"/>
          <w:szCs w:val="20"/>
          <w:lang w:val="sr-Cyrl-CS" w:eastAsia="ja-JP"/>
        </w:rPr>
        <w:t xml:space="preserve"> </w:t>
      </w:r>
      <w:r w:rsidRPr="00646254">
        <w:rPr>
          <w:rFonts w:eastAsia="MS PGothic" w:cstheme="minorHAnsi"/>
          <w:szCs w:val="20"/>
          <w:lang w:val="sr-Cyrl-CS" w:eastAsia="ja-JP"/>
        </w:rPr>
        <w:t>и</w:t>
      </w:r>
      <w:r w:rsidR="00FC0170">
        <w:rPr>
          <w:rFonts w:eastAsia="MS PGothic" w:cstheme="minorHAnsi"/>
          <w:szCs w:val="20"/>
          <w:lang w:val="sr-Cyrl-CS" w:eastAsia="ja-JP"/>
        </w:rPr>
        <w:t xml:space="preserve"> </w:t>
      </w:r>
      <w:r w:rsidRPr="00646254">
        <w:rPr>
          <w:rFonts w:eastAsia="MS PGothic" w:cstheme="minorHAnsi"/>
          <w:szCs w:val="20"/>
          <w:lang w:val="sr-Cyrl-CS" w:eastAsia="ja-JP"/>
        </w:rPr>
        <w:t xml:space="preserve"> достигли пројектовани циљеви опоравка економске активности у 2021. години, неопходно је било издвојит</w:t>
      </w:r>
      <w:r w:rsidR="00076F3A" w:rsidRPr="00646254">
        <w:rPr>
          <w:rFonts w:eastAsia="MS PGothic" w:cstheme="minorHAnsi"/>
          <w:szCs w:val="20"/>
          <w:lang w:val="sr-Cyrl-CS" w:eastAsia="ja-JP"/>
        </w:rPr>
        <w:t xml:space="preserve">и додатна средства подршке, са </w:t>
      </w:r>
      <w:r w:rsidRPr="00646254">
        <w:rPr>
          <w:rFonts w:eastAsia="MS PGothic" w:cstheme="minorHAnsi"/>
          <w:szCs w:val="20"/>
          <w:lang w:val="sr-Cyrl-CS" w:eastAsia="ja-JP"/>
        </w:rPr>
        <w:t>акцентом на оне делатности које су диспропорционално погођене продуженом применом епидемиолошких мера. Већа издвајања предвиђена су и у виду помоћи најугроженијим категоријама становништва. Пакет мера помоћи је у одређеној мери модификован након реализације током првог и другог квартала текуће године, при чему је износ директне помоћи становишту оснажен додатним средствима.</w:t>
      </w:r>
    </w:p>
    <w:p w14:paraId="39ACB3EF" w14:textId="77777777" w:rsidR="001A5BCF" w:rsidRPr="00646254" w:rsidRDefault="001A5BCF" w:rsidP="001A5BCF">
      <w:pPr>
        <w:spacing w:after="240"/>
        <w:rPr>
          <w:rFonts w:eastAsia="MS PGothic" w:cstheme="minorHAnsi"/>
          <w:szCs w:val="20"/>
          <w:lang w:val="sr-Cyrl-CS" w:eastAsia="ja-JP"/>
        </w:rPr>
      </w:pPr>
      <w:r w:rsidRPr="00646254">
        <w:rPr>
          <w:rFonts w:eastAsia="MS PGothic" w:cstheme="minorHAnsi"/>
          <w:szCs w:val="20"/>
          <w:lang w:val="sr-Cyrl-CS" w:eastAsia="ja-JP"/>
        </w:rPr>
        <w:t>Пакет мера у 2021. години предвиђен је у обиму од 4,2% БДП. Утицај пакета мера на фискални резултат у 2021. години процењен је на 2,3% БДП. Директна помоћ привреди у циљу очувања радних места, у висини половине минималне зараде, у трајању од три месеца, обезбеђена је свим предузећима која су исказала интересовање, уз услов да не смање број запослених за више од 10% три месеца након истека примања помоћи. Поред опште помоћи привреди предвиђена је и додатна помоћ посебно угроженим секторима (угоститељство, транспорт – аутобуски превоз, одређени сегмент хотелијерства, туристички сектор). Поред директне помоћи обезбеђена су и средства за додатну ликвидност привреди у износу од 500 милиона евра, те дужи рок за коришћење овог облика помоћи. У циљу стимулисања агрегатне тражње и убрзања опоравка производних, али и услужних делатности, након попуштања епидемиолошких мера, као и претходне године, предвиђена је исплата новчане помоћи свим пунолетним грађанима. Додатни подстицај у односу на општу помоћ добили су и вакцинисани грађани старији од 16 година.</w:t>
      </w:r>
    </w:p>
    <w:p w14:paraId="317FB81C" w14:textId="77777777" w:rsidR="001A5BCF" w:rsidRPr="00646254" w:rsidRDefault="001A5BCF" w:rsidP="008265F0">
      <w:pPr>
        <w:rPr>
          <w:rFonts w:eastAsia="MS PGothic" w:cstheme="minorHAnsi"/>
          <w:szCs w:val="20"/>
          <w:lang w:val="sr-Cyrl-CS" w:eastAsia="ja-JP"/>
        </w:rPr>
        <w:sectPr w:rsidR="001A5BCF" w:rsidRPr="00646254" w:rsidSect="00AE40EB">
          <w:type w:val="continuous"/>
          <w:pgSz w:w="12240" w:h="15840" w:code="1"/>
          <w:pgMar w:top="1440" w:right="1440" w:bottom="1440" w:left="1440" w:header="720" w:footer="720" w:gutter="0"/>
          <w:cols w:num="2" w:space="720"/>
          <w:docGrid w:linePitch="360"/>
        </w:sectPr>
      </w:pPr>
    </w:p>
    <w:p w14:paraId="64BF1FF2" w14:textId="77777777" w:rsidR="001A5BCF" w:rsidRPr="00646254" w:rsidRDefault="001A5BCF" w:rsidP="00E96A1D">
      <w:pPr>
        <w:tabs>
          <w:tab w:val="left" w:pos="993"/>
        </w:tabs>
        <w:spacing w:after="0"/>
        <w:jc w:val="center"/>
        <w:rPr>
          <w:rFonts w:cstheme="minorHAnsi"/>
          <w:b/>
          <w:color w:val="002060"/>
          <w:lang w:val="sr-Cyrl-CS"/>
        </w:rPr>
      </w:pPr>
      <w:r w:rsidRPr="00646254">
        <w:rPr>
          <w:rFonts w:cstheme="minorHAnsi"/>
          <w:b/>
          <w:color w:val="002060"/>
          <w:lang w:val="sr-Cyrl-CS"/>
        </w:rPr>
        <w:t xml:space="preserve">Табела 6. </w:t>
      </w:r>
      <w:r w:rsidRPr="00646254">
        <w:rPr>
          <w:rFonts w:ascii="Times New Roman" w:hAnsi="Times New Roman" w:cs="Times New Roman"/>
          <w:b/>
          <w:sz w:val="24"/>
          <w:szCs w:val="24"/>
          <w:lang w:val="sr-Cyrl-CS"/>
        </w:rPr>
        <w:fldChar w:fldCharType="begin"/>
      </w:r>
      <w:r w:rsidRPr="00646254">
        <w:rPr>
          <w:rFonts w:ascii="Times New Roman" w:hAnsi="Times New Roman" w:cs="Times New Roman"/>
          <w:b/>
          <w:sz w:val="24"/>
          <w:szCs w:val="24"/>
          <w:lang w:val="sr-Cyrl-CS"/>
        </w:rPr>
        <w:instrText xml:space="preserve"> LINK Excel.Sheet.12 "C:\\Users\\ljubica.matic\\AppData\\Local\\Microsoft\\Windows\\Temporary Internet Files\\Content.Outlook\\65ACNDVM\\COVID-19 mere srp eng.xlsx" "srp!R1C3:R25C7" \a \f 4 \h  \* MERGEFORMAT </w:instrText>
      </w:r>
      <w:r w:rsidRPr="00646254">
        <w:rPr>
          <w:rFonts w:ascii="Times New Roman" w:hAnsi="Times New Roman" w:cs="Times New Roman"/>
          <w:b/>
          <w:sz w:val="24"/>
          <w:szCs w:val="24"/>
          <w:lang w:val="sr-Cyrl-CS"/>
        </w:rPr>
        <w:fldChar w:fldCharType="separate"/>
      </w:r>
      <w:r w:rsidRPr="00646254">
        <w:rPr>
          <w:rFonts w:cstheme="minorHAnsi"/>
          <w:b/>
          <w:color w:val="002060"/>
          <w:lang w:val="sr-Cyrl-CS"/>
        </w:rPr>
        <w:t>Преглед пакета мера за подршку привреди и становништву у 2021. години</w:t>
      </w:r>
    </w:p>
    <w:tbl>
      <w:tblPr>
        <w:tblStyle w:val="GridTable6Colorful-Accent1"/>
        <w:tblpPr w:leftFromText="180" w:rightFromText="180" w:vertAnchor="text" w:horzAnchor="margin" w:tblpY="253"/>
        <w:tblW w:w="9501" w:type="dxa"/>
        <w:tblBorders>
          <w:top w:val="single" w:sz="4" w:space="0" w:color="002060"/>
          <w:left w:val="none" w:sz="0" w:space="0" w:color="auto"/>
          <w:bottom w:val="single" w:sz="4" w:space="0" w:color="002060"/>
          <w:right w:val="none" w:sz="0" w:space="0" w:color="auto"/>
          <w:insideH w:val="none" w:sz="0" w:space="0" w:color="auto"/>
          <w:insideV w:val="none" w:sz="0" w:space="0" w:color="auto"/>
        </w:tblBorders>
        <w:tblLayout w:type="fixed"/>
        <w:tblLook w:val="04A0" w:firstRow="1" w:lastRow="0" w:firstColumn="1" w:lastColumn="0" w:noHBand="0" w:noVBand="1"/>
      </w:tblPr>
      <w:tblGrid>
        <w:gridCol w:w="7804"/>
        <w:gridCol w:w="848"/>
        <w:gridCol w:w="849"/>
      </w:tblGrid>
      <w:tr w:rsidR="001A5BCF" w:rsidRPr="00646254" w14:paraId="34F2C158" w14:textId="77777777" w:rsidTr="00B97B32">
        <w:trPr>
          <w:cnfStyle w:val="100000000000" w:firstRow="1" w:lastRow="0" w:firstColumn="0" w:lastColumn="0" w:oddVBand="0" w:evenVBand="0" w:oddHBand="0" w:evenHBand="0" w:firstRowFirstColumn="0" w:firstRowLastColumn="0" w:lastRowFirstColumn="0" w:lastRowLastColumn="0"/>
          <w:trHeight w:hRule="exact" w:val="284"/>
        </w:trPr>
        <w:tc>
          <w:tcPr>
            <w:cnfStyle w:val="001000000000" w:firstRow="0" w:lastRow="0" w:firstColumn="1" w:lastColumn="0" w:oddVBand="0" w:evenVBand="0" w:oddHBand="0" w:evenHBand="0" w:firstRowFirstColumn="0" w:firstRowLastColumn="0" w:lastRowFirstColumn="0" w:lastRowLastColumn="0"/>
            <w:tcW w:w="7804" w:type="dxa"/>
            <w:vMerge w:val="restart"/>
            <w:tcBorders>
              <w:top w:val="single" w:sz="4" w:space="0" w:color="002060"/>
              <w:bottom w:val="single" w:sz="4" w:space="0" w:color="002060"/>
            </w:tcBorders>
            <w:noWrap/>
            <w:vAlign w:val="center"/>
            <w:hideMark/>
          </w:tcPr>
          <w:p w14:paraId="1339755D" w14:textId="77777777" w:rsidR="001A5BCF" w:rsidRPr="00646254" w:rsidRDefault="001A5BCF" w:rsidP="00B97B32">
            <w:pPr>
              <w:keepNext/>
              <w:tabs>
                <w:tab w:val="center" w:pos="3794"/>
                <w:tab w:val="left" w:pos="4425"/>
                <w:tab w:val="right" w:pos="7588"/>
              </w:tabs>
              <w:spacing w:line="259" w:lineRule="auto"/>
              <w:jc w:val="center"/>
              <w:rPr>
                <w:rFonts w:eastAsiaTheme="minorEastAsia"/>
                <w:b w:val="0"/>
                <w:bCs w:val="0"/>
                <w:color w:val="002060"/>
                <w:sz w:val="18"/>
                <w:szCs w:val="18"/>
                <w:lang w:val="sr-Cyrl-CS"/>
              </w:rPr>
            </w:pPr>
            <w:r w:rsidRPr="00646254">
              <w:rPr>
                <w:rFonts w:eastAsiaTheme="minorEastAsia"/>
                <w:b w:val="0"/>
                <w:bCs w:val="0"/>
                <w:color w:val="002060"/>
                <w:sz w:val="18"/>
                <w:szCs w:val="18"/>
                <w:lang w:val="sr-Cyrl-CS"/>
              </w:rPr>
              <w:t>2021</w:t>
            </w:r>
          </w:p>
        </w:tc>
        <w:tc>
          <w:tcPr>
            <w:tcW w:w="1697" w:type="dxa"/>
            <w:gridSpan w:val="2"/>
            <w:tcBorders>
              <w:top w:val="single" w:sz="4" w:space="0" w:color="002060"/>
              <w:bottom w:val="single" w:sz="4" w:space="0" w:color="002060"/>
            </w:tcBorders>
            <w:hideMark/>
          </w:tcPr>
          <w:p w14:paraId="1E581A39" w14:textId="77777777" w:rsidR="001A5BCF" w:rsidRPr="00646254" w:rsidRDefault="001A5BCF" w:rsidP="00B97B32">
            <w:pPr>
              <w:keepNext/>
              <w:spacing w:after="160" w:line="259" w:lineRule="auto"/>
              <w:jc w:val="center"/>
              <w:cnfStyle w:val="100000000000" w:firstRow="1" w:lastRow="0" w:firstColumn="0" w:lastColumn="0" w:oddVBand="0" w:evenVBand="0" w:oddHBand="0" w:evenHBand="0" w:firstRowFirstColumn="0" w:firstRowLastColumn="0" w:lastRowFirstColumn="0" w:lastRowLastColumn="0"/>
              <w:rPr>
                <w:rFonts w:eastAsiaTheme="minorEastAsia"/>
                <w:bCs w:val="0"/>
                <w:color w:val="002060"/>
                <w:sz w:val="18"/>
                <w:szCs w:val="18"/>
                <w:lang w:val="sr-Cyrl-CS"/>
              </w:rPr>
            </w:pPr>
            <w:r w:rsidRPr="00646254">
              <w:rPr>
                <w:rFonts w:eastAsiaTheme="minorEastAsia"/>
                <w:b w:val="0"/>
                <w:bCs w:val="0"/>
                <w:color w:val="002060"/>
                <w:sz w:val="18"/>
                <w:szCs w:val="18"/>
                <w:lang w:val="sr-Cyrl-CS"/>
              </w:rPr>
              <w:t>План</w:t>
            </w:r>
          </w:p>
        </w:tc>
      </w:tr>
      <w:tr w:rsidR="001A5BCF" w:rsidRPr="00646254" w14:paraId="7299B591" w14:textId="77777777" w:rsidTr="00B97B32">
        <w:trPr>
          <w:cnfStyle w:val="000000100000" w:firstRow="0" w:lastRow="0" w:firstColumn="0" w:lastColumn="0" w:oddVBand="0" w:evenVBand="0" w:oddHBand="1" w:evenHBand="0" w:firstRowFirstColumn="0" w:firstRowLastColumn="0" w:lastRowFirstColumn="0" w:lastRowLastColumn="0"/>
          <w:trHeight w:hRule="exact" w:val="284"/>
        </w:trPr>
        <w:tc>
          <w:tcPr>
            <w:cnfStyle w:val="001000000000" w:firstRow="0" w:lastRow="0" w:firstColumn="1" w:lastColumn="0" w:oddVBand="0" w:evenVBand="0" w:oddHBand="0" w:evenHBand="0" w:firstRowFirstColumn="0" w:firstRowLastColumn="0" w:lastRowFirstColumn="0" w:lastRowLastColumn="0"/>
            <w:tcW w:w="7804" w:type="dxa"/>
            <w:vMerge/>
            <w:tcBorders>
              <w:top w:val="single" w:sz="4" w:space="0" w:color="002060"/>
              <w:bottom w:val="single" w:sz="4" w:space="0" w:color="002060"/>
            </w:tcBorders>
            <w:noWrap/>
            <w:hideMark/>
          </w:tcPr>
          <w:p w14:paraId="5FF00F21" w14:textId="77777777" w:rsidR="001A5BCF" w:rsidRPr="00646254" w:rsidRDefault="001A5BCF" w:rsidP="00B97B32">
            <w:pPr>
              <w:keepNext/>
              <w:spacing w:after="160" w:line="259" w:lineRule="auto"/>
              <w:rPr>
                <w:rFonts w:eastAsiaTheme="minorEastAsia"/>
                <w:bCs w:val="0"/>
                <w:color w:val="002060"/>
                <w:sz w:val="18"/>
                <w:szCs w:val="18"/>
                <w:lang w:val="sr-Cyrl-CS"/>
              </w:rPr>
            </w:pPr>
          </w:p>
        </w:tc>
        <w:tc>
          <w:tcPr>
            <w:tcW w:w="848" w:type="dxa"/>
            <w:tcBorders>
              <w:top w:val="single" w:sz="4" w:space="0" w:color="002060"/>
              <w:bottom w:val="single" w:sz="4" w:space="0" w:color="002060"/>
            </w:tcBorders>
            <w:shd w:val="clear" w:color="auto" w:fill="auto"/>
            <w:noWrap/>
            <w:hideMark/>
          </w:tcPr>
          <w:p w14:paraId="17814DBE" w14:textId="77777777" w:rsidR="001A5BCF" w:rsidRPr="00646254" w:rsidRDefault="001A5BCF" w:rsidP="00B97B32">
            <w:pPr>
              <w:keepNext/>
              <w:spacing w:after="160" w:line="259" w:lineRule="auto"/>
              <w:jc w:val="center"/>
              <w:cnfStyle w:val="000000100000" w:firstRow="0" w:lastRow="0" w:firstColumn="0" w:lastColumn="0" w:oddVBand="0" w:evenVBand="0" w:oddHBand="1" w:evenHBand="0" w:firstRowFirstColumn="0" w:firstRowLastColumn="0" w:lastRowFirstColumn="0" w:lastRowLastColumn="0"/>
              <w:rPr>
                <w:rFonts w:eastAsiaTheme="minorEastAsia"/>
                <w:bCs/>
                <w:color w:val="002060"/>
                <w:sz w:val="18"/>
                <w:szCs w:val="18"/>
                <w:lang w:val="sr-Cyrl-CS"/>
              </w:rPr>
            </w:pPr>
            <w:r w:rsidRPr="00646254">
              <w:rPr>
                <w:rFonts w:eastAsiaTheme="minorEastAsia"/>
                <w:bCs/>
                <w:color w:val="002060"/>
                <w:sz w:val="18"/>
                <w:szCs w:val="18"/>
                <w:lang w:val="sr-Cyrl-CS"/>
              </w:rPr>
              <w:t>у млрд дин.</w:t>
            </w:r>
          </w:p>
        </w:tc>
        <w:tc>
          <w:tcPr>
            <w:tcW w:w="849" w:type="dxa"/>
            <w:tcBorders>
              <w:top w:val="single" w:sz="4" w:space="0" w:color="002060"/>
              <w:bottom w:val="single" w:sz="4" w:space="0" w:color="002060"/>
            </w:tcBorders>
            <w:shd w:val="clear" w:color="auto" w:fill="auto"/>
            <w:noWrap/>
            <w:hideMark/>
          </w:tcPr>
          <w:p w14:paraId="569022F3" w14:textId="77777777" w:rsidR="001A5BCF" w:rsidRPr="00646254" w:rsidRDefault="001A5BCF" w:rsidP="00B97B32">
            <w:pPr>
              <w:keepNext/>
              <w:spacing w:after="160" w:line="259" w:lineRule="auto"/>
              <w:jc w:val="center"/>
              <w:cnfStyle w:val="000000100000" w:firstRow="0" w:lastRow="0" w:firstColumn="0" w:lastColumn="0" w:oddVBand="0" w:evenVBand="0" w:oddHBand="1" w:evenHBand="0" w:firstRowFirstColumn="0" w:firstRowLastColumn="0" w:lastRowFirstColumn="0" w:lastRowLastColumn="0"/>
              <w:rPr>
                <w:rFonts w:eastAsiaTheme="minorEastAsia"/>
                <w:bCs/>
                <w:color w:val="002060"/>
                <w:sz w:val="18"/>
                <w:szCs w:val="18"/>
                <w:lang w:val="sr-Cyrl-CS"/>
              </w:rPr>
            </w:pPr>
            <w:r w:rsidRPr="00646254">
              <w:rPr>
                <w:rFonts w:eastAsiaTheme="minorEastAsia"/>
                <w:bCs/>
                <w:color w:val="002060"/>
                <w:sz w:val="18"/>
                <w:szCs w:val="18"/>
                <w:lang w:val="sr-Cyrl-CS"/>
              </w:rPr>
              <w:t>у % БДП</w:t>
            </w:r>
          </w:p>
        </w:tc>
      </w:tr>
      <w:tr w:rsidR="001A5BCF" w:rsidRPr="00646254" w14:paraId="2A0A3394" w14:textId="77777777" w:rsidTr="00B97B32">
        <w:trPr>
          <w:trHeight w:hRule="exact" w:val="284"/>
        </w:trPr>
        <w:tc>
          <w:tcPr>
            <w:cnfStyle w:val="001000000000" w:firstRow="0" w:lastRow="0" w:firstColumn="1" w:lastColumn="0" w:oddVBand="0" w:evenVBand="0" w:oddHBand="0" w:evenHBand="0" w:firstRowFirstColumn="0" w:firstRowLastColumn="0" w:lastRowFirstColumn="0" w:lastRowLastColumn="0"/>
            <w:tcW w:w="7804" w:type="dxa"/>
            <w:tcBorders>
              <w:top w:val="single" w:sz="4" w:space="0" w:color="002060"/>
              <w:bottom w:val="nil"/>
            </w:tcBorders>
            <w:shd w:val="clear" w:color="auto" w:fill="auto"/>
            <w:noWrap/>
            <w:hideMark/>
          </w:tcPr>
          <w:p w14:paraId="0DD76E18" w14:textId="77777777" w:rsidR="001A5BCF" w:rsidRPr="00646254" w:rsidRDefault="001A5BCF" w:rsidP="00B97B32">
            <w:pPr>
              <w:keepNext/>
              <w:spacing w:after="160" w:line="259" w:lineRule="auto"/>
              <w:rPr>
                <w:rFonts w:eastAsiaTheme="minorEastAsia"/>
                <w:bCs w:val="0"/>
                <w:color w:val="002060"/>
                <w:sz w:val="18"/>
                <w:szCs w:val="18"/>
                <w:lang w:val="sr-Cyrl-CS"/>
              </w:rPr>
            </w:pPr>
            <w:r w:rsidRPr="00646254">
              <w:rPr>
                <w:rFonts w:eastAsiaTheme="minorEastAsia"/>
                <w:b w:val="0"/>
                <w:bCs w:val="0"/>
                <w:color w:val="002060"/>
                <w:sz w:val="18"/>
                <w:szCs w:val="18"/>
                <w:lang w:val="sr-Cyrl-CS"/>
              </w:rPr>
              <w:t>Директна подршка приватном сектору</w:t>
            </w:r>
          </w:p>
        </w:tc>
        <w:tc>
          <w:tcPr>
            <w:tcW w:w="848" w:type="dxa"/>
            <w:tcBorders>
              <w:top w:val="single" w:sz="4" w:space="0" w:color="002060"/>
              <w:bottom w:val="nil"/>
            </w:tcBorders>
            <w:shd w:val="clear" w:color="auto" w:fill="auto"/>
            <w:noWrap/>
            <w:hideMark/>
          </w:tcPr>
          <w:p w14:paraId="1CA75049" w14:textId="77777777" w:rsidR="001A5BCF" w:rsidRPr="00646254" w:rsidRDefault="001A5BCF" w:rsidP="00B97B32">
            <w:pPr>
              <w:keepNext/>
              <w:spacing w:after="160" w:line="259" w:lineRule="auto"/>
              <w:jc w:val="right"/>
              <w:cnfStyle w:val="000000000000" w:firstRow="0" w:lastRow="0" w:firstColumn="0" w:lastColumn="0" w:oddVBand="0" w:evenVBand="0" w:oddHBand="0" w:evenHBand="0" w:firstRowFirstColumn="0" w:firstRowLastColumn="0" w:lastRowFirstColumn="0" w:lastRowLastColumn="0"/>
              <w:rPr>
                <w:rFonts w:eastAsiaTheme="minorEastAsia"/>
                <w:bCs/>
                <w:color w:val="002060"/>
                <w:sz w:val="18"/>
                <w:szCs w:val="18"/>
                <w:lang w:val="sr-Cyrl-CS"/>
              </w:rPr>
            </w:pPr>
            <w:r w:rsidRPr="00646254">
              <w:rPr>
                <w:rFonts w:eastAsiaTheme="minorEastAsia"/>
                <w:bCs/>
                <w:color w:val="002060"/>
                <w:sz w:val="18"/>
                <w:szCs w:val="18"/>
                <w:lang w:val="sr-Cyrl-CS"/>
              </w:rPr>
              <w:t> </w:t>
            </w:r>
          </w:p>
        </w:tc>
        <w:tc>
          <w:tcPr>
            <w:tcW w:w="849" w:type="dxa"/>
            <w:tcBorders>
              <w:top w:val="single" w:sz="4" w:space="0" w:color="002060"/>
              <w:bottom w:val="nil"/>
            </w:tcBorders>
            <w:shd w:val="clear" w:color="auto" w:fill="auto"/>
            <w:noWrap/>
            <w:hideMark/>
          </w:tcPr>
          <w:p w14:paraId="59BFB185" w14:textId="77777777" w:rsidR="001A5BCF" w:rsidRPr="00646254" w:rsidRDefault="001A5BCF" w:rsidP="00B97B32">
            <w:pPr>
              <w:keepNext/>
              <w:spacing w:after="160" w:line="259" w:lineRule="auto"/>
              <w:jc w:val="right"/>
              <w:cnfStyle w:val="000000000000" w:firstRow="0" w:lastRow="0" w:firstColumn="0" w:lastColumn="0" w:oddVBand="0" w:evenVBand="0" w:oddHBand="0" w:evenHBand="0" w:firstRowFirstColumn="0" w:firstRowLastColumn="0" w:lastRowFirstColumn="0" w:lastRowLastColumn="0"/>
              <w:rPr>
                <w:rFonts w:eastAsiaTheme="minorEastAsia"/>
                <w:bCs/>
                <w:color w:val="002060"/>
                <w:sz w:val="18"/>
                <w:szCs w:val="18"/>
                <w:lang w:val="sr-Cyrl-CS"/>
              </w:rPr>
            </w:pPr>
            <w:r w:rsidRPr="00646254">
              <w:rPr>
                <w:rFonts w:eastAsiaTheme="minorEastAsia"/>
                <w:bCs/>
                <w:color w:val="002060"/>
                <w:sz w:val="18"/>
                <w:szCs w:val="18"/>
                <w:lang w:val="sr-Cyrl-CS"/>
              </w:rPr>
              <w:t> </w:t>
            </w:r>
          </w:p>
        </w:tc>
      </w:tr>
      <w:tr w:rsidR="001A5BCF" w:rsidRPr="00646254" w14:paraId="7D283C2A" w14:textId="77777777" w:rsidTr="00B97B32">
        <w:trPr>
          <w:cnfStyle w:val="000000100000" w:firstRow="0" w:lastRow="0" w:firstColumn="0" w:lastColumn="0" w:oddVBand="0" w:evenVBand="0" w:oddHBand="1" w:evenHBand="0" w:firstRowFirstColumn="0" w:firstRowLastColumn="0" w:lastRowFirstColumn="0" w:lastRowLastColumn="0"/>
          <w:trHeight w:hRule="exact" w:val="510"/>
        </w:trPr>
        <w:tc>
          <w:tcPr>
            <w:cnfStyle w:val="001000000000" w:firstRow="0" w:lastRow="0" w:firstColumn="1" w:lastColumn="0" w:oddVBand="0" w:evenVBand="0" w:oddHBand="0" w:evenHBand="0" w:firstRowFirstColumn="0" w:firstRowLastColumn="0" w:lastRowFirstColumn="0" w:lastRowLastColumn="0"/>
            <w:tcW w:w="7804" w:type="dxa"/>
            <w:tcBorders>
              <w:top w:val="nil"/>
              <w:bottom w:val="nil"/>
            </w:tcBorders>
            <w:shd w:val="clear" w:color="auto" w:fill="auto"/>
            <w:hideMark/>
          </w:tcPr>
          <w:p w14:paraId="64697CB2" w14:textId="77777777" w:rsidR="001A5BCF" w:rsidRPr="00646254" w:rsidRDefault="001A5BCF" w:rsidP="00B97B32">
            <w:pPr>
              <w:keepNext/>
              <w:spacing w:after="160" w:line="259" w:lineRule="auto"/>
              <w:rPr>
                <w:rFonts w:eastAsiaTheme="minorEastAsia"/>
                <w:bCs w:val="0"/>
                <w:color w:val="002060"/>
                <w:sz w:val="18"/>
                <w:szCs w:val="18"/>
                <w:lang w:val="sr-Cyrl-CS"/>
              </w:rPr>
            </w:pPr>
            <w:r w:rsidRPr="00646254">
              <w:rPr>
                <w:rFonts w:eastAsiaTheme="minorEastAsia"/>
                <w:b w:val="0"/>
                <w:bCs w:val="0"/>
                <w:color w:val="002060"/>
                <w:sz w:val="18"/>
                <w:szCs w:val="18"/>
                <w:lang w:val="sr-Cyrl-CS"/>
              </w:rPr>
              <w:t>Директна подршка приватном сектору - 3 месеца 50% минималне зараде свим предузетницима, микро, малим, средњим и великим предузећима</w:t>
            </w:r>
          </w:p>
        </w:tc>
        <w:tc>
          <w:tcPr>
            <w:tcW w:w="848" w:type="dxa"/>
            <w:tcBorders>
              <w:top w:val="nil"/>
              <w:bottom w:val="nil"/>
            </w:tcBorders>
            <w:shd w:val="clear" w:color="auto" w:fill="auto"/>
            <w:noWrap/>
            <w:hideMark/>
          </w:tcPr>
          <w:p w14:paraId="3DE1A0E4" w14:textId="77777777" w:rsidR="001A5BCF" w:rsidRPr="00646254" w:rsidRDefault="001A5BCF" w:rsidP="00B97B32">
            <w:pPr>
              <w:keepNext/>
              <w:spacing w:after="160" w:line="259" w:lineRule="auto"/>
              <w:jc w:val="right"/>
              <w:cnfStyle w:val="000000100000" w:firstRow="0" w:lastRow="0" w:firstColumn="0" w:lastColumn="0" w:oddVBand="0" w:evenVBand="0" w:oddHBand="1" w:evenHBand="0" w:firstRowFirstColumn="0" w:firstRowLastColumn="0" w:lastRowFirstColumn="0" w:lastRowLastColumn="0"/>
              <w:rPr>
                <w:rFonts w:eastAsiaTheme="minorEastAsia"/>
                <w:bCs/>
                <w:color w:val="002060"/>
                <w:sz w:val="18"/>
                <w:szCs w:val="18"/>
                <w:lang w:val="sr-Cyrl-CS"/>
              </w:rPr>
            </w:pPr>
            <w:r w:rsidRPr="00646254">
              <w:rPr>
                <w:rFonts w:eastAsiaTheme="minorEastAsia"/>
                <w:bCs/>
                <w:color w:val="002060"/>
                <w:sz w:val="18"/>
                <w:szCs w:val="18"/>
                <w:lang w:val="sr-Cyrl-CS"/>
              </w:rPr>
              <w:t>52</w:t>
            </w:r>
          </w:p>
        </w:tc>
        <w:tc>
          <w:tcPr>
            <w:tcW w:w="849" w:type="dxa"/>
            <w:tcBorders>
              <w:top w:val="nil"/>
              <w:bottom w:val="nil"/>
            </w:tcBorders>
            <w:shd w:val="clear" w:color="auto" w:fill="auto"/>
            <w:noWrap/>
            <w:hideMark/>
          </w:tcPr>
          <w:p w14:paraId="13E617B5" w14:textId="77777777" w:rsidR="001A5BCF" w:rsidRPr="00646254" w:rsidRDefault="001A5BCF" w:rsidP="00B97B32">
            <w:pPr>
              <w:keepNext/>
              <w:spacing w:after="160" w:line="259" w:lineRule="auto"/>
              <w:jc w:val="right"/>
              <w:cnfStyle w:val="000000100000" w:firstRow="0" w:lastRow="0" w:firstColumn="0" w:lastColumn="0" w:oddVBand="0" w:evenVBand="0" w:oddHBand="1" w:evenHBand="0" w:firstRowFirstColumn="0" w:firstRowLastColumn="0" w:lastRowFirstColumn="0" w:lastRowLastColumn="0"/>
              <w:rPr>
                <w:rFonts w:eastAsiaTheme="minorEastAsia"/>
                <w:bCs/>
                <w:color w:val="002060"/>
                <w:sz w:val="18"/>
                <w:szCs w:val="18"/>
                <w:lang w:val="sr-Cyrl-CS"/>
              </w:rPr>
            </w:pPr>
            <w:r w:rsidRPr="00646254">
              <w:rPr>
                <w:rFonts w:eastAsiaTheme="minorEastAsia"/>
                <w:bCs/>
                <w:color w:val="002060"/>
                <w:sz w:val="18"/>
                <w:szCs w:val="18"/>
                <w:lang w:val="sr-Cyrl-CS"/>
              </w:rPr>
              <w:t>0.8</w:t>
            </w:r>
          </w:p>
        </w:tc>
      </w:tr>
      <w:tr w:rsidR="001A5BCF" w:rsidRPr="00646254" w14:paraId="36784480" w14:textId="77777777" w:rsidTr="00B97B32">
        <w:trPr>
          <w:trHeight w:hRule="exact" w:val="284"/>
        </w:trPr>
        <w:tc>
          <w:tcPr>
            <w:cnfStyle w:val="001000000000" w:firstRow="0" w:lastRow="0" w:firstColumn="1" w:lastColumn="0" w:oddVBand="0" w:evenVBand="0" w:oddHBand="0" w:evenHBand="0" w:firstRowFirstColumn="0" w:firstRowLastColumn="0" w:lastRowFirstColumn="0" w:lastRowLastColumn="0"/>
            <w:tcW w:w="7804" w:type="dxa"/>
            <w:tcBorders>
              <w:top w:val="nil"/>
              <w:bottom w:val="nil"/>
            </w:tcBorders>
            <w:shd w:val="clear" w:color="auto" w:fill="auto"/>
            <w:hideMark/>
          </w:tcPr>
          <w:p w14:paraId="0B99070E" w14:textId="77777777" w:rsidR="001A5BCF" w:rsidRPr="00646254" w:rsidRDefault="001A5BCF" w:rsidP="00B97B32">
            <w:pPr>
              <w:keepNext/>
              <w:spacing w:after="160" w:line="259" w:lineRule="auto"/>
              <w:rPr>
                <w:rFonts w:eastAsiaTheme="minorEastAsia"/>
                <w:bCs w:val="0"/>
                <w:color w:val="002060"/>
                <w:sz w:val="18"/>
                <w:szCs w:val="18"/>
                <w:lang w:val="sr-Cyrl-CS"/>
              </w:rPr>
            </w:pPr>
            <w:r w:rsidRPr="00646254">
              <w:rPr>
                <w:rFonts w:eastAsiaTheme="minorEastAsia"/>
                <w:b w:val="0"/>
                <w:bCs w:val="0"/>
                <w:color w:val="002060"/>
                <w:sz w:val="18"/>
                <w:szCs w:val="18"/>
                <w:lang w:val="sr-Cyrl-CS"/>
              </w:rPr>
              <w:t>Директна помоћ хотелима у градским срединама</w:t>
            </w:r>
          </w:p>
        </w:tc>
        <w:tc>
          <w:tcPr>
            <w:tcW w:w="848" w:type="dxa"/>
            <w:tcBorders>
              <w:top w:val="nil"/>
              <w:bottom w:val="nil"/>
            </w:tcBorders>
            <w:shd w:val="clear" w:color="auto" w:fill="auto"/>
            <w:noWrap/>
            <w:hideMark/>
          </w:tcPr>
          <w:p w14:paraId="08B057DD" w14:textId="77777777" w:rsidR="001A5BCF" w:rsidRPr="00646254" w:rsidRDefault="001A5BCF" w:rsidP="00B97B32">
            <w:pPr>
              <w:keepNext/>
              <w:spacing w:after="160" w:line="259" w:lineRule="auto"/>
              <w:jc w:val="right"/>
              <w:cnfStyle w:val="000000000000" w:firstRow="0" w:lastRow="0" w:firstColumn="0" w:lastColumn="0" w:oddVBand="0" w:evenVBand="0" w:oddHBand="0" w:evenHBand="0" w:firstRowFirstColumn="0" w:firstRowLastColumn="0" w:lastRowFirstColumn="0" w:lastRowLastColumn="0"/>
              <w:rPr>
                <w:rFonts w:eastAsiaTheme="minorEastAsia"/>
                <w:bCs/>
                <w:color w:val="002060"/>
                <w:sz w:val="18"/>
                <w:szCs w:val="18"/>
                <w:lang w:val="sr-Cyrl-CS"/>
              </w:rPr>
            </w:pPr>
            <w:r w:rsidRPr="00646254">
              <w:rPr>
                <w:rFonts w:eastAsiaTheme="minorEastAsia"/>
                <w:bCs/>
                <w:color w:val="002060"/>
                <w:sz w:val="18"/>
                <w:szCs w:val="18"/>
                <w:lang w:val="sr-Cyrl-CS"/>
              </w:rPr>
              <w:t>1,2</w:t>
            </w:r>
          </w:p>
        </w:tc>
        <w:tc>
          <w:tcPr>
            <w:tcW w:w="849" w:type="dxa"/>
            <w:tcBorders>
              <w:top w:val="nil"/>
              <w:bottom w:val="nil"/>
            </w:tcBorders>
            <w:shd w:val="clear" w:color="auto" w:fill="auto"/>
            <w:noWrap/>
            <w:hideMark/>
          </w:tcPr>
          <w:p w14:paraId="70278077" w14:textId="77777777" w:rsidR="001A5BCF" w:rsidRPr="00646254" w:rsidRDefault="001A5BCF" w:rsidP="00B97B32">
            <w:pPr>
              <w:keepNext/>
              <w:spacing w:after="160" w:line="259" w:lineRule="auto"/>
              <w:jc w:val="right"/>
              <w:cnfStyle w:val="000000000000" w:firstRow="0" w:lastRow="0" w:firstColumn="0" w:lastColumn="0" w:oddVBand="0" w:evenVBand="0" w:oddHBand="0" w:evenHBand="0" w:firstRowFirstColumn="0" w:firstRowLastColumn="0" w:lastRowFirstColumn="0" w:lastRowLastColumn="0"/>
              <w:rPr>
                <w:rFonts w:eastAsiaTheme="minorEastAsia"/>
                <w:bCs/>
                <w:color w:val="002060"/>
                <w:sz w:val="18"/>
                <w:szCs w:val="18"/>
                <w:lang w:val="sr-Cyrl-CS"/>
              </w:rPr>
            </w:pPr>
            <w:r w:rsidRPr="00646254">
              <w:rPr>
                <w:rFonts w:eastAsiaTheme="minorEastAsia"/>
                <w:bCs/>
                <w:color w:val="002060"/>
                <w:sz w:val="18"/>
                <w:szCs w:val="18"/>
                <w:lang w:val="sr-Cyrl-CS"/>
              </w:rPr>
              <w:t>0,0</w:t>
            </w:r>
          </w:p>
        </w:tc>
      </w:tr>
      <w:tr w:rsidR="001A5BCF" w:rsidRPr="00646254" w14:paraId="799FE620" w14:textId="77777777" w:rsidTr="00B97B32">
        <w:trPr>
          <w:cnfStyle w:val="000000100000" w:firstRow="0" w:lastRow="0" w:firstColumn="0" w:lastColumn="0" w:oddVBand="0" w:evenVBand="0" w:oddHBand="1" w:evenHBand="0" w:firstRowFirstColumn="0" w:firstRowLastColumn="0" w:lastRowFirstColumn="0" w:lastRowLastColumn="0"/>
          <w:trHeight w:hRule="exact" w:val="284"/>
        </w:trPr>
        <w:tc>
          <w:tcPr>
            <w:cnfStyle w:val="001000000000" w:firstRow="0" w:lastRow="0" w:firstColumn="1" w:lastColumn="0" w:oddVBand="0" w:evenVBand="0" w:oddHBand="0" w:evenHBand="0" w:firstRowFirstColumn="0" w:firstRowLastColumn="0" w:lastRowFirstColumn="0" w:lastRowLastColumn="0"/>
            <w:tcW w:w="7804" w:type="dxa"/>
            <w:tcBorders>
              <w:top w:val="nil"/>
              <w:bottom w:val="nil"/>
            </w:tcBorders>
            <w:shd w:val="clear" w:color="auto" w:fill="auto"/>
            <w:hideMark/>
          </w:tcPr>
          <w:p w14:paraId="3EE8B24D" w14:textId="77777777" w:rsidR="001A5BCF" w:rsidRPr="00646254" w:rsidRDefault="001A5BCF" w:rsidP="00B97B32">
            <w:pPr>
              <w:keepNext/>
              <w:spacing w:after="160" w:line="259" w:lineRule="auto"/>
              <w:rPr>
                <w:rFonts w:eastAsiaTheme="minorEastAsia"/>
                <w:bCs w:val="0"/>
                <w:color w:val="002060"/>
                <w:sz w:val="18"/>
                <w:szCs w:val="18"/>
                <w:lang w:val="sr-Cyrl-CS"/>
              </w:rPr>
            </w:pPr>
            <w:r w:rsidRPr="00646254">
              <w:rPr>
                <w:rFonts w:eastAsiaTheme="minorEastAsia"/>
                <w:b w:val="0"/>
                <w:bCs w:val="0"/>
                <w:color w:val="002060"/>
                <w:sz w:val="18"/>
                <w:szCs w:val="18"/>
                <w:lang w:val="sr-Cyrl-CS"/>
              </w:rPr>
              <w:t>Директна секторска подршка - угоститељство, туристичке агенције, хотели и rent a car агенције</w:t>
            </w:r>
          </w:p>
        </w:tc>
        <w:tc>
          <w:tcPr>
            <w:tcW w:w="848" w:type="dxa"/>
            <w:tcBorders>
              <w:top w:val="nil"/>
              <w:bottom w:val="nil"/>
            </w:tcBorders>
            <w:shd w:val="clear" w:color="auto" w:fill="auto"/>
            <w:noWrap/>
            <w:hideMark/>
          </w:tcPr>
          <w:p w14:paraId="000CF89C" w14:textId="77777777" w:rsidR="001A5BCF" w:rsidRPr="00646254" w:rsidRDefault="001A5BCF" w:rsidP="00B97B32">
            <w:pPr>
              <w:keepNext/>
              <w:spacing w:after="160" w:line="259" w:lineRule="auto"/>
              <w:jc w:val="right"/>
              <w:cnfStyle w:val="000000100000" w:firstRow="0" w:lastRow="0" w:firstColumn="0" w:lastColumn="0" w:oddVBand="0" w:evenVBand="0" w:oddHBand="1" w:evenHBand="0" w:firstRowFirstColumn="0" w:firstRowLastColumn="0" w:lastRowFirstColumn="0" w:lastRowLastColumn="0"/>
              <w:rPr>
                <w:rFonts w:eastAsiaTheme="minorEastAsia"/>
                <w:bCs/>
                <w:color w:val="002060"/>
                <w:sz w:val="18"/>
                <w:szCs w:val="18"/>
                <w:lang w:val="sr-Cyrl-CS"/>
              </w:rPr>
            </w:pPr>
            <w:r w:rsidRPr="00646254">
              <w:rPr>
                <w:rFonts w:eastAsiaTheme="minorEastAsia"/>
                <w:bCs/>
                <w:color w:val="002060"/>
                <w:sz w:val="18"/>
                <w:szCs w:val="18"/>
                <w:lang w:val="sr-Cyrl-CS"/>
              </w:rPr>
              <w:t>4,1</w:t>
            </w:r>
          </w:p>
        </w:tc>
        <w:tc>
          <w:tcPr>
            <w:tcW w:w="849" w:type="dxa"/>
            <w:tcBorders>
              <w:top w:val="nil"/>
              <w:bottom w:val="nil"/>
            </w:tcBorders>
            <w:shd w:val="clear" w:color="auto" w:fill="auto"/>
            <w:noWrap/>
            <w:hideMark/>
          </w:tcPr>
          <w:p w14:paraId="0CAA3AD6" w14:textId="77777777" w:rsidR="001A5BCF" w:rsidRPr="00646254" w:rsidRDefault="001A5BCF" w:rsidP="00B97B32">
            <w:pPr>
              <w:keepNext/>
              <w:spacing w:after="160" w:line="259" w:lineRule="auto"/>
              <w:jc w:val="right"/>
              <w:cnfStyle w:val="000000100000" w:firstRow="0" w:lastRow="0" w:firstColumn="0" w:lastColumn="0" w:oddVBand="0" w:evenVBand="0" w:oddHBand="1" w:evenHBand="0" w:firstRowFirstColumn="0" w:firstRowLastColumn="0" w:lastRowFirstColumn="0" w:lastRowLastColumn="0"/>
              <w:rPr>
                <w:rFonts w:eastAsiaTheme="minorEastAsia"/>
                <w:bCs/>
                <w:color w:val="002060"/>
                <w:sz w:val="18"/>
                <w:szCs w:val="18"/>
                <w:lang w:val="sr-Cyrl-CS"/>
              </w:rPr>
            </w:pPr>
            <w:r w:rsidRPr="00646254">
              <w:rPr>
                <w:rFonts w:eastAsiaTheme="minorEastAsia"/>
                <w:bCs/>
                <w:color w:val="002060"/>
                <w:sz w:val="18"/>
                <w:szCs w:val="18"/>
                <w:lang w:val="sr-Cyrl-CS"/>
              </w:rPr>
              <w:t>0,1</w:t>
            </w:r>
          </w:p>
        </w:tc>
      </w:tr>
      <w:tr w:rsidR="001A5BCF" w:rsidRPr="00646254" w14:paraId="5F81481C" w14:textId="77777777" w:rsidTr="00B97B32">
        <w:trPr>
          <w:trHeight w:hRule="exact" w:val="284"/>
        </w:trPr>
        <w:tc>
          <w:tcPr>
            <w:cnfStyle w:val="001000000000" w:firstRow="0" w:lastRow="0" w:firstColumn="1" w:lastColumn="0" w:oddVBand="0" w:evenVBand="0" w:oddHBand="0" w:evenHBand="0" w:firstRowFirstColumn="0" w:firstRowLastColumn="0" w:lastRowFirstColumn="0" w:lastRowLastColumn="0"/>
            <w:tcW w:w="7804" w:type="dxa"/>
            <w:tcBorders>
              <w:top w:val="nil"/>
              <w:bottom w:val="nil"/>
            </w:tcBorders>
            <w:shd w:val="clear" w:color="auto" w:fill="auto"/>
            <w:hideMark/>
          </w:tcPr>
          <w:p w14:paraId="064C64F0" w14:textId="77777777" w:rsidR="001A5BCF" w:rsidRPr="00646254" w:rsidRDefault="001A5BCF" w:rsidP="00B97B32">
            <w:pPr>
              <w:keepNext/>
              <w:spacing w:after="160" w:line="259" w:lineRule="auto"/>
              <w:rPr>
                <w:rFonts w:eastAsiaTheme="minorEastAsia"/>
                <w:bCs w:val="0"/>
                <w:color w:val="002060"/>
                <w:sz w:val="18"/>
                <w:szCs w:val="18"/>
                <w:lang w:val="sr-Cyrl-CS"/>
              </w:rPr>
            </w:pPr>
            <w:r w:rsidRPr="00646254">
              <w:rPr>
                <w:rFonts w:eastAsiaTheme="minorEastAsia"/>
                <w:b w:val="0"/>
                <w:bCs w:val="0"/>
                <w:color w:val="002060"/>
                <w:sz w:val="18"/>
                <w:szCs w:val="18"/>
                <w:lang w:val="sr-Cyrl-CS"/>
              </w:rPr>
              <w:t>Самостални уметници</w:t>
            </w:r>
          </w:p>
        </w:tc>
        <w:tc>
          <w:tcPr>
            <w:tcW w:w="848" w:type="dxa"/>
            <w:tcBorders>
              <w:top w:val="nil"/>
              <w:bottom w:val="nil"/>
            </w:tcBorders>
            <w:shd w:val="clear" w:color="auto" w:fill="auto"/>
            <w:noWrap/>
            <w:hideMark/>
          </w:tcPr>
          <w:p w14:paraId="3BC910A6" w14:textId="77777777" w:rsidR="001A5BCF" w:rsidRPr="00646254" w:rsidRDefault="001A5BCF" w:rsidP="00B97B32">
            <w:pPr>
              <w:keepNext/>
              <w:spacing w:after="160" w:line="259" w:lineRule="auto"/>
              <w:jc w:val="right"/>
              <w:cnfStyle w:val="000000000000" w:firstRow="0" w:lastRow="0" w:firstColumn="0" w:lastColumn="0" w:oddVBand="0" w:evenVBand="0" w:oddHBand="0" w:evenHBand="0" w:firstRowFirstColumn="0" w:firstRowLastColumn="0" w:lastRowFirstColumn="0" w:lastRowLastColumn="0"/>
              <w:rPr>
                <w:rFonts w:eastAsiaTheme="minorEastAsia"/>
                <w:bCs/>
                <w:color w:val="002060"/>
                <w:sz w:val="18"/>
                <w:szCs w:val="18"/>
                <w:lang w:val="sr-Cyrl-CS"/>
              </w:rPr>
            </w:pPr>
            <w:r w:rsidRPr="00646254">
              <w:rPr>
                <w:rFonts w:eastAsiaTheme="minorEastAsia"/>
                <w:bCs/>
                <w:color w:val="002060"/>
                <w:sz w:val="18"/>
                <w:szCs w:val="18"/>
                <w:lang w:val="sr-Cyrl-CS"/>
              </w:rPr>
              <w:t>0,3</w:t>
            </w:r>
          </w:p>
        </w:tc>
        <w:tc>
          <w:tcPr>
            <w:tcW w:w="849" w:type="dxa"/>
            <w:tcBorders>
              <w:top w:val="nil"/>
              <w:bottom w:val="nil"/>
            </w:tcBorders>
            <w:shd w:val="clear" w:color="auto" w:fill="auto"/>
            <w:noWrap/>
            <w:hideMark/>
          </w:tcPr>
          <w:p w14:paraId="2B907265" w14:textId="77777777" w:rsidR="001A5BCF" w:rsidRPr="00646254" w:rsidRDefault="001A5BCF" w:rsidP="00B97B32">
            <w:pPr>
              <w:keepNext/>
              <w:spacing w:after="160" w:line="259" w:lineRule="auto"/>
              <w:jc w:val="right"/>
              <w:cnfStyle w:val="000000000000" w:firstRow="0" w:lastRow="0" w:firstColumn="0" w:lastColumn="0" w:oddVBand="0" w:evenVBand="0" w:oddHBand="0" w:evenHBand="0" w:firstRowFirstColumn="0" w:firstRowLastColumn="0" w:lastRowFirstColumn="0" w:lastRowLastColumn="0"/>
              <w:rPr>
                <w:rFonts w:eastAsiaTheme="minorEastAsia"/>
                <w:bCs/>
                <w:color w:val="002060"/>
                <w:sz w:val="18"/>
                <w:szCs w:val="18"/>
                <w:lang w:val="sr-Cyrl-CS"/>
              </w:rPr>
            </w:pPr>
            <w:r w:rsidRPr="00646254">
              <w:rPr>
                <w:rFonts w:eastAsiaTheme="minorEastAsia"/>
                <w:bCs/>
                <w:color w:val="002060"/>
                <w:sz w:val="18"/>
                <w:szCs w:val="18"/>
                <w:lang w:val="sr-Cyrl-CS"/>
              </w:rPr>
              <w:t>0,0</w:t>
            </w:r>
          </w:p>
        </w:tc>
      </w:tr>
      <w:tr w:rsidR="001A5BCF" w:rsidRPr="00646254" w14:paraId="7B270BC9" w14:textId="77777777" w:rsidTr="00B97B32">
        <w:trPr>
          <w:cnfStyle w:val="000000100000" w:firstRow="0" w:lastRow="0" w:firstColumn="0" w:lastColumn="0" w:oddVBand="0" w:evenVBand="0" w:oddHBand="1" w:evenHBand="0" w:firstRowFirstColumn="0" w:firstRowLastColumn="0" w:lastRowFirstColumn="0" w:lastRowLastColumn="0"/>
          <w:trHeight w:hRule="exact" w:val="510"/>
        </w:trPr>
        <w:tc>
          <w:tcPr>
            <w:cnfStyle w:val="001000000000" w:firstRow="0" w:lastRow="0" w:firstColumn="1" w:lastColumn="0" w:oddVBand="0" w:evenVBand="0" w:oddHBand="0" w:evenHBand="0" w:firstRowFirstColumn="0" w:firstRowLastColumn="0" w:lastRowFirstColumn="0" w:lastRowLastColumn="0"/>
            <w:tcW w:w="7804" w:type="dxa"/>
            <w:tcBorders>
              <w:top w:val="nil"/>
              <w:bottom w:val="nil"/>
            </w:tcBorders>
            <w:shd w:val="clear" w:color="auto" w:fill="auto"/>
            <w:hideMark/>
          </w:tcPr>
          <w:p w14:paraId="7DB83595" w14:textId="77777777" w:rsidR="001A5BCF" w:rsidRPr="00646254" w:rsidRDefault="001A5BCF" w:rsidP="00B97B32">
            <w:pPr>
              <w:keepNext/>
              <w:spacing w:after="160" w:line="259" w:lineRule="auto"/>
              <w:rPr>
                <w:rFonts w:eastAsiaTheme="minorEastAsia"/>
                <w:bCs w:val="0"/>
                <w:color w:val="002060"/>
                <w:sz w:val="18"/>
                <w:szCs w:val="18"/>
                <w:lang w:val="sr-Cyrl-CS"/>
              </w:rPr>
            </w:pPr>
            <w:r w:rsidRPr="00646254">
              <w:rPr>
                <w:rFonts w:eastAsiaTheme="minorEastAsia"/>
                <w:b w:val="0"/>
                <w:bCs w:val="0"/>
                <w:color w:val="002060"/>
                <w:sz w:val="18"/>
                <w:szCs w:val="18"/>
                <w:lang w:val="sr-Cyrl-CS"/>
              </w:rPr>
              <w:t>Директна секторска подршка - сектор превозника путника у друмском саобраћају и аутобуских станица - 600 € по аутобусу</w:t>
            </w:r>
          </w:p>
        </w:tc>
        <w:tc>
          <w:tcPr>
            <w:tcW w:w="848" w:type="dxa"/>
            <w:tcBorders>
              <w:top w:val="nil"/>
              <w:bottom w:val="nil"/>
            </w:tcBorders>
            <w:shd w:val="clear" w:color="auto" w:fill="auto"/>
            <w:noWrap/>
            <w:hideMark/>
          </w:tcPr>
          <w:p w14:paraId="1EEC860C" w14:textId="77777777" w:rsidR="001A5BCF" w:rsidRPr="00646254" w:rsidRDefault="001A5BCF" w:rsidP="00B97B32">
            <w:pPr>
              <w:keepNext/>
              <w:spacing w:after="160" w:line="259" w:lineRule="auto"/>
              <w:jc w:val="right"/>
              <w:cnfStyle w:val="000000100000" w:firstRow="0" w:lastRow="0" w:firstColumn="0" w:lastColumn="0" w:oddVBand="0" w:evenVBand="0" w:oddHBand="1" w:evenHBand="0" w:firstRowFirstColumn="0" w:firstRowLastColumn="0" w:lastRowFirstColumn="0" w:lastRowLastColumn="0"/>
              <w:rPr>
                <w:rFonts w:eastAsiaTheme="minorEastAsia"/>
                <w:bCs/>
                <w:color w:val="002060"/>
                <w:sz w:val="18"/>
                <w:szCs w:val="18"/>
                <w:lang w:val="sr-Cyrl-CS"/>
              </w:rPr>
            </w:pPr>
            <w:r w:rsidRPr="00646254">
              <w:rPr>
                <w:rFonts w:eastAsiaTheme="minorEastAsia"/>
                <w:bCs/>
                <w:color w:val="002060"/>
                <w:sz w:val="18"/>
                <w:szCs w:val="18"/>
                <w:lang w:val="sr-Cyrl-CS"/>
              </w:rPr>
              <w:t>2,7</w:t>
            </w:r>
          </w:p>
        </w:tc>
        <w:tc>
          <w:tcPr>
            <w:tcW w:w="849" w:type="dxa"/>
            <w:tcBorders>
              <w:top w:val="nil"/>
              <w:bottom w:val="nil"/>
            </w:tcBorders>
            <w:shd w:val="clear" w:color="auto" w:fill="auto"/>
            <w:noWrap/>
            <w:hideMark/>
          </w:tcPr>
          <w:p w14:paraId="72DF4A01" w14:textId="77777777" w:rsidR="001A5BCF" w:rsidRPr="00646254" w:rsidRDefault="001A5BCF" w:rsidP="00B97B32">
            <w:pPr>
              <w:keepNext/>
              <w:spacing w:after="160" w:line="259" w:lineRule="auto"/>
              <w:jc w:val="right"/>
              <w:cnfStyle w:val="000000100000" w:firstRow="0" w:lastRow="0" w:firstColumn="0" w:lastColumn="0" w:oddVBand="0" w:evenVBand="0" w:oddHBand="1" w:evenHBand="0" w:firstRowFirstColumn="0" w:firstRowLastColumn="0" w:lastRowFirstColumn="0" w:lastRowLastColumn="0"/>
              <w:rPr>
                <w:rFonts w:eastAsiaTheme="minorEastAsia"/>
                <w:bCs/>
                <w:color w:val="002060"/>
                <w:sz w:val="18"/>
                <w:szCs w:val="18"/>
                <w:lang w:val="sr-Cyrl-CS"/>
              </w:rPr>
            </w:pPr>
            <w:r w:rsidRPr="00646254">
              <w:rPr>
                <w:rFonts w:eastAsiaTheme="minorEastAsia"/>
                <w:bCs/>
                <w:color w:val="002060"/>
                <w:sz w:val="18"/>
                <w:szCs w:val="18"/>
                <w:lang w:val="sr-Cyrl-CS"/>
              </w:rPr>
              <w:t>0,0</w:t>
            </w:r>
          </w:p>
        </w:tc>
      </w:tr>
      <w:tr w:rsidR="001A5BCF" w:rsidRPr="00646254" w14:paraId="6427DB3D" w14:textId="77777777" w:rsidTr="00B97B32">
        <w:trPr>
          <w:trHeight w:hRule="exact" w:val="284"/>
        </w:trPr>
        <w:tc>
          <w:tcPr>
            <w:cnfStyle w:val="001000000000" w:firstRow="0" w:lastRow="0" w:firstColumn="1" w:lastColumn="0" w:oddVBand="0" w:evenVBand="0" w:oddHBand="0" w:evenHBand="0" w:firstRowFirstColumn="0" w:firstRowLastColumn="0" w:lastRowFirstColumn="0" w:lastRowLastColumn="0"/>
            <w:tcW w:w="7804" w:type="dxa"/>
            <w:tcBorders>
              <w:top w:val="nil"/>
              <w:bottom w:val="nil"/>
            </w:tcBorders>
            <w:shd w:val="clear" w:color="auto" w:fill="E7E6E6" w:themeFill="background2"/>
            <w:noWrap/>
            <w:hideMark/>
          </w:tcPr>
          <w:p w14:paraId="23FC0EF0" w14:textId="77777777" w:rsidR="001A5BCF" w:rsidRPr="00646254" w:rsidRDefault="001A5BCF" w:rsidP="00B97B32">
            <w:pPr>
              <w:keepNext/>
              <w:spacing w:after="160" w:line="259" w:lineRule="auto"/>
              <w:rPr>
                <w:rFonts w:eastAsiaTheme="minorEastAsia"/>
                <w:bCs w:val="0"/>
                <w:color w:val="002060"/>
                <w:sz w:val="18"/>
                <w:szCs w:val="18"/>
                <w:lang w:val="sr-Cyrl-CS"/>
              </w:rPr>
            </w:pPr>
            <w:r w:rsidRPr="00646254">
              <w:rPr>
                <w:rFonts w:eastAsiaTheme="minorEastAsia"/>
                <w:b w:val="0"/>
                <w:bCs w:val="0"/>
                <w:color w:val="002060"/>
                <w:sz w:val="18"/>
                <w:szCs w:val="18"/>
                <w:lang w:val="sr-Cyrl-CS"/>
              </w:rPr>
              <w:t>Укупно</w:t>
            </w:r>
          </w:p>
        </w:tc>
        <w:tc>
          <w:tcPr>
            <w:tcW w:w="848" w:type="dxa"/>
            <w:tcBorders>
              <w:top w:val="nil"/>
              <w:bottom w:val="nil"/>
            </w:tcBorders>
            <w:shd w:val="clear" w:color="auto" w:fill="E7E6E6" w:themeFill="background2"/>
            <w:noWrap/>
            <w:hideMark/>
          </w:tcPr>
          <w:p w14:paraId="17D5DCD7" w14:textId="77777777" w:rsidR="001A5BCF" w:rsidRPr="00646254" w:rsidRDefault="001A5BCF" w:rsidP="00B97B32">
            <w:pPr>
              <w:keepNext/>
              <w:spacing w:after="160" w:line="259" w:lineRule="auto"/>
              <w:jc w:val="right"/>
              <w:cnfStyle w:val="000000000000" w:firstRow="0" w:lastRow="0" w:firstColumn="0" w:lastColumn="0" w:oddVBand="0" w:evenVBand="0" w:oddHBand="0" w:evenHBand="0" w:firstRowFirstColumn="0" w:firstRowLastColumn="0" w:lastRowFirstColumn="0" w:lastRowLastColumn="0"/>
              <w:rPr>
                <w:rFonts w:eastAsiaTheme="minorEastAsia"/>
                <w:bCs/>
                <w:color w:val="002060"/>
                <w:sz w:val="18"/>
                <w:szCs w:val="18"/>
                <w:lang w:val="sr-Cyrl-CS"/>
              </w:rPr>
            </w:pPr>
            <w:r w:rsidRPr="00646254">
              <w:rPr>
                <w:rFonts w:eastAsiaTheme="minorEastAsia"/>
                <w:bCs/>
                <w:color w:val="002060"/>
                <w:sz w:val="18"/>
                <w:szCs w:val="18"/>
                <w:lang w:val="sr-Cyrl-CS"/>
              </w:rPr>
              <w:t>60,3</w:t>
            </w:r>
          </w:p>
        </w:tc>
        <w:tc>
          <w:tcPr>
            <w:tcW w:w="849" w:type="dxa"/>
            <w:tcBorders>
              <w:top w:val="nil"/>
              <w:bottom w:val="nil"/>
            </w:tcBorders>
            <w:shd w:val="clear" w:color="auto" w:fill="E7E6E6" w:themeFill="background2"/>
            <w:noWrap/>
            <w:hideMark/>
          </w:tcPr>
          <w:p w14:paraId="0285DACF" w14:textId="77777777" w:rsidR="001A5BCF" w:rsidRPr="00646254" w:rsidRDefault="001A5BCF" w:rsidP="00B97B32">
            <w:pPr>
              <w:keepNext/>
              <w:spacing w:after="160" w:line="259" w:lineRule="auto"/>
              <w:jc w:val="right"/>
              <w:cnfStyle w:val="000000000000" w:firstRow="0" w:lastRow="0" w:firstColumn="0" w:lastColumn="0" w:oddVBand="0" w:evenVBand="0" w:oddHBand="0" w:evenHBand="0" w:firstRowFirstColumn="0" w:firstRowLastColumn="0" w:lastRowFirstColumn="0" w:lastRowLastColumn="0"/>
              <w:rPr>
                <w:rFonts w:eastAsiaTheme="minorEastAsia"/>
                <w:bCs/>
                <w:color w:val="002060"/>
                <w:sz w:val="18"/>
                <w:szCs w:val="18"/>
                <w:lang w:val="sr-Cyrl-CS"/>
              </w:rPr>
            </w:pPr>
            <w:r w:rsidRPr="00646254">
              <w:rPr>
                <w:rFonts w:eastAsiaTheme="minorEastAsia"/>
                <w:bCs/>
                <w:color w:val="002060"/>
                <w:sz w:val="18"/>
                <w:szCs w:val="18"/>
                <w:lang w:val="sr-Cyrl-CS"/>
              </w:rPr>
              <w:t>1,0</w:t>
            </w:r>
          </w:p>
        </w:tc>
      </w:tr>
      <w:tr w:rsidR="001A5BCF" w:rsidRPr="00646254" w14:paraId="417A2F5B" w14:textId="77777777" w:rsidTr="00B97B32">
        <w:trPr>
          <w:cnfStyle w:val="000000100000" w:firstRow="0" w:lastRow="0" w:firstColumn="0" w:lastColumn="0" w:oddVBand="0" w:evenVBand="0" w:oddHBand="1" w:evenHBand="0" w:firstRowFirstColumn="0" w:firstRowLastColumn="0" w:lastRowFirstColumn="0" w:lastRowLastColumn="0"/>
          <w:trHeight w:hRule="exact" w:val="284"/>
        </w:trPr>
        <w:tc>
          <w:tcPr>
            <w:cnfStyle w:val="001000000000" w:firstRow="0" w:lastRow="0" w:firstColumn="1" w:lastColumn="0" w:oddVBand="0" w:evenVBand="0" w:oddHBand="0" w:evenHBand="0" w:firstRowFirstColumn="0" w:firstRowLastColumn="0" w:lastRowFirstColumn="0" w:lastRowLastColumn="0"/>
            <w:tcW w:w="7804" w:type="dxa"/>
            <w:tcBorders>
              <w:top w:val="nil"/>
              <w:bottom w:val="nil"/>
            </w:tcBorders>
            <w:shd w:val="clear" w:color="auto" w:fill="auto"/>
            <w:noWrap/>
            <w:hideMark/>
          </w:tcPr>
          <w:p w14:paraId="68129B29" w14:textId="77777777" w:rsidR="001A5BCF" w:rsidRPr="00646254" w:rsidRDefault="001A5BCF" w:rsidP="00B97B32">
            <w:pPr>
              <w:keepNext/>
              <w:spacing w:after="160" w:line="259" w:lineRule="auto"/>
              <w:rPr>
                <w:rFonts w:eastAsiaTheme="minorEastAsia"/>
                <w:bCs w:val="0"/>
                <w:color w:val="002060"/>
                <w:sz w:val="18"/>
                <w:szCs w:val="18"/>
                <w:lang w:val="sr-Cyrl-CS"/>
              </w:rPr>
            </w:pPr>
            <w:r w:rsidRPr="00646254">
              <w:rPr>
                <w:rFonts w:eastAsiaTheme="minorEastAsia"/>
                <w:b w:val="0"/>
                <w:bCs w:val="0"/>
                <w:color w:val="002060"/>
                <w:sz w:val="18"/>
                <w:szCs w:val="18"/>
                <w:lang w:val="sr-Cyrl-CS"/>
              </w:rPr>
              <w:t>Мере за очување ликвидности приватног сектора</w:t>
            </w:r>
          </w:p>
        </w:tc>
        <w:tc>
          <w:tcPr>
            <w:tcW w:w="848" w:type="dxa"/>
            <w:tcBorders>
              <w:top w:val="nil"/>
              <w:bottom w:val="nil"/>
            </w:tcBorders>
            <w:shd w:val="clear" w:color="auto" w:fill="auto"/>
            <w:noWrap/>
            <w:hideMark/>
          </w:tcPr>
          <w:p w14:paraId="2CD7693C" w14:textId="77777777" w:rsidR="001A5BCF" w:rsidRPr="00646254" w:rsidRDefault="001A5BCF" w:rsidP="00B97B32">
            <w:pPr>
              <w:keepNext/>
              <w:spacing w:after="160" w:line="259" w:lineRule="auto"/>
              <w:jc w:val="right"/>
              <w:cnfStyle w:val="000000100000" w:firstRow="0" w:lastRow="0" w:firstColumn="0" w:lastColumn="0" w:oddVBand="0" w:evenVBand="0" w:oddHBand="1" w:evenHBand="0" w:firstRowFirstColumn="0" w:firstRowLastColumn="0" w:lastRowFirstColumn="0" w:lastRowLastColumn="0"/>
              <w:rPr>
                <w:rFonts w:eastAsiaTheme="minorEastAsia"/>
                <w:bCs/>
                <w:color w:val="002060"/>
                <w:sz w:val="18"/>
                <w:szCs w:val="18"/>
                <w:lang w:val="sr-Cyrl-CS"/>
              </w:rPr>
            </w:pPr>
            <w:r w:rsidRPr="00646254">
              <w:rPr>
                <w:rFonts w:eastAsiaTheme="minorEastAsia"/>
                <w:bCs/>
                <w:color w:val="002060"/>
                <w:sz w:val="18"/>
                <w:szCs w:val="18"/>
                <w:lang w:val="sr-Cyrl-CS"/>
              </w:rPr>
              <w:t> </w:t>
            </w:r>
          </w:p>
        </w:tc>
        <w:tc>
          <w:tcPr>
            <w:tcW w:w="849" w:type="dxa"/>
            <w:tcBorders>
              <w:top w:val="nil"/>
              <w:bottom w:val="nil"/>
            </w:tcBorders>
            <w:shd w:val="clear" w:color="auto" w:fill="auto"/>
            <w:noWrap/>
            <w:hideMark/>
          </w:tcPr>
          <w:p w14:paraId="5EECE781" w14:textId="77777777" w:rsidR="001A5BCF" w:rsidRPr="00646254" w:rsidRDefault="001A5BCF" w:rsidP="00B97B32">
            <w:pPr>
              <w:keepNext/>
              <w:spacing w:after="160" w:line="259" w:lineRule="auto"/>
              <w:jc w:val="right"/>
              <w:cnfStyle w:val="000000100000" w:firstRow="0" w:lastRow="0" w:firstColumn="0" w:lastColumn="0" w:oddVBand="0" w:evenVBand="0" w:oddHBand="1" w:evenHBand="0" w:firstRowFirstColumn="0" w:firstRowLastColumn="0" w:lastRowFirstColumn="0" w:lastRowLastColumn="0"/>
              <w:rPr>
                <w:rFonts w:eastAsiaTheme="minorEastAsia"/>
                <w:bCs/>
                <w:color w:val="002060"/>
                <w:sz w:val="18"/>
                <w:szCs w:val="18"/>
                <w:lang w:val="sr-Cyrl-CS"/>
              </w:rPr>
            </w:pPr>
            <w:r w:rsidRPr="00646254">
              <w:rPr>
                <w:rFonts w:eastAsiaTheme="minorEastAsia"/>
                <w:bCs/>
                <w:color w:val="002060"/>
                <w:sz w:val="18"/>
                <w:szCs w:val="18"/>
                <w:lang w:val="sr-Cyrl-CS"/>
              </w:rPr>
              <w:t> </w:t>
            </w:r>
          </w:p>
        </w:tc>
      </w:tr>
      <w:tr w:rsidR="001A5BCF" w:rsidRPr="00646254" w14:paraId="216DD84B" w14:textId="77777777" w:rsidTr="00B97B32">
        <w:trPr>
          <w:trHeight w:hRule="exact" w:val="284"/>
        </w:trPr>
        <w:tc>
          <w:tcPr>
            <w:cnfStyle w:val="001000000000" w:firstRow="0" w:lastRow="0" w:firstColumn="1" w:lastColumn="0" w:oddVBand="0" w:evenVBand="0" w:oddHBand="0" w:evenHBand="0" w:firstRowFirstColumn="0" w:firstRowLastColumn="0" w:lastRowFirstColumn="0" w:lastRowLastColumn="0"/>
            <w:tcW w:w="7804" w:type="dxa"/>
            <w:tcBorders>
              <w:top w:val="nil"/>
              <w:bottom w:val="nil"/>
            </w:tcBorders>
            <w:shd w:val="clear" w:color="auto" w:fill="auto"/>
            <w:hideMark/>
          </w:tcPr>
          <w:p w14:paraId="07779AB1" w14:textId="77777777" w:rsidR="001A5BCF" w:rsidRPr="00646254" w:rsidRDefault="001A5BCF" w:rsidP="00B97B32">
            <w:pPr>
              <w:keepNext/>
              <w:spacing w:after="160" w:line="259" w:lineRule="auto"/>
              <w:rPr>
                <w:rFonts w:eastAsiaTheme="minorEastAsia"/>
                <w:bCs w:val="0"/>
                <w:color w:val="002060"/>
                <w:sz w:val="18"/>
                <w:szCs w:val="18"/>
                <w:lang w:val="sr-Cyrl-CS"/>
              </w:rPr>
            </w:pPr>
            <w:r w:rsidRPr="00646254">
              <w:rPr>
                <w:rFonts w:eastAsiaTheme="minorEastAsia"/>
                <w:b w:val="0"/>
                <w:bCs w:val="0"/>
                <w:color w:val="002060"/>
                <w:sz w:val="18"/>
                <w:szCs w:val="18"/>
                <w:lang w:val="sr-Cyrl-CS"/>
              </w:rPr>
              <w:t>Продужење постојеће гарантне шеме за подршку економији током кризе COVID-19</w:t>
            </w:r>
          </w:p>
        </w:tc>
        <w:tc>
          <w:tcPr>
            <w:tcW w:w="848" w:type="dxa"/>
            <w:tcBorders>
              <w:top w:val="nil"/>
              <w:bottom w:val="nil"/>
            </w:tcBorders>
            <w:shd w:val="clear" w:color="auto" w:fill="auto"/>
            <w:noWrap/>
            <w:hideMark/>
          </w:tcPr>
          <w:p w14:paraId="1276299B" w14:textId="77777777" w:rsidR="001A5BCF" w:rsidRPr="00646254" w:rsidRDefault="001A5BCF" w:rsidP="00B97B32">
            <w:pPr>
              <w:keepNext/>
              <w:spacing w:after="160" w:line="259" w:lineRule="auto"/>
              <w:jc w:val="right"/>
              <w:cnfStyle w:val="000000000000" w:firstRow="0" w:lastRow="0" w:firstColumn="0" w:lastColumn="0" w:oddVBand="0" w:evenVBand="0" w:oddHBand="0" w:evenHBand="0" w:firstRowFirstColumn="0" w:firstRowLastColumn="0" w:lastRowFirstColumn="0" w:lastRowLastColumn="0"/>
              <w:rPr>
                <w:rFonts w:eastAsiaTheme="minorEastAsia"/>
                <w:bCs/>
                <w:color w:val="002060"/>
                <w:sz w:val="18"/>
                <w:szCs w:val="18"/>
                <w:lang w:val="sr-Cyrl-CS"/>
              </w:rPr>
            </w:pPr>
            <w:r w:rsidRPr="00646254">
              <w:rPr>
                <w:rFonts w:eastAsiaTheme="minorEastAsia"/>
                <w:bCs/>
                <w:color w:val="002060"/>
                <w:sz w:val="18"/>
                <w:szCs w:val="18"/>
                <w:lang w:val="sr-Cyrl-CS"/>
              </w:rPr>
              <w:t>60</w:t>
            </w:r>
          </w:p>
        </w:tc>
        <w:tc>
          <w:tcPr>
            <w:tcW w:w="849" w:type="dxa"/>
            <w:tcBorders>
              <w:top w:val="nil"/>
              <w:bottom w:val="nil"/>
            </w:tcBorders>
            <w:shd w:val="clear" w:color="auto" w:fill="auto"/>
            <w:noWrap/>
            <w:hideMark/>
          </w:tcPr>
          <w:p w14:paraId="5A26E6B7" w14:textId="77777777" w:rsidR="001A5BCF" w:rsidRPr="00646254" w:rsidRDefault="001A5BCF" w:rsidP="00B97B32">
            <w:pPr>
              <w:keepNext/>
              <w:spacing w:after="160" w:line="259" w:lineRule="auto"/>
              <w:jc w:val="right"/>
              <w:cnfStyle w:val="000000000000" w:firstRow="0" w:lastRow="0" w:firstColumn="0" w:lastColumn="0" w:oddVBand="0" w:evenVBand="0" w:oddHBand="0" w:evenHBand="0" w:firstRowFirstColumn="0" w:firstRowLastColumn="0" w:lastRowFirstColumn="0" w:lastRowLastColumn="0"/>
              <w:rPr>
                <w:rFonts w:eastAsiaTheme="minorEastAsia"/>
                <w:bCs/>
                <w:color w:val="002060"/>
                <w:sz w:val="18"/>
                <w:szCs w:val="18"/>
                <w:lang w:val="sr-Cyrl-CS"/>
              </w:rPr>
            </w:pPr>
            <w:r w:rsidRPr="00646254">
              <w:rPr>
                <w:rFonts w:eastAsiaTheme="minorEastAsia"/>
                <w:bCs/>
                <w:color w:val="002060"/>
                <w:sz w:val="18"/>
                <w:szCs w:val="18"/>
                <w:lang w:val="sr-Cyrl-CS"/>
              </w:rPr>
              <w:t>1,0</w:t>
            </w:r>
          </w:p>
        </w:tc>
      </w:tr>
      <w:tr w:rsidR="001A5BCF" w:rsidRPr="00646254" w14:paraId="5DF83A33" w14:textId="77777777" w:rsidTr="00B97B32">
        <w:trPr>
          <w:cnfStyle w:val="000000100000" w:firstRow="0" w:lastRow="0" w:firstColumn="0" w:lastColumn="0" w:oddVBand="0" w:evenVBand="0" w:oddHBand="1" w:evenHBand="0" w:firstRowFirstColumn="0" w:firstRowLastColumn="0" w:lastRowFirstColumn="0" w:lastRowLastColumn="0"/>
          <w:trHeight w:hRule="exact" w:val="284"/>
        </w:trPr>
        <w:tc>
          <w:tcPr>
            <w:cnfStyle w:val="001000000000" w:firstRow="0" w:lastRow="0" w:firstColumn="1" w:lastColumn="0" w:oddVBand="0" w:evenVBand="0" w:oddHBand="0" w:evenHBand="0" w:firstRowFirstColumn="0" w:firstRowLastColumn="0" w:lastRowFirstColumn="0" w:lastRowLastColumn="0"/>
            <w:tcW w:w="7804" w:type="dxa"/>
            <w:tcBorders>
              <w:top w:val="nil"/>
              <w:bottom w:val="nil"/>
            </w:tcBorders>
            <w:shd w:val="clear" w:color="auto" w:fill="auto"/>
            <w:noWrap/>
            <w:hideMark/>
          </w:tcPr>
          <w:p w14:paraId="0E0F789C" w14:textId="77777777" w:rsidR="001A5BCF" w:rsidRPr="00646254" w:rsidRDefault="001A5BCF" w:rsidP="00B97B32">
            <w:pPr>
              <w:keepNext/>
              <w:spacing w:after="160" w:line="259" w:lineRule="auto"/>
              <w:rPr>
                <w:rFonts w:eastAsiaTheme="minorEastAsia"/>
                <w:bCs w:val="0"/>
                <w:color w:val="002060"/>
                <w:sz w:val="18"/>
                <w:szCs w:val="18"/>
                <w:lang w:val="sr-Cyrl-CS"/>
              </w:rPr>
            </w:pPr>
            <w:r w:rsidRPr="00646254">
              <w:rPr>
                <w:rFonts w:eastAsiaTheme="minorEastAsia"/>
                <w:b w:val="0"/>
                <w:bCs w:val="0"/>
                <w:color w:val="002060"/>
                <w:sz w:val="18"/>
                <w:szCs w:val="18"/>
                <w:lang w:val="sr-Cyrl-CS"/>
              </w:rPr>
              <w:t>Успостављање нове гарантне шеме за подршку најугроженијим секторима/предузећима</w:t>
            </w:r>
          </w:p>
        </w:tc>
        <w:tc>
          <w:tcPr>
            <w:tcW w:w="848" w:type="dxa"/>
            <w:tcBorders>
              <w:top w:val="nil"/>
              <w:bottom w:val="nil"/>
            </w:tcBorders>
            <w:shd w:val="clear" w:color="auto" w:fill="auto"/>
            <w:noWrap/>
            <w:hideMark/>
          </w:tcPr>
          <w:p w14:paraId="0292B777" w14:textId="77777777" w:rsidR="001A5BCF" w:rsidRPr="00646254" w:rsidRDefault="001A5BCF" w:rsidP="00B97B32">
            <w:pPr>
              <w:keepNext/>
              <w:spacing w:after="160" w:line="259" w:lineRule="auto"/>
              <w:jc w:val="right"/>
              <w:cnfStyle w:val="000000100000" w:firstRow="0" w:lastRow="0" w:firstColumn="0" w:lastColumn="0" w:oddVBand="0" w:evenVBand="0" w:oddHBand="1" w:evenHBand="0" w:firstRowFirstColumn="0" w:firstRowLastColumn="0" w:lastRowFirstColumn="0" w:lastRowLastColumn="0"/>
              <w:rPr>
                <w:rFonts w:eastAsiaTheme="minorEastAsia"/>
                <w:bCs/>
                <w:color w:val="002060"/>
                <w:sz w:val="18"/>
                <w:szCs w:val="18"/>
                <w:lang w:val="sr-Cyrl-CS"/>
              </w:rPr>
            </w:pPr>
            <w:r w:rsidRPr="00646254">
              <w:rPr>
                <w:rFonts w:eastAsiaTheme="minorEastAsia"/>
                <w:bCs/>
                <w:color w:val="002060"/>
                <w:sz w:val="18"/>
                <w:szCs w:val="18"/>
                <w:lang w:val="sr-Cyrl-CS"/>
              </w:rPr>
              <w:t>60</w:t>
            </w:r>
          </w:p>
        </w:tc>
        <w:tc>
          <w:tcPr>
            <w:tcW w:w="849" w:type="dxa"/>
            <w:tcBorders>
              <w:top w:val="nil"/>
              <w:bottom w:val="nil"/>
            </w:tcBorders>
            <w:shd w:val="clear" w:color="auto" w:fill="auto"/>
            <w:noWrap/>
            <w:hideMark/>
          </w:tcPr>
          <w:p w14:paraId="51950BF3" w14:textId="77777777" w:rsidR="001A5BCF" w:rsidRPr="00646254" w:rsidRDefault="001A5BCF" w:rsidP="00B97B32">
            <w:pPr>
              <w:keepNext/>
              <w:spacing w:after="160" w:line="259" w:lineRule="auto"/>
              <w:jc w:val="right"/>
              <w:cnfStyle w:val="000000100000" w:firstRow="0" w:lastRow="0" w:firstColumn="0" w:lastColumn="0" w:oddVBand="0" w:evenVBand="0" w:oddHBand="1" w:evenHBand="0" w:firstRowFirstColumn="0" w:firstRowLastColumn="0" w:lastRowFirstColumn="0" w:lastRowLastColumn="0"/>
              <w:rPr>
                <w:rFonts w:eastAsiaTheme="minorEastAsia"/>
                <w:bCs/>
                <w:color w:val="002060"/>
                <w:sz w:val="18"/>
                <w:szCs w:val="18"/>
                <w:lang w:val="sr-Cyrl-CS"/>
              </w:rPr>
            </w:pPr>
            <w:r w:rsidRPr="00646254">
              <w:rPr>
                <w:rFonts w:eastAsiaTheme="minorEastAsia"/>
                <w:bCs/>
                <w:color w:val="002060"/>
                <w:sz w:val="18"/>
                <w:szCs w:val="18"/>
                <w:lang w:val="sr-Cyrl-CS"/>
              </w:rPr>
              <w:t>1,0</w:t>
            </w:r>
          </w:p>
        </w:tc>
      </w:tr>
      <w:tr w:rsidR="001A5BCF" w:rsidRPr="00646254" w14:paraId="5D843D87" w14:textId="77777777" w:rsidTr="00B97B32">
        <w:trPr>
          <w:trHeight w:hRule="exact" w:val="284"/>
        </w:trPr>
        <w:tc>
          <w:tcPr>
            <w:cnfStyle w:val="001000000000" w:firstRow="0" w:lastRow="0" w:firstColumn="1" w:lastColumn="0" w:oddVBand="0" w:evenVBand="0" w:oddHBand="0" w:evenHBand="0" w:firstRowFirstColumn="0" w:firstRowLastColumn="0" w:lastRowFirstColumn="0" w:lastRowLastColumn="0"/>
            <w:tcW w:w="7804" w:type="dxa"/>
            <w:tcBorders>
              <w:top w:val="nil"/>
              <w:bottom w:val="nil"/>
            </w:tcBorders>
            <w:shd w:val="clear" w:color="auto" w:fill="E7E6E6" w:themeFill="background2"/>
            <w:noWrap/>
            <w:hideMark/>
          </w:tcPr>
          <w:p w14:paraId="16DDADF7" w14:textId="77777777" w:rsidR="001A5BCF" w:rsidRPr="00646254" w:rsidRDefault="001A5BCF" w:rsidP="00B97B32">
            <w:pPr>
              <w:keepNext/>
              <w:spacing w:after="160" w:line="259" w:lineRule="auto"/>
              <w:rPr>
                <w:rFonts w:eastAsiaTheme="minorEastAsia"/>
                <w:bCs w:val="0"/>
                <w:color w:val="002060"/>
                <w:sz w:val="18"/>
                <w:szCs w:val="18"/>
                <w:lang w:val="sr-Cyrl-CS"/>
              </w:rPr>
            </w:pPr>
            <w:r w:rsidRPr="00646254">
              <w:rPr>
                <w:rFonts w:eastAsiaTheme="minorEastAsia"/>
                <w:b w:val="0"/>
                <w:bCs w:val="0"/>
                <w:color w:val="002060"/>
                <w:sz w:val="18"/>
                <w:szCs w:val="18"/>
                <w:lang w:val="sr-Cyrl-CS"/>
              </w:rPr>
              <w:t>Укупно</w:t>
            </w:r>
          </w:p>
        </w:tc>
        <w:tc>
          <w:tcPr>
            <w:tcW w:w="848" w:type="dxa"/>
            <w:tcBorders>
              <w:top w:val="nil"/>
              <w:bottom w:val="nil"/>
            </w:tcBorders>
            <w:shd w:val="clear" w:color="auto" w:fill="E7E6E6" w:themeFill="background2"/>
            <w:noWrap/>
            <w:hideMark/>
          </w:tcPr>
          <w:p w14:paraId="5167A4BC" w14:textId="77777777" w:rsidR="001A5BCF" w:rsidRPr="00646254" w:rsidRDefault="001A5BCF" w:rsidP="00B97B32">
            <w:pPr>
              <w:keepNext/>
              <w:spacing w:after="160" w:line="259" w:lineRule="auto"/>
              <w:jc w:val="right"/>
              <w:cnfStyle w:val="000000000000" w:firstRow="0" w:lastRow="0" w:firstColumn="0" w:lastColumn="0" w:oddVBand="0" w:evenVBand="0" w:oddHBand="0" w:evenHBand="0" w:firstRowFirstColumn="0" w:firstRowLastColumn="0" w:lastRowFirstColumn="0" w:lastRowLastColumn="0"/>
              <w:rPr>
                <w:rFonts w:eastAsiaTheme="minorEastAsia"/>
                <w:bCs/>
                <w:color w:val="002060"/>
                <w:sz w:val="18"/>
                <w:szCs w:val="18"/>
                <w:lang w:val="sr-Cyrl-CS"/>
              </w:rPr>
            </w:pPr>
            <w:r w:rsidRPr="00646254">
              <w:rPr>
                <w:rFonts w:eastAsiaTheme="minorEastAsia"/>
                <w:bCs/>
                <w:color w:val="002060"/>
                <w:sz w:val="18"/>
                <w:szCs w:val="18"/>
                <w:lang w:val="sr-Cyrl-CS"/>
              </w:rPr>
              <w:t>120,0</w:t>
            </w:r>
          </w:p>
        </w:tc>
        <w:tc>
          <w:tcPr>
            <w:tcW w:w="849" w:type="dxa"/>
            <w:tcBorders>
              <w:top w:val="nil"/>
              <w:bottom w:val="nil"/>
            </w:tcBorders>
            <w:shd w:val="clear" w:color="auto" w:fill="E7E6E6" w:themeFill="background2"/>
            <w:noWrap/>
            <w:hideMark/>
          </w:tcPr>
          <w:p w14:paraId="1027AF7E" w14:textId="77777777" w:rsidR="001A5BCF" w:rsidRPr="00646254" w:rsidRDefault="001A5BCF" w:rsidP="00B97B32">
            <w:pPr>
              <w:keepNext/>
              <w:spacing w:after="160" w:line="259" w:lineRule="auto"/>
              <w:jc w:val="right"/>
              <w:cnfStyle w:val="000000000000" w:firstRow="0" w:lastRow="0" w:firstColumn="0" w:lastColumn="0" w:oddVBand="0" w:evenVBand="0" w:oddHBand="0" w:evenHBand="0" w:firstRowFirstColumn="0" w:firstRowLastColumn="0" w:lastRowFirstColumn="0" w:lastRowLastColumn="0"/>
              <w:rPr>
                <w:rFonts w:eastAsiaTheme="minorEastAsia"/>
                <w:bCs/>
                <w:color w:val="002060"/>
                <w:sz w:val="18"/>
                <w:szCs w:val="18"/>
                <w:lang w:val="sr-Cyrl-CS"/>
              </w:rPr>
            </w:pPr>
            <w:r w:rsidRPr="00646254">
              <w:rPr>
                <w:rFonts w:eastAsiaTheme="minorEastAsia"/>
                <w:bCs/>
                <w:color w:val="002060"/>
                <w:sz w:val="18"/>
                <w:szCs w:val="18"/>
                <w:lang w:val="sr-Cyrl-CS"/>
              </w:rPr>
              <w:t>1,9</w:t>
            </w:r>
          </w:p>
        </w:tc>
      </w:tr>
      <w:tr w:rsidR="001A5BCF" w:rsidRPr="00646254" w14:paraId="27D9D7BF" w14:textId="77777777" w:rsidTr="00B97B32">
        <w:trPr>
          <w:cnfStyle w:val="000000100000" w:firstRow="0" w:lastRow="0" w:firstColumn="0" w:lastColumn="0" w:oddVBand="0" w:evenVBand="0" w:oddHBand="1" w:evenHBand="0" w:firstRowFirstColumn="0" w:firstRowLastColumn="0" w:lastRowFirstColumn="0" w:lastRowLastColumn="0"/>
          <w:trHeight w:hRule="exact" w:val="284"/>
        </w:trPr>
        <w:tc>
          <w:tcPr>
            <w:cnfStyle w:val="001000000000" w:firstRow="0" w:lastRow="0" w:firstColumn="1" w:lastColumn="0" w:oddVBand="0" w:evenVBand="0" w:oddHBand="0" w:evenHBand="0" w:firstRowFirstColumn="0" w:firstRowLastColumn="0" w:lastRowFirstColumn="0" w:lastRowLastColumn="0"/>
            <w:tcW w:w="7804" w:type="dxa"/>
            <w:tcBorders>
              <w:top w:val="nil"/>
              <w:bottom w:val="nil"/>
            </w:tcBorders>
            <w:shd w:val="clear" w:color="auto" w:fill="auto"/>
            <w:noWrap/>
            <w:hideMark/>
          </w:tcPr>
          <w:p w14:paraId="35394C32" w14:textId="77777777" w:rsidR="001A5BCF" w:rsidRPr="00646254" w:rsidRDefault="001A5BCF" w:rsidP="00B97B32">
            <w:pPr>
              <w:keepNext/>
              <w:spacing w:after="160" w:line="259" w:lineRule="auto"/>
              <w:rPr>
                <w:rFonts w:eastAsiaTheme="minorEastAsia"/>
                <w:bCs w:val="0"/>
                <w:color w:val="002060"/>
                <w:sz w:val="18"/>
                <w:szCs w:val="18"/>
                <w:lang w:val="sr-Cyrl-CS"/>
              </w:rPr>
            </w:pPr>
            <w:r w:rsidRPr="00646254">
              <w:rPr>
                <w:rFonts w:eastAsiaTheme="minorEastAsia"/>
                <w:b w:val="0"/>
                <w:bCs w:val="0"/>
                <w:color w:val="002060"/>
                <w:sz w:val="18"/>
                <w:szCs w:val="18"/>
                <w:lang w:val="sr-Cyrl-CS"/>
              </w:rPr>
              <w:t>Остале мере</w:t>
            </w:r>
          </w:p>
        </w:tc>
        <w:tc>
          <w:tcPr>
            <w:tcW w:w="848" w:type="dxa"/>
            <w:tcBorders>
              <w:top w:val="nil"/>
              <w:bottom w:val="nil"/>
            </w:tcBorders>
            <w:shd w:val="clear" w:color="auto" w:fill="auto"/>
            <w:noWrap/>
            <w:hideMark/>
          </w:tcPr>
          <w:p w14:paraId="722CE012" w14:textId="77777777" w:rsidR="001A5BCF" w:rsidRPr="00646254" w:rsidRDefault="001A5BCF" w:rsidP="00B97B32">
            <w:pPr>
              <w:keepNext/>
              <w:spacing w:after="160" w:line="259" w:lineRule="auto"/>
              <w:jc w:val="right"/>
              <w:cnfStyle w:val="000000100000" w:firstRow="0" w:lastRow="0" w:firstColumn="0" w:lastColumn="0" w:oddVBand="0" w:evenVBand="0" w:oddHBand="1" w:evenHBand="0" w:firstRowFirstColumn="0" w:firstRowLastColumn="0" w:lastRowFirstColumn="0" w:lastRowLastColumn="0"/>
              <w:rPr>
                <w:rFonts w:eastAsiaTheme="minorEastAsia"/>
                <w:bCs/>
                <w:color w:val="002060"/>
                <w:sz w:val="18"/>
                <w:szCs w:val="18"/>
                <w:lang w:val="sr-Cyrl-CS"/>
              </w:rPr>
            </w:pPr>
            <w:r w:rsidRPr="00646254">
              <w:rPr>
                <w:rFonts w:eastAsiaTheme="minorEastAsia"/>
                <w:bCs/>
                <w:color w:val="002060"/>
                <w:sz w:val="18"/>
                <w:szCs w:val="18"/>
                <w:lang w:val="sr-Cyrl-CS"/>
              </w:rPr>
              <w:t> </w:t>
            </w:r>
          </w:p>
        </w:tc>
        <w:tc>
          <w:tcPr>
            <w:tcW w:w="849" w:type="dxa"/>
            <w:tcBorders>
              <w:top w:val="nil"/>
              <w:bottom w:val="nil"/>
            </w:tcBorders>
            <w:shd w:val="clear" w:color="auto" w:fill="auto"/>
            <w:noWrap/>
            <w:hideMark/>
          </w:tcPr>
          <w:p w14:paraId="3E9CFE70" w14:textId="77777777" w:rsidR="001A5BCF" w:rsidRPr="00646254" w:rsidRDefault="001A5BCF" w:rsidP="00B97B32">
            <w:pPr>
              <w:keepNext/>
              <w:spacing w:after="160" w:line="259" w:lineRule="auto"/>
              <w:jc w:val="right"/>
              <w:cnfStyle w:val="000000100000" w:firstRow="0" w:lastRow="0" w:firstColumn="0" w:lastColumn="0" w:oddVBand="0" w:evenVBand="0" w:oddHBand="1" w:evenHBand="0" w:firstRowFirstColumn="0" w:firstRowLastColumn="0" w:lastRowFirstColumn="0" w:lastRowLastColumn="0"/>
              <w:rPr>
                <w:rFonts w:eastAsiaTheme="minorEastAsia"/>
                <w:bCs/>
                <w:color w:val="002060"/>
                <w:sz w:val="18"/>
                <w:szCs w:val="18"/>
                <w:lang w:val="sr-Cyrl-CS"/>
              </w:rPr>
            </w:pPr>
            <w:r w:rsidRPr="00646254">
              <w:rPr>
                <w:rFonts w:eastAsiaTheme="minorEastAsia"/>
                <w:bCs/>
                <w:color w:val="002060"/>
                <w:sz w:val="18"/>
                <w:szCs w:val="18"/>
                <w:lang w:val="sr-Cyrl-CS"/>
              </w:rPr>
              <w:t> </w:t>
            </w:r>
          </w:p>
        </w:tc>
      </w:tr>
      <w:tr w:rsidR="001A5BCF" w:rsidRPr="00646254" w14:paraId="504F9B08" w14:textId="77777777" w:rsidTr="00B97B32">
        <w:trPr>
          <w:trHeight w:hRule="exact" w:val="284"/>
        </w:trPr>
        <w:tc>
          <w:tcPr>
            <w:cnfStyle w:val="001000000000" w:firstRow="0" w:lastRow="0" w:firstColumn="1" w:lastColumn="0" w:oddVBand="0" w:evenVBand="0" w:oddHBand="0" w:evenHBand="0" w:firstRowFirstColumn="0" w:firstRowLastColumn="0" w:lastRowFirstColumn="0" w:lastRowLastColumn="0"/>
            <w:tcW w:w="7804" w:type="dxa"/>
            <w:tcBorders>
              <w:top w:val="nil"/>
              <w:bottom w:val="nil"/>
            </w:tcBorders>
            <w:shd w:val="clear" w:color="auto" w:fill="auto"/>
            <w:noWrap/>
            <w:hideMark/>
          </w:tcPr>
          <w:p w14:paraId="6B3671AE" w14:textId="77777777" w:rsidR="001A5BCF" w:rsidRPr="00646254" w:rsidRDefault="001A5BCF" w:rsidP="00B97B32">
            <w:pPr>
              <w:keepNext/>
              <w:spacing w:after="160" w:line="259" w:lineRule="auto"/>
              <w:rPr>
                <w:rFonts w:eastAsiaTheme="minorEastAsia"/>
                <w:bCs w:val="0"/>
                <w:color w:val="002060"/>
                <w:sz w:val="18"/>
                <w:szCs w:val="18"/>
                <w:lang w:val="sr-Cyrl-CS"/>
              </w:rPr>
            </w:pPr>
            <w:r w:rsidRPr="00646254">
              <w:rPr>
                <w:rFonts w:eastAsiaTheme="minorEastAsia"/>
                <w:b w:val="0"/>
                <w:bCs w:val="0"/>
                <w:color w:val="002060"/>
                <w:sz w:val="18"/>
                <w:szCs w:val="18"/>
                <w:lang w:val="sr-Cyrl-CS"/>
              </w:rPr>
              <w:t>Фискални подстицај - подстицање домаће тражње</w:t>
            </w:r>
          </w:p>
        </w:tc>
        <w:tc>
          <w:tcPr>
            <w:tcW w:w="848" w:type="dxa"/>
            <w:tcBorders>
              <w:top w:val="nil"/>
              <w:bottom w:val="nil"/>
            </w:tcBorders>
            <w:shd w:val="clear" w:color="auto" w:fill="auto"/>
            <w:noWrap/>
            <w:hideMark/>
          </w:tcPr>
          <w:p w14:paraId="22B4225D" w14:textId="77777777" w:rsidR="001A5BCF" w:rsidRPr="00646254" w:rsidRDefault="001A5BCF" w:rsidP="00E96A1D">
            <w:pPr>
              <w:keepNext/>
              <w:spacing w:after="160" w:line="259" w:lineRule="auto"/>
              <w:jc w:val="right"/>
              <w:cnfStyle w:val="000000000000" w:firstRow="0" w:lastRow="0" w:firstColumn="0" w:lastColumn="0" w:oddVBand="0" w:evenVBand="0" w:oddHBand="0" w:evenHBand="0" w:firstRowFirstColumn="0" w:firstRowLastColumn="0" w:lastRowFirstColumn="0" w:lastRowLastColumn="0"/>
              <w:rPr>
                <w:rFonts w:eastAsiaTheme="minorEastAsia"/>
                <w:bCs/>
                <w:color w:val="002060"/>
                <w:sz w:val="18"/>
                <w:szCs w:val="18"/>
                <w:lang w:val="sr-Cyrl-CS"/>
              </w:rPr>
            </w:pPr>
            <w:r w:rsidRPr="00646254">
              <w:rPr>
                <w:rFonts w:eastAsiaTheme="minorEastAsia"/>
                <w:bCs/>
                <w:color w:val="002060"/>
                <w:sz w:val="18"/>
                <w:szCs w:val="18"/>
                <w:lang w:val="sr-Cyrl-CS"/>
              </w:rPr>
              <w:t>73,1</w:t>
            </w:r>
          </w:p>
        </w:tc>
        <w:tc>
          <w:tcPr>
            <w:tcW w:w="849" w:type="dxa"/>
            <w:tcBorders>
              <w:top w:val="nil"/>
              <w:bottom w:val="nil"/>
            </w:tcBorders>
            <w:shd w:val="clear" w:color="auto" w:fill="auto"/>
            <w:noWrap/>
            <w:hideMark/>
          </w:tcPr>
          <w:p w14:paraId="739710E4" w14:textId="77777777" w:rsidR="001A5BCF" w:rsidRPr="00646254" w:rsidRDefault="001A5BCF" w:rsidP="00B97B32">
            <w:pPr>
              <w:keepNext/>
              <w:spacing w:after="160" w:line="259" w:lineRule="auto"/>
              <w:jc w:val="right"/>
              <w:cnfStyle w:val="000000000000" w:firstRow="0" w:lastRow="0" w:firstColumn="0" w:lastColumn="0" w:oddVBand="0" w:evenVBand="0" w:oddHBand="0" w:evenHBand="0" w:firstRowFirstColumn="0" w:firstRowLastColumn="0" w:lastRowFirstColumn="0" w:lastRowLastColumn="0"/>
              <w:rPr>
                <w:rFonts w:eastAsiaTheme="minorEastAsia"/>
                <w:bCs/>
                <w:color w:val="002060"/>
                <w:sz w:val="18"/>
                <w:szCs w:val="18"/>
                <w:lang w:val="sr-Cyrl-CS"/>
              </w:rPr>
            </w:pPr>
            <w:r w:rsidRPr="00646254">
              <w:rPr>
                <w:rFonts w:eastAsiaTheme="minorEastAsia"/>
                <w:bCs/>
                <w:color w:val="002060"/>
                <w:sz w:val="18"/>
                <w:szCs w:val="18"/>
                <w:lang w:val="sr-Cyrl-CS"/>
              </w:rPr>
              <w:t>1,2</w:t>
            </w:r>
          </w:p>
          <w:p w14:paraId="056FE322" w14:textId="77777777" w:rsidR="001A5BCF" w:rsidRPr="00646254" w:rsidRDefault="001A5BCF" w:rsidP="00B97B32">
            <w:pPr>
              <w:keepNext/>
              <w:spacing w:after="160" w:line="259" w:lineRule="auto"/>
              <w:jc w:val="right"/>
              <w:cnfStyle w:val="000000000000" w:firstRow="0" w:lastRow="0" w:firstColumn="0" w:lastColumn="0" w:oddVBand="0" w:evenVBand="0" w:oddHBand="0" w:evenHBand="0" w:firstRowFirstColumn="0" w:firstRowLastColumn="0" w:lastRowFirstColumn="0" w:lastRowLastColumn="0"/>
              <w:rPr>
                <w:rFonts w:eastAsiaTheme="minorEastAsia"/>
                <w:bCs/>
                <w:color w:val="002060"/>
                <w:sz w:val="18"/>
                <w:szCs w:val="18"/>
                <w:lang w:val="sr-Cyrl-CS"/>
              </w:rPr>
            </w:pPr>
          </w:p>
          <w:p w14:paraId="30693CD6" w14:textId="77777777" w:rsidR="001A5BCF" w:rsidRPr="00646254" w:rsidRDefault="001A5BCF" w:rsidP="00B97B32">
            <w:pPr>
              <w:keepNext/>
              <w:spacing w:after="160" w:line="259" w:lineRule="auto"/>
              <w:jc w:val="right"/>
              <w:cnfStyle w:val="000000000000" w:firstRow="0" w:lastRow="0" w:firstColumn="0" w:lastColumn="0" w:oddVBand="0" w:evenVBand="0" w:oddHBand="0" w:evenHBand="0" w:firstRowFirstColumn="0" w:firstRowLastColumn="0" w:lastRowFirstColumn="0" w:lastRowLastColumn="0"/>
              <w:rPr>
                <w:rFonts w:eastAsiaTheme="minorEastAsia"/>
                <w:bCs/>
                <w:color w:val="002060"/>
                <w:sz w:val="18"/>
                <w:szCs w:val="18"/>
                <w:lang w:val="sr-Cyrl-CS"/>
              </w:rPr>
            </w:pPr>
          </w:p>
        </w:tc>
      </w:tr>
      <w:tr w:rsidR="001A5BCF" w:rsidRPr="00646254" w14:paraId="1C059AC2" w14:textId="77777777" w:rsidTr="00B97B32">
        <w:trPr>
          <w:cnfStyle w:val="000000100000" w:firstRow="0" w:lastRow="0" w:firstColumn="0" w:lastColumn="0" w:oddVBand="0" w:evenVBand="0" w:oddHBand="1" w:evenHBand="0" w:firstRowFirstColumn="0" w:firstRowLastColumn="0" w:lastRowFirstColumn="0" w:lastRowLastColumn="0"/>
          <w:trHeight w:hRule="exact" w:val="284"/>
        </w:trPr>
        <w:tc>
          <w:tcPr>
            <w:cnfStyle w:val="001000000000" w:firstRow="0" w:lastRow="0" w:firstColumn="1" w:lastColumn="0" w:oddVBand="0" w:evenVBand="0" w:oddHBand="0" w:evenHBand="0" w:firstRowFirstColumn="0" w:firstRowLastColumn="0" w:lastRowFirstColumn="0" w:lastRowLastColumn="0"/>
            <w:tcW w:w="7804" w:type="dxa"/>
            <w:tcBorders>
              <w:top w:val="nil"/>
              <w:bottom w:val="nil"/>
            </w:tcBorders>
            <w:shd w:val="clear" w:color="auto" w:fill="auto"/>
            <w:noWrap/>
          </w:tcPr>
          <w:p w14:paraId="18FB7214" w14:textId="77777777" w:rsidR="001A5BCF" w:rsidRPr="00646254" w:rsidRDefault="001A5BCF" w:rsidP="00B97B32">
            <w:pPr>
              <w:keepNext/>
              <w:rPr>
                <w:rFonts w:eastAsiaTheme="minorEastAsia"/>
                <w:b w:val="0"/>
                <w:color w:val="002060"/>
                <w:sz w:val="18"/>
                <w:szCs w:val="18"/>
                <w:lang w:val="sr-Cyrl-CS"/>
              </w:rPr>
            </w:pPr>
            <w:r w:rsidRPr="00646254">
              <w:rPr>
                <w:rFonts w:eastAsiaTheme="minorEastAsia"/>
                <w:b w:val="0"/>
                <w:color w:val="002060"/>
                <w:sz w:val="18"/>
                <w:szCs w:val="18"/>
                <w:lang w:val="sr-Cyrl-CS"/>
              </w:rPr>
              <w:t>Бонус за вакцинацију</w:t>
            </w:r>
          </w:p>
        </w:tc>
        <w:tc>
          <w:tcPr>
            <w:tcW w:w="848" w:type="dxa"/>
            <w:tcBorders>
              <w:top w:val="nil"/>
              <w:bottom w:val="nil"/>
            </w:tcBorders>
            <w:shd w:val="clear" w:color="auto" w:fill="auto"/>
            <w:noWrap/>
          </w:tcPr>
          <w:p w14:paraId="01541986" w14:textId="77777777" w:rsidR="001A5BCF" w:rsidRPr="00646254" w:rsidRDefault="001A5BCF" w:rsidP="00B97B32">
            <w:pPr>
              <w:keepNext/>
              <w:jc w:val="right"/>
              <w:cnfStyle w:val="000000100000" w:firstRow="0" w:lastRow="0" w:firstColumn="0" w:lastColumn="0" w:oddVBand="0" w:evenVBand="0" w:oddHBand="1" w:evenHBand="0" w:firstRowFirstColumn="0" w:firstRowLastColumn="0" w:lastRowFirstColumn="0" w:lastRowLastColumn="0"/>
              <w:rPr>
                <w:rFonts w:eastAsiaTheme="minorEastAsia"/>
                <w:bCs/>
                <w:color w:val="002060"/>
                <w:sz w:val="18"/>
                <w:szCs w:val="18"/>
                <w:lang w:val="sr-Cyrl-CS"/>
              </w:rPr>
            </w:pPr>
            <w:r w:rsidRPr="00646254">
              <w:rPr>
                <w:rFonts w:eastAsiaTheme="minorEastAsia"/>
                <w:bCs/>
                <w:color w:val="002060"/>
                <w:sz w:val="18"/>
                <w:szCs w:val="18"/>
                <w:lang w:val="sr-Cyrl-CS"/>
              </w:rPr>
              <w:t>7,1</w:t>
            </w:r>
          </w:p>
        </w:tc>
        <w:tc>
          <w:tcPr>
            <w:tcW w:w="849" w:type="dxa"/>
            <w:tcBorders>
              <w:top w:val="nil"/>
              <w:bottom w:val="nil"/>
            </w:tcBorders>
            <w:shd w:val="clear" w:color="auto" w:fill="auto"/>
            <w:noWrap/>
          </w:tcPr>
          <w:p w14:paraId="1263DC42" w14:textId="77777777" w:rsidR="001A5BCF" w:rsidRPr="00646254" w:rsidRDefault="001A5BCF" w:rsidP="00B97B32">
            <w:pPr>
              <w:keepNext/>
              <w:jc w:val="right"/>
              <w:cnfStyle w:val="000000100000" w:firstRow="0" w:lastRow="0" w:firstColumn="0" w:lastColumn="0" w:oddVBand="0" w:evenVBand="0" w:oddHBand="1" w:evenHBand="0" w:firstRowFirstColumn="0" w:firstRowLastColumn="0" w:lastRowFirstColumn="0" w:lastRowLastColumn="0"/>
              <w:rPr>
                <w:rFonts w:eastAsiaTheme="minorEastAsia"/>
                <w:bCs/>
                <w:color w:val="002060"/>
                <w:sz w:val="18"/>
                <w:szCs w:val="18"/>
                <w:lang w:val="sr-Cyrl-CS"/>
              </w:rPr>
            </w:pPr>
            <w:r w:rsidRPr="00646254">
              <w:rPr>
                <w:rFonts w:eastAsiaTheme="minorEastAsia"/>
                <w:bCs/>
                <w:color w:val="002060"/>
                <w:sz w:val="18"/>
                <w:szCs w:val="18"/>
                <w:lang w:val="sr-Cyrl-CS"/>
              </w:rPr>
              <w:t>0,1</w:t>
            </w:r>
          </w:p>
        </w:tc>
      </w:tr>
      <w:tr w:rsidR="001A5BCF" w:rsidRPr="00646254" w14:paraId="08E00753" w14:textId="77777777" w:rsidTr="00B97B32">
        <w:trPr>
          <w:trHeight w:hRule="exact" w:val="284"/>
        </w:trPr>
        <w:tc>
          <w:tcPr>
            <w:cnfStyle w:val="001000000000" w:firstRow="0" w:lastRow="0" w:firstColumn="1" w:lastColumn="0" w:oddVBand="0" w:evenVBand="0" w:oddHBand="0" w:evenHBand="0" w:firstRowFirstColumn="0" w:firstRowLastColumn="0" w:lastRowFirstColumn="0" w:lastRowLastColumn="0"/>
            <w:tcW w:w="7804" w:type="dxa"/>
            <w:tcBorders>
              <w:top w:val="nil"/>
              <w:bottom w:val="nil"/>
            </w:tcBorders>
            <w:shd w:val="clear" w:color="auto" w:fill="E7E6E6" w:themeFill="background2"/>
            <w:noWrap/>
            <w:hideMark/>
          </w:tcPr>
          <w:p w14:paraId="1E0ECE19" w14:textId="77777777" w:rsidR="001A5BCF" w:rsidRPr="00646254" w:rsidRDefault="001A5BCF" w:rsidP="00B97B32">
            <w:pPr>
              <w:keepNext/>
              <w:spacing w:after="160" w:line="259" w:lineRule="auto"/>
              <w:rPr>
                <w:rFonts w:eastAsiaTheme="minorEastAsia"/>
                <w:bCs w:val="0"/>
                <w:color w:val="002060"/>
                <w:sz w:val="18"/>
                <w:szCs w:val="18"/>
                <w:lang w:val="sr-Cyrl-CS"/>
              </w:rPr>
            </w:pPr>
            <w:r w:rsidRPr="00646254">
              <w:rPr>
                <w:rFonts w:eastAsiaTheme="minorEastAsia"/>
                <w:b w:val="0"/>
                <w:bCs w:val="0"/>
                <w:color w:val="002060"/>
                <w:sz w:val="18"/>
                <w:szCs w:val="18"/>
                <w:lang w:val="sr-Cyrl-CS"/>
              </w:rPr>
              <w:t>Укупно</w:t>
            </w:r>
          </w:p>
        </w:tc>
        <w:tc>
          <w:tcPr>
            <w:tcW w:w="848" w:type="dxa"/>
            <w:tcBorders>
              <w:top w:val="nil"/>
              <w:bottom w:val="nil"/>
            </w:tcBorders>
            <w:shd w:val="clear" w:color="auto" w:fill="E7E6E6" w:themeFill="background2"/>
            <w:noWrap/>
            <w:hideMark/>
          </w:tcPr>
          <w:p w14:paraId="39054719" w14:textId="77777777" w:rsidR="001A5BCF" w:rsidRPr="00646254" w:rsidRDefault="001A5BCF" w:rsidP="00B97B32">
            <w:pPr>
              <w:keepNext/>
              <w:spacing w:after="160" w:line="259" w:lineRule="auto"/>
              <w:jc w:val="right"/>
              <w:cnfStyle w:val="000000000000" w:firstRow="0" w:lastRow="0" w:firstColumn="0" w:lastColumn="0" w:oddVBand="0" w:evenVBand="0" w:oddHBand="0" w:evenHBand="0" w:firstRowFirstColumn="0" w:firstRowLastColumn="0" w:lastRowFirstColumn="0" w:lastRowLastColumn="0"/>
              <w:rPr>
                <w:rFonts w:eastAsiaTheme="minorEastAsia"/>
                <w:bCs/>
                <w:color w:val="002060"/>
                <w:sz w:val="18"/>
                <w:szCs w:val="18"/>
                <w:lang w:val="sr-Cyrl-CS"/>
              </w:rPr>
            </w:pPr>
            <w:r w:rsidRPr="00646254">
              <w:rPr>
                <w:rFonts w:eastAsiaTheme="minorEastAsia"/>
                <w:bCs/>
                <w:color w:val="002060"/>
                <w:sz w:val="18"/>
                <w:szCs w:val="18"/>
                <w:lang w:val="sr-Cyrl-CS"/>
              </w:rPr>
              <w:t>80,2</w:t>
            </w:r>
          </w:p>
        </w:tc>
        <w:tc>
          <w:tcPr>
            <w:tcW w:w="849" w:type="dxa"/>
            <w:tcBorders>
              <w:top w:val="nil"/>
              <w:bottom w:val="nil"/>
            </w:tcBorders>
            <w:shd w:val="clear" w:color="auto" w:fill="E7E6E6" w:themeFill="background2"/>
            <w:noWrap/>
            <w:hideMark/>
          </w:tcPr>
          <w:p w14:paraId="1A855A25" w14:textId="77777777" w:rsidR="001A5BCF" w:rsidRPr="00646254" w:rsidRDefault="001A5BCF" w:rsidP="00B97B32">
            <w:pPr>
              <w:keepNext/>
              <w:spacing w:after="160" w:line="259" w:lineRule="auto"/>
              <w:jc w:val="right"/>
              <w:cnfStyle w:val="000000000000" w:firstRow="0" w:lastRow="0" w:firstColumn="0" w:lastColumn="0" w:oddVBand="0" w:evenVBand="0" w:oddHBand="0" w:evenHBand="0" w:firstRowFirstColumn="0" w:firstRowLastColumn="0" w:lastRowFirstColumn="0" w:lastRowLastColumn="0"/>
              <w:rPr>
                <w:rFonts w:eastAsiaTheme="minorEastAsia"/>
                <w:bCs/>
                <w:color w:val="002060"/>
                <w:sz w:val="18"/>
                <w:szCs w:val="18"/>
                <w:lang w:val="sr-Cyrl-CS"/>
              </w:rPr>
            </w:pPr>
            <w:r w:rsidRPr="00646254">
              <w:rPr>
                <w:rFonts w:eastAsiaTheme="minorEastAsia"/>
                <w:bCs/>
                <w:color w:val="002060"/>
                <w:sz w:val="18"/>
                <w:szCs w:val="18"/>
                <w:lang w:val="sr-Cyrl-CS"/>
              </w:rPr>
              <w:t>1,3</w:t>
            </w:r>
          </w:p>
        </w:tc>
      </w:tr>
      <w:tr w:rsidR="001A5BCF" w:rsidRPr="00646254" w14:paraId="51D216E2" w14:textId="77777777" w:rsidTr="00B97B32">
        <w:trPr>
          <w:cnfStyle w:val="000000100000" w:firstRow="0" w:lastRow="0" w:firstColumn="0" w:lastColumn="0" w:oddVBand="0" w:evenVBand="0" w:oddHBand="1" w:evenHBand="0" w:firstRowFirstColumn="0" w:firstRowLastColumn="0" w:lastRowFirstColumn="0" w:lastRowLastColumn="0"/>
          <w:trHeight w:hRule="exact" w:val="284"/>
        </w:trPr>
        <w:tc>
          <w:tcPr>
            <w:cnfStyle w:val="001000000000" w:firstRow="0" w:lastRow="0" w:firstColumn="1" w:lastColumn="0" w:oddVBand="0" w:evenVBand="0" w:oddHBand="0" w:evenHBand="0" w:firstRowFirstColumn="0" w:firstRowLastColumn="0" w:lastRowFirstColumn="0" w:lastRowLastColumn="0"/>
            <w:tcW w:w="7804" w:type="dxa"/>
            <w:tcBorders>
              <w:top w:val="nil"/>
              <w:bottom w:val="nil"/>
            </w:tcBorders>
            <w:shd w:val="clear" w:color="auto" w:fill="auto"/>
            <w:noWrap/>
            <w:hideMark/>
          </w:tcPr>
          <w:p w14:paraId="1585B261" w14:textId="77777777" w:rsidR="001A5BCF" w:rsidRPr="00646254" w:rsidRDefault="001A5BCF" w:rsidP="00B97B32">
            <w:pPr>
              <w:keepNext/>
              <w:spacing w:after="160" w:line="259" w:lineRule="auto"/>
              <w:rPr>
                <w:rFonts w:eastAsiaTheme="minorEastAsia"/>
                <w:b w:val="0"/>
                <w:bCs w:val="0"/>
                <w:color w:val="002060"/>
                <w:sz w:val="18"/>
                <w:szCs w:val="18"/>
                <w:lang w:val="sr-Cyrl-CS"/>
              </w:rPr>
            </w:pPr>
            <w:r w:rsidRPr="00646254">
              <w:rPr>
                <w:rFonts w:eastAsiaTheme="minorEastAsia"/>
                <w:b w:val="0"/>
                <w:bCs w:val="0"/>
                <w:color w:val="002060"/>
                <w:sz w:val="18"/>
                <w:szCs w:val="18"/>
                <w:lang w:val="sr-Cyrl-CS"/>
              </w:rPr>
              <w:t>Процена утицаја фискалних мера</w:t>
            </w:r>
          </w:p>
        </w:tc>
        <w:tc>
          <w:tcPr>
            <w:tcW w:w="848" w:type="dxa"/>
            <w:tcBorders>
              <w:top w:val="nil"/>
              <w:bottom w:val="nil"/>
            </w:tcBorders>
            <w:shd w:val="clear" w:color="auto" w:fill="auto"/>
            <w:noWrap/>
            <w:hideMark/>
          </w:tcPr>
          <w:p w14:paraId="4518E1B2" w14:textId="77777777" w:rsidR="001A5BCF" w:rsidRPr="00646254" w:rsidRDefault="001A5BCF" w:rsidP="00B97B32">
            <w:pPr>
              <w:keepNext/>
              <w:spacing w:after="160" w:line="259" w:lineRule="auto"/>
              <w:jc w:val="right"/>
              <w:cnfStyle w:val="000000100000" w:firstRow="0" w:lastRow="0" w:firstColumn="0" w:lastColumn="0" w:oddVBand="0" w:evenVBand="0" w:oddHBand="1" w:evenHBand="0" w:firstRowFirstColumn="0" w:firstRowLastColumn="0" w:lastRowFirstColumn="0" w:lastRowLastColumn="0"/>
              <w:rPr>
                <w:rFonts w:eastAsiaTheme="minorEastAsia"/>
                <w:b/>
                <w:bCs/>
                <w:color w:val="002060"/>
                <w:sz w:val="18"/>
                <w:szCs w:val="18"/>
                <w:lang w:val="sr-Cyrl-CS"/>
              </w:rPr>
            </w:pPr>
            <w:r w:rsidRPr="00646254">
              <w:rPr>
                <w:rFonts w:eastAsiaTheme="minorEastAsia"/>
                <w:b/>
                <w:bCs/>
                <w:color w:val="002060"/>
                <w:sz w:val="18"/>
                <w:szCs w:val="18"/>
                <w:lang w:val="sr-Cyrl-CS"/>
              </w:rPr>
              <w:t>140,5</w:t>
            </w:r>
          </w:p>
        </w:tc>
        <w:tc>
          <w:tcPr>
            <w:tcW w:w="849" w:type="dxa"/>
            <w:tcBorders>
              <w:top w:val="nil"/>
              <w:bottom w:val="nil"/>
            </w:tcBorders>
            <w:shd w:val="clear" w:color="auto" w:fill="auto"/>
            <w:noWrap/>
            <w:hideMark/>
          </w:tcPr>
          <w:p w14:paraId="669734D1" w14:textId="77777777" w:rsidR="001A5BCF" w:rsidRPr="00646254" w:rsidRDefault="001A5BCF" w:rsidP="00B97B32">
            <w:pPr>
              <w:keepNext/>
              <w:spacing w:after="160" w:line="259" w:lineRule="auto"/>
              <w:jc w:val="right"/>
              <w:cnfStyle w:val="000000100000" w:firstRow="0" w:lastRow="0" w:firstColumn="0" w:lastColumn="0" w:oddVBand="0" w:evenVBand="0" w:oddHBand="1" w:evenHBand="0" w:firstRowFirstColumn="0" w:firstRowLastColumn="0" w:lastRowFirstColumn="0" w:lastRowLastColumn="0"/>
              <w:rPr>
                <w:rFonts w:eastAsiaTheme="minorEastAsia"/>
                <w:b/>
                <w:bCs/>
                <w:color w:val="002060"/>
                <w:sz w:val="18"/>
                <w:szCs w:val="18"/>
                <w:lang w:val="sr-Cyrl-CS"/>
              </w:rPr>
            </w:pPr>
            <w:r w:rsidRPr="00646254">
              <w:rPr>
                <w:rFonts w:eastAsiaTheme="minorEastAsia"/>
                <w:b/>
                <w:bCs/>
                <w:color w:val="002060"/>
                <w:sz w:val="18"/>
                <w:szCs w:val="18"/>
                <w:lang w:val="sr-Cyrl-CS"/>
              </w:rPr>
              <w:t>2,3</w:t>
            </w:r>
          </w:p>
        </w:tc>
      </w:tr>
      <w:tr w:rsidR="001A5BCF" w:rsidRPr="00646254" w14:paraId="215AF5C5" w14:textId="77777777" w:rsidTr="00B97B32">
        <w:trPr>
          <w:trHeight w:hRule="exact" w:val="284"/>
        </w:trPr>
        <w:tc>
          <w:tcPr>
            <w:cnfStyle w:val="001000000000" w:firstRow="0" w:lastRow="0" w:firstColumn="1" w:lastColumn="0" w:oddVBand="0" w:evenVBand="0" w:oddHBand="0" w:evenHBand="0" w:firstRowFirstColumn="0" w:firstRowLastColumn="0" w:lastRowFirstColumn="0" w:lastRowLastColumn="0"/>
            <w:tcW w:w="7804" w:type="dxa"/>
            <w:tcBorders>
              <w:top w:val="nil"/>
              <w:bottom w:val="single" w:sz="4" w:space="0" w:color="002060"/>
            </w:tcBorders>
            <w:shd w:val="clear" w:color="auto" w:fill="E7E6E6" w:themeFill="background2"/>
            <w:noWrap/>
            <w:hideMark/>
          </w:tcPr>
          <w:p w14:paraId="03C4B798" w14:textId="77777777" w:rsidR="001A5BCF" w:rsidRPr="00646254" w:rsidRDefault="001A5BCF" w:rsidP="00B97B32">
            <w:pPr>
              <w:keepNext/>
              <w:spacing w:after="160" w:line="259" w:lineRule="auto"/>
              <w:rPr>
                <w:rFonts w:eastAsiaTheme="minorEastAsia"/>
                <w:b w:val="0"/>
                <w:bCs w:val="0"/>
                <w:color w:val="002060"/>
                <w:sz w:val="18"/>
                <w:szCs w:val="18"/>
                <w:lang w:val="sr-Cyrl-CS"/>
              </w:rPr>
            </w:pPr>
            <w:r w:rsidRPr="00646254">
              <w:rPr>
                <w:rFonts w:eastAsiaTheme="minorEastAsia"/>
                <w:b w:val="0"/>
                <w:bCs w:val="0"/>
                <w:color w:val="002060"/>
                <w:sz w:val="18"/>
                <w:szCs w:val="18"/>
                <w:lang w:val="sr-Cyrl-CS"/>
              </w:rPr>
              <w:t>Укупан пакет мера</w:t>
            </w:r>
          </w:p>
        </w:tc>
        <w:tc>
          <w:tcPr>
            <w:tcW w:w="848" w:type="dxa"/>
            <w:tcBorders>
              <w:top w:val="nil"/>
              <w:bottom w:val="single" w:sz="4" w:space="0" w:color="002060"/>
            </w:tcBorders>
            <w:shd w:val="clear" w:color="auto" w:fill="E7E6E6" w:themeFill="background2"/>
            <w:noWrap/>
            <w:hideMark/>
          </w:tcPr>
          <w:p w14:paraId="2CC3ED61" w14:textId="77777777" w:rsidR="001A5BCF" w:rsidRPr="00646254" w:rsidRDefault="001A5BCF" w:rsidP="00B97B32">
            <w:pPr>
              <w:keepNext/>
              <w:spacing w:after="160" w:line="259" w:lineRule="auto"/>
              <w:jc w:val="right"/>
              <w:cnfStyle w:val="000000000000" w:firstRow="0" w:lastRow="0" w:firstColumn="0" w:lastColumn="0" w:oddVBand="0" w:evenVBand="0" w:oddHBand="0" w:evenHBand="0" w:firstRowFirstColumn="0" w:firstRowLastColumn="0" w:lastRowFirstColumn="0" w:lastRowLastColumn="0"/>
              <w:rPr>
                <w:rFonts w:eastAsiaTheme="minorEastAsia"/>
                <w:b/>
                <w:bCs/>
                <w:color w:val="002060"/>
                <w:sz w:val="18"/>
                <w:szCs w:val="18"/>
                <w:lang w:val="sr-Cyrl-CS"/>
              </w:rPr>
            </w:pPr>
            <w:r w:rsidRPr="00646254">
              <w:rPr>
                <w:rFonts w:eastAsiaTheme="minorEastAsia"/>
                <w:b/>
                <w:bCs/>
                <w:color w:val="002060"/>
                <w:sz w:val="18"/>
                <w:szCs w:val="18"/>
                <w:lang w:val="sr-Cyrl-CS"/>
              </w:rPr>
              <w:t>260,5</w:t>
            </w:r>
          </w:p>
        </w:tc>
        <w:tc>
          <w:tcPr>
            <w:tcW w:w="849" w:type="dxa"/>
            <w:tcBorders>
              <w:top w:val="nil"/>
              <w:bottom w:val="single" w:sz="4" w:space="0" w:color="002060"/>
            </w:tcBorders>
            <w:shd w:val="clear" w:color="auto" w:fill="E7E6E6" w:themeFill="background2"/>
            <w:noWrap/>
            <w:hideMark/>
          </w:tcPr>
          <w:p w14:paraId="73766DB0" w14:textId="77777777" w:rsidR="001A5BCF" w:rsidRPr="00646254" w:rsidRDefault="001A5BCF" w:rsidP="00B97B32">
            <w:pPr>
              <w:keepNext/>
              <w:spacing w:after="160" w:line="259" w:lineRule="auto"/>
              <w:jc w:val="right"/>
              <w:cnfStyle w:val="000000000000" w:firstRow="0" w:lastRow="0" w:firstColumn="0" w:lastColumn="0" w:oddVBand="0" w:evenVBand="0" w:oddHBand="0" w:evenHBand="0" w:firstRowFirstColumn="0" w:firstRowLastColumn="0" w:lastRowFirstColumn="0" w:lastRowLastColumn="0"/>
              <w:rPr>
                <w:rFonts w:eastAsiaTheme="minorEastAsia"/>
                <w:b/>
                <w:bCs/>
                <w:color w:val="002060"/>
                <w:sz w:val="18"/>
                <w:szCs w:val="18"/>
                <w:lang w:val="sr-Cyrl-CS"/>
              </w:rPr>
            </w:pPr>
            <w:r w:rsidRPr="00646254">
              <w:rPr>
                <w:rFonts w:eastAsiaTheme="minorEastAsia"/>
                <w:b/>
                <w:bCs/>
                <w:color w:val="002060"/>
                <w:sz w:val="18"/>
                <w:szCs w:val="18"/>
                <w:lang w:val="sr-Cyrl-CS"/>
              </w:rPr>
              <w:t>4,2</w:t>
            </w:r>
          </w:p>
        </w:tc>
      </w:tr>
    </w:tbl>
    <w:p w14:paraId="399351B8" w14:textId="77777777" w:rsidR="001A5BCF" w:rsidRPr="00646254" w:rsidRDefault="001A5BCF" w:rsidP="00E2698E">
      <w:pPr>
        <w:spacing w:after="0" w:line="276" w:lineRule="auto"/>
        <w:rPr>
          <w:rFonts w:cstheme="minorHAnsi"/>
          <w:szCs w:val="24"/>
          <w:lang w:val="sr-Cyrl-CS"/>
        </w:rPr>
      </w:pPr>
      <w:r w:rsidRPr="00646254">
        <w:rPr>
          <w:rFonts w:ascii="Times New Roman" w:hAnsi="Times New Roman" w:cs="Times New Roman"/>
          <w:sz w:val="24"/>
          <w:szCs w:val="24"/>
          <w:lang w:val="sr-Cyrl-CS"/>
        </w:rPr>
        <w:fldChar w:fldCharType="end"/>
      </w:r>
    </w:p>
    <w:p w14:paraId="63B2E0CD" w14:textId="77777777" w:rsidR="001A5BCF" w:rsidRPr="00646254" w:rsidRDefault="001A5BCF" w:rsidP="00E2698E">
      <w:pPr>
        <w:spacing w:after="0" w:line="276" w:lineRule="auto"/>
        <w:rPr>
          <w:rFonts w:ascii="Times New Roman" w:hAnsi="Times New Roman" w:cs="Times New Roman"/>
          <w:szCs w:val="24"/>
          <w:lang w:val="sr-Cyrl-CS"/>
        </w:rPr>
        <w:sectPr w:rsidR="001A5BCF" w:rsidRPr="00646254" w:rsidSect="00AE40EB">
          <w:type w:val="continuous"/>
          <w:pgSz w:w="12240" w:h="15840" w:code="1"/>
          <w:pgMar w:top="1440" w:right="1440" w:bottom="1440" w:left="1440" w:header="720" w:footer="720" w:gutter="0"/>
          <w:cols w:space="720"/>
          <w:docGrid w:linePitch="360"/>
        </w:sectPr>
      </w:pPr>
    </w:p>
    <w:p w14:paraId="6066F3F5" w14:textId="77777777" w:rsidR="001A5BCF" w:rsidRPr="00646254" w:rsidRDefault="001A5BCF" w:rsidP="00B97B32">
      <w:pPr>
        <w:spacing w:after="60"/>
        <w:rPr>
          <w:rFonts w:eastAsia="MS PGothic" w:cstheme="minorHAnsi"/>
          <w:szCs w:val="20"/>
          <w:lang w:val="sr-Cyrl-CS" w:eastAsia="ja-JP"/>
        </w:rPr>
        <w:sectPr w:rsidR="001A5BCF" w:rsidRPr="00646254" w:rsidSect="008265F0">
          <w:type w:val="continuous"/>
          <w:pgSz w:w="12240" w:h="15840" w:code="1"/>
          <w:pgMar w:top="1440" w:right="1440" w:bottom="1440" w:left="1440" w:header="720" w:footer="720" w:gutter="0"/>
          <w:cols w:space="720"/>
          <w:docGrid w:linePitch="360"/>
        </w:sectPr>
      </w:pPr>
    </w:p>
    <w:p w14:paraId="68A9F5E3" w14:textId="7A5C4F4E" w:rsidR="001A5BCF" w:rsidRPr="00646254" w:rsidRDefault="001A5BCF" w:rsidP="008265F0">
      <w:pPr>
        <w:rPr>
          <w:rFonts w:eastAsia="MS PGothic" w:cstheme="minorHAnsi"/>
          <w:szCs w:val="20"/>
          <w:lang w:val="sr-Cyrl-CS" w:eastAsia="ja-JP"/>
        </w:rPr>
      </w:pPr>
      <w:r w:rsidRPr="00646254">
        <w:rPr>
          <w:rFonts w:eastAsia="MS PGothic" w:cstheme="minorHAnsi"/>
          <w:szCs w:val="20"/>
          <w:lang w:val="sr-Cyrl-CS" w:eastAsia="ja-JP"/>
        </w:rPr>
        <w:t>Упоредо са ревизијом приходне и расходне стране и усвајањем другог ребаланса буџета Републике</w:t>
      </w:r>
      <w:r w:rsidR="0030346F">
        <w:rPr>
          <w:rFonts w:eastAsia="MS PGothic" w:cstheme="minorHAnsi"/>
          <w:szCs w:val="20"/>
          <w:lang w:val="sr-Cyrl-CS" w:eastAsia="ja-JP"/>
        </w:rPr>
        <w:t xml:space="preserve"> Србије</w:t>
      </w:r>
      <w:r w:rsidRPr="00646254">
        <w:rPr>
          <w:rFonts w:eastAsia="MS PGothic" w:cstheme="minorHAnsi"/>
          <w:szCs w:val="20"/>
          <w:lang w:val="sr-Cyrl-CS" w:eastAsia="ja-JP"/>
        </w:rPr>
        <w:t>, ревидиран је и фискални оквир опште државе за 2021. и наредне три године. Иновирани фискални оквир за 2021. годину предвиђа фискални дефицит од 4,9% БДП. У односу на оригинално планирани фискални оквир, процена прихода повећана је за 254,9 млрд динара. На страни расхода дошло је до повећања за 380,1 млрд динара, уз значајне промене у њиховој структури.</w:t>
      </w:r>
    </w:p>
    <w:p w14:paraId="5B4AF748" w14:textId="281A825C" w:rsidR="001A5BCF" w:rsidRPr="00646254" w:rsidRDefault="001A5BCF" w:rsidP="008265F0">
      <w:pPr>
        <w:rPr>
          <w:rFonts w:eastAsia="MS PGothic" w:cstheme="minorHAnsi"/>
          <w:szCs w:val="20"/>
          <w:lang w:val="sr-Cyrl-CS" w:eastAsia="ja-JP"/>
        </w:rPr>
      </w:pPr>
      <w:r w:rsidRPr="00646254">
        <w:rPr>
          <w:rFonts w:eastAsia="MS PGothic" w:cstheme="minorHAnsi"/>
          <w:szCs w:val="20"/>
          <w:lang w:val="sr-Cyrl-CS" w:eastAsia="ja-JP"/>
        </w:rPr>
        <w:t>Ревизија стопе реа</w:t>
      </w:r>
      <w:r w:rsidR="00076F3A" w:rsidRPr="00646254">
        <w:rPr>
          <w:rFonts w:eastAsia="MS PGothic" w:cstheme="minorHAnsi"/>
          <w:szCs w:val="20"/>
          <w:lang w:val="sr-Cyrl-CS" w:eastAsia="ja-JP"/>
        </w:rPr>
        <w:t xml:space="preserve">лног раста БДП за 2021. годину </w:t>
      </w:r>
      <w:r w:rsidRPr="00646254">
        <w:rPr>
          <w:rFonts w:eastAsia="MS PGothic" w:cstheme="minorHAnsi"/>
          <w:szCs w:val="20"/>
          <w:lang w:val="sr-Cyrl-CS" w:eastAsia="ja-JP"/>
        </w:rPr>
        <w:t>најважнији је фактор измена у висини приходне стране, с тим што је оригинална пројекција прихода опште државе била конзервативна, услед опрезности и почетне неизвесности у погледу укупних макроекономских кретања, нарочито на тржишту рада. Негативни ефекти пандемије, као и епидемиолошких мера, на економска и кретања прихода буџета, мањи су него што се првобитно очекивало. Бржи је опоравак производних делатности на глобалном нивоу и успешно је спроведен програм мера економске подршке у земљи.</w:t>
      </w:r>
    </w:p>
    <w:p w14:paraId="65FD5B9F" w14:textId="77777777" w:rsidR="001A5BCF" w:rsidRPr="00646254" w:rsidRDefault="001A5BCF" w:rsidP="008265F0">
      <w:pPr>
        <w:spacing w:after="120" w:line="276" w:lineRule="auto"/>
        <w:rPr>
          <w:rFonts w:eastAsia="MS PGothic" w:cstheme="minorHAnsi"/>
          <w:szCs w:val="20"/>
          <w:lang w:val="sr-Cyrl-CS" w:eastAsia="ja-JP"/>
        </w:rPr>
        <w:sectPr w:rsidR="001A5BCF" w:rsidRPr="00646254" w:rsidSect="00AE40EB">
          <w:type w:val="continuous"/>
          <w:pgSz w:w="12240" w:h="15840" w:code="1"/>
          <w:pgMar w:top="1440" w:right="1440" w:bottom="1440" w:left="1440" w:header="720" w:footer="720" w:gutter="0"/>
          <w:cols w:num="2" w:space="720"/>
          <w:docGrid w:linePitch="360"/>
        </w:sectPr>
      </w:pPr>
    </w:p>
    <w:p w14:paraId="71C6C902" w14:textId="77777777" w:rsidR="001A5BCF" w:rsidRPr="00646254" w:rsidRDefault="001A5BCF" w:rsidP="008265F0">
      <w:pPr>
        <w:jc w:val="center"/>
        <w:rPr>
          <w:rFonts w:eastAsia="MS PGothic" w:cstheme="minorHAnsi"/>
          <w:b/>
          <w:color w:val="002060"/>
          <w:szCs w:val="20"/>
          <w:lang w:val="sr-Cyrl-CS" w:eastAsia="ja-JP"/>
        </w:rPr>
      </w:pPr>
      <w:r w:rsidRPr="00646254">
        <w:rPr>
          <w:rFonts w:eastAsia="MS PGothic" w:cstheme="minorHAnsi"/>
          <w:b/>
          <w:color w:val="002060"/>
          <w:szCs w:val="20"/>
          <w:lang w:val="sr-Cyrl-CS" w:eastAsia="ja-JP"/>
        </w:rPr>
        <w:t>Табела 7. Приходи, расходи и резултат сектора државе у 2021. години, у млрд динара</w:t>
      </w:r>
    </w:p>
    <w:tbl>
      <w:tblPr>
        <w:tblW w:w="4980" w:type="pct"/>
        <w:jc w:val="center"/>
        <w:tblLook w:val="04A0" w:firstRow="1" w:lastRow="0" w:firstColumn="1" w:lastColumn="0" w:noHBand="0" w:noVBand="1"/>
      </w:tblPr>
      <w:tblGrid>
        <w:gridCol w:w="2703"/>
        <w:gridCol w:w="1324"/>
        <w:gridCol w:w="1326"/>
        <w:gridCol w:w="1326"/>
        <w:gridCol w:w="1326"/>
        <w:gridCol w:w="1318"/>
      </w:tblGrid>
      <w:tr w:rsidR="00262F10" w:rsidRPr="00646254" w14:paraId="7969024F" w14:textId="77777777" w:rsidTr="00E96A1D">
        <w:trPr>
          <w:trHeight w:val="328"/>
          <w:tblHeader/>
          <w:jc w:val="center"/>
        </w:trPr>
        <w:tc>
          <w:tcPr>
            <w:tcW w:w="1450" w:type="pct"/>
            <w:tcBorders>
              <w:top w:val="single" w:sz="4" w:space="0" w:color="002060"/>
            </w:tcBorders>
            <w:shd w:val="clear" w:color="auto" w:fill="auto"/>
            <w:noWrap/>
            <w:vAlign w:val="center"/>
            <w:hideMark/>
          </w:tcPr>
          <w:p w14:paraId="721A3574" w14:textId="77777777" w:rsidR="001A5BCF" w:rsidRPr="00646254" w:rsidRDefault="001A5BCF" w:rsidP="008265F0">
            <w:pPr>
              <w:spacing w:after="0" w:line="240" w:lineRule="auto"/>
              <w:jc w:val="center"/>
              <w:rPr>
                <w:rFonts w:eastAsia="Times New Roman" w:cstheme="minorHAnsi"/>
                <w:bCs/>
                <w:color w:val="002060"/>
                <w:sz w:val="16"/>
                <w:szCs w:val="16"/>
                <w:lang w:val="sr-Cyrl-CS" w:eastAsia="sr-Cyrl-RS"/>
              </w:rPr>
            </w:pPr>
            <w:r w:rsidRPr="00646254">
              <w:rPr>
                <w:rFonts w:eastAsia="Times New Roman" w:cstheme="minorHAnsi"/>
                <w:bCs/>
                <w:color w:val="002060"/>
                <w:sz w:val="16"/>
                <w:szCs w:val="16"/>
                <w:lang w:val="sr-Cyrl-CS" w:eastAsia="sr-Cyrl-RS"/>
              </w:rPr>
              <w:t> </w:t>
            </w:r>
          </w:p>
        </w:tc>
        <w:tc>
          <w:tcPr>
            <w:tcW w:w="710" w:type="pct"/>
            <w:tcBorders>
              <w:top w:val="single" w:sz="4" w:space="0" w:color="002060"/>
              <w:bottom w:val="single" w:sz="4" w:space="0" w:color="002060"/>
            </w:tcBorders>
            <w:shd w:val="clear" w:color="auto" w:fill="auto"/>
            <w:vAlign w:val="center"/>
            <w:hideMark/>
          </w:tcPr>
          <w:p w14:paraId="72819A59" w14:textId="77777777" w:rsidR="001A5BCF" w:rsidRPr="00646254" w:rsidRDefault="001A5BCF" w:rsidP="008265F0">
            <w:pPr>
              <w:spacing w:after="0" w:line="240" w:lineRule="auto"/>
              <w:jc w:val="center"/>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буџет 2021</w:t>
            </w:r>
          </w:p>
        </w:tc>
        <w:tc>
          <w:tcPr>
            <w:tcW w:w="711" w:type="pct"/>
            <w:tcBorders>
              <w:top w:val="single" w:sz="4" w:space="0" w:color="002060"/>
              <w:bottom w:val="single" w:sz="4" w:space="0" w:color="002060"/>
            </w:tcBorders>
            <w:shd w:val="clear" w:color="auto" w:fill="auto"/>
            <w:vAlign w:val="center"/>
            <w:hideMark/>
          </w:tcPr>
          <w:p w14:paraId="710B483B" w14:textId="77777777" w:rsidR="001A5BCF" w:rsidRPr="00646254" w:rsidRDefault="001A5BCF" w:rsidP="008265F0">
            <w:pPr>
              <w:spacing w:after="0" w:line="240" w:lineRule="auto"/>
              <w:jc w:val="center"/>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нова процена 2021</w:t>
            </w:r>
          </w:p>
        </w:tc>
        <w:tc>
          <w:tcPr>
            <w:tcW w:w="711" w:type="pct"/>
            <w:tcBorders>
              <w:top w:val="single" w:sz="4" w:space="0" w:color="002060"/>
              <w:bottom w:val="single" w:sz="4" w:space="0" w:color="002060"/>
            </w:tcBorders>
            <w:shd w:val="clear" w:color="auto" w:fill="auto"/>
            <w:vAlign w:val="center"/>
            <w:hideMark/>
          </w:tcPr>
          <w:p w14:paraId="58DF0208" w14:textId="77777777" w:rsidR="001A5BCF" w:rsidRPr="00646254" w:rsidRDefault="001A5BCF" w:rsidP="008265F0">
            <w:pPr>
              <w:spacing w:after="0" w:line="240" w:lineRule="auto"/>
              <w:jc w:val="center"/>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Разлика новa/буџет</w:t>
            </w:r>
          </w:p>
        </w:tc>
        <w:tc>
          <w:tcPr>
            <w:tcW w:w="711" w:type="pct"/>
            <w:tcBorders>
              <w:top w:val="single" w:sz="4" w:space="0" w:color="002060"/>
              <w:bottom w:val="single" w:sz="4" w:space="0" w:color="002060"/>
            </w:tcBorders>
            <w:shd w:val="clear" w:color="auto" w:fill="auto"/>
            <w:vAlign w:val="center"/>
            <w:hideMark/>
          </w:tcPr>
          <w:p w14:paraId="7E5DDDD2" w14:textId="77777777" w:rsidR="001A5BCF" w:rsidRPr="00646254" w:rsidRDefault="001A5BCF" w:rsidP="008265F0">
            <w:pPr>
              <w:spacing w:after="0" w:line="240" w:lineRule="auto"/>
              <w:jc w:val="center"/>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 промена</w:t>
            </w:r>
          </w:p>
        </w:tc>
        <w:tc>
          <w:tcPr>
            <w:tcW w:w="707" w:type="pct"/>
            <w:tcBorders>
              <w:top w:val="single" w:sz="4" w:space="0" w:color="002060"/>
              <w:bottom w:val="single" w:sz="4" w:space="0" w:color="002060"/>
            </w:tcBorders>
            <w:shd w:val="clear" w:color="auto" w:fill="auto"/>
            <w:vAlign w:val="center"/>
            <w:hideMark/>
          </w:tcPr>
          <w:p w14:paraId="7213B739" w14:textId="77777777" w:rsidR="001A5BCF" w:rsidRPr="00646254" w:rsidRDefault="001A5BCF" w:rsidP="008265F0">
            <w:pPr>
              <w:spacing w:after="0" w:line="240" w:lineRule="auto"/>
              <w:jc w:val="center"/>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2021 нова пр. % БДП</w:t>
            </w:r>
          </w:p>
        </w:tc>
      </w:tr>
      <w:tr w:rsidR="00262F10" w:rsidRPr="00646254" w14:paraId="3503C7AD" w14:textId="77777777" w:rsidTr="00E96A1D">
        <w:trPr>
          <w:trHeight w:val="162"/>
          <w:jc w:val="center"/>
        </w:trPr>
        <w:tc>
          <w:tcPr>
            <w:tcW w:w="1450" w:type="pct"/>
            <w:shd w:val="clear" w:color="auto" w:fill="E7E6E6" w:themeFill="background2"/>
            <w:noWrap/>
            <w:vAlign w:val="center"/>
            <w:hideMark/>
          </w:tcPr>
          <w:p w14:paraId="4C8A9399" w14:textId="77777777" w:rsidR="001A5BCF" w:rsidRPr="00646254" w:rsidRDefault="001A5BCF" w:rsidP="00E96A1D">
            <w:pPr>
              <w:spacing w:after="0" w:line="240" w:lineRule="auto"/>
              <w:jc w:val="left"/>
              <w:rPr>
                <w:rFonts w:cstheme="minorHAnsi"/>
                <w:color w:val="002060"/>
                <w:sz w:val="18"/>
                <w:szCs w:val="18"/>
                <w:lang w:val="sr-Cyrl-CS"/>
              </w:rPr>
            </w:pPr>
            <w:r w:rsidRPr="00646254">
              <w:rPr>
                <w:rFonts w:eastAsia="MS PGothic" w:cstheme="minorHAnsi"/>
                <w:color w:val="002060"/>
                <w:sz w:val="18"/>
                <w:szCs w:val="18"/>
                <w:lang w:val="sr-Cyrl-CS" w:eastAsia="ja-JP"/>
              </w:rPr>
              <w:t>ЈАВНИ ПРИХОДИ</w:t>
            </w:r>
          </w:p>
        </w:tc>
        <w:tc>
          <w:tcPr>
            <w:tcW w:w="710" w:type="pct"/>
            <w:tcBorders>
              <w:top w:val="single" w:sz="4" w:space="0" w:color="002060"/>
            </w:tcBorders>
            <w:shd w:val="clear" w:color="auto" w:fill="E7E6E6" w:themeFill="background2"/>
            <w:hideMark/>
          </w:tcPr>
          <w:p w14:paraId="7B4D3B01" w14:textId="77777777" w:rsidR="001A5BCF" w:rsidRPr="00646254" w:rsidRDefault="001A5BCF" w:rsidP="00E96A1D">
            <w:pPr>
              <w:spacing w:after="0" w:line="240" w:lineRule="auto"/>
              <w:ind w:right="227"/>
              <w:jc w:val="right"/>
              <w:rPr>
                <w:rFonts w:cstheme="minorHAnsi"/>
                <w:color w:val="002060"/>
                <w:sz w:val="18"/>
                <w:szCs w:val="18"/>
                <w:lang w:val="sr-Cyrl-CS"/>
              </w:rPr>
            </w:pPr>
            <w:r w:rsidRPr="00646254">
              <w:rPr>
                <w:color w:val="002060"/>
                <w:sz w:val="18"/>
                <w:szCs w:val="18"/>
                <w:lang w:val="sr-Cyrl-CS"/>
              </w:rPr>
              <w:t>2.423,9</w:t>
            </w:r>
          </w:p>
        </w:tc>
        <w:tc>
          <w:tcPr>
            <w:tcW w:w="711" w:type="pct"/>
            <w:tcBorders>
              <w:top w:val="single" w:sz="4" w:space="0" w:color="002060"/>
            </w:tcBorders>
            <w:shd w:val="clear" w:color="auto" w:fill="E7E6E6" w:themeFill="background2"/>
            <w:noWrap/>
            <w:hideMark/>
          </w:tcPr>
          <w:p w14:paraId="5CDDA12E" w14:textId="77777777" w:rsidR="001A5BCF" w:rsidRPr="00646254" w:rsidRDefault="001A5BCF" w:rsidP="00E96A1D">
            <w:pPr>
              <w:spacing w:after="0" w:line="240" w:lineRule="auto"/>
              <w:ind w:right="227"/>
              <w:jc w:val="right"/>
              <w:rPr>
                <w:rFonts w:cstheme="minorHAnsi"/>
                <w:color w:val="002060"/>
                <w:sz w:val="18"/>
                <w:szCs w:val="18"/>
                <w:lang w:val="sr-Cyrl-CS"/>
              </w:rPr>
            </w:pPr>
            <w:r w:rsidRPr="00646254">
              <w:rPr>
                <w:color w:val="002060"/>
                <w:sz w:val="18"/>
                <w:szCs w:val="18"/>
                <w:lang w:val="sr-Cyrl-CS"/>
              </w:rPr>
              <w:t>2.678,9</w:t>
            </w:r>
          </w:p>
        </w:tc>
        <w:tc>
          <w:tcPr>
            <w:tcW w:w="711" w:type="pct"/>
            <w:tcBorders>
              <w:top w:val="single" w:sz="4" w:space="0" w:color="002060"/>
            </w:tcBorders>
            <w:shd w:val="clear" w:color="auto" w:fill="E7E6E6" w:themeFill="background2"/>
            <w:hideMark/>
          </w:tcPr>
          <w:p w14:paraId="3D7D3974" w14:textId="77777777" w:rsidR="001A5BCF" w:rsidRPr="00646254" w:rsidRDefault="001A5BCF" w:rsidP="00E96A1D">
            <w:pPr>
              <w:spacing w:after="0" w:line="240" w:lineRule="auto"/>
              <w:ind w:right="284"/>
              <w:jc w:val="right"/>
              <w:rPr>
                <w:rFonts w:cstheme="minorHAnsi"/>
                <w:color w:val="002060"/>
                <w:sz w:val="18"/>
                <w:szCs w:val="18"/>
                <w:lang w:val="sr-Cyrl-CS"/>
              </w:rPr>
            </w:pPr>
            <w:r w:rsidRPr="00646254">
              <w:rPr>
                <w:color w:val="002060"/>
                <w:sz w:val="18"/>
                <w:szCs w:val="18"/>
                <w:lang w:val="sr-Cyrl-CS"/>
              </w:rPr>
              <w:t>254,9</w:t>
            </w:r>
          </w:p>
        </w:tc>
        <w:tc>
          <w:tcPr>
            <w:tcW w:w="711" w:type="pct"/>
            <w:tcBorders>
              <w:top w:val="single" w:sz="4" w:space="0" w:color="002060"/>
            </w:tcBorders>
            <w:shd w:val="clear" w:color="auto" w:fill="E7E6E6" w:themeFill="background2"/>
            <w:hideMark/>
          </w:tcPr>
          <w:p w14:paraId="0811E585" w14:textId="77777777" w:rsidR="001A5BCF" w:rsidRPr="00646254" w:rsidRDefault="001A5BCF" w:rsidP="00E96A1D">
            <w:pPr>
              <w:spacing w:after="0" w:line="240" w:lineRule="auto"/>
              <w:ind w:right="340"/>
              <w:jc w:val="right"/>
              <w:rPr>
                <w:rFonts w:cstheme="minorHAnsi"/>
                <w:color w:val="002060"/>
                <w:sz w:val="18"/>
                <w:szCs w:val="18"/>
                <w:lang w:val="sr-Cyrl-CS"/>
              </w:rPr>
            </w:pPr>
            <w:r w:rsidRPr="00646254">
              <w:rPr>
                <w:color w:val="002060"/>
                <w:sz w:val="18"/>
                <w:szCs w:val="18"/>
                <w:lang w:val="sr-Cyrl-CS"/>
              </w:rPr>
              <w:t>10,5</w:t>
            </w:r>
          </w:p>
        </w:tc>
        <w:tc>
          <w:tcPr>
            <w:tcW w:w="707" w:type="pct"/>
            <w:tcBorders>
              <w:top w:val="single" w:sz="4" w:space="0" w:color="002060"/>
            </w:tcBorders>
            <w:shd w:val="clear" w:color="auto" w:fill="E7E6E6" w:themeFill="background2"/>
            <w:noWrap/>
            <w:hideMark/>
          </w:tcPr>
          <w:p w14:paraId="319ED2A5" w14:textId="77777777" w:rsidR="001A5BCF" w:rsidRPr="00646254" w:rsidRDefault="001A5BCF" w:rsidP="00E96A1D">
            <w:pPr>
              <w:spacing w:after="0" w:line="240" w:lineRule="auto"/>
              <w:ind w:right="340"/>
              <w:jc w:val="right"/>
              <w:rPr>
                <w:rFonts w:cstheme="minorHAnsi"/>
                <w:color w:val="002060"/>
                <w:sz w:val="18"/>
                <w:szCs w:val="18"/>
                <w:lang w:val="sr-Cyrl-CS"/>
              </w:rPr>
            </w:pPr>
            <w:r w:rsidRPr="00646254">
              <w:rPr>
                <w:color w:val="002060"/>
                <w:sz w:val="18"/>
                <w:szCs w:val="18"/>
                <w:lang w:val="sr-Cyrl-CS"/>
              </w:rPr>
              <w:t>43,5</w:t>
            </w:r>
          </w:p>
        </w:tc>
      </w:tr>
      <w:tr w:rsidR="00262F10" w:rsidRPr="00646254" w14:paraId="5EE3813C" w14:textId="77777777" w:rsidTr="00E96A1D">
        <w:trPr>
          <w:trHeight w:val="155"/>
          <w:jc w:val="center"/>
        </w:trPr>
        <w:tc>
          <w:tcPr>
            <w:tcW w:w="1450" w:type="pct"/>
            <w:shd w:val="clear" w:color="auto" w:fill="auto"/>
            <w:noWrap/>
            <w:vAlign w:val="center"/>
            <w:hideMark/>
          </w:tcPr>
          <w:p w14:paraId="6D10197A" w14:textId="77777777" w:rsidR="001A5BCF" w:rsidRPr="00646254" w:rsidRDefault="001A5BCF" w:rsidP="00E96A1D">
            <w:pPr>
              <w:spacing w:after="0" w:line="240" w:lineRule="auto"/>
              <w:jc w:val="lef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Текући приходи</w:t>
            </w:r>
          </w:p>
        </w:tc>
        <w:tc>
          <w:tcPr>
            <w:tcW w:w="710" w:type="pct"/>
            <w:shd w:val="clear" w:color="auto" w:fill="auto"/>
            <w:hideMark/>
          </w:tcPr>
          <w:p w14:paraId="1DAE5129" w14:textId="77777777" w:rsidR="001A5BCF" w:rsidRPr="00646254" w:rsidRDefault="001A5BCF" w:rsidP="00E96A1D">
            <w:pPr>
              <w:spacing w:after="0" w:line="240" w:lineRule="auto"/>
              <w:ind w:right="227"/>
              <w:jc w:val="right"/>
              <w:rPr>
                <w:rFonts w:cstheme="minorHAnsi"/>
                <w:color w:val="002060"/>
                <w:sz w:val="18"/>
                <w:szCs w:val="18"/>
                <w:lang w:val="sr-Cyrl-CS"/>
              </w:rPr>
            </w:pPr>
            <w:r w:rsidRPr="00646254">
              <w:rPr>
                <w:color w:val="002060"/>
                <w:sz w:val="18"/>
                <w:szCs w:val="18"/>
                <w:lang w:val="sr-Cyrl-CS"/>
              </w:rPr>
              <w:t>2.404,4</w:t>
            </w:r>
          </w:p>
        </w:tc>
        <w:tc>
          <w:tcPr>
            <w:tcW w:w="711" w:type="pct"/>
            <w:shd w:val="clear" w:color="auto" w:fill="auto"/>
            <w:noWrap/>
            <w:hideMark/>
          </w:tcPr>
          <w:p w14:paraId="436C64D7" w14:textId="77777777" w:rsidR="001A5BCF" w:rsidRPr="00646254" w:rsidRDefault="001A5BCF" w:rsidP="00E96A1D">
            <w:pPr>
              <w:spacing w:after="0" w:line="240" w:lineRule="auto"/>
              <w:ind w:right="227"/>
              <w:jc w:val="right"/>
              <w:rPr>
                <w:rFonts w:cstheme="minorHAnsi"/>
                <w:color w:val="002060"/>
                <w:sz w:val="18"/>
                <w:szCs w:val="18"/>
                <w:lang w:val="sr-Cyrl-CS"/>
              </w:rPr>
            </w:pPr>
            <w:r w:rsidRPr="00646254">
              <w:rPr>
                <w:color w:val="002060"/>
                <w:sz w:val="18"/>
                <w:szCs w:val="18"/>
                <w:lang w:val="sr-Cyrl-CS"/>
              </w:rPr>
              <w:t>2.658,8</w:t>
            </w:r>
          </w:p>
        </w:tc>
        <w:tc>
          <w:tcPr>
            <w:tcW w:w="711" w:type="pct"/>
            <w:shd w:val="clear" w:color="auto" w:fill="auto"/>
            <w:hideMark/>
          </w:tcPr>
          <w:p w14:paraId="306568DE" w14:textId="77777777" w:rsidR="001A5BCF" w:rsidRPr="00646254" w:rsidRDefault="001A5BCF" w:rsidP="00E96A1D">
            <w:pPr>
              <w:spacing w:after="0" w:line="240" w:lineRule="auto"/>
              <w:ind w:right="284"/>
              <w:jc w:val="right"/>
              <w:rPr>
                <w:rFonts w:cstheme="minorHAnsi"/>
                <w:color w:val="002060"/>
                <w:sz w:val="18"/>
                <w:szCs w:val="18"/>
                <w:lang w:val="sr-Cyrl-CS"/>
              </w:rPr>
            </w:pPr>
            <w:r w:rsidRPr="00646254">
              <w:rPr>
                <w:color w:val="002060"/>
                <w:sz w:val="18"/>
                <w:szCs w:val="18"/>
                <w:lang w:val="sr-Cyrl-CS"/>
              </w:rPr>
              <w:t>254,4</w:t>
            </w:r>
          </w:p>
        </w:tc>
        <w:tc>
          <w:tcPr>
            <w:tcW w:w="711" w:type="pct"/>
            <w:shd w:val="clear" w:color="auto" w:fill="auto"/>
            <w:hideMark/>
          </w:tcPr>
          <w:p w14:paraId="3D74E18B" w14:textId="77777777" w:rsidR="001A5BCF" w:rsidRPr="00646254" w:rsidRDefault="001A5BCF" w:rsidP="00E96A1D">
            <w:pPr>
              <w:spacing w:after="0" w:line="240" w:lineRule="auto"/>
              <w:ind w:right="340"/>
              <w:jc w:val="right"/>
              <w:rPr>
                <w:rFonts w:cstheme="minorHAnsi"/>
                <w:color w:val="002060"/>
                <w:sz w:val="18"/>
                <w:szCs w:val="18"/>
                <w:lang w:val="sr-Cyrl-CS"/>
              </w:rPr>
            </w:pPr>
            <w:r w:rsidRPr="00646254">
              <w:rPr>
                <w:color w:val="002060"/>
                <w:sz w:val="18"/>
                <w:szCs w:val="18"/>
                <w:lang w:val="sr-Cyrl-CS"/>
              </w:rPr>
              <w:t>10,6</w:t>
            </w:r>
          </w:p>
        </w:tc>
        <w:tc>
          <w:tcPr>
            <w:tcW w:w="707" w:type="pct"/>
            <w:shd w:val="clear" w:color="auto" w:fill="auto"/>
            <w:noWrap/>
            <w:hideMark/>
          </w:tcPr>
          <w:p w14:paraId="47FD639E" w14:textId="77777777" w:rsidR="001A5BCF" w:rsidRPr="00646254" w:rsidRDefault="001A5BCF" w:rsidP="00E96A1D">
            <w:pPr>
              <w:spacing w:after="0" w:line="240" w:lineRule="auto"/>
              <w:ind w:right="340"/>
              <w:jc w:val="right"/>
              <w:rPr>
                <w:rFonts w:cstheme="minorHAnsi"/>
                <w:color w:val="002060"/>
                <w:sz w:val="18"/>
                <w:szCs w:val="18"/>
                <w:lang w:val="sr-Cyrl-CS"/>
              </w:rPr>
            </w:pPr>
            <w:r w:rsidRPr="00646254">
              <w:rPr>
                <w:color w:val="002060"/>
                <w:sz w:val="18"/>
                <w:szCs w:val="18"/>
                <w:lang w:val="sr-Cyrl-CS"/>
              </w:rPr>
              <w:t>43,1</w:t>
            </w:r>
          </w:p>
        </w:tc>
      </w:tr>
      <w:tr w:rsidR="00262F10" w:rsidRPr="00646254" w14:paraId="74816055" w14:textId="77777777" w:rsidTr="00E96A1D">
        <w:trPr>
          <w:trHeight w:val="155"/>
          <w:jc w:val="center"/>
        </w:trPr>
        <w:tc>
          <w:tcPr>
            <w:tcW w:w="1450" w:type="pct"/>
            <w:shd w:val="clear" w:color="auto" w:fill="auto"/>
            <w:noWrap/>
            <w:vAlign w:val="center"/>
            <w:hideMark/>
          </w:tcPr>
          <w:p w14:paraId="58E1B6A8" w14:textId="77777777" w:rsidR="001A5BCF" w:rsidRPr="00646254" w:rsidRDefault="001A5BCF" w:rsidP="00E96A1D">
            <w:pPr>
              <w:spacing w:after="0" w:line="240" w:lineRule="auto"/>
              <w:jc w:val="lef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Порески приходи</w:t>
            </w:r>
          </w:p>
        </w:tc>
        <w:tc>
          <w:tcPr>
            <w:tcW w:w="710" w:type="pct"/>
            <w:shd w:val="clear" w:color="auto" w:fill="auto"/>
            <w:hideMark/>
          </w:tcPr>
          <w:p w14:paraId="66293F65" w14:textId="77777777" w:rsidR="001A5BCF" w:rsidRPr="00646254" w:rsidRDefault="001A5BCF" w:rsidP="00E96A1D">
            <w:pPr>
              <w:spacing w:after="0" w:line="240" w:lineRule="auto"/>
              <w:ind w:right="227"/>
              <w:jc w:val="right"/>
              <w:rPr>
                <w:rFonts w:cstheme="minorHAnsi"/>
                <w:color w:val="002060"/>
                <w:sz w:val="18"/>
                <w:szCs w:val="18"/>
                <w:lang w:val="sr-Cyrl-CS"/>
              </w:rPr>
            </w:pPr>
            <w:r w:rsidRPr="00646254">
              <w:rPr>
                <w:color w:val="002060"/>
                <w:sz w:val="18"/>
                <w:szCs w:val="18"/>
                <w:lang w:val="sr-Cyrl-CS"/>
              </w:rPr>
              <w:t>2.171,1</w:t>
            </w:r>
          </w:p>
        </w:tc>
        <w:tc>
          <w:tcPr>
            <w:tcW w:w="711" w:type="pct"/>
            <w:shd w:val="clear" w:color="auto" w:fill="auto"/>
            <w:hideMark/>
          </w:tcPr>
          <w:p w14:paraId="5771E2E7" w14:textId="77777777" w:rsidR="001A5BCF" w:rsidRPr="00646254" w:rsidRDefault="001A5BCF" w:rsidP="00E96A1D">
            <w:pPr>
              <w:spacing w:after="0" w:line="240" w:lineRule="auto"/>
              <w:ind w:right="227"/>
              <w:jc w:val="right"/>
              <w:rPr>
                <w:rFonts w:cstheme="minorHAnsi"/>
                <w:color w:val="002060"/>
                <w:sz w:val="18"/>
                <w:szCs w:val="18"/>
                <w:lang w:val="sr-Cyrl-CS"/>
              </w:rPr>
            </w:pPr>
            <w:r w:rsidRPr="00646254">
              <w:rPr>
                <w:color w:val="002060"/>
                <w:sz w:val="18"/>
                <w:szCs w:val="18"/>
                <w:lang w:val="sr-Cyrl-CS"/>
              </w:rPr>
              <w:t>2.397,3</w:t>
            </w:r>
          </w:p>
        </w:tc>
        <w:tc>
          <w:tcPr>
            <w:tcW w:w="711" w:type="pct"/>
            <w:shd w:val="clear" w:color="auto" w:fill="auto"/>
            <w:hideMark/>
          </w:tcPr>
          <w:p w14:paraId="471A9042" w14:textId="77777777" w:rsidR="001A5BCF" w:rsidRPr="00646254" w:rsidRDefault="001A5BCF" w:rsidP="00E96A1D">
            <w:pPr>
              <w:spacing w:after="0" w:line="240" w:lineRule="auto"/>
              <w:ind w:right="284"/>
              <w:jc w:val="right"/>
              <w:rPr>
                <w:rFonts w:cstheme="minorHAnsi"/>
                <w:color w:val="002060"/>
                <w:sz w:val="18"/>
                <w:szCs w:val="18"/>
                <w:lang w:val="sr-Cyrl-CS"/>
              </w:rPr>
            </w:pPr>
            <w:r w:rsidRPr="00646254">
              <w:rPr>
                <w:color w:val="002060"/>
                <w:sz w:val="18"/>
                <w:szCs w:val="18"/>
                <w:lang w:val="sr-Cyrl-CS"/>
              </w:rPr>
              <w:t>226,2</w:t>
            </w:r>
          </w:p>
        </w:tc>
        <w:tc>
          <w:tcPr>
            <w:tcW w:w="711" w:type="pct"/>
            <w:shd w:val="clear" w:color="auto" w:fill="auto"/>
            <w:hideMark/>
          </w:tcPr>
          <w:p w14:paraId="611D13BC" w14:textId="77777777" w:rsidR="001A5BCF" w:rsidRPr="00646254" w:rsidRDefault="001A5BCF" w:rsidP="00E96A1D">
            <w:pPr>
              <w:spacing w:after="0" w:line="240" w:lineRule="auto"/>
              <w:ind w:right="340"/>
              <w:jc w:val="right"/>
              <w:rPr>
                <w:rFonts w:cstheme="minorHAnsi"/>
                <w:color w:val="002060"/>
                <w:sz w:val="18"/>
                <w:szCs w:val="18"/>
                <w:lang w:val="sr-Cyrl-CS"/>
              </w:rPr>
            </w:pPr>
            <w:r w:rsidRPr="00646254">
              <w:rPr>
                <w:color w:val="002060"/>
                <w:sz w:val="18"/>
                <w:szCs w:val="18"/>
                <w:lang w:val="sr-Cyrl-CS"/>
              </w:rPr>
              <w:t>10,4</w:t>
            </w:r>
          </w:p>
        </w:tc>
        <w:tc>
          <w:tcPr>
            <w:tcW w:w="707" w:type="pct"/>
            <w:shd w:val="clear" w:color="auto" w:fill="auto"/>
            <w:noWrap/>
            <w:hideMark/>
          </w:tcPr>
          <w:p w14:paraId="338AF262" w14:textId="77777777" w:rsidR="001A5BCF" w:rsidRPr="00646254" w:rsidRDefault="001A5BCF" w:rsidP="00E96A1D">
            <w:pPr>
              <w:spacing w:after="0" w:line="240" w:lineRule="auto"/>
              <w:ind w:right="340"/>
              <w:jc w:val="right"/>
              <w:rPr>
                <w:rFonts w:cstheme="minorHAnsi"/>
                <w:color w:val="002060"/>
                <w:sz w:val="18"/>
                <w:szCs w:val="18"/>
                <w:lang w:val="sr-Cyrl-CS"/>
              </w:rPr>
            </w:pPr>
            <w:r w:rsidRPr="00646254">
              <w:rPr>
                <w:color w:val="002060"/>
                <w:sz w:val="18"/>
                <w:szCs w:val="18"/>
                <w:lang w:val="sr-Cyrl-CS"/>
              </w:rPr>
              <w:t>38,9</w:t>
            </w:r>
          </w:p>
        </w:tc>
      </w:tr>
      <w:tr w:rsidR="00262F10" w:rsidRPr="00646254" w14:paraId="30778831" w14:textId="77777777" w:rsidTr="00E96A1D">
        <w:trPr>
          <w:trHeight w:val="155"/>
          <w:jc w:val="center"/>
        </w:trPr>
        <w:tc>
          <w:tcPr>
            <w:tcW w:w="1450" w:type="pct"/>
            <w:shd w:val="clear" w:color="auto" w:fill="auto"/>
            <w:noWrap/>
            <w:vAlign w:val="center"/>
            <w:hideMark/>
          </w:tcPr>
          <w:p w14:paraId="225988B4" w14:textId="77777777" w:rsidR="001A5BCF" w:rsidRPr="00646254" w:rsidRDefault="001A5BCF" w:rsidP="00E96A1D">
            <w:pPr>
              <w:spacing w:after="0" w:line="240" w:lineRule="auto"/>
              <w:jc w:val="lef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Порез на доходак грађана</w:t>
            </w:r>
          </w:p>
        </w:tc>
        <w:tc>
          <w:tcPr>
            <w:tcW w:w="710" w:type="pct"/>
            <w:shd w:val="clear" w:color="auto" w:fill="auto"/>
            <w:hideMark/>
          </w:tcPr>
          <w:p w14:paraId="5FDE238D" w14:textId="77777777" w:rsidR="001A5BCF" w:rsidRPr="00646254" w:rsidRDefault="001A5BCF" w:rsidP="00E96A1D">
            <w:pPr>
              <w:spacing w:after="0" w:line="240" w:lineRule="auto"/>
              <w:ind w:right="227"/>
              <w:jc w:val="right"/>
              <w:rPr>
                <w:rFonts w:cstheme="minorHAnsi"/>
                <w:color w:val="002060"/>
                <w:sz w:val="18"/>
                <w:szCs w:val="18"/>
                <w:lang w:val="sr-Cyrl-CS"/>
              </w:rPr>
            </w:pPr>
            <w:r w:rsidRPr="00646254">
              <w:rPr>
                <w:color w:val="002060"/>
                <w:sz w:val="18"/>
                <w:szCs w:val="18"/>
                <w:lang w:val="sr-Cyrl-CS"/>
              </w:rPr>
              <w:t>225,4</w:t>
            </w:r>
          </w:p>
        </w:tc>
        <w:tc>
          <w:tcPr>
            <w:tcW w:w="711" w:type="pct"/>
            <w:shd w:val="clear" w:color="auto" w:fill="auto"/>
            <w:noWrap/>
            <w:hideMark/>
          </w:tcPr>
          <w:p w14:paraId="6806C0F8" w14:textId="77777777" w:rsidR="001A5BCF" w:rsidRPr="00646254" w:rsidRDefault="001A5BCF" w:rsidP="00E96A1D">
            <w:pPr>
              <w:spacing w:after="0" w:line="240" w:lineRule="auto"/>
              <w:ind w:right="227"/>
              <w:jc w:val="right"/>
              <w:rPr>
                <w:rFonts w:cstheme="minorHAnsi"/>
                <w:color w:val="002060"/>
                <w:sz w:val="18"/>
                <w:szCs w:val="18"/>
                <w:lang w:val="sr-Cyrl-CS"/>
              </w:rPr>
            </w:pPr>
            <w:r w:rsidRPr="00646254">
              <w:rPr>
                <w:color w:val="002060"/>
                <w:sz w:val="18"/>
                <w:szCs w:val="18"/>
                <w:lang w:val="sr-Cyrl-CS"/>
              </w:rPr>
              <w:t>253,0</w:t>
            </w:r>
          </w:p>
        </w:tc>
        <w:tc>
          <w:tcPr>
            <w:tcW w:w="711" w:type="pct"/>
            <w:shd w:val="clear" w:color="auto" w:fill="auto"/>
            <w:hideMark/>
          </w:tcPr>
          <w:p w14:paraId="6625E7BF" w14:textId="77777777" w:rsidR="001A5BCF" w:rsidRPr="00646254" w:rsidRDefault="001A5BCF" w:rsidP="00E96A1D">
            <w:pPr>
              <w:spacing w:after="0" w:line="240" w:lineRule="auto"/>
              <w:ind w:right="284"/>
              <w:jc w:val="right"/>
              <w:rPr>
                <w:rFonts w:cstheme="minorHAnsi"/>
                <w:color w:val="002060"/>
                <w:sz w:val="18"/>
                <w:szCs w:val="18"/>
                <w:lang w:val="sr-Cyrl-CS"/>
              </w:rPr>
            </w:pPr>
            <w:r w:rsidRPr="00646254">
              <w:rPr>
                <w:color w:val="002060"/>
                <w:sz w:val="18"/>
                <w:szCs w:val="18"/>
                <w:lang w:val="sr-Cyrl-CS"/>
              </w:rPr>
              <w:t>27,6</w:t>
            </w:r>
          </w:p>
        </w:tc>
        <w:tc>
          <w:tcPr>
            <w:tcW w:w="711" w:type="pct"/>
            <w:shd w:val="clear" w:color="auto" w:fill="auto"/>
            <w:hideMark/>
          </w:tcPr>
          <w:p w14:paraId="57387BAD" w14:textId="77777777" w:rsidR="001A5BCF" w:rsidRPr="00646254" w:rsidRDefault="001A5BCF" w:rsidP="00E96A1D">
            <w:pPr>
              <w:spacing w:after="0" w:line="240" w:lineRule="auto"/>
              <w:ind w:right="340"/>
              <w:jc w:val="right"/>
              <w:rPr>
                <w:rFonts w:cstheme="minorHAnsi"/>
                <w:color w:val="002060"/>
                <w:sz w:val="18"/>
                <w:szCs w:val="18"/>
                <w:lang w:val="sr-Cyrl-CS"/>
              </w:rPr>
            </w:pPr>
            <w:r w:rsidRPr="00646254">
              <w:rPr>
                <w:color w:val="002060"/>
                <w:sz w:val="18"/>
                <w:szCs w:val="18"/>
                <w:lang w:val="sr-Cyrl-CS"/>
              </w:rPr>
              <w:t>12,2</w:t>
            </w:r>
          </w:p>
        </w:tc>
        <w:tc>
          <w:tcPr>
            <w:tcW w:w="707" w:type="pct"/>
            <w:shd w:val="clear" w:color="auto" w:fill="auto"/>
            <w:noWrap/>
            <w:hideMark/>
          </w:tcPr>
          <w:p w14:paraId="2CED8E44" w14:textId="77777777" w:rsidR="001A5BCF" w:rsidRPr="00646254" w:rsidRDefault="001A5BCF" w:rsidP="00E96A1D">
            <w:pPr>
              <w:spacing w:after="0" w:line="240" w:lineRule="auto"/>
              <w:ind w:right="340"/>
              <w:jc w:val="right"/>
              <w:rPr>
                <w:rFonts w:cstheme="minorHAnsi"/>
                <w:color w:val="002060"/>
                <w:sz w:val="18"/>
                <w:szCs w:val="18"/>
                <w:lang w:val="sr-Cyrl-CS"/>
              </w:rPr>
            </w:pPr>
            <w:r w:rsidRPr="00646254">
              <w:rPr>
                <w:color w:val="002060"/>
                <w:sz w:val="18"/>
                <w:szCs w:val="18"/>
                <w:lang w:val="sr-Cyrl-CS"/>
              </w:rPr>
              <w:t>4,1</w:t>
            </w:r>
          </w:p>
        </w:tc>
      </w:tr>
      <w:tr w:rsidR="00262F10" w:rsidRPr="00646254" w14:paraId="7BE4B5CC" w14:textId="77777777" w:rsidTr="00E96A1D">
        <w:trPr>
          <w:trHeight w:val="155"/>
          <w:jc w:val="center"/>
        </w:trPr>
        <w:tc>
          <w:tcPr>
            <w:tcW w:w="1450" w:type="pct"/>
            <w:shd w:val="clear" w:color="auto" w:fill="auto"/>
            <w:noWrap/>
            <w:vAlign w:val="center"/>
            <w:hideMark/>
          </w:tcPr>
          <w:p w14:paraId="74B09032" w14:textId="77777777" w:rsidR="001A5BCF" w:rsidRPr="00646254" w:rsidRDefault="001A5BCF" w:rsidP="00E96A1D">
            <w:pPr>
              <w:spacing w:after="0" w:line="240" w:lineRule="auto"/>
              <w:jc w:val="lef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Порез на добит правних лица</w:t>
            </w:r>
          </w:p>
        </w:tc>
        <w:tc>
          <w:tcPr>
            <w:tcW w:w="710" w:type="pct"/>
            <w:shd w:val="clear" w:color="auto" w:fill="auto"/>
            <w:hideMark/>
          </w:tcPr>
          <w:p w14:paraId="3498CA8C" w14:textId="77777777" w:rsidR="001A5BCF" w:rsidRPr="00646254" w:rsidRDefault="001A5BCF" w:rsidP="00E96A1D">
            <w:pPr>
              <w:spacing w:after="0" w:line="240" w:lineRule="auto"/>
              <w:ind w:right="227"/>
              <w:jc w:val="right"/>
              <w:rPr>
                <w:rFonts w:cstheme="minorHAnsi"/>
                <w:color w:val="002060"/>
                <w:sz w:val="18"/>
                <w:szCs w:val="18"/>
                <w:lang w:val="sr-Cyrl-CS"/>
              </w:rPr>
            </w:pPr>
            <w:r w:rsidRPr="00646254">
              <w:rPr>
                <w:color w:val="002060"/>
                <w:sz w:val="18"/>
                <w:szCs w:val="18"/>
                <w:lang w:val="sr-Cyrl-CS"/>
              </w:rPr>
              <w:t>107,1</w:t>
            </w:r>
          </w:p>
        </w:tc>
        <w:tc>
          <w:tcPr>
            <w:tcW w:w="711" w:type="pct"/>
            <w:shd w:val="clear" w:color="auto" w:fill="auto"/>
            <w:noWrap/>
            <w:hideMark/>
          </w:tcPr>
          <w:p w14:paraId="649F246A" w14:textId="77777777" w:rsidR="001A5BCF" w:rsidRPr="00646254" w:rsidRDefault="001A5BCF" w:rsidP="00E96A1D">
            <w:pPr>
              <w:spacing w:after="0" w:line="240" w:lineRule="auto"/>
              <w:ind w:right="227"/>
              <w:jc w:val="right"/>
              <w:rPr>
                <w:rFonts w:cstheme="minorHAnsi"/>
                <w:color w:val="002060"/>
                <w:sz w:val="18"/>
                <w:szCs w:val="18"/>
                <w:lang w:val="sr-Cyrl-CS"/>
              </w:rPr>
            </w:pPr>
            <w:r w:rsidRPr="00646254">
              <w:rPr>
                <w:color w:val="002060"/>
                <w:sz w:val="18"/>
                <w:szCs w:val="18"/>
                <w:lang w:val="sr-Cyrl-CS"/>
              </w:rPr>
              <w:t>157,0</w:t>
            </w:r>
          </w:p>
        </w:tc>
        <w:tc>
          <w:tcPr>
            <w:tcW w:w="711" w:type="pct"/>
            <w:shd w:val="clear" w:color="auto" w:fill="auto"/>
            <w:hideMark/>
          </w:tcPr>
          <w:p w14:paraId="4844E241" w14:textId="77777777" w:rsidR="001A5BCF" w:rsidRPr="00646254" w:rsidRDefault="001A5BCF" w:rsidP="00E96A1D">
            <w:pPr>
              <w:spacing w:after="0" w:line="240" w:lineRule="auto"/>
              <w:ind w:right="284"/>
              <w:jc w:val="right"/>
              <w:rPr>
                <w:rFonts w:cstheme="minorHAnsi"/>
                <w:color w:val="002060"/>
                <w:sz w:val="18"/>
                <w:szCs w:val="18"/>
                <w:lang w:val="sr-Cyrl-CS"/>
              </w:rPr>
            </w:pPr>
            <w:r w:rsidRPr="00646254">
              <w:rPr>
                <w:color w:val="002060"/>
                <w:sz w:val="18"/>
                <w:szCs w:val="18"/>
                <w:lang w:val="sr-Cyrl-CS"/>
              </w:rPr>
              <w:t>49,9</w:t>
            </w:r>
          </w:p>
        </w:tc>
        <w:tc>
          <w:tcPr>
            <w:tcW w:w="711" w:type="pct"/>
            <w:shd w:val="clear" w:color="auto" w:fill="auto"/>
            <w:hideMark/>
          </w:tcPr>
          <w:p w14:paraId="15A8B919" w14:textId="77777777" w:rsidR="001A5BCF" w:rsidRPr="00646254" w:rsidRDefault="001A5BCF" w:rsidP="00E96A1D">
            <w:pPr>
              <w:spacing w:after="0" w:line="240" w:lineRule="auto"/>
              <w:ind w:right="340"/>
              <w:jc w:val="right"/>
              <w:rPr>
                <w:rFonts w:cstheme="minorHAnsi"/>
                <w:color w:val="002060"/>
                <w:sz w:val="18"/>
                <w:szCs w:val="18"/>
                <w:lang w:val="sr-Cyrl-CS"/>
              </w:rPr>
            </w:pPr>
            <w:r w:rsidRPr="00646254">
              <w:rPr>
                <w:color w:val="002060"/>
                <w:sz w:val="18"/>
                <w:szCs w:val="18"/>
                <w:lang w:val="sr-Cyrl-CS"/>
              </w:rPr>
              <w:t>46,6</w:t>
            </w:r>
          </w:p>
        </w:tc>
        <w:tc>
          <w:tcPr>
            <w:tcW w:w="707" w:type="pct"/>
            <w:shd w:val="clear" w:color="auto" w:fill="auto"/>
            <w:noWrap/>
            <w:hideMark/>
          </w:tcPr>
          <w:p w14:paraId="04D1B3A0" w14:textId="77777777" w:rsidR="001A5BCF" w:rsidRPr="00646254" w:rsidRDefault="001A5BCF" w:rsidP="00E96A1D">
            <w:pPr>
              <w:spacing w:after="0" w:line="240" w:lineRule="auto"/>
              <w:ind w:right="340"/>
              <w:jc w:val="right"/>
              <w:rPr>
                <w:rFonts w:cstheme="minorHAnsi"/>
                <w:color w:val="002060"/>
                <w:sz w:val="18"/>
                <w:szCs w:val="18"/>
                <w:lang w:val="sr-Cyrl-CS"/>
              </w:rPr>
            </w:pPr>
            <w:r w:rsidRPr="00646254">
              <w:rPr>
                <w:color w:val="002060"/>
                <w:sz w:val="18"/>
                <w:szCs w:val="18"/>
                <w:lang w:val="sr-Cyrl-CS"/>
              </w:rPr>
              <w:t>2,5</w:t>
            </w:r>
          </w:p>
        </w:tc>
      </w:tr>
      <w:tr w:rsidR="00262F10" w:rsidRPr="00646254" w14:paraId="5035D8B2" w14:textId="77777777" w:rsidTr="00E96A1D">
        <w:trPr>
          <w:trHeight w:val="155"/>
          <w:jc w:val="center"/>
        </w:trPr>
        <w:tc>
          <w:tcPr>
            <w:tcW w:w="1450" w:type="pct"/>
            <w:shd w:val="clear" w:color="auto" w:fill="auto"/>
            <w:noWrap/>
            <w:vAlign w:val="center"/>
            <w:hideMark/>
          </w:tcPr>
          <w:p w14:paraId="101F478D" w14:textId="77777777" w:rsidR="001A5BCF" w:rsidRPr="00646254" w:rsidRDefault="001A5BCF" w:rsidP="00E96A1D">
            <w:pPr>
              <w:spacing w:after="0" w:line="240" w:lineRule="auto"/>
              <w:jc w:val="lef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ПДВ</w:t>
            </w:r>
          </w:p>
        </w:tc>
        <w:tc>
          <w:tcPr>
            <w:tcW w:w="710" w:type="pct"/>
            <w:shd w:val="clear" w:color="auto" w:fill="auto"/>
            <w:hideMark/>
          </w:tcPr>
          <w:p w14:paraId="1B08AA31" w14:textId="77777777" w:rsidR="001A5BCF" w:rsidRPr="00646254" w:rsidRDefault="001A5BCF" w:rsidP="00E96A1D">
            <w:pPr>
              <w:spacing w:after="0" w:line="240" w:lineRule="auto"/>
              <w:ind w:right="227"/>
              <w:jc w:val="right"/>
              <w:rPr>
                <w:rFonts w:cstheme="minorHAnsi"/>
                <w:color w:val="002060"/>
                <w:sz w:val="18"/>
                <w:szCs w:val="18"/>
                <w:lang w:val="sr-Cyrl-CS"/>
              </w:rPr>
            </w:pPr>
            <w:r w:rsidRPr="00646254">
              <w:rPr>
                <w:color w:val="002060"/>
                <w:sz w:val="18"/>
                <w:szCs w:val="18"/>
                <w:lang w:val="sr-Cyrl-CS"/>
              </w:rPr>
              <w:t>600,3</w:t>
            </w:r>
          </w:p>
        </w:tc>
        <w:tc>
          <w:tcPr>
            <w:tcW w:w="711" w:type="pct"/>
            <w:shd w:val="clear" w:color="auto" w:fill="auto"/>
            <w:noWrap/>
            <w:hideMark/>
          </w:tcPr>
          <w:p w14:paraId="3675D598" w14:textId="77777777" w:rsidR="001A5BCF" w:rsidRPr="00646254" w:rsidRDefault="001A5BCF" w:rsidP="00E96A1D">
            <w:pPr>
              <w:spacing w:after="0" w:line="240" w:lineRule="auto"/>
              <w:ind w:right="227"/>
              <w:jc w:val="right"/>
              <w:rPr>
                <w:rFonts w:cstheme="minorHAnsi"/>
                <w:color w:val="002060"/>
                <w:sz w:val="18"/>
                <w:szCs w:val="18"/>
                <w:lang w:val="sr-Cyrl-CS"/>
              </w:rPr>
            </w:pPr>
            <w:r w:rsidRPr="00646254">
              <w:rPr>
                <w:color w:val="002060"/>
                <w:sz w:val="18"/>
                <w:szCs w:val="18"/>
                <w:lang w:val="sr-Cyrl-CS"/>
              </w:rPr>
              <w:t>654,0</w:t>
            </w:r>
          </w:p>
        </w:tc>
        <w:tc>
          <w:tcPr>
            <w:tcW w:w="711" w:type="pct"/>
            <w:shd w:val="clear" w:color="auto" w:fill="auto"/>
            <w:hideMark/>
          </w:tcPr>
          <w:p w14:paraId="6190001C" w14:textId="77777777" w:rsidR="001A5BCF" w:rsidRPr="00646254" w:rsidRDefault="001A5BCF" w:rsidP="00E96A1D">
            <w:pPr>
              <w:spacing w:after="0" w:line="240" w:lineRule="auto"/>
              <w:ind w:right="284"/>
              <w:jc w:val="right"/>
              <w:rPr>
                <w:rFonts w:cstheme="minorHAnsi"/>
                <w:color w:val="002060"/>
                <w:sz w:val="18"/>
                <w:szCs w:val="18"/>
                <w:lang w:val="sr-Cyrl-CS"/>
              </w:rPr>
            </w:pPr>
            <w:r w:rsidRPr="00646254">
              <w:rPr>
                <w:color w:val="002060"/>
                <w:sz w:val="18"/>
                <w:szCs w:val="18"/>
                <w:lang w:val="sr-Cyrl-CS"/>
              </w:rPr>
              <w:t>53,7</w:t>
            </w:r>
          </w:p>
        </w:tc>
        <w:tc>
          <w:tcPr>
            <w:tcW w:w="711" w:type="pct"/>
            <w:shd w:val="clear" w:color="auto" w:fill="auto"/>
            <w:hideMark/>
          </w:tcPr>
          <w:p w14:paraId="6C610E7B" w14:textId="77777777" w:rsidR="001A5BCF" w:rsidRPr="00646254" w:rsidRDefault="001A5BCF" w:rsidP="00E96A1D">
            <w:pPr>
              <w:spacing w:after="0" w:line="240" w:lineRule="auto"/>
              <w:ind w:right="340"/>
              <w:jc w:val="right"/>
              <w:rPr>
                <w:rFonts w:cstheme="minorHAnsi"/>
                <w:color w:val="002060"/>
                <w:sz w:val="18"/>
                <w:szCs w:val="18"/>
                <w:lang w:val="sr-Cyrl-CS"/>
              </w:rPr>
            </w:pPr>
            <w:r w:rsidRPr="00646254">
              <w:rPr>
                <w:color w:val="002060"/>
                <w:sz w:val="18"/>
                <w:szCs w:val="18"/>
                <w:lang w:val="sr-Cyrl-CS"/>
              </w:rPr>
              <w:t>8,9</w:t>
            </w:r>
          </w:p>
        </w:tc>
        <w:tc>
          <w:tcPr>
            <w:tcW w:w="707" w:type="pct"/>
            <w:shd w:val="clear" w:color="auto" w:fill="auto"/>
            <w:noWrap/>
            <w:hideMark/>
          </w:tcPr>
          <w:p w14:paraId="62757C7E" w14:textId="77777777" w:rsidR="001A5BCF" w:rsidRPr="00646254" w:rsidRDefault="001A5BCF" w:rsidP="00E96A1D">
            <w:pPr>
              <w:spacing w:after="0" w:line="240" w:lineRule="auto"/>
              <w:ind w:right="340"/>
              <w:jc w:val="right"/>
              <w:rPr>
                <w:rFonts w:cstheme="minorHAnsi"/>
                <w:color w:val="002060"/>
                <w:sz w:val="18"/>
                <w:szCs w:val="18"/>
                <w:lang w:val="sr-Cyrl-CS"/>
              </w:rPr>
            </w:pPr>
            <w:r w:rsidRPr="00646254">
              <w:rPr>
                <w:color w:val="002060"/>
                <w:sz w:val="18"/>
                <w:szCs w:val="18"/>
                <w:lang w:val="sr-Cyrl-CS"/>
              </w:rPr>
              <w:t>10,6</w:t>
            </w:r>
          </w:p>
        </w:tc>
      </w:tr>
      <w:tr w:rsidR="00262F10" w:rsidRPr="00646254" w14:paraId="546902C0" w14:textId="77777777" w:rsidTr="00E96A1D">
        <w:trPr>
          <w:trHeight w:val="155"/>
          <w:jc w:val="center"/>
        </w:trPr>
        <w:tc>
          <w:tcPr>
            <w:tcW w:w="1450" w:type="pct"/>
            <w:shd w:val="clear" w:color="auto" w:fill="auto"/>
            <w:noWrap/>
            <w:vAlign w:val="center"/>
            <w:hideMark/>
          </w:tcPr>
          <w:p w14:paraId="3CC70639" w14:textId="77777777" w:rsidR="001A5BCF" w:rsidRPr="00646254" w:rsidRDefault="001A5BCF" w:rsidP="00E96A1D">
            <w:pPr>
              <w:spacing w:after="0" w:line="240" w:lineRule="auto"/>
              <w:jc w:val="lef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Акцизе</w:t>
            </w:r>
          </w:p>
        </w:tc>
        <w:tc>
          <w:tcPr>
            <w:tcW w:w="710" w:type="pct"/>
            <w:shd w:val="clear" w:color="auto" w:fill="auto"/>
            <w:hideMark/>
          </w:tcPr>
          <w:p w14:paraId="3A467F37" w14:textId="77777777" w:rsidR="001A5BCF" w:rsidRPr="00646254" w:rsidRDefault="001A5BCF" w:rsidP="00E96A1D">
            <w:pPr>
              <w:spacing w:after="0" w:line="240" w:lineRule="auto"/>
              <w:ind w:right="227"/>
              <w:jc w:val="right"/>
              <w:rPr>
                <w:rFonts w:cstheme="minorHAnsi"/>
                <w:color w:val="002060"/>
                <w:sz w:val="18"/>
                <w:szCs w:val="18"/>
                <w:lang w:val="sr-Cyrl-CS"/>
              </w:rPr>
            </w:pPr>
            <w:r w:rsidRPr="00646254">
              <w:rPr>
                <w:color w:val="002060"/>
                <w:sz w:val="18"/>
                <w:szCs w:val="18"/>
                <w:lang w:val="sr-Cyrl-CS"/>
              </w:rPr>
              <w:t>315,8</w:t>
            </w:r>
          </w:p>
        </w:tc>
        <w:tc>
          <w:tcPr>
            <w:tcW w:w="711" w:type="pct"/>
            <w:shd w:val="clear" w:color="auto" w:fill="auto"/>
            <w:noWrap/>
            <w:hideMark/>
          </w:tcPr>
          <w:p w14:paraId="3D8B37E6" w14:textId="77777777" w:rsidR="001A5BCF" w:rsidRPr="00646254" w:rsidRDefault="001A5BCF" w:rsidP="00E96A1D">
            <w:pPr>
              <w:spacing w:after="0" w:line="240" w:lineRule="auto"/>
              <w:ind w:right="227"/>
              <w:jc w:val="right"/>
              <w:rPr>
                <w:rFonts w:cstheme="minorHAnsi"/>
                <w:color w:val="002060"/>
                <w:sz w:val="18"/>
                <w:szCs w:val="18"/>
                <w:lang w:val="sr-Cyrl-CS"/>
              </w:rPr>
            </w:pPr>
            <w:r w:rsidRPr="00646254">
              <w:rPr>
                <w:color w:val="002060"/>
                <w:sz w:val="18"/>
                <w:szCs w:val="18"/>
                <w:lang w:val="sr-Cyrl-CS"/>
              </w:rPr>
              <w:t>329,2</w:t>
            </w:r>
          </w:p>
        </w:tc>
        <w:tc>
          <w:tcPr>
            <w:tcW w:w="711" w:type="pct"/>
            <w:shd w:val="clear" w:color="auto" w:fill="auto"/>
            <w:hideMark/>
          </w:tcPr>
          <w:p w14:paraId="20EC4102" w14:textId="77777777" w:rsidR="001A5BCF" w:rsidRPr="00646254" w:rsidRDefault="001A5BCF" w:rsidP="00E96A1D">
            <w:pPr>
              <w:spacing w:after="0" w:line="240" w:lineRule="auto"/>
              <w:ind w:right="284"/>
              <w:jc w:val="right"/>
              <w:rPr>
                <w:rFonts w:cstheme="minorHAnsi"/>
                <w:color w:val="002060"/>
                <w:sz w:val="18"/>
                <w:szCs w:val="18"/>
                <w:lang w:val="sr-Cyrl-CS"/>
              </w:rPr>
            </w:pPr>
            <w:r w:rsidRPr="00646254">
              <w:rPr>
                <w:color w:val="002060"/>
                <w:sz w:val="18"/>
                <w:szCs w:val="18"/>
                <w:lang w:val="sr-Cyrl-CS"/>
              </w:rPr>
              <w:t>13,4</w:t>
            </w:r>
          </w:p>
        </w:tc>
        <w:tc>
          <w:tcPr>
            <w:tcW w:w="711" w:type="pct"/>
            <w:shd w:val="clear" w:color="auto" w:fill="auto"/>
            <w:hideMark/>
          </w:tcPr>
          <w:p w14:paraId="2286A406" w14:textId="77777777" w:rsidR="001A5BCF" w:rsidRPr="00646254" w:rsidRDefault="001A5BCF" w:rsidP="00E96A1D">
            <w:pPr>
              <w:spacing w:after="0" w:line="240" w:lineRule="auto"/>
              <w:ind w:right="340"/>
              <w:jc w:val="right"/>
              <w:rPr>
                <w:rFonts w:cstheme="minorHAnsi"/>
                <w:color w:val="002060"/>
                <w:sz w:val="18"/>
                <w:szCs w:val="18"/>
                <w:lang w:val="sr-Cyrl-CS"/>
              </w:rPr>
            </w:pPr>
            <w:r w:rsidRPr="00646254">
              <w:rPr>
                <w:color w:val="002060"/>
                <w:sz w:val="18"/>
                <w:szCs w:val="18"/>
                <w:lang w:val="sr-Cyrl-CS"/>
              </w:rPr>
              <w:t>4,3</w:t>
            </w:r>
          </w:p>
        </w:tc>
        <w:tc>
          <w:tcPr>
            <w:tcW w:w="707" w:type="pct"/>
            <w:shd w:val="clear" w:color="auto" w:fill="auto"/>
            <w:noWrap/>
            <w:hideMark/>
          </w:tcPr>
          <w:p w14:paraId="224F39CC" w14:textId="77777777" w:rsidR="001A5BCF" w:rsidRPr="00646254" w:rsidRDefault="001A5BCF" w:rsidP="00E96A1D">
            <w:pPr>
              <w:spacing w:after="0" w:line="240" w:lineRule="auto"/>
              <w:ind w:right="340"/>
              <w:jc w:val="right"/>
              <w:rPr>
                <w:rFonts w:cstheme="minorHAnsi"/>
                <w:color w:val="002060"/>
                <w:sz w:val="18"/>
                <w:szCs w:val="18"/>
                <w:lang w:val="sr-Cyrl-CS"/>
              </w:rPr>
            </w:pPr>
            <w:r w:rsidRPr="00646254">
              <w:rPr>
                <w:color w:val="002060"/>
                <w:sz w:val="18"/>
                <w:szCs w:val="18"/>
                <w:lang w:val="sr-Cyrl-CS"/>
              </w:rPr>
              <w:t>5,3</w:t>
            </w:r>
          </w:p>
        </w:tc>
      </w:tr>
      <w:tr w:rsidR="00262F10" w:rsidRPr="00646254" w14:paraId="6420606C" w14:textId="77777777" w:rsidTr="00E96A1D">
        <w:trPr>
          <w:trHeight w:val="155"/>
          <w:jc w:val="center"/>
        </w:trPr>
        <w:tc>
          <w:tcPr>
            <w:tcW w:w="1450" w:type="pct"/>
            <w:shd w:val="clear" w:color="auto" w:fill="auto"/>
            <w:noWrap/>
            <w:vAlign w:val="center"/>
            <w:hideMark/>
          </w:tcPr>
          <w:p w14:paraId="5B9B7011" w14:textId="77777777" w:rsidR="001A5BCF" w:rsidRPr="00646254" w:rsidRDefault="001A5BCF" w:rsidP="00E96A1D">
            <w:pPr>
              <w:spacing w:after="0" w:line="240" w:lineRule="auto"/>
              <w:jc w:val="lef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Царине</w:t>
            </w:r>
          </w:p>
        </w:tc>
        <w:tc>
          <w:tcPr>
            <w:tcW w:w="710" w:type="pct"/>
            <w:shd w:val="clear" w:color="auto" w:fill="auto"/>
            <w:hideMark/>
          </w:tcPr>
          <w:p w14:paraId="752720BA" w14:textId="77777777" w:rsidR="001A5BCF" w:rsidRPr="00646254" w:rsidRDefault="001A5BCF" w:rsidP="00E96A1D">
            <w:pPr>
              <w:spacing w:after="0" w:line="240" w:lineRule="auto"/>
              <w:ind w:right="227"/>
              <w:jc w:val="right"/>
              <w:rPr>
                <w:rFonts w:cstheme="minorHAnsi"/>
                <w:color w:val="002060"/>
                <w:sz w:val="18"/>
                <w:szCs w:val="18"/>
                <w:lang w:val="sr-Cyrl-CS"/>
              </w:rPr>
            </w:pPr>
            <w:r w:rsidRPr="00646254">
              <w:rPr>
                <w:color w:val="002060"/>
                <w:sz w:val="18"/>
                <w:szCs w:val="18"/>
                <w:lang w:val="sr-Cyrl-CS"/>
              </w:rPr>
              <w:t>53,1</w:t>
            </w:r>
          </w:p>
        </w:tc>
        <w:tc>
          <w:tcPr>
            <w:tcW w:w="711" w:type="pct"/>
            <w:shd w:val="clear" w:color="auto" w:fill="auto"/>
            <w:noWrap/>
            <w:hideMark/>
          </w:tcPr>
          <w:p w14:paraId="791F76A1" w14:textId="77777777" w:rsidR="001A5BCF" w:rsidRPr="00646254" w:rsidRDefault="001A5BCF" w:rsidP="00E96A1D">
            <w:pPr>
              <w:spacing w:after="0" w:line="240" w:lineRule="auto"/>
              <w:ind w:right="227"/>
              <w:jc w:val="right"/>
              <w:rPr>
                <w:rFonts w:cstheme="minorHAnsi"/>
                <w:color w:val="002060"/>
                <w:sz w:val="18"/>
                <w:szCs w:val="18"/>
                <w:lang w:val="sr-Cyrl-CS"/>
              </w:rPr>
            </w:pPr>
            <w:r w:rsidRPr="00646254">
              <w:rPr>
                <w:color w:val="002060"/>
                <w:sz w:val="18"/>
                <w:szCs w:val="18"/>
                <w:lang w:val="sr-Cyrl-CS"/>
              </w:rPr>
              <w:t>59,0</w:t>
            </w:r>
          </w:p>
        </w:tc>
        <w:tc>
          <w:tcPr>
            <w:tcW w:w="711" w:type="pct"/>
            <w:shd w:val="clear" w:color="auto" w:fill="auto"/>
            <w:hideMark/>
          </w:tcPr>
          <w:p w14:paraId="4716F074" w14:textId="77777777" w:rsidR="001A5BCF" w:rsidRPr="00646254" w:rsidRDefault="001A5BCF" w:rsidP="00E96A1D">
            <w:pPr>
              <w:spacing w:after="0" w:line="240" w:lineRule="auto"/>
              <w:ind w:right="284"/>
              <w:jc w:val="right"/>
              <w:rPr>
                <w:rFonts w:cstheme="minorHAnsi"/>
                <w:color w:val="002060"/>
                <w:sz w:val="18"/>
                <w:szCs w:val="18"/>
                <w:lang w:val="sr-Cyrl-CS"/>
              </w:rPr>
            </w:pPr>
            <w:r w:rsidRPr="00646254">
              <w:rPr>
                <w:color w:val="002060"/>
                <w:sz w:val="18"/>
                <w:szCs w:val="18"/>
                <w:lang w:val="sr-Cyrl-CS"/>
              </w:rPr>
              <w:t>5,9</w:t>
            </w:r>
          </w:p>
        </w:tc>
        <w:tc>
          <w:tcPr>
            <w:tcW w:w="711" w:type="pct"/>
            <w:shd w:val="clear" w:color="auto" w:fill="auto"/>
            <w:hideMark/>
          </w:tcPr>
          <w:p w14:paraId="5613769E" w14:textId="77777777" w:rsidR="001A5BCF" w:rsidRPr="00646254" w:rsidRDefault="001A5BCF" w:rsidP="00E96A1D">
            <w:pPr>
              <w:spacing w:after="0" w:line="240" w:lineRule="auto"/>
              <w:ind w:right="340"/>
              <w:jc w:val="right"/>
              <w:rPr>
                <w:rFonts w:cstheme="minorHAnsi"/>
                <w:color w:val="002060"/>
                <w:sz w:val="18"/>
                <w:szCs w:val="18"/>
                <w:lang w:val="sr-Cyrl-CS"/>
              </w:rPr>
            </w:pPr>
            <w:r w:rsidRPr="00646254">
              <w:rPr>
                <w:color w:val="002060"/>
                <w:sz w:val="18"/>
                <w:szCs w:val="18"/>
                <w:lang w:val="sr-Cyrl-CS"/>
              </w:rPr>
              <w:t>11,1</w:t>
            </w:r>
          </w:p>
        </w:tc>
        <w:tc>
          <w:tcPr>
            <w:tcW w:w="707" w:type="pct"/>
            <w:shd w:val="clear" w:color="auto" w:fill="auto"/>
            <w:noWrap/>
            <w:hideMark/>
          </w:tcPr>
          <w:p w14:paraId="43BA7B7E" w14:textId="77777777" w:rsidR="001A5BCF" w:rsidRPr="00646254" w:rsidRDefault="001A5BCF" w:rsidP="00E96A1D">
            <w:pPr>
              <w:spacing w:after="0" w:line="240" w:lineRule="auto"/>
              <w:ind w:right="340"/>
              <w:jc w:val="right"/>
              <w:rPr>
                <w:rFonts w:cstheme="minorHAnsi"/>
                <w:color w:val="002060"/>
                <w:sz w:val="18"/>
                <w:szCs w:val="18"/>
                <w:lang w:val="sr-Cyrl-CS"/>
              </w:rPr>
            </w:pPr>
            <w:r w:rsidRPr="00646254">
              <w:rPr>
                <w:color w:val="002060"/>
                <w:sz w:val="18"/>
                <w:szCs w:val="18"/>
                <w:lang w:val="sr-Cyrl-CS"/>
              </w:rPr>
              <w:t>1,0</w:t>
            </w:r>
          </w:p>
        </w:tc>
      </w:tr>
      <w:tr w:rsidR="00262F10" w:rsidRPr="00646254" w14:paraId="24AB81BF" w14:textId="77777777" w:rsidTr="00E96A1D">
        <w:trPr>
          <w:trHeight w:val="155"/>
          <w:jc w:val="center"/>
        </w:trPr>
        <w:tc>
          <w:tcPr>
            <w:tcW w:w="1450" w:type="pct"/>
            <w:shd w:val="clear" w:color="auto" w:fill="auto"/>
            <w:noWrap/>
            <w:vAlign w:val="center"/>
            <w:hideMark/>
          </w:tcPr>
          <w:p w14:paraId="491FEC4C" w14:textId="77777777" w:rsidR="001A5BCF" w:rsidRPr="00646254" w:rsidRDefault="001A5BCF" w:rsidP="00E96A1D">
            <w:pPr>
              <w:spacing w:after="0" w:line="240" w:lineRule="auto"/>
              <w:jc w:val="lef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Остали порески приходи</w:t>
            </w:r>
          </w:p>
        </w:tc>
        <w:tc>
          <w:tcPr>
            <w:tcW w:w="710" w:type="pct"/>
            <w:shd w:val="clear" w:color="auto" w:fill="auto"/>
            <w:hideMark/>
          </w:tcPr>
          <w:p w14:paraId="68B8EA03" w14:textId="77777777" w:rsidR="001A5BCF" w:rsidRPr="00646254" w:rsidRDefault="001A5BCF" w:rsidP="00E96A1D">
            <w:pPr>
              <w:spacing w:after="0" w:line="240" w:lineRule="auto"/>
              <w:ind w:right="227"/>
              <w:jc w:val="right"/>
              <w:rPr>
                <w:rFonts w:cstheme="minorHAnsi"/>
                <w:color w:val="002060"/>
                <w:sz w:val="18"/>
                <w:szCs w:val="18"/>
                <w:lang w:val="sr-Cyrl-CS"/>
              </w:rPr>
            </w:pPr>
            <w:r w:rsidRPr="00646254">
              <w:rPr>
                <w:color w:val="002060"/>
                <w:sz w:val="18"/>
                <w:szCs w:val="18"/>
                <w:lang w:val="sr-Cyrl-CS"/>
              </w:rPr>
              <w:t>84,9</w:t>
            </w:r>
          </w:p>
        </w:tc>
        <w:tc>
          <w:tcPr>
            <w:tcW w:w="711" w:type="pct"/>
            <w:shd w:val="clear" w:color="auto" w:fill="auto"/>
            <w:noWrap/>
            <w:hideMark/>
          </w:tcPr>
          <w:p w14:paraId="18F65D18" w14:textId="77777777" w:rsidR="001A5BCF" w:rsidRPr="00646254" w:rsidRDefault="001A5BCF" w:rsidP="00E96A1D">
            <w:pPr>
              <w:spacing w:after="0" w:line="240" w:lineRule="auto"/>
              <w:ind w:right="227"/>
              <w:jc w:val="right"/>
              <w:rPr>
                <w:rFonts w:cstheme="minorHAnsi"/>
                <w:color w:val="002060"/>
                <w:sz w:val="18"/>
                <w:szCs w:val="18"/>
                <w:lang w:val="sr-Cyrl-CS"/>
              </w:rPr>
            </w:pPr>
            <w:r w:rsidRPr="00646254">
              <w:rPr>
                <w:color w:val="002060"/>
                <w:sz w:val="18"/>
                <w:szCs w:val="18"/>
                <w:lang w:val="sr-Cyrl-CS"/>
              </w:rPr>
              <w:t>90,0</w:t>
            </w:r>
          </w:p>
        </w:tc>
        <w:tc>
          <w:tcPr>
            <w:tcW w:w="711" w:type="pct"/>
            <w:shd w:val="clear" w:color="auto" w:fill="auto"/>
            <w:hideMark/>
          </w:tcPr>
          <w:p w14:paraId="3E5E19B1" w14:textId="77777777" w:rsidR="001A5BCF" w:rsidRPr="00646254" w:rsidRDefault="001A5BCF" w:rsidP="00E96A1D">
            <w:pPr>
              <w:spacing w:after="0" w:line="240" w:lineRule="auto"/>
              <w:ind w:right="284"/>
              <w:jc w:val="right"/>
              <w:rPr>
                <w:rFonts w:cstheme="minorHAnsi"/>
                <w:color w:val="002060"/>
                <w:sz w:val="18"/>
                <w:szCs w:val="18"/>
                <w:lang w:val="sr-Cyrl-CS"/>
              </w:rPr>
            </w:pPr>
            <w:r w:rsidRPr="00646254">
              <w:rPr>
                <w:color w:val="002060"/>
                <w:sz w:val="18"/>
                <w:szCs w:val="18"/>
                <w:lang w:val="sr-Cyrl-CS"/>
              </w:rPr>
              <w:t>5,1</w:t>
            </w:r>
          </w:p>
        </w:tc>
        <w:tc>
          <w:tcPr>
            <w:tcW w:w="711" w:type="pct"/>
            <w:shd w:val="clear" w:color="auto" w:fill="auto"/>
            <w:hideMark/>
          </w:tcPr>
          <w:p w14:paraId="3B0C6914" w14:textId="77777777" w:rsidR="001A5BCF" w:rsidRPr="00646254" w:rsidRDefault="001A5BCF" w:rsidP="00E96A1D">
            <w:pPr>
              <w:spacing w:after="0" w:line="240" w:lineRule="auto"/>
              <w:ind w:right="340"/>
              <w:jc w:val="right"/>
              <w:rPr>
                <w:rFonts w:cstheme="minorHAnsi"/>
                <w:color w:val="002060"/>
                <w:sz w:val="18"/>
                <w:szCs w:val="18"/>
                <w:lang w:val="sr-Cyrl-CS"/>
              </w:rPr>
            </w:pPr>
            <w:r w:rsidRPr="00646254">
              <w:rPr>
                <w:color w:val="002060"/>
                <w:sz w:val="18"/>
                <w:szCs w:val="18"/>
                <w:lang w:val="sr-Cyrl-CS"/>
              </w:rPr>
              <w:t>6,0</w:t>
            </w:r>
          </w:p>
        </w:tc>
        <w:tc>
          <w:tcPr>
            <w:tcW w:w="707" w:type="pct"/>
            <w:shd w:val="clear" w:color="auto" w:fill="auto"/>
            <w:noWrap/>
            <w:hideMark/>
          </w:tcPr>
          <w:p w14:paraId="6627EC92" w14:textId="77777777" w:rsidR="001A5BCF" w:rsidRPr="00646254" w:rsidRDefault="001A5BCF" w:rsidP="00E96A1D">
            <w:pPr>
              <w:spacing w:after="0" w:line="240" w:lineRule="auto"/>
              <w:ind w:right="340"/>
              <w:jc w:val="right"/>
              <w:rPr>
                <w:rFonts w:cstheme="minorHAnsi"/>
                <w:color w:val="002060"/>
                <w:sz w:val="18"/>
                <w:szCs w:val="18"/>
                <w:lang w:val="sr-Cyrl-CS"/>
              </w:rPr>
            </w:pPr>
            <w:r w:rsidRPr="00646254">
              <w:rPr>
                <w:color w:val="002060"/>
                <w:sz w:val="18"/>
                <w:szCs w:val="18"/>
                <w:lang w:val="sr-Cyrl-CS"/>
              </w:rPr>
              <w:t>1,5</w:t>
            </w:r>
          </w:p>
        </w:tc>
      </w:tr>
      <w:tr w:rsidR="00262F10" w:rsidRPr="00646254" w14:paraId="43114EB7" w14:textId="77777777" w:rsidTr="00E96A1D">
        <w:trPr>
          <w:trHeight w:val="155"/>
          <w:jc w:val="center"/>
        </w:trPr>
        <w:tc>
          <w:tcPr>
            <w:tcW w:w="1450" w:type="pct"/>
            <w:shd w:val="clear" w:color="auto" w:fill="auto"/>
            <w:noWrap/>
            <w:vAlign w:val="center"/>
            <w:hideMark/>
          </w:tcPr>
          <w:p w14:paraId="629D34A8" w14:textId="77777777" w:rsidR="001A5BCF" w:rsidRPr="00646254" w:rsidRDefault="001A5BCF" w:rsidP="00E96A1D">
            <w:pPr>
              <w:spacing w:after="0" w:line="240" w:lineRule="auto"/>
              <w:jc w:val="lef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Доприноси</w:t>
            </w:r>
          </w:p>
        </w:tc>
        <w:tc>
          <w:tcPr>
            <w:tcW w:w="710" w:type="pct"/>
            <w:shd w:val="clear" w:color="auto" w:fill="auto"/>
            <w:hideMark/>
          </w:tcPr>
          <w:p w14:paraId="43F9FAAE" w14:textId="77777777" w:rsidR="001A5BCF" w:rsidRPr="00646254" w:rsidRDefault="001A5BCF" w:rsidP="00E96A1D">
            <w:pPr>
              <w:spacing w:after="0" w:line="240" w:lineRule="auto"/>
              <w:ind w:right="227"/>
              <w:jc w:val="right"/>
              <w:rPr>
                <w:rFonts w:cstheme="minorHAnsi"/>
                <w:color w:val="002060"/>
                <w:sz w:val="18"/>
                <w:szCs w:val="18"/>
                <w:lang w:val="sr-Cyrl-CS"/>
              </w:rPr>
            </w:pPr>
            <w:r w:rsidRPr="00646254">
              <w:rPr>
                <w:color w:val="002060"/>
                <w:sz w:val="18"/>
                <w:szCs w:val="18"/>
                <w:lang w:val="sr-Cyrl-CS"/>
              </w:rPr>
              <w:t>784,5</w:t>
            </w:r>
          </w:p>
        </w:tc>
        <w:tc>
          <w:tcPr>
            <w:tcW w:w="711" w:type="pct"/>
            <w:shd w:val="clear" w:color="auto" w:fill="auto"/>
            <w:noWrap/>
            <w:hideMark/>
          </w:tcPr>
          <w:p w14:paraId="6812C365" w14:textId="77777777" w:rsidR="001A5BCF" w:rsidRPr="00646254" w:rsidRDefault="001A5BCF" w:rsidP="00E96A1D">
            <w:pPr>
              <w:spacing w:after="0" w:line="240" w:lineRule="auto"/>
              <w:ind w:right="227"/>
              <w:jc w:val="right"/>
              <w:rPr>
                <w:rFonts w:cstheme="minorHAnsi"/>
                <w:color w:val="002060"/>
                <w:sz w:val="18"/>
                <w:szCs w:val="18"/>
                <w:lang w:val="sr-Cyrl-CS"/>
              </w:rPr>
            </w:pPr>
            <w:r w:rsidRPr="00646254">
              <w:rPr>
                <w:color w:val="002060"/>
                <w:sz w:val="18"/>
                <w:szCs w:val="18"/>
                <w:lang w:val="sr-Cyrl-CS"/>
              </w:rPr>
              <w:t>855,0</w:t>
            </w:r>
          </w:p>
        </w:tc>
        <w:tc>
          <w:tcPr>
            <w:tcW w:w="711" w:type="pct"/>
            <w:shd w:val="clear" w:color="auto" w:fill="auto"/>
            <w:hideMark/>
          </w:tcPr>
          <w:p w14:paraId="32DEDFE5" w14:textId="77777777" w:rsidR="001A5BCF" w:rsidRPr="00646254" w:rsidRDefault="001A5BCF" w:rsidP="00E96A1D">
            <w:pPr>
              <w:spacing w:after="0" w:line="240" w:lineRule="auto"/>
              <w:ind w:right="284"/>
              <w:jc w:val="right"/>
              <w:rPr>
                <w:rFonts w:cstheme="minorHAnsi"/>
                <w:color w:val="002060"/>
                <w:sz w:val="18"/>
                <w:szCs w:val="18"/>
                <w:lang w:val="sr-Cyrl-CS"/>
              </w:rPr>
            </w:pPr>
            <w:r w:rsidRPr="00646254">
              <w:rPr>
                <w:color w:val="002060"/>
                <w:sz w:val="18"/>
                <w:szCs w:val="18"/>
                <w:lang w:val="sr-Cyrl-CS"/>
              </w:rPr>
              <w:t>70,5</w:t>
            </w:r>
          </w:p>
        </w:tc>
        <w:tc>
          <w:tcPr>
            <w:tcW w:w="711" w:type="pct"/>
            <w:shd w:val="clear" w:color="auto" w:fill="auto"/>
            <w:hideMark/>
          </w:tcPr>
          <w:p w14:paraId="2B4024BE" w14:textId="77777777" w:rsidR="001A5BCF" w:rsidRPr="00646254" w:rsidRDefault="001A5BCF" w:rsidP="00E96A1D">
            <w:pPr>
              <w:spacing w:after="0" w:line="240" w:lineRule="auto"/>
              <w:ind w:right="340"/>
              <w:jc w:val="right"/>
              <w:rPr>
                <w:rFonts w:cstheme="minorHAnsi"/>
                <w:color w:val="002060"/>
                <w:sz w:val="18"/>
                <w:szCs w:val="18"/>
                <w:lang w:val="sr-Cyrl-CS"/>
              </w:rPr>
            </w:pPr>
            <w:r w:rsidRPr="00646254">
              <w:rPr>
                <w:color w:val="002060"/>
                <w:sz w:val="18"/>
                <w:szCs w:val="18"/>
                <w:lang w:val="sr-Cyrl-CS"/>
              </w:rPr>
              <w:t>9,0</w:t>
            </w:r>
          </w:p>
        </w:tc>
        <w:tc>
          <w:tcPr>
            <w:tcW w:w="707" w:type="pct"/>
            <w:shd w:val="clear" w:color="auto" w:fill="auto"/>
            <w:noWrap/>
            <w:hideMark/>
          </w:tcPr>
          <w:p w14:paraId="56CE4A9D" w14:textId="77777777" w:rsidR="001A5BCF" w:rsidRPr="00646254" w:rsidRDefault="001A5BCF" w:rsidP="00E96A1D">
            <w:pPr>
              <w:spacing w:after="0" w:line="240" w:lineRule="auto"/>
              <w:ind w:right="340"/>
              <w:jc w:val="right"/>
              <w:rPr>
                <w:rFonts w:cstheme="minorHAnsi"/>
                <w:color w:val="002060"/>
                <w:sz w:val="18"/>
                <w:szCs w:val="18"/>
                <w:lang w:val="sr-Cyrl-CS"/>
              </w:rPr>
            </w:pPr>
            <w:r w:rsidRPr="00646254">
              <w:rPr>
                <w:color w:val="002060"/>
                <w:sz w:val="18"/>
                <w:szCs w:val="18"/>
                <w:lang w:val="sr-Cyrl-CS"/>
              </w:rPr>
              <w:t>13,9</w:t>
            </w:r>
          </w:p>
        </w:tc>
      </w:tr>
      <w:tr w:rsidR="00262F10" w:rsidRPr="00646254" w14:paraId="51AA83A1" w14:textId="77777777" w:rsidTr="00E96A1D">
        <w:trPr>
          <w:trHeight w:val="155"/>
          <w:jc w:val="center"/>
        </w:trPr>
        <w:tc>
          <w:tcPr>
            <w:tcW w:w="1450" w:type="pct"/>
            <w:shd w:val="clear" w:color="auto" w:fill="auto"/>
            <w:noWrap/>
            <w:vAlign w:val="center"/>
            <w:hideMark/>
          </w:tcPr>
          <w:p w14:paraId="0A05889E" w14:textId="77777777" w:rsidR="001A5BCF" w:rsidRPr="00646254" w:rsidRDefault="001A5BCF" w:rsidP="00E96A1D">
            <w:pPr>
              <w:spacing w:after="0" w:line="240" w:lineRule="auto"/>
              <w:jc w:val="lef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Непорески приходи</w:t>
            </w:r>
          </w:p>
        </w:tc>
        <w:tc>
          <w:tcPr>
            <w:tcW w:w="710" w:type="pct"/>
            <w:shd w:val="clear" w:color="auto" w:fill="auto"/>
            <w:hideMark/>
          </w:tcPr>
          <w:p w14:paraId="1156C97A" w14:textId="77777777" w:rsidR="001A5BCF" w:rsidRPr="00646254" w:rsidRDefault="001A5BCF" w:rsidP="00E96A1D">
            <w:pPr>
              <w:spacing w:after="0" w:line="240" w:lineRule="auto"/>
              <w:ind w:right="227"/>
              <w:jc w:val="right"/>
              <w:rPr>
                <w:rFonts w:cstheme="minorHAnsi"/>
                <w:color w:val="002060"/>
                <w:sz w:val="18"/>
                <w:szCs w:val="18"/>
                <w:lang w:val="sr-Cyrl-CS"/>
              </w:rPr>
            </w:pPr>
            <w:r w:rsidRPr="00646254">
              <w:rPr>
                <w:color w:val="002060"/>
                <w:sz w:val="18"/>
                <w:szCs w:val="18"/>
                <w:lang w:val="sr-Cyrl-CS"/>
              </w:rPr>
              <w:t>233,3</w:t>
            </w:r>
          </w:p>
        </w:tc>
        <w:tc>
          <w:tcPr>
            <w:tcW w:w="711" w:type="pct"/>
            <w:shd w:val="clear" w:color="auto" w:fill="auto"/>
            <w:noWrap/>
            <w:hideMark/>
          </w:tcPr>
          <w:p w14:paraId="497C0A03" w14:textId="77777777" w:rsidR="001A5BCF" w:rsidRPr="00646254" w:rsidRDefault="001A5BCF" w:rsidP="00E96A1D">
            <w:pPr>
              <w:spacing w:after="0" w:line="240" w:lineRule="auto"/>
              <w:ind w:right="227"/>
              <w:jc w:val="right"/>
              <w:rPr>
                <w:rFonts w:cstheme="minorHAnsi"/>
                <w:color w:val="002060"/>
                <w:sz w:val="18"/>
                <w:szCs w:val="18"/>
                <w:lang w:val="sr-Cyrl-CS"/>
              </w:rPr>
            </w:pPr>
            <w:r w:rsidRPr="00646254">
              <w:rPr>
                <w:color w:val="002060"/>
                <w:sz w:val="18"/>
                <w:szCs w:val="18"/>
                <w:lang w:val="sr-Cyrl-CS"/>
              </w:rPr>
              <w:t>261,6</w:t>
            </w:r>
          </w:p>
        </w:tc>
        <w:tc>
          <w:tcPr>
            <w:tcW w:w="711" w:type="pct"/>
            <w:shd w:val="clear" w:color="auto" w:fill="auto"/>
            <w:hideMark/>
          </w:tcPr>
          <w:p w14:paraId="3698F3E0" w14:textId="77777777" w:rsidR="001A5BCF" w:rsidRPr="00646254" w:rsidRDefault="001A5BCF" w:rsidP="00E96A1D">
            <w:pPr>
              <w:spacing w:after="0" w:line="240" w:lineRule="auto"/>
              <w:ind w:right="284"/>
              <w:jc w:val="right"/>
              <w:rPr>
                <w:rFonts w:cstheme="minorHAnsi"/>
                <w:color w:val="002060"/>
                <w:sz w:val="18"/>
                <w:szCs w:val="18"/>
                <w:lang w:val="sr-Cyrl-CS"/>
              </w:rPr>
            </w:pPr>
            <w:r w:rsidRPr="00646254">
              <w:rPr>
                <w:color w:val="002060"/>
                <w:sz w:val="18"/>
                <w:szCs w:val="18"/>
                <w:lang w:val="sr-Cyrl-CS"/>
              </w:rPr>
              <w:t>28,2</w:t>
            </w:r>
          </w:p>
        </w:tc>
        <w:tc>
          <w:tcPr>
            <w:tcW w:w="711" w:type="pct"/>
            <w:shd w:val="clear" w:color="auto" w:fill="auto"/>
            <w:hideMark/>
          </w:tcPr>
          <w:p w14:paraId="24D0A999" w14:textId="77777777" w:rsidR="001A5BCF" w:rsidRPr="00646254" w:rsidRDefault="001A5BCF" w:rsidP="00E96A1D">
            <w:pPr>
              <w:spacing w:after="0" w:line="240" w:lineRule="auto"/>
              <w:ind w:right="340"/>
              <w:jc w:val="right"/>
              <w:rPr>
                <w:rFonts w:cstheme="minorHAnsi"/>
                <w:color w:val="002060"/>
                <w:sz w:val="18"/>
                <w:szCs w:val="18"/>
                <w:lang w:val="sr-Cyrl-CS"/>
              </w:rPr>
            </w:pPr>
            <w:r w:rsidRPr="00646254">
              <w:rPr>
                <w:color w:val="002060"/>
                <w:sz w:val="18"/>
                <w:szCs w:val="18"/>
                <w:lang w:val="sr-Cyrl-CS"/>
              </w:rPr>
              <w:t>12,1</w:t>
            </w:r>
          </w:p>
        </w:tc>
        <w:tc>
          <w:tcPr>
            <w:tcW w:w="707" w:type="pct"/>
            <w:shd w:val="clear" w:color="auto" w:fill="auto"/>
            <w:noWrap/>
            <w:hideMark/>
          </w:tcPr>
          <w:p w14:paraId="74072886" w14:textId="77777777" w:rsidR="001A5BCF" w:rsidRPr="00646254" w:rsidRDefault="001A5BCF" w:rsidP="00E96A1D">
            <w:pPr>
              <w:spacing w:after="0" w:line="240" w:lineRule="auto"/>
              <w:ind w:right="340"/>
              <w:jc w:val="right"/>
              <w:rPr>
                <w:rFonts w:cstheme="minorHAnsi"/>
                <w:color w:val="002060"/>
                <w:sz w:val="18"/>
                <w:szCs w:val="18"/>
                <w:lang w:val="sr-Cyrl-CS"/>
              </w:rPr>
            </w:pPr>
            <w:r w:rsidRPr="00646254">
              <w:rPr>
                <w:color w:val="002060"/>
                <w:sz w:val="18"/>
                <w:szCs w:val="18"/>
                <w:lang w:val="sr-Cyrl-CS"/>
              </w:rPr>
              <w:t>4,2</w:t>
            </w:r>
          </w:p>
        </w:tc>
      </w:tr>
      <w:tr w:rsidR="00262F10" w:rsidRPr="00646254" w14:paraId="7CE28709" w14:textId="77777777" w:rsidTr="00E96A1D">
        <w:trPr>
          <w:trHeight w:val="155"/>
          <w:jc w:val="center"/>
        </w:trPr>
        <w:tc>
          <w:tcPr>
            <w:tcW w:w="1450" w:type="pct"/>
            <w:shd w:val="clear" w:color="auto" w:fill="auto"/>
            <w:noWrap/>
            <w:vAlign w:val="center"/>
            <w:hideMark/>
          </w:tcPr>
          <w:p w14:paraId="1588A782" w14:textId="77777777" w:rsidR="001A5BCF" w:rsidRPr="00646254" w:rsidRDefault="001A5BCF" w:rsidP="00E96A1D">
            <w:pPr>
              <w:spacing w:after="0" w:line="240" w:lineRule="auto"/>
              <w:jc w:val="lef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Донације</w:t>
            </w:r>
          </w:p>
        </w:tc>
        <w:tc>
          <w:tcPr>
            <w:tcW w:w="710" w:type="pct"/>
            <w:shd w:val="clear" w:color="auto" w:fill="auto"/>
            <w:hideMark/>
          </w:tcPr>
          <w:p w14:paraId="368EEEE8" w14:textId="77777777" w:rsidR="001A5BCF" w:rsidRPr="00646254" w:rsidRDefault="001A5BCF" w:rsidP="00E96A1D">
            <w:pPr>
              <w:spacing w:after="0" w:line="240" w:lineRule="auto"/>
              <w:ind w:right="227"/>
              <w:jc w:val="right"/>
              <w:rPr>
                <w:rFonts w:cstheme="minorHAnsi"/>
                <w:color w:val="002060"/>
                <w:sz w:val="18"/>
                <w:szCs w:val="18"/>
                <w:lang w:val="sr-Cyrl-CS"/>
              </w:rPr>
            </w:pPr>
            <w:r w:rsidRPr="00646254">
              <w:rPr>
                <w:color w:val="002060"/>
                <w:sz w:val="18"/>
                <w:szCs w:val="18"/>
                <w:lang w:val="sr-Cyrl-CS"/>
              </w:rPr>
              <w:t>19,5</w:t>
            </w:r>
          </w:p>
        </w:tc>
        <w:tc>
          <w:tcPr>
            <w:tcW w:w="711" w:type="pct"/>
            <w:shd w:val="clear" w:color="auto" w:fill="auto"/>
            <w:noWrap/>
            <w:hideMark/>
          </w:tcPr>
          <w:p w14:paraId="24701B77" w14:textId="77777777" w:rsidR="001A5BCF" w:rsidRPr="00646254" w:rsidRDefault="001A5BCF" w:rsidP="00E96A1D">
            <w:pPr>
              <w:spacing w:after="0" w:line="240" w:lineRule="auto"/>
              <w:ind w:right="227"/>
              <w:jc w:val="right"/>
              <w:rPr>
                <w:rFonts w:cstheme="minorHAnsi"/>
                <w:color w:val="002060"/>
                <w:sz w:val="18"/>
                <w:szCs w:val="18"/>
                <w:lang w:val="sr-Cyrl-CS"/>
              </w:rPr>
            </w:pPr>
            <w:r w:rsidRPr="00646254">
              <w:rPr>
                <w:color w:val="002060"/>
                <w:sz w:val="18"/>
                <w:szCs w:val="18"/>
                <w:lang w:val="sr-Cyrl-CS"/>
              </w:rPr>
              <w:t>20,1</w:t>
            </w:r>
          </w:p>
        </w:tc>
        <w:tc>
          <w:tcPr>
            <w:tcW w:w="711" w:type="pct"/>
            <w:shd w:val="clear" w:color="auto" w:fill="auto"/>
            <w:hideMark/>
          </w:tcPr>
          <w:p w14:paraId="7BDA6E42" w14:textId="77777777" w:rsidR="001A5BCF" w:rsidRPr="00646254" w:rsidRDefault="001A5BCF" w:rsidP="00E96A1D">
            <w:pPr>
              <w:spacing w:after="0" w:line="240" w:lineRule="auto"/>
              <w:ind w:right="284"/>
              <w:jc w:val="right"/>
              <w:rPr>
                <w:rFonts w:cstheme="minorHAnsi"/>
                <w:color w:val="002060"/>
                <w:sz w:val="18"/>
                <w:szCs w:val="18"/>
                <w:lang w:val="sr-Cyrl-CS"/>
              </w:rPr>
            </w:pPr>
            <w:r w:rsidRPr="00646254">
              <w:rPr>
                <w:color w:val="002060"/>
                <w:sz w:val="18"/>
                <w:szCs w:val="18"/>
                <w:lang w:val="sr-Cyrl-CS"/>
              </w:rPr>
              <w:t>0,6</w:t>
            </w:r>
          </w:p>
        </w:tc>
        <w:tc>
          <w:tcPr>
            <w:tcW w:w="711" w:type="pct"/>
            <w:shd w:val="clear" w:color="auto" w:fill="auto"/>
            <w:hideMark/>
          </w:tcPr>
          <w:p w14:paraId="05C4C581" w14:textId="77777777" w:rsidR="001A5BCF" w:rsidRPr="00646254" w:rsidRDefault="001A5BCF" w:rsidP="00E96A1D">
            <w:pPr>
              <w:spacing w:after="0" w:line="240" w:lineRule="auto"/>
              <w:ind w:right="340"/>
              <w:jc w:val="right"/>
              <w:rPr>
                <w:rFonts w:cstheme="minorHAnsi"/>
                <w:color w:val="002060"/>
                <w:sz w:val="18"/>
                <w:szCs w:val="18"/>
                <w:lang w:val="sr-Cyrl-CS"/>
              </w:rPr>
            </w:pPr>
            <w:r w:rsidRPr="00646254">
              <w:rPr>
                <w:color w:val="002060"/>
                <w:sz w:val="18"/>
                <w:szCs w:val="18"/>
                <w:lang w:val="sr-Cyrl-CS"/>
              </w:rPr>
              <w:t>2,8</w:t>
            </w:r>
          </w:p>
        </w:tc>
        <w:tc>
          <w:tcPr>
            <w:tcW w:w="707" w:type="pct"/>
            <w:shd w:val="clear" w:color="auto" w:fill="auto"/>
            <w:noWrap/>
            <w:hideMark/>
          </w:tcPr>
          <w:p w14:paraId="68D98C26" w14:textId="77777777" w:rsidR="001A5BCF" w:rsidRPr="00646254" w:rsidRDefault="001A5BCF" w:rsidP="00E96A1D">
            <w:pPr>
              <w:spacing w:after="0" w:line="240" w:lineRule="auto"/>
              <w:ind w:right="340"/>
              <w:jc w:val="right"/>
              <w:rPr>
                <w:rFonts w:cstheme="minorHAnsi"/>
                <w:color w:val="002060"/>
                <w:sz w:val="18"/>
                <w:szCs w:val="18"/>
                <w:lang w:val="sr-Cyrl-CS"/>
              </w:rPr>
            </w:pPr>
            <w:r w:rsidRPr="00646254">
              <w:rPr>
                <w:color w:val="002060"/>
                <w:sz w:val="18"/>
                <w:szCs w:val="18"/>
                <w:lang w:val="sr-Cyrl-CS"/>
              </w:rPr>
              <w:t>0,3</w:t>
            </w:r>
          </w:p>
        </w:tc>
      </w:tr>
      <w:tr w:rsidR="00262F10" w:rsidRPr="00646254" w14:paraId="590CE2A0" w14:textId="77777777" w:rsidTr="00E96A1D">
        <w:trPr>
          <w:trHeight w:val="155"/>
          <w:jc w:val="center"/>
        </w:trPr>
        <w:tc>
          <w:tcPr>
            <w:tcW w:w="1450" w:type="pct"/>
            <w:shd w:val="clear" w:color="auto" w:fill="E7E6E6" w:themeFill="background2"/>
            <w:noWrap/>
            <w:vAlign w:val="center"/>
            <w:hideMark/>
          </w:tcPr>
          <w:p w14:paraId="1963606E" w14:textId="77777777" w:rsidR="001A5BCF" w:rsidRPr="00646254" w:rsidRDefault="001A5BCF" w:rsidP="00E96A1D">
            <w:pPr>
              <w:spacing w:after="0" w:line="240" w:lineRule="auto"/>
              <w:jc w:val="left"/>
              <w:rPr>
                <w:rFonts w:cstheme="minorHAnsi"/>
                <w:color w:val="002060"/>
                <w:sz w:val="18"/>
                <w:szCs w:val="18"/>
                <w:lang w:val="sr-Cyrl-CS"/>
              </w:rPr>
            </w:pPr>
            <w:r w:rsidRPr="00646254">
              <w:rPr>
                <w:rFonts w:eastAsia="MS PGothic" w:cstheme="minorHAnsi"/>
                <w:color w:val="002060"/>
                <w:sz w:val="18"/>
                <w:szCs w:val="18"/>
                <w:lang w:val="sr-Cyrl-CS" w:eastAsia="ja-JP"/>
              </w:rPr>
              <w:t>ЈАВНИ РАСХОДИ</w:t>
            </w:r>
          </w:p>
        </w:tc>
        <w:tc>
          <w:tcPr>
            <w:tcW w:w="710" w:type="pct"/>
            <w:shd w:val="clear" w:color="auto" w:fill="E7E6E6" w:themeFill="background2"/>
            <w:hideMark/>
          </w:tcPr>
          <w:p w14:paraId="14770EB1" w14:textId="77777777" w:rsidR="001A5BCF" w:rsidRPr="00646254" w:rsidRDefault="001A5BCF" w:rsidP="00E96A1D">
            <w:pPr>
              <w:spacing w:after="0" w:line="240" w:lineRule="auto"/>
              <w:ind w:right="227"/>
              <w:jc w:val="right"/>
              <w:rPr>
                <w:rFonts w:cstheme="minorHAnsi"/>
                <w:color w:val="002060"/>
                <w:sz w:val="18"/>
                <w:szCs w:val="18"/>
                <w:lang w:val="sr-Cyrl-CS"/>
              </w:rPr>
            </w:pPr>
            <w:r w:rsidRPr="00646254">
              <w:rPr>
                <w:color w:val="002060"/>
                <w:sz w:val="18"/>
                <w:szCs w:val="18"/>
                <w:lang w:val="sr-Cyrl-CS"/>
              </w:rPr>
              <w:t>2.603,3</w:t>
            </w:r>
          </w:p>
        </w:tc>
        <w:tc>
          <w:tcPr>
            <w:tcW w:w="711" w:type="pct"/>
            <w:shd w:val="clear" w:color="auto" w:fill="E7E6E6" w:themeFill="background2"/>
            <w:noWrap/>
            <w:hideMark/>
          </w:tcPr>
          <w:p w14:paraId="367B4EA7" w14:textId="77777777" w:rsidR="001A5BCF" w:rsidRPr="00646254" w:rsidRDefault="001A5BCF" w:rsidP="00E96A1D">
            <w:pPr>
              <w:spacing w:after="0" w:line="240" w:lineRule="auto"/>
              <w:ind w:right="227"/>
              <w:jc w:val="right"/>
              <w:rPr>
                <w:rFonts w:cstheme="minorHAnsi"/>
                <w:color w:val="002060"/>
                <w:sz w:val="18"/>
                <w:szCs w:val="18"/>
                <w:lang w:val="sr-Cyrl-CS"/>
              </w:rPr>
            </w:pPr>
            <w:r w:rsidRPr="00646254">
              <w:rPr>
                <w:color w:val="002060"/>
                <w:sz w:val="18"/>
                <w:szCs w:val="18"/>
                <w:lang w:val="sr-Cyrl-CS"/>
              </w:rPr>
              <w:t>2.983,4</w:t>
            </w:r>
          </w:p>
        </w:tc>
        <w:tc>
          <w:tcPr>
            <w:tcW w:w="711" w:type="pct"/>
            <w:shd w:val="clear" w:color="auto" w:fill="E7E6E6" w:themeFill="background2"/>
            <w:hideMark/>
          </w:tcPr>
          <w:p w14:paraId="338538E8" w14:textId="77777777" w:rsidR="001A5BCF" w:rsidRPr="00646254" w:rsidRDefault="001A5BCF" w:rsidP="00E96A1D">
            <w:pPr>
              <w:spacing w:after="0" w:line="240" w:lineRule="auto"/>
              <w:ind w:right="284"/>
              <w:jc w:val="right"/>
              <w:rPr>
                <w:rFonts w:cstheme="minorHAnsi"/>
                <w:color w:val="002060"/>
                <w:sz w:val="18"/>
                <w:szCs w:val="18"/>
                <w:lang w:val="sr-Cyrl-CS"/>
              </w:rPr>
            </w:pPr>
            <w:r w:rsidRPr="00646254">
              <w:rPr>
                <w:color w:val="002060"/>
                <w:sz w:val="18"/>
                <w:szCs w:val="18"/>
                <w:lang w:val="sr-Cyrl-CS"/>
              </w:rPr>
              <w:t>380,1</w:t>
            </w:r>
          </w:p>
        </w:tc>
        <w:tc>
          <w:tcPr>
            <w:tcW w:w="711" w:type="pct"/>
            <w:shd w:val="clear" w:color="auto" w:fill="E7E6E6" w:themeFill="background2"/>
            <w:hideMark/>
          </w:tcPr>
          <w:p w14:paraId="18E4E6C3" w14:textId="77777777" w:rsidR="001A5BCF" w:rsidRPr="00646254" w:rsidRDefault="001A5BCF" w:rsidP="00E96A1D">
            <w:pPr>
              <w:spacing w:after="0" w:line="240" w:lineRule="auto"/>
              <w:ind w:right="340"/>
              <w:jc w:val="right"/>
              <w:rPr>
                <w:rFonts w:cstheme="minorHAnsi"/>
                <w:color w:val="002060"/>
                <w:sz w:val="18"/>
                <w:szCs w:val="18"/>
                <w:lang w:val="sr-Cyrl-CS"/>
              </w:rPr>
            </w:pPr>
            <w:r w:rsidRPr="00646254">
              <w:rPr>
                <w:color w:val="002060"/>
                <w:sz w:val="18"/>
                <w:szCs w:val="18"/>
                <w:lang w:val="sr-Cyrl-CS"/>
              </w:rPr>
              <w:t>14,6</w:t>
            </w:r>
          </w:p>
        </w:tc>
        <w:tc>
          <w:tcPr>
            <w:tcW w:w="707" w:type="pct"/>
            <w:shd w:val="clear" w:color="auto" w:fill="E7E6E6" w:themeFill="background2"/>
            <w:noWrap/>
            <w:hideMark/>
          </w:tcPr>
          <w:p w14:paraId="20758F73" w14:textId="77777777" w:rsidR="001A5BCF" w:rsidRPr="00646254" w:rsidRDefault="001A5BCF" w:rsidP="00E96A1D">
            <w:pPr>
              <w:spacing w:after="0" w:line="240" w:lineRule="auto"/>
              <w:ind w:right="340"/>
              <w:jc w:val="right"/>
              <w:rPr>
                <w:rFonts w:cstheme="minorHAnsi"/>
                <w:color w:val="002060"/>
                <w:sz w:val="18"/>
                <w:szCs w:val="18"/>
                <w:lang w:val="sr-Cyrl-CS"/>
              </w:rPr>
            </w:pPr>
            <w:r w:rsidRPr="00646254">
              <w:rPr>
                <w:color w:val="002060"/>
                <w:sz w:val="18"/>
                <w:szCs w:val="18"/>
                <w:lang w:val="sr-Cyrl-CS"/>
              </w:rPr>
              <w:t>48,4</w:t>
            </w:r>
          </w:p>
        </w:tc>
      </w:tr>
      <w:tr w:rsidR="00262F10" w:rsidRPr="00646254" w14:paraId="25EB7CA2" w14:textId="77777777" w:rsidTr="00E96A1D">
        <w:trPr>
          <w:trHeight w:val="155"/>
          <w:jc w:val="center"/>
        </w:trPr>
        <w:tc>
          <w:tcPr>
            <w:tcW w:w="1450" w:type="pct"/>
            <w:shd w:val="clear" w:color="auto" w:fill="auto"/>
            <w:noWrap/>
            <w:vAlign w:val="center"/>
            <w:hideMark/>
          </w:tcPr>
          <w:p w14:paraId="5E5F08A3" w14:textId="77777777" w:rsidR="001A5BCF" w:rsidRPr="00646254" w:rsidRDefault="001A5BCF" w:rsidP="00E96A1D">
            <w:pPr>
              <w:spacing w:after="0" w:line="240" w:lineRule="auto"/>
              <w:jc w:val="lef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Текући расходи</w:t>
            </w:r>
          </w:p>
        </w:tc>
        <w:tc>
          <w:tcPr>
            <w:tcW w:w="710" w:type="pct"/>
            <w:shd w:val="clear" w:color="auto" w:fill="auto"/>
            <w:hideMark/>
          </w:tcPr>
          <w:p w14:paraId="7EDB405C" w14:textId="77777777" w:rsidR="001A5BCF" w:rsidRPr="00646254" w:rsidRDefault="001A5BCF" w:rsidP="00E96A1D">
            <w:pPr>
              <w:spacing w:after="0" w:line="240" w:lineRule="auto"/>
              <w:ind w:right="227"/>
              <w:jc w:val="right"/>
              <w:rPr>
                <w:rFonts w:cstheme="minorHAnsi"/>
                <w:color w:val="002060"/>
                <w:sz w:val="18"/>
                <w:szCs w:val="18"/>
                <w:lang w:val="sr-Cyrl-CS"/>
              </w:rPr>
            </w:pPr>
            <w:r w:rsidRPr="00646254">
              <w:rPr>
                <w:color w:val="002060"/>
                <w:sz w:val="18"/>
                <w:szCs w:val="18"/>
                <w:lang w:val="sr-Cyrl-CS"/>
              </w:rPr>
              <w:t>2.237,2</w:t>
            </w:r>
          </w:p>
        </w:tc>
        <w:tc>
          <w:tcPr>
            <w:tcW w:w="711" w:type="pct"/>
            <w:shd w:val="clear" w:color="auto" w:fill="auto"/>
            <w:noWrap/>
            <w:hideMark/>
          </w:tcPr>
          <w:p w14:paraId="3C40FFE2" w14:textId="77777777" w:rsidR="001A5BCF" w:rsidRPr="00646254" w:rsidRDefault="001A5BCF" w:rsidP="00E96A1D">
            <w:pPr>
              <w:spacing w:after="0" w:line="240" w:lineRule="auto"/>
              <w:ind w:right="227"/>
              <w:jc w:val="right"/>
              <w:rPr>
                <w:rFonts w:cstheme="minorHAnsi"/>
                <w:color w:val="002060"/>
                <w:sz w:val="18"/>
                <w:szCs w:val="18"/>
                <w:lang w:val="sr-Cyrl-CS"/>
              </w:rPr>
            </w:pPr>
            <w:r w:rsidRPr="00646254">
              <w:rPr>
                <w:color w:val="002060"/>
                <w:sz w:val="18"/>
                <w:szCs w:val="18"/>
                <w:lang w:val="sr-Cyrl-CS"/>
              </w:rPr>
              <w:t>2.473,3</w:t>
            </w:r>
          </w:p>
        </w:tc>
        <w:tc>
          <w:tcPr>
            <w:tcW w:w="711" w:type="pct"/>
            <w:shd w:val="clear" w:color="auto" w:fill="auto"/>
            <w:hideMark/>
          </w:tcPr>
          <w:p w14:paraId="24A561B0" w14:textId="77777777" w:rsidR="001A5BCF" w:rsidRPr="00646254" w:rsidRDefault="001A5BCF" w:rsidP="00E96A1D">
            <w:pPr>
              <w:spacing w:after="0" w:line="240" w:lineRule="auto"/>
              <w:ind w:right="284"/>
              <w:jc w:val="right"/>
              <w:rPr>
                <w:rFonts w:cstheme="minorHAnsi"/>
                <w:color w:val="002060"/>
                <w:sz w:val="18"/>
                <w:szCs w:val="18"/>
                <w:lang w:val="sr-Cyrl-CS"/>
              </w:rPr>
            </w:pPr>
            <w:r w:rsidRPr="00646254">
              <w:rPr>
                <w:color w:val="002060"/>
                <w:sz w:val="18"/>
                <w:szCs w:val="18"/>
                <w:lang w:val="sr-Cyrl-CS"/>
              </w:rPr>
              <w:t>236,1</w:t>
            </w:r>
          </w:p>
        </w:tc>
        <w:tc>
          <w:tcPr>
            <w:tcW w:w="711" w:type="pct"/>
            <w:shd w:val="clear" w:color="auto" w:fill="auto"/>
            <w:hideMark/>
          </w:tcPr>
          <w:p w14:paraId="77A15595" w14:textId="77777777" w:rsidR="001A5BCF" w:rsidRPr="00646254" w:rsidRDefault="001A5BCF" w:rsidP="00E96A1D">
            <w:pPr>
              <w:spacing w:after="0" w:line="240" w:lineRule="auto"/>
              <w:ind w:right="340"/>
              <w:jc w:val="right"/>
              <w:rPr>
                <w:rFonts w:cstheme="minorHAnsi"/>
                <w:color w:val="002060"/>
                <w:sz w:val="18"/>
                <w:szCs w:val="18"/>
                <w:lang w:val="sr-Cyrl-CS"/>
              </w:rPr>
            </w:pPr>
            <w:r w:rsidRPr="00646254">
              <w:rPr>
                <w:color w:val="002060"/>
                <w:sz w:val="18"/>
                <w:szCs w:val="18"/>
                <w:lang w:val="sr-Cyrl-CS"/>
              </w:rPr>
              <w:t>10,6</w:t>
            </w:r>
          </w:p>
        </w:tc>
        <w:tc>
          <w:tcPr>
            <w:tcW w:w="707" w:type="pct"/>
            <w:shd w:val="clear" w:color="auto" w:fill="auto"/>
            <w:noWrap/>
            <w:hideMark/>
          </w:tcPr>
          <w:p w14:paraId="035D1B43" w14:textId="77777777" w:rsidR="001A5BCF" w:rsidRPr="00646254" w:rsidRDefault="001A5BCF" w:rsidP="00E96A1D">
            <w:pPr>
              <w:spacing w:after="0" w:line="240" w:lineRule="auto"/>
              <w:ind w:right="340"/>
              <w:jc w:val="right"/>
              <w:rPr>
                <w:rFonts w:cstheme="minorHAnsi"/>
                <w:color w:val="002060"/>
                <w:sz w:val="18"/>
                <w:szCs w:val="18"/>
                <w:lang w:val="sr-Cyrl-CS"/>
              </w:rPr>
            </w:pPr>
            <w:r w:rsidRPr="00646254">
              <w:rPr>
                <w:color w:val="002060"/>
                <w:sz w:val="18"/>
                <w:szCs w:val="18"/>
                <w:lang w:val="sr-Cyrl-CS"/>
              </w:rPr>
              <w:t>40,1</w:t>
            </w:r>
          </w:p>
        </w:tc>
      </w:tr>
      <w:tr w:rsidR="00262F10" w:rsidRPr="00646254" w14:paraId="32FD5229" w14:textId="77777777" w:rsidTr="00E96A1D">
        <w:trPr>
          <w:trHeight w:val="155"/>
          <w:jc w:val="center"/>
        </w:trPr>
        <w:tc>
          <w:tcPr>
            <w:tcW w:w="1450" w:type="pct"/>
            <w:shd w:val="clear" w:color="auto" w:fill="auto"/>
            <w:noWrap/>
            <w:vAlign w:val="center"/>
            <w:hideMark/>
          </w:tcPr>
          <w:p w14:paraId="56191B88" w14:textId="77777777" w:rsidR="001A5BCF" w:rsidRPr="00646254" w:rsidRDefault="001A5BCF" w:rsidP="00E96A1D">
            <w:pPr>
              <w:spacing w:after="0" w:line="240" w:lineRule="auto"/>
              <w:jc w:val="lef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Расходи за запослене</w:t>
            </w:r>
          </w:p>
        </w:tc>
        <w:tc>
          <w:tcPr>
            <w:tcW w:w="710" w:type="pct"/>
            <w:shd w:val="clear" w:color="auto" w:fill="auto"/>
            <w:hideMark/>
          </w:tcPr>
          <w:p w14:paraId="1C421197" w14:textId="77777777" w:rsidR="001A5BCF" w:rsidRPr="00646254" w:rsidRDefault="001A5BCF" w:rsidP="00E96A1D">
            <w:pPr>
              <w:spacing w:after="0" w:line="240" w:lineRule="auto"/>
              <w:ind w:right="227"/>
              <w:jc w:val="right"/>
              <w:rPr>
                <w:rFonts w:cstheme="minorHAnsi"/>
                <w:color w:val="002060"/>
                <w:sz w:val="18"/>
                <w:szCs w:val="18"/>
                <w:lang w:val="sr-Cyrl-CS"/>
              </w:rPr>
            </w:pPr>
            <w:r w:rsidRPr="00646254">
              <w:rPr>
                <w:color w:val="002060"/>
                <w:sz w:val="18"/>
                <w:szCs w:val="18"/>
                <w:lang w:val="sr-Cyrl-CS"/>
              </w:rPr>
              <w:t>602,5</w:t>
            </w:r>
          </w:p>
        </w:tc>
        <w:tc>
          <w:tcPr>
            <w:tcW w:w="711" w:type="pct"/>
            <w:shd w:val="clear" w:color="auto" w:fill="auto"/>
            <w:noWrap/>
            <w:hideMark/>
          </w:tcPr>
          <w:p w14:paraId="2DA997E3" w14:textId="77777777" w:rsidR="001A5BCF" w:rsidRPr="00646254" w:rsidRDefault="001A5BCF" w:rsidP="00E96A1D">
            <w:pPr>
              <w:spacing w:after="0" w:line="240" w:lineRule="auto"/>
              <w:ind w:right="227"/>
              <w:jc w:val="right"/>
              <w:rPr>
                <w:rFonts w:cstheme="minorHAnsi"/>
                <w:color w:val="002060"/>
                <w:sz w:val="18"/>
                <w:szCs w:val="18"/>
                <w:lang w:val="sr-Cyrl-CS"/>
              </w:rPr>
            </w:pPr>
            <w:r w:rsidRPr="00646254">
              <w:rPr>
                <w:color w:val="002060"/>
                <w:sz w:val="18"/>
                <w:szCs w:val="18"/>
                <w:lang w:val="sr-Cyrl-CS"/>
              </w:rPr>
              <w:t>628,6</w:t>
            </w:r>
          </w:p>
        </w:tc>
        <w:tc>
          <w:tcPr>
            <w:tcW w:w="711" w:type="pct"/>
            <w:shd w:val="clear" w:color="auto" w:fill="auto"/>
            <w:hideMark/>
          </w:tcPr>
          <w:p w14:paraId="5E34A49F" w14:textId="77777777" w:rsidR="001A5BCF" w:rsidRPr="00646254" w:rsidRDefault="001A5BCF" w:rsidP="00E96A1D">
            <w:pPr>
              <w:spacing w:after="0" w:line="240" w:lineRule="auto"/>
              <w:ind w:right="284"/>
              <w:jc w:val="right"/>
              <w:rPr>
                <w:rFonts w:cstheme="minorHAnsi"/>
                <w:color w:val="002060"/>
                <w:sz w:val="18"/>
                <w:szCs w:val="18"/>
                <w:lang w:val="sr-Cyrl-CS"/>
              </w:rPr>
            </w:pPr>
            <w:r w:rsidRPr="00646254">
              <w:rPr>
                <w:color w:val="002060"/>
                <w:sz w:val="18"/>
                <w:szCs w:val="18"/>
                <w:lang w:val="sr-Cyrl-CS"/>
              </w:rPr>
              <w:t>26,1</w:t>
            </w:r>
          </w:p>
        </w:tc>
        <w:tc>
          <w:tcPr>
            <w:tcW w:w="711" w:type="pct"/>
            <w:shd w:val="clear" w:color="auto" w:fill="auto"/>
            <w:hideMark/>
          </w:tcPr>
          <w:p w14:paraId="249C5AB4" w14:textId="77777777" w:rsidR="001A5BCF" w:rsidRPr="00646254" w:rsidRDefault="001A5BCF" w:rsidP="00E96A1D">
            <w:pPr>
              <w:spacing w:after="0" w:line="240" w:lineRule="auto"/>
              <w:ind w:right="340"/>
              <w:jc w:val="right"/>
              <w:rPr>
                <w:rFonts w:cstheme="minorHAnsi"/>
                <w:color w:val="002060"/>
                <w:sz w:val="18"/>
                <w:szCs w:val="18"/>
                <w:lang w:val="sr-Cyrl-CS"/>
              </w:rPr>
            </w:pPr>
            <w:r w:rsidRPr="00646254">
              <w:rPr>
                <w:color w:val="002060"/>
                <w:sz w:val="18"/>
                <w:szCs w:val="18"/>
                <w:lang w:val="sr-Cyrl-CS"/>
              </w:rPr>
              <w:t>4,3</w:t>
            </w:r>
          </w:p>
        </w:tc>
        <w:tc>
          <w:tcPr>
            <w:tcW w:w="707" w:type="pct"/>
            <w:shd w:val="clear" w:color="auto" w:fill="auto"/>
            <w:noWrap/>
            <w:hideMark/>
          </w:tcPr>
          <w:p w14:paraId="1D50774C" w14:textId="77777777" w:rsidR="001A5BCF" w:rsidRPr="00646254" w:rsidRDefault="001A5BCF" w:rsidP="00E96A1D">
            <w:pPr>
              <w:spacing w:after="0" w:line="240" w:lineRule="auto"/>
              <w:ind w:right="340"/>
              <w:jc w:val="right"/>
              <w:rPr>
                <w:rFonts w:cstheme="minorHAnsi"/>
                <w:color w:val="002060"/>
                <w:sz w:val="18"/>
                <w:szCs w:val="18"/>
                <w:lang w:val="sr-Cyrl-CS"/>
              </w:rPr>
            </w:pPr>
            <w:r w:rsidRPr="00646254">
              <w:rPr>
                <w:color w:val="002060"/>
                <w:sz w:val="18"/>
                <w:szCs w:val="18"/>
                <w:lang w:val="sr-Cyrl-CS"/>
              </w:rPr>
              <w:t>10,2</w:t>
            </w:r>
          </w:p>
        </w:tc>
      </w:tr>
      <w:tr w:rsidR="00262F10" w:rsidRPr="00646254" w14:paraId="02AF1A3B" w14:textId="77777777" w:rsidTr="00E96A1D">
        <w:trPr>
          <w:trHeight w:val="155"/>
          <w:jc w:val="center"/>
        </w:trPr>
        <w:tc>
          <w:tcPr>
            <w:tcW w:w="1450" w:type="pct"/>
            <w:shd w:val="clear" w:color="auto" w:fill="auto"/>
            <w:noWrap/>
            <w:vAlign w:val="center"/>
            <w:hideMark/>
          </w:tcPr>
          <w:p w14:paraId="3B45C789" w14:textId="77777777" w:rsidR="001A5BCF" w:rsidRPr="00646254" w:rsidRDefault="001A5BCF" w:rsidP="00E96A1D">
            <w:pPr>
              <w:spacing w:after="0" w:line="240" w:lineRule="auto"/>
              <w:jc w:val="lef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Куповина робе и услуга</w:t>
            </w:r>
          </w:p>
        </w:tc>
        <w:tc>
          <w:tcPr>
            <w:tcW w:w="710" w:type="pct"/>
            <w:shd w:val="clear" w:color="auto" w:fill="auto"/>
            <w:hideMark/>
          </w:tcPr>
          <w:p w14:paraId="7F04A809" w14:textId="77777777" w:rsidR="001A5BCF" w:rsidRPr="00646254" w:rsidRDefault="001A5BCF" w:rsidP="00E96A1D">
            <w:pPr>
              <w:spacing w:after="0" w:line="240" w:lineRule="auto"/>
              <w:ind w:right="227"/>
              <w:jc w:val="right"/>
              <w:rPr>
                <w:rFonts w:cstheme="minorHAnsi"/>
                <w:color w:val="002060"/>
                <w:sz w:val="18"/>
                <w:szCs w:val="18"/>
                <w:lang w:val="sr-Cyrl-CS"/>
              </w:rPr>
            </w:pPr>
            <w:r w:rsidRPr="00646254">
              <w:rPr>
                <w:color w:val="002060"/>
                <w:sz w:val="18"/>
                <w:szCs w:val="18"/>
                <w:lang w:val="sr-Cyrl-CS"/>
              </w:rPr>
              <w:t>458,5</w:t>
            </w:r>
          </w:p>
        </w:tc>
        <w:tc>
          <w:tcPr>
            <w:tcW w:w="711" w:type="pct"/>
            <w:shd w:val="clear" w:color="auto" w:fill="auto"/>
            <w:noWrap/>
            <w:hideMark/>
          </w:tcPr>
          <w:p w14:paraId="70AF563B" w14:textId="77777777" w:rsidR="001A5BCF" w:rsidRPr="00646254" w:rsidRDefault="001A5BCF" w:rsidP="00E96A1D">
            <w:pPr>
              <w:spacing w:after="0" w:line="240" w:lineRule="auto"/>
              <w:ind w:right="227"/>
              <w:jc w:val="right"/>
              <w:rPr>
                <w:rFonts w:cstheme="minorHAnsi"/>
                <w:color w:val="002060"/>
                <w:sz w:val="18"/>
                <w:szCs w:val="18"/>
                <w:lang w:val="sr-Cyrl-CS"/>
              </w:rPr>
            </w:pPr>
            <w:r w:rsidRPr="00646254">
              <w:rPr>
                <w:color w:val="002060"/>
                <w:sz w:val="18"/>
                <w:szCs w:val="18"/>
                <w:lang w:val="sr-Cyrl-CS"/>
              </w:rPr>
              <w:t>495,3</w:t>
            </w:r>
          </w:p>
        </w:tc>
        <w:tc>
          <w:tcPr>
            <w:tcW w:w="711" w:type="pct"/>
            <w:shd w:val="clear" w:color="auto" w:fill="auto"/>
            <w:hideMark/>
          </w:tcPr>
          <w:p w14:paraId="118C041B" w14:textId="77777777" w:rsidR="001A5BCF" w:rsidRPr="00646254" w:rsidRDefault="001A5BCF" w:rsidP="00E96A1D">
            <w:pPr>
              <w:spacing w:after="0" w:line="240" w:lineRule="auto"/>
              <w:ind w:right="284"/>
              <w:jc w:val="right"/>
              <w:rPr>
                <w:rFonts w:cstheme="minorHAnsi"/>
                <w:color w:val="002060"/>
                <w:sz w:val="18"/>
                <w:szCs w:val="18"/>
                <w:lang w:val="sr-Cyrl-CS"/>
              </w:rPr>
            </w:pPr>
            <w:r w:rsidRPr="00646254">
              <w:rPr>
                <w:color w:val="002060"/>
                <w:sz w:val="18"/>
                <w:szCs w:val="18"/>
                <w:lang w:val="sr-Cyrl-CS"/>
              </w:rPr>
              <w:t>36,9</w:t>
            </w:r>
          </w:p>
        </w:tc>
        <w:tc>
          <w:tcPr>
            <w:tcW w:w="711" w:type="pct"/>
            <w:shd w:val="clear" w:color="auto" w:fill="auto"/>
            <w:hideMark/>
          </w:tcPr>
          <w:p w14:paraId="43863E39" w14:textId="77777777" w:rsidR="001A5BCF" w:rsidRPr="00646254" w:rsidRDefault="001A5BCF" w:rsidP="00E96A1D">
            <w:pPr>
              <w:spacing w:after="0" w:line="240" w:lineRule="auto"/>
              <w:ind w:right="340"/>
              <w:jc w:val="right"/>
              <w:rPr>
                <w:rFonts w:cstheme="minorHAnsi"/>
                <w:color w:val="002060"/>
                <w:sz w:val="18"/>
                <w:szCs w:val="18"/>
                <w:lang w:val="sr-Cyrl-CS"/>
              </w:rPr>
            </w:pPr>
            <w:r w:rsidRPr="00646254">
              <w:rPr>
                <w:color w:val="002060"/>
                <w:sz w:val="18"/>
                <w:szCs w:val="18"/>
                <w:lang w:val="sr-Cyrl-CS"/>
              </w:rPr>
              <w:t>8,0</w:t>
            </w:r>
          </w:p>
        </w:tc>
        <w:tc>
          <w:tcPr>
            <w:tcW w:w="707" w:type="pct"/>
            <w:shd w:val="clear" w:color="auto" w:fill="auto"/>
            <w:noWrap/>
            <w:hideMark/>
          </w:tcPr>
          <w:p w14:paraId="100DF650" w14:textId="77777777" w:rsidR="001A5BCF" w:rsidRPr="00646254" w:rsidRDefault="001A5BCF" w:rsidP="00E96A1D">
            <w:pPr>
              <w:spacing w:after="0" w:line="240" w:lineRule="auto"/>
              <w:ind w:right="340"/>
              <w:jc w:val="right"/>
              <w:rPr>
                <w:rFonts w:cstheme="minorHAnsi"/>
                <w:color w:val="002060"/>
                <w:sz w:val="18"/>
                <w:szCs w:val="18"/>
                <w:lang w:val="sr-Cyrl-CS"/>
              </w:rPr>
            </w:pPr>
            <w:r w:rsidRPr="00646254">
              <w:rPr>
                <w:color w:val="002060"/>
                <w:sz w:val="18"/>
                <w:szCs w:val="18"/>
                <w:lang w:val="sr-Cyrl-CS"/>
              </w:rPr>
              <w:t>8,0</w:t>
            </w:r>
          </w:p>
        </w:tc>
      </w:tr>
      <w:tr w:rsidR="00262F10" w:rsidRPr="00646254" w14:paraId="2A84EB37" w14:textId="77777777" w:rsidTr="00E96A1D">
        <w:trPr>
          <w:trHeight w:val="155"/>
          <w:jc w:val="center"/>
        </w:trPr>
        <w:tc>
          <w:tcPr>
            <w:tcW w:w="1450" w:type="pct"/>
            <w:shd w:val="clear" w:color="auto" w:fill="auto"/>
            <w:noWrap/>
            <w:vAlign w:val="center"/>
            <w:hideMark/>
          </w:tcPr>
          <w:p w14:paraId="128E01A2" w14:textId="77777777" w:rsidR="001A5BCF" w:rsidRPr="00646254" w:rsidRDefault="001A5BCF" w:rsidP="00E96A1D">
            <w:pPr>
              <w:spacing w:after="0" w:line="240" w:lineRule="auto"/>
              <w:jc w:val="lef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Отплата камата</w:t>
            </w:r>
          </w:p>
        </w:tc>
        <w:tc>
          <w:tcPr>
            <w:tcW w:w="710" w:type="pct"/>
            <w:shd w:val="clear" w:color="auto" w:fill="auto"/>
            <w:hideMark/>
          </w:tcPr>
          <w:p w14:paraId="6CE1602B" w14:textId="77777777" w:rsidR="001A5BCF" w:rsidRPr="00646254" w:rsidRDefault="001A5BCF" w:rsidP="00E96A1D">
            <w:pPr>
              <w:spacing w:after="0" w:line="240" w:lineRule="auto"/>
              <w:ind w:right="227"/>
              <w:jc w:val="right"/>
              <w:rPr>
                <w:rFonts w:cstheme="minorHAnsi"/>
                <w:color w:val="002060"/>
                <w:sz w:val="18"/>
                <w:szCs w:val="18"/>
                <w:lang w:val="sr-Cyrl-CS"/>
              </w:rPr>
            </w:pPr>
            <w:r w:rsidRPr="00646254">
              <w:rPr>
                <w:color w:val="002060"/>
                <w:sz w:val="18"/>
                <w:szCs w:val="18"/>
                <w:lang w:val="sr-Cyrl-CS"/>
              </w:rPr>
              <w:t>113,6</w:t>
            </w:r>
          </w:p>
        </w:tc>
        <w:tc>
          <w:tcPr>
            <w:tcW w:w="711" w:type="pct"/>
            <w:shd w:val="clear" w:color="auto" w:fill="auto"/>
            <w:noWrap/>
            <w:hideMark/>
          </w:tcPr>
          <w:p w14:paraId="1D334AEF" w14:textId="77777777" w:rsidR="001A5BCF" w:rsidRPr="00646254" w:rsidRDefault="001A5BCF" w:rsidP="00E96A1D">
            <w:pPr>
              <w:spacing w:after="0" w:line="240" w:lineRule="auto"/>
              <w:ind w:right="227"/>
              <w:jc w:val="right"/>
              <w:rPr>
                <w:rFonts w:cstheme="minorHAnsi"/>
                <w:color w:val="002060"/>
                <w:sz w:val="18"/>
                <w:szCs w:val="18"/>
                <w:lang w:val="sr-Cyrl-CS"/>
              </w:rPr>
            </w:pPr>
            <w:r w:rsidRPr="00646254">
              <w:rPr>
                <w:color w:val="002060"/>
                <w:sz w:val="18"/>
                <w:szCs w:val="18"/>
                <w:lang w:val="sr-Cyrl-CS"/>
              </w:rPr>
              <w:t>113,9</w:t>
            </w:r>
          </w:p>
        </w:tc>
        <w:tc>
          <w:tcPr>
            <w:tcW w:w="711" w:type="pct"/>
            <w:shd w:val="clear" w:color="auto" w:fill="auto"/>
            <w:hideMark/>
          </w:tcPr>
          <w:p w14:paraId="53CE694C" w14:textId="77777777" w:rsidR="001A5BCF" w:rsidRPr="00646254" w:rsidRDefault="001A5BCF" w:rsidP="00E96A1D">
            <w:pPr>
              <w:spacing w:after="0" w:line="240" w:lineRule="auto"/>
              <w:ind w:right="284"/>
              <w:jc w:val="right"/>
              <w:rPr>
                <w:rFonts w:cstheme="minorHAnsi"/>
                <w:color w:val="002060"/>
                <w:sz w:val="18"/>
                <w:szCs w:val="18"/>
                <w:lang w:val="sr-Cyrl-CS"/>
              </w:rPr>
            </w:pPr>
            <w:r w:rsidRPr="00646254">
              <w:rPr>
                <w:color w:val="002060"/>
                <w:sz w:val="18"/>
                <w:szCs w:val="18"/>
                <w:lang w:val="sr-Cyrl-CS"/>
              </w:rPr>
              <w:t>0,3</w:t>
            </w:r>
          </w:p>
        </w:tc>
        <w:tc>
          <w:tcPr>
            <w:tcW w:w="711" w:type="pct"/>
            <w:shd w:val="clear" w:color="auto" w:fill="auto"/>
            <w:hideMark/>
          </w:tcPr>
          <w:p w14:paraId="30AA6479" w14:textId="77777777" w:rsidR="001A5BCF" w:rsidRPr="00646254" w:rsidRDefault="001A5BCF" w:rsidP="00E96A1D">
            <w:pPr>
              <w:spacing w:after="0" w:line="240" w:lineRule="auto"/>
              <w:ind w:right="340"/>
              <w:jc w:val="right"/>
              <w:rPr>
                <w:rFonts w:cstheme="minorHAnsi"/>
                <w:color w:val="002060"/>
                <w:sz w:val="18"/>
                <w:szCs w:val="18"/>
                <w:lang w:val="sr-Cyrl-CS"/>
              </w:rPr>
            </w:pPr>
            <w:r w:rsidRPr="00646254">
              <w:rPr>
                <w:color w:val="002060"/>
                <w:sz w:val="18"/>
                <w:szCs w:val="18"/>
                <w:lang w:val="sr-Cyrl-CS"/>
              </w:rPr>
              <w:t>0,3</w:t>
            </w:r>
          </w:p>
        </w:tc>
        <w:tc>
          <w:tcPr>
            <w:tcW w:w="707" w:type="pct"/>
            <w:shd w:val="clear" w:color="auto" w:fill="auto"/>
            <w:noWrap/>
            <w:hideMark/>
          </w:tcPr>
          <w:p w14:paraId="13DD43F6" w14:textId="77777777" w:rsidR="001A5BCF" w:rsidRPr="00646254" w:rsidRDefault="001A5BCF" w:rsidP="00E96A1D">
            <w:pPr>
              <w:spacing w:after="0" w:line="240" w:lineRule="auto"/>
              <w:ind w:right="340"/>
              <w:jc w:val="right"/>
              <w:rPr>
                <w:rFonts w:cstheme="minorHAnsi"/>
                <w:color w:val="002060"/>
                <w:sz w:val="18"/>
                <w:szCs w:val="18"/>
                <w:lang w:val="sr-Cyrl-CS"/>
              </w:rPr>
            </w:pPr>
            <w:r w:rsidRPr="00646254">
              <w:rPr>
                <w:color w:val="002060"/>
                <w:sz w:val="18"/>
                <w:szCs w:val="18"/>
                <w:lang w:val="sr-Cyrl-CS"/>
              </w:rPr>
              <w:t>1,8</w:t>
            </w:r>
          </w:p>
        </w:tc>
      </w:tr>
      <w:tr w:rsidR="00262F10" w:rsidRPr="00646254" w14:paraId="13708FF2" w14:textId="77777777" w:rsidTr="00E96A1D">
        <w:trPr>
          <w:trHeight w:val="155"/>
          <w:jc w:val="center"/>
        </w:trPr>
        <w:tc>
          <w:tcPr>
            <w:tcW w:w="1450" w:type="pct"/>
            <w:shd w:val="clear" w:color="auto" w:fill="auto"/>
            <w:noWrap/>
            <w:vAlign w:val="center"/>
            <w:hideMark/>
          </w:tcPr>
          <w:p w14:paraId="48407552" w14:textId="77777777" w:rsidR="001A5BCF" w:rsidRPr="00646254" w:rsidRDefault="001A5BCF" w:rsidP="00E96A1D">
            <w:pPr>
              <w:spacing w:after="0" w:line="240" w:lineRule="auto"/>
              <w:jc w:val="lef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Субвенције</w:t>
            </w:r>
          </w:p>
        </w:tc>
        <w:tc>
          <w:tcPr>
            <w:tcW w:w="710" w:type="pct"/>
            <w:shd w:val="clear" w:color="auto" w:fill="auto"/>
            <w:hideMark/>
          </w:tcPr>
          <w:p w14:paraId="6BE1AA8C" w14:textId="77777777" w:rsidR="001A5BCF" w:rsidRPr="00646254" w:rsidRDefault="001A5BCF" w:rsidP="00E96A1D">
            <w:pPr>
              <w:spacing w:after="0" w:line="240" w:lineRule="auto"/>
              <w:ind w:right="227"/>
              <w:jc w:val="right"/>
              <w:rPr>
                <w:rFonts w:cstheme="minorHAnsi"/>
                <w:color w:val="002060"/>
                <w:sz w:val="18"/>
                <w:szCs w:val="18"/>
                <w:lang w:val="sr-Cyrl-CS"/>
              </w:rPr>
            </w:pPr>
            <w:r w:rsidRPr="00646254">
              <w:rPr>
                <w:color w:val="002060"/>
                <w:sz w:val="18"/>
                <w:szCs w:val="18"/>
                <w:lang w:val="sr-Cyrl-CS"/>
              </w:rPr>
              <w:t>130,7</w:t>
            </w:r>
          </w:p>
        </w:tc>
        <w:tc>
          <w:tcPr>
            <w:tcW w:w="711" w:type="pct"/>
            <w:shd w:val="clear" w:color="auto" w:fill="auto"/>
            <w:noWrap/>
            <w:hideMark/>
          </w:tcPr>
          <w:p w14:paraId="4B589BF1" w14:textId="77777777" w:rsidR="001A5BCF" w:rsidRPr="00646254" w:rsidRDefault="001A5BCF" w:rsidP="00E96A1D">
            <w:pPr>
              <w:spacing w:after="0" w:line="240" w:lineRule="auto"/>
              <w:ind w:right="227"/>
              <w:jc w:val="right"/>
              <w:rPr>
                <w:rFonts w:cstheme="minorHAnsi"/>
                <w:color w:val="002060"/>
                <w:sz w:val="18"/>
                <w:szCs w:val="18"/>
                <w:lang w:val="sr-Cyrl-CS"/>
              </w:rPr>
            </w:pPr>
            <w:r w:rsidRPr="00646254">
              <w:rPr>
                <w:color w:val="002060"/>
                <w:sz w:val="18"/>
                <w:szCs w:val="18"/>
                <w:lang w:val="sr-Cyrl-CS"/>
              </w:rPr>
              <w:t>213,4</w:t>
            </w:r>
          </w:p>
        </w:tc>
        <w:tc>
          <w:tcPr>
            <w:tcW w:w="711" w:type="pct"/>
            <w:shd w:val="clear" w:color="auto" w:fill="auto"/>
            <w:hideMark/>
          </w:tcPr>
          <w:p w14:paraId="216359B9" w14:textId="77777777" w:rsidR="001A5BCF" w:rsidRPr="00646254" w:rsidRDefault="001A5BCF" w:rsidP="00E96A1D">
            <w:pPr>
              <w:spacing w:after="0" w:line="240" w:lineRule="auto"/>
              <w:ind w:right="284"/>
              <w:jc w:val="right"/>
              <w:rPr>
                <w:rFonts w:cstheme="minorHAnsi"/>
                <w:color w:val="002060"/>
                <w:sz w:val="18"/>
                <w:szCs w:val="18"/>
                <w:lang w:val="sr-Cyrl-CS"/>
              </w:rPr>
            </w:pPr>
            <w:r w:rsidRPr="00646254">
              <w:rPr>
                <w:color w:val="002060"/>
                <w:sz w:val="18"/>
                <w:szCs w:val="18"/>
                <w:lang w:val="sr-Cyrl-CS"/>
              </w:rPr>
              <w:t>82,7</w:t>
            </w:r>
          </w:p>
        </w:tc>
        <w:tc>
          <w:tcPr>
            <w:tcW w:w="711" w:type="pct"/>
            <w:shd w:val="clear" w:color="auto" w:fill="auto"/>
            <w:hideMark/>
          </w:tcPr>
          <w:p w14:paraId="7B75DAA1" w14:textId="77777777" w:rsidR="001A5BCF" w:rsidRPr="00646254" w:rsidRDefault="001A5BCF" w:rsidP="00E96A1D">
            <w:pPr>
              <w:spacing w:after="0" w:line="240" w:lineRule="auto"/>
              <w:ind w:right="340"/>
              <w:jc w:val="right"/>
              <w:rPr>
                <w:rFonts w:cstheme="minorHAnsi"/>
                <w:color w:val="002060"/>
                <w:sz w:val="18"/>
                <w:szCs w:val="18"/>
                <w:lang w:val="sr-Cyrl-CS"/>
              </w:rPr>
            </w:pPr>
            <w:r w:rsidRPr="00646254">
              <w:rPr>
                <w:color w:val="002060"/>
                <w:sz w:val="18"/>
                <w:szCs w:val="18"/>
                <w:lang w:val="sr-Cyrl-CS"/>
              </w:rPr>
              <w:t>63,3</w:t>
            </w:r>
          </w:p>
        </w:tc>
        <w:tc>
          <w:tcPr>
            <w:tcW w:w="707" w:type="pct"/>
            <w:shd w:val="clear" w:color="auto" w:fill="auto"/>
            <w:noWrap/>
            <w:hideMark/>
          </w:tcPr>
          <w:p w14:paraId="73515D2E" w14:textId="77777777" w:rsidR="001A5BCF" w:rsidRPr="00646254" w:rsidRDefault="001A5BCF" w:rsidP="00E96A1D">
            <w:pPr>
              <w:spacing w:after="0" w:line="240" w:lineRule="auto"/>
              <w:ind w:right="340"/>
              <w:jc w:val="right"/>
              <w:rPr>
                <w:rFonts w:cstheme="minorHAnsi"/>
                <w:color w:val="002060"/>
                <w:sz w:val="18"/>
                <w:szCs w:val="18"/>
                <w:lang w:val="sr-Cyrl-CS"/>
              </w:rPr>
            </w:pPr>
            <w:r w:rsidRPr="00646254">
              <w:rPr>
                <w:color w:val="002060"/>
                <w:sz w:val="18"/>
                <w:szCs w:val="18"/>
                <w:lang w:val="sr-Cyrl-CS"/>
              </w:rPr>
              <w:t>3,5</w:t>
            </w:r>
          </w:p>
        </w:tc>
      </w:tr>
      <w:tr w:rsidR="00262F10" w:rsidRPr="00646254" w14:paraId="59703683" w14:textId="77777777" w:rsidTr="00E96A1D">
        <w:trPr>
          <w:trHeight w:val="155"/>
          <w:jc w:val="center"/>
        </w:trPr>
        <w:tc>
          <w:tcPr>
            <w:tcW w:w="1450" w:type="pct"/>
            <w:shd w:val="clear" w:color="auto" w:fill="auto"/>
            <w:noWrap/>
            <w:vAlign w:val="center"/>
            <w:hideMark/>
          </w:tcPr>
          <w:p w14:paraId="604EEF7C" w14:textId="77777777" w:rsidR="001A5BCF" w:rsidRPr="00646254" w:rsidRDefault="001A5BCF" w:rsidP="00E96A1D">
            <w:pPr>
              <w:spacing w:after="0" w:line="240" w:lineRule="auto"/>
              <w:jc w:val="lef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Социјална помоћ и трансфери</w:t>
            </w:r>
          </w:p>
        </w:tc>
        <w:tc>
          <w:tcPr>
            <w:tcW w:w="710" w:type="pct"/>
            <w:shd w:val="clear" w:color="auto" w:fill="auto"/>
            <w:hideMark/>
          </w:tcPr>
          <w:p w14:paraId="4F464735" w14:textId="77777777" w:rsidR="001A5BCF" w:rsidRPr="00646254" w:rsidRDefault="001A5BCF" w:rsidP="00E96A1D">
            <w:pPr>
              <w:spacing w:after="0" w:line="240" w:lineRule="auto"/>
              <w:ind w:right="227"/>
              <w:jc w:val="right"/>
              <w:rPr>
                <w:rFonts w:cstheme="minorHAnsi"/>
                <w:color w:val="002060"/>
                <w:sz w:val="18"/>
                <w:szCs w:val="18"/>
                <w:lang w:val="sr-Cyrl-CS"/>
              </w:rPr>
            </w:pPr>
            <w:r w:rsidRPr="00646254">
              <w:rPr>
                <w:color w:val="002060"/>
                <w:sz w:val="18"/>
                <w:szCs w:val="18"/>
                <w:lang w:val="sr-Cyrl-CS"/>
              </w:rPr>
              <w:t>847,8</w:t>
            </w:r>
          </w:p>
        </w:tc>
        <w:tc>
          <w:tcPr>
            <w:tcW w:w="711" w:type="pct"/>
            <w:shd w:val="clear" w:color="auto" w:fill="auto"/>
            <w:noWrap/>
            <w:hideMark/>
          </w:tcPr>
          <w:p w14:paraId="562689F4" w14:textId="77777777" w:rsidR="001A5BCF" w:rsidRPr="00646254" w:rsidRDefault="001A5BCF" w:rsidP="00E96A1D">
            <w:pPr>
              <w:spacing w:after="0" w:line="240" w:lineRule="auto"/>
              <w:ind w:right="227"/>
              <w:jc w:val="right"/>
              <w:rPr>
                <w:rFonts w:cstheme="minorHAnsi"/>
                <w:color w:val="002060"/>
                <w:sz w:val="18"/>
                <w:szCs w:val="18"/>
                <w:lang w:val="sr-Cyrl-CS"/>
              </w:rPr>
            </w:pPr>
            <w:r w:rsidRPr="00646254">
              <w:rPr>
                <w:color w:val="002060"/>
                <w:sz w:val="18"/>
                <w:szCs w:val="18"/>
                <w:lang w:val="sr-Cyrl-CS"/>
              </w:rPr>
              <w:t>857,8</w:t>
            </w:r>
          </w:p>
        </w:tc>
        <w:tc>
          <w:tcPr>
            <w:tcW w:w="711" w:type="pct"/>
            <w:shd w:val="clear" w:color="auto" w:fill="auto"/>
            <w:hideMark/>
          </w:tcPr>
          <w:p w14:paraId="1F873D58" w14:textId="77777777" w:rsidR="001A5BCF" w:rsidRPr="00646254" w:rsidRDefault="001A5BCF" w:rsidP="00E96A1D">
            <w:pPr>
              <w:spacing w:after="0" w:line="240" w:lineRule="auto"/>
              <w:ind w:right="284"/>
              <w:jc w:val="right"/>
              <w:rPr>
                <w:rFonts w:cstheme="minorHAnsi"/>
                <w:color w:val="002060"/>
                <w:sz w:val="18"/>
                <w:szCs w:val="18"/>
                <w:lang w:val="sr-Cyrl-CS"/>
              </w:rPr>
            </w:pPr>
            <w:r w:rsidRPr="00646254">
              <w:rPr>
                <w:color w:val="002060"/>
                <w:sz w:val="18"/>
                <w:szCs w:val="18"/>
                <w:lang w:val="sr-Cyrl-CS"/>
              </w:rPr>
              <w:t>10,0</w:t>
            </w:r>
          </w:p>
        </w:tc>
        <w:tc>
          <w:tcPr>
            <w:tcW w:w="711" w:type="pct"/>
            <w:shd w:val="clear" w:color="auto" w:fill="auto"/>
            <w:hideMark/>
          </w:tcPr>
          <w:p w14:paraId="22491B6F" w14:textId="77777777" w:rsidR="001A5BCF" w:rsidRPr="00646254" w:rsidRDefault="001A5BCF" w:rsidP="00E96A1D">
            <w:pPr>
              <w:spacing w:after="0" w:line="240" w:lineRule="auto"/>
              <w:ind w:right="340"/>
              <w:jc w:val="right"/>
              <w:rPr>
                <w:rFonts w:cstheme="minorHAnsi"/>
                <w:color w:val="002060"/>
                <w:sz w:val="18"/>
                <w:szCs w:val="18"/>
                <w:lang w:val="sr-Cyrl-CS"/>
              </w:rPr>
            </w:pPr>
            <w:r w:rsidRPr="00646254">
              <w:rPr>
                <w:color w:val="002060"/>
                <w:sz w:val="18"/>
                <w:szCs w:val="18"/>
                <w:lang w:val="sr-Cyrl-CS"/>
              </w:rPr>
              <w:t>1,2</w:t>
            </w:r>
          </w:p>
        </w:tc>
        <w:tc>
          <w:tcPr>
            <w:tcW w:w="707" w:type="pct"/>
            <w:shd w:val="clear" w:color="auto" w:fill="auto"/>
            <w:noWrap/>
            <w:hideMark/>
          </w:tcPr>
          <w:p w14:paraId="69AE2938" w14:textId="77777777" w:rsidR="001A5BCF" w:rsidRPr="00646254" w:rsidRDefault="001A5BCF" w:rsidP="00E96A1D">
            <w:pPr>
              <w:spacing w:after="0" w:line="240" w:lineRule="auto"/>
              <w:ind w:right="340"/>
              <w:jc w:val="right"/>
              <w:rPr>
                <w:rFonts w:cstheme="minorHAnsi"/>
                <w:color w:val="002060"/>
                <w:sz w:val="18"/>
                <w:szCs w:val="18"/>
                <w:lang w:val="sr-Cyrl-CS"/>
              </w:rPr>
            </w:pPr>
            <w:r w:rsidRPr="00646254">
              <w:rPr>
                <w:color w:val="002060"/>
                <w:sz w:val="18"/>
                <w:szCs w:val="18"/>
                <w:lang w:val="sr-Cyrl-CS"/>
              </w:rPr>
              <w:t>13,9</w:t>
            </w:r>
          </w:p>
        </w:tc>
      </w:tr>
      <w:tr w:rsidR="00262F10" w:rsidRPr="00646254" w14:paraId="0F4AD76D" w14:textId="77777777" w:rsidTr="00E96A1D">
        <w:trPr>
          <w:trHeight w:val="155"/>
          <w:jc w:val="center"/>
        </w:trPr>
        <w:tc>
          <w:tcPr>
            <w:tcW w:w="1450" w:type="pct"/>
            <w:shd w:val="clear" w:color="auto" w:fill="auto"/>
            <w:noWrap/>
            <w:vAlign w:val="center"/>
            <w:hideMark/>
          </w:tcPr>
          <w:p w14:paraId="40E83261" w14:textId="77777777" w:rsidR="001A5BCF" w:rsidRPr="00646254" w:rsidRDefault="001A5BCF" w:rsidP="00E96A1D">
            <w:pPr>
              <w:spacing w:after="0" w:line="240" w:lineRule="auto"/>
              <w:jc w:val="lef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од чега пензије</w:t>
            </w:r>
          </w:p>
        </w:tc>
        <w:tc>
          <w:tcPr>
            <w:tcW w:w="710" w:type="pct"/>
            <w:shd w:val="clear" w:color="auto" w:fill="auto"/>
            <w:hideMark/>
          </w:tcPr>
          <w:p w14:paraId="26E19792" w14:textId="77777777" w:rsidR="001A5BCF" w:rsidRPr="00646254" w:rsidRDefault="001A5BCF" w:rsidP="00E96A1D">
            <w:pPr>
              <w:spacing w:after="0" w:line="240" w:lineRule="auto"/>
              <w:ind w:right="227"/>
              <w:jc w:val="right"/>
              <w:rPr>
                <w:rFonts w:cstheme="minorHAnsi"/>
                <w:color w:val="002060"/>
                <w:sz w:val="18"/>
                <w:szCs w:val="18"/>
                <w:lang w:val="sr-Cyrl-CS"/>
              </w:rPr>
            </w:pPr>
            <w:r w:rsidRPr="00646254">
              <w:rPr>
                <w:color w:val="002060"/>
                <w:sz w:val="18"/>
                <w:szCs w:val="18"/>
                <w:lang w:val="sr-Cyrl-CS"/>
              </w:rPr>
              <w:t>621,0</w:t>
            </w:r>
          </w:p>
        </w:tc>
        <w:tc>
          <w:tcPr>
            <w:tcW w:w="711" w:type="pct"/>
            <w:shd w:val="clear" w:color="auto" w:fill="auto"/>
            <w:noWrap/>
            <w:hideMark/>
          </w:tcPr>
          <w:p w14:paraId="378077D5" w14:textId="77777777" w:rsidR="001A5BCF" w:rsidRPr="00646254" w:rsidRDefault="001A5BCF" w:rsidP="00E96A1D">
            <w:pPr>
              <w:spacing w:after="0" w:line="240" w:lineRule="auto"/>
              <w:ind w:right="227"/>
              <w:jc w:val="right"/>
              <w:rPr>
                <w:rFonts w:cstheme="minorHAnsi"/>
                <w:color w:val="002060"/>
                <w:sz w:val="18"/>
                <w:szCs w:val="18"/>
                <w:lang w:val="sr-Cyrl-CS"/>
              </w:rPr>
            </w:pPr>
            <w:r w:rsidRPr="00646254">
              <w:rPr>
                <w:color w:val="002060"/>
                <w:sz w:val="18"/>
                <w:szCs w:val="18"/>
                <w:lang w:val="sr-Cyrl-CS"/>
              </w:rPr>
              <w:t>612,0</w:t>
            </w:r>
          </w:p>
        </w:tc>
        <w:tc>
          <w:tcPr>
            <w:tcW w:w="711" w:type="pct"/>
            <w:shd w:val="clear" w:color="auto" w:fill="auto"/>
            <w:hideMark/>
          </w:tcPr>
          <w:p w14:paraId="5681FE45" w14:textId="77777777" w:rsidR="001A5BCF" w:rsidRPr="00646254" w:rsidRDefault="001A5BCF" w:rsidP="00E96A1D">
            <w:pPr>
              <w:spacing w:after="0" w:line="240" w:lineRule="auto"/>
              <w:ind w:right="284"/>
              <w:jc w:val="right"/>
              <w:rPr>
                <w:rFonts w:cstheme="minorHAnsi"/>
                <w:color w:val="002060"/>
                <w:sz w:val="18"/>
                <w:szCs w:val="18"/>
                <w:lang w:val="sr-Cyrl-CS"/>
              </w:rPr>
            </w:pPr>
            <w:r w:rsidRPr="00646254">
              <w:rPr>
                <w:color w:val="002060"/>
                <w:sz w:val="18"/>
                <w:szCs w:val="18"/>
                <w:lang w:val="sr-Cyrl-CS"/>
              </w:rPr>
              <w:t>-9,0</w:t>
            </w:r>
          </w:p>
        </w:tc>
        <w:tc>
          <w:tcPr>
            <w:tcW w:w="711" w:type="pct"/>
            <w:shd w:val="clear" w:color="auto" w:fill="auto"/>
            <w:hideMark/>
          </w:tcPr>
          <w:p w14:paraId="54047961" w14:textId="77777777" w:rsidR="001A5BCF" w:rsidRPr="00646254" w:rsidRDefault="001A5BCF" w:rsidP="00E96A1D">
            <w:pPr>
              <w:spacing w:after="0" w:line="240" w:lineRule="auto"/>
              <w:ind w:right="340"/>
              <w:jc w:val="right"/>
              <w:rPr>
                <w:rFonts w:cstheme="minorHAnsi"/>
                <w:color w:val="002060"/>
                <w:sz w:val="18"/>
                <w:szCs w:val="18"/>
                <w:lang w:val="sr-Cyrl-CS"/>
              </w:rPr>
            </w:pPr>
            <w:r w:rsidRPr="00646254">
              <w:rPr>
                <w:color w:val="002060"/>
                <w:sz w:val="18"/>
                <w:szCs w:val="18"/>
                <w:lang w:val="sr-Cyrl-CS"/>
              </w:rPr>
              <w:t>-1,4</w:t>
            </w:r>
          </w:p>
        </w:tc>
        <w:tc>
          <w:tcPr>
            <w:tcW w:w="707" w:type="pct"/>
            <w:shd w:val="clear" w:color="auto" w:fill="auto"/>
            <w:noWrap/>
            <w:hideMark/>
          </w:tcPr>
          <w:p w14:paraId="4AB14FAF" w14:textId="77777777" w:rsidR="001A5BCF" w:rsidRPr="00646254" w:rsidRDefault="001A5BCF" w:rsidP="00E96A1D">
            <w:pPr>
              <w:spacing w:after="0" w:line="240" w:lineRule="auto"/>
              <w:ind w:right="340"/>
              <w:jc w:val="right"/>
              <w:rPr>
                <w:rFonts w:cstheme="minorHAnsi"/>
                <w:color w:val="002060"/>
                <w:sz w:val="18"/>
                <w:szCs w:val="18"/>
                <w:lang w:val="sr-Cyrl-CS"/>
              </w:rPr>
            </w:pPr>
            <w:r w:rsidRPr="00646254">
              <w:rPr>
                <w:color w:val="002060"/>
                <w:sz w:val="18"/>
                <w:szCs w:val="18"/>
                <w:lang w:val="sr-Cyrl-CS"/>
              </w:rPr>
              <w:t>9,9</w:t>
            </w:r>
          </w:p>
        </w:tc>
      </w:tr>
      <w:tr w:rsidR="00262F10" w:rsidRPr="00646254" w14:paraId="5DC639BD" w14:textId="77777777" w:rsidTr="00E96A1D">
        <w:trPr>
          <w:trHeight w:val="155"/>
          <w:jc w:val="center"/>
        </w:trPr>
        <w:tc>
          <w:tcPr>
            <w:tcW w:w="1450" w:type="pct"/>
            <w:shd w:val="clear" w:color="auto" w:fill="auto"/>
            <w:noWrap/>
            <w:vAlign w:val="center"/>
            <w:hideMark/>
          </w:tcPr>
          <w:p w14:paraId="453724D3" w14:textId="77777777" w:rsidR="001A5BCF" w:rsidRPr="00646254" w:rsidRDefault="001A5BCF" w:rsidP="00E96A1D">
            <w:pPr>
              <w:spacing w:after="0" w:line="240" w:lineRule="auto"/>
              <w:jc w:val="lef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Остали текући расходи</w:t>
            </w:r>
          </w:p>
        </w:tc>
        <w:tc>
          <w:tcPr>
            <w:tcW w:w="710" w:type="pct"/>
            <w:shd w:val="clear" w:color="auto" w:fill="auto"/>
            <w:hideMark/>
          </w:tcPr>
          <w:p w14:paraId="6F8C7D47" w14:textId="77777777" w:rsidR="001A5BCF" w:rsidRPr="00646254" w:rsidRDefault="001A5BCF" w:rsidP="00E96A1D">
            <w:pPr>
              <w:spacing w:after="0" w:line="240" w:lineRule="auto"/>
              <w:ind w:right="227"/>
              <w:jc w:val="right"/>
              <w:rPr>
                <w:rFonts w:cstheme="minorHAnsi"/>
                <w:color w:val="002060"/>
                <w:sz w:val="18"/>
                <w:szCs w:val="18"/>
                <w:lang w:val="sr-Cyrl-CS"/>
              </w:rPr>
            </w:pPr>
            <w:r w:rsidRPr="00646254">
              <w:rPr>
                <w:color w:val="002060"/>
                <w:sz w:val="18"/>
                <w:szCs w:val="18"/>
                <w:lang w:val="sr-Cyrl-CS"/>
              </w:rPr>
              <w:t>84,2</w:t>
            </w:r>
          </w:p>
        </w:tc>
        <w:tc>
          <w:tcPr>
            <w:tcW w:w="711" w:type="pct"/>
            <w:shd w:val="clear" w:color="auto" w:fill="auto"/>
            <w:noWrap/>
            <w:hideMark/>
          </w:tcPr>
          <w:p w14:paraId="7BAF09B2" w14:textId="77777777" w:rsidR="001A5BCF" w:rsidRPr="00646254" w:rsidRDefault="001A5BCF" w:rsidP="00E96A1D">
            <w:pPr>
              <w:spacing w:after="0" w:line="240" w:lineRule="auto"/>
              <w:ind w:right="227"/>
              <w:jc w:val="right"/>
              <w:rPr>
                <w:rFonts w:cstheme="minorHAnsi"/>
                <w:color w:val="002060"/>
                <w:sz w:val="18"/>
                <w:szCs w:val="18"/>
                <w:lang w:val="sr-Cyrl-CS"/>
              </w:rPr>
            </w:pPr>
            <w:r w:rsidRPr="00646254">
              <w:rPr>
                <w:color w:val="002060"/>
                <w:sz w:val="18"/>
                <w:szCs w:val="18"/>
                <w:lang w:val="sr-Cyrl-CS"/>
              </w:rPr>
              <w:t>164,3</w:t>
            </w:r>
          </w:p>
        </w:tc>
        <w:tc>
          <w:tcPr>
            <w:tcW w:w="711" w:type="pct"/>
            <w:shd w:val="clear" w:color="auto" w:fill="auto"/>
            <w:hideMark/>
          </w:tcPr>
          <w:p w14:paraId="0513EA14" w14:textId="77777777" w:rsidR="001A5BCF" w:rsidRPr="00646254" w:rsidRDefault="001A5BCF" w:rsidP="00E96A1D">
            <w:pPr>
              <w:spacing w:after="0" w:line="240" w:lineRule="auto"/>
              <w:ind w:right="284"/>
              <w:jc w:val="right"/>
              <w:rPr>
                <w:rFonts w:cstheme="minorHAnsi"/>
                <w:color w:val="002060"/>
                <w:sz w:val="18"/>
                <w:szCs w:val="18"/>
                <w:lang w:val="sr-Cyrl-CS"/>
              </w:rPr>
            </w:pPr>
            <w:r w:rsidRPr="00646254">
              <w:rPr>
                <w:color w:val="002060"/>
                <w:sz w:val="18"/>
                <w:szCs w:val="18"/>
                <w:lang w:val="sr-Cyrl-CS"/>
              </w:rPr>
              <w:t>80,1</w:t>
            </w:r>
          </w:p>
        </w:tc>
        <w:tc>
          <w:tcPr>
            <w:tcW w:w="711" w:type="pct"/>
            <w:shd w:val="clear" w:color="auto" w:fill="auto"/>
            <w:hideMark/>
          </w:tcPr>
          <w:p w14:paraId="6807B0D8" w14:textId="77777777" w:rsidR="001A5BCF" w:rsidRPr="00646254" w:rsidRDefault="001A5BCF" w:rsidP="00E96A1D">
            <w:pPr>
              <w:spacing w:after="0" w:line="240" w:lineRule="auto"/>
              <w:ind w:right="340"/>
              <w:jc w:val="right"/>
              <w:rPr>
                <w:rFonts w:cstheme="minorHAnsi"/>
                <w:color w:val="002060"/>
                <w:sz w:val="18"/>
                <w:szCs w:val="18"/>
                <w:lang w:val="sr-Cyrl-CS"/>
              </w:rPr>
            </w:pPr>
            <w:r w:rsidRPr="00646254">
              <w:rPr>
                <w:color w:val="002060"/>
                <w:sz w:val="18"/>
                <w:szCs w:val="18"/>
                <w:lang w:val="sr-Cyrl-CS"/>
              </w:rPr>
              <w:t>95,2</w:t>
            </w:r>
          </w:p>
        </w:tc>
        <w:tc>
          <w:tcPr>
            <w:tcW w:w="707" w:type="pct"/>
            <w:shd w:val="clear" w:color="auto" w:fill="auto"/>
            <w:noWrap/>
            <w:hideMark/>
          </w:tcPr>
          <w:p w14:paraId="0A18356D" w14:textId="77777777" w:rsidR="001A5BCF" w:rsidRPr="00646254" w:rsidRDefault="001A5BCF" w:rsidP="00E96A1D">
            <w:pPr>
              <w:spacing w:after="0" w:line="240" w:lineRule="auto"/>
              <w:ind w:right="340"/>
              <w:jc w:val="right"/>
              <w:rPr>
                <w:rFonts w:cstheme="minorHAnsi"/>
                <w:color w:val="002060"/>
                <w:sz w:val="18"/>
                <w:szCs w:val="18"/>
                <w:lang w:val="sr-Cyrl-CS"/>
              </w:rPr>
            </w:pPr>
            <w:r w:rsidRPr="00646254">
              <w:rPr>
                <w:color w:val="002060"/>
                <w:sz w:val="18"/>
                <w:szCs w:val="18"/>
                <w:lang w:val="sr-Cyrl-CS"/>
              </w:rPr>
              <w:t>2,7</w:t>
            </w:r>
          </w:p>
        </w:tc>
      </w:tr>
      <w:tr w:rsidR="00262F10" w:rsidRPr="00646254" w14:paraId="6536DCBA" w14:textId="77777777" w:rsidTr="00E96A1D">
        <w:trPr>
          <w:trHeight w:val="155"/>
          <w:jc w:val="center"/>
        </w:trPr>
        <w:tc>
          <w:tcPr>
            <w:tcW w:w="1450" w:type="pct"/>
            <w:shd w:val="clear" w:color="auto" w:fill="auto"/>
            <w:noWrap/>
            <w:vAlign w:val="center"/>
            <w:hideMark/>
          </w:tcPr>
          <w:p w14:paraId="18A1E8C5" w14:textId="77777777" w:rsidR="001A5BCF" w:rsidRPr="00646254" w:rsidRDefault="001A5BCF" w:rsidP="00E96A1D">
            <w:pPr>
              <w:spacing w:after="0" w:line="240" w:lineRule="auto"/>
              <w:jc w:val="lef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Капитални расходи</w:t>
            </w:r>
          </w:p>
        </w:tc>
        <w:tc>
          <w:tcPr>
            <w:tcW w:w="710" w:type="pct"/>
            <w:shd w:val="clear" w:color="auto" w:fill="auto"/>
            <w:hideMark/>
          </w:tcPr>
          <w:p w14:paraId="166B90A1" w14:textId="77777777" w:rsidR="001A5BCF" w:rsidRPr="00646254" w:rsidRDefault="001A5BCF" w:rsidP="00E96A1D">
            <w:pPr>
              <w:spacing w:after="0" w:line="240" w:lineRule="auto"/>
              <w:ind w:right="227"/>
              <w:jc w:val="right"/>
              <w:rPr>
                <w:rFonts w:cstheme="minorHAnsi"/>
                <w:color w:val="002060"/>
                <w:sz w:val="18"/>
                <w:szCs w:val="18"/>
                <w:lang w:val="sr-Cyrl-CS"/>
              </w:rPr>
            </w:pPr>
            <w:r w:rsidRPr="00646254">
              <w:rPr>
                <w:color w:val="002060"/>
                <w:sz w:val="18"/>
                <w:szCs w:val="18"/>
                <w:lang w:val="sr-Cyrl-CS"/>
              </w:rPr>
              <w:t>330,6</w:t>
            </w:r>
          </w:p>
        </w:tc>
        <w:tc>
          <w:tcPr>
            <w:tcW w:w="711" w:type="pct"/>
            <w:shd w:val="clear" w:color="auto" w:fill="auto"/>
            <w:noWrap/>
            <w:hideMark/>
          </w:tcPr>
          <w:p w14:paraId="379839C5" w14:textId="77777777" w:rsidR="001A5BCF" w:rsidRPr="00646254" w:rsidRDefault="001A5BCF" w:rsidP="00E96A1D">
            <w:pPr>
              <w:spacing w:after="0" w:line="240" w:lineRule="auto"/>
              <w:ind w:right="227"/>
              <w:jc w:val="right"/>
              <w:rPr>
                <w:rFonts w:cstheme="minorHAnsi"/>
                <w:color w:val="002060"/>
                <w:sz w:val="18"/>
                <w:szCs w:val="18"/>
                <w:lang w:val="sr-Cyrl-CS"/>
              </w:rPr>
            </w:pPr>
            <w:r w:rsidRPr="00646254">
              <w:rPr>
                <w:color w:val="002060"/>
                <w:sz w:val="18"/>
                <w:szCs w:val="18"/>
                <w:lang w:val="sr-Cyrl-CS"/>
              </w:rPr>
              <w:t>479,4</w:t>
            </w:r>
          </w:p>
        </w:tc>
        <w:tc>
          <w:tcPr>
            <w:tcW w:w="711" w:type="pct"/>
            <w:shd w:val="clear" w:color="auto" w:fill="auto"/>
            <w:hideMark/>
          </w:tcPr>
          <w:p w14:paraId="65ED06C4" w14:textId="77777777" w:rsidR="001A5BCF" w:rsidRPr="00646254" w:rsidRDefault="001A5BCF" w:rsidP="00E96A1D">
            <w:pPr>
              <w:spacing w:after="0" w:line="240" w:lineRule="auto"/>
              <w:ind w:right="284"/>
              <w:jc w:val="right"/>
              <w:rPr>
                <w:rFonts w:cstheme="minorHAnsi"/>
                <w:color w:val="002060"/>
                <w:sz w:val="18"/>
                <w:szCs w:val="18"/>
                <w:lang w:val="sr-Cyrl-CS"/>
              </w:rPr>
            </w:pPr>
            <w:r w:rsidRPr="00646254">
              <w:rPr>
                <w:color w:val="002060"/>
                <w:sz w:val="18"/>
                <w:szCs w:val="18"/>
                <w:lang w:val="sr-Cyrl-CS"/>
              </w:rPr>
              <w:t>148,8</w:t>
            </w:r>
          </w:p>
        </w:tc>
        <w:tc>
          <w:tcPr>
            <w:tcW w:w="711" w:type="pct"/>
            <w:shd w:val="clear" w:color="auto" w:fill="auto"/>
            <w:hideMark/>
          </w:tcPr>
          <w:p w14:paraId="512982FD" w14:textId="77777777" w:rsidR="001A5BCF" w:rsidRPr="00646254" w:rsidRDefault="001A5BCF" w:rsidP="00E96A1D">
            <w:pPr>
              <w:spacing w:after="0" w:line="240" w:lineRule="auto"/>
              <w:ind w:right="340"/>
              <w:jc w:val="right"/>
              <w:rPr>
                <w:rFonts w:cstheme="minorHAnsi"/>
                <w:color w:val="002060"/>
                <w:sz w:val="18"/>
                <w:szCs w:val="18"/>
                <w:lang w:val="sr-Cyrl-CS"/>
              </w:rPr>
            </w:pPr>
            <w:r w:rsidRPr="00646254">
              <w:rPr>
                <w:color w:val="002060"/>
                <w:sz w:val="18"/>
                <w:szCs w:val="18"/>
                <w:lang w:val="sr-Cyrl-CS"/>
              </w:rPr>
              <w:t>45,0</w:t>
            </w:r>
          </w:p>
        </w:tc>
        <w:tc>
          <w:tcPr>
            <w:tcW w:w="707" w:type="pct"/>
            <w:shd w:val="clear" w:color="auto" w:fill="auto"/>
            <w:noWrap/>
            <w:hideMark/>
          </w:tcPr>
          <w:p w14:paraId="4093126E" w14:textId="77777777" w:rsidR="001A5BCF" w:rsidRPr="00646254" w:rsidRDefault="001A5BCF" w:rsidP="00E96A1D">
            <w:pPr>
              <w:spacing w:after="0" w:line="240" w:lineRule="auto"/>
              <w:ind w:right="340"/>
              <w:jc w:val="right"/>
              <w:rPr>
                <w:rFonts w:cstheme="minorHAnsi"/>
                <w:color w:val="002060"/>
                <w:sz w:val="18"/>
                <w:szCs w:val="18"/>
                <w:lang w:val="sr-Cyrl-CS"/>
              </w:rPr>
            </w:pPr>
            <w:r w:rsidRPr="00646254">
              <w:rPr>
                <w:color w:val="002060"/>
                <w:sz w:val="18"/>
                <w:szCs w:val="18"/>
                <w:lang w:val="sr-Cyrl-CS"/>
              </w:rPr>
              <w:t>7,8</w:t>
            </w:r>
          </w:p>
        </w:tc>
      </w:tr>
      <w:tr w:rsidR="00262F10" w:rsidRPr="00646254" w14:paraId="4C7E1A60" w14:textId="77777777" w:rsidTr="00E96A1D">
        <w:trPr>
          <w:trHeight w:val="155"/>
          <w:jc w:val="center"/>
        </w:trPr>
        <w:tc>
          <w:tcPr>
            <w:tcW w:w="1450" w:type="pct"/>
            <w:shd w:val="clear" w:color="auto" w:fill="auto"/>
            <w:noWrap/>
            <w:vAlign w:val="center"/>
            <w:hideMark/>
          </w:tcPr>
          <w:p w14:paraId="04BEB273" w14:textId="77777777" w:rsidR="001A5BCF" w:rsidRPr="00646254" w:rsidRDefault="001A5BCF" w:rsidP="00E96A1D">
            <w:pPr>
              <w:spacing w:after="0" w:line="240" w:lineRule="auto"/>
              <w:jc w:val="lef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Нето буџетске позајмице</w:t>
            </w:r>
          </w:p>
        </w:tc>
        <w:tc>
          <w:tcPr>
            <w:tcW w:w="710" w:type="pct"/>
            <w:shd w:val="clear" w:color="auto" w:fill="auto"/>
            <w:hideMark/>
          </w:tcPr>
          <w:p w14:paraId="22D0A851" w14:textId="77777777" w:rsidR="001A5BCF" w:rsidRPr="00646254" w:rsidRDefault="001A5BCF" w:rsidP="00E96A1D">
            <w:pPr>
              <w:spacing w:after="0" w:line="240" w:lineRule="auto"/>
              <w:ind w:right="227"/>
              <w:jc w:val="right"/>
              <w:rPr>
                <w:rFonts w:cstheme="minorHAnsi"/>
                <w:color w:val="002060"/>
                <w:sz w:val="18"/>
                <w:szCs w:val="18"/>
                <w:lang w:val="sr-Cyrl-CS"/>
              </w:rPr>
            </w:pPr>
            <w:r w:rsidRPr="00646254">
              <w:rPr>
                <w:color w:val="002060"/>
                <w:sz w:val="18"/>
                <w:szCs w:val="18"/>
                <w:lang w:val="sr-Cyrl-CS"/>
              </w:rPr>
              <w:t>23,7</w:t>
            </w:r>
          </w:p>
        </w:tc>
        <w:tc>
          <w:tcPr>
            <w:tcW w:w="711" w:type="pct"/>
            <w:shd w:val="clear" w:color="auto" w:fill="auto"/>
            <w:noWrap/>
            <w:hideMark/>
          </w:tcPr>
          <w:p w14:paraId="39D5EA4B" w14:textId="77777777" w:rsidR="001A5BCF" w:rsidRPr="00646254" w:rsidRDefault="001A5BCF" w:rsidP="00E96A1D">
            <w:pPr>
              <w:spacing w:after="0" w:line="240" w:lineRule="auto"/>
              <w:ind w:right="227"/>
              <w:jc w:val="right"/>
              <w:rPr>
                <w:rFonts w:cstheme="minorHAnsi"/>
                <w:color w:val="002060"/>
                <w:sz w:val="18"/>
                <w:szCs w:val="18"/>
                <w:lang w:val="sr-Cyrl-CS"/>
              </w:rPr>
            </w:pPr>
            <w:r w:rsidRPr="00646254">
              <w:rPr>
                <w:color w:val="002060"/>
                <w:sz w:val="18"/>
                <w:szCs w:val="18"/>
                <w:lang w:val="sr-Cyrl-CS"/>
              </w:rPr>
              <w:t>22,4</w:t>
            </w:r>
          </w:p>
        </w:tc>
        <w:tc>
          <w:tcPr>
            <w:tcW w:w="711" w:type="pct"/>
            <w:shd w:val="clear" w:color="auto" w:fill="auto"/>
            <w:hideMark/>
          </w:tcPr>
          <w:p w14:paraId="5E8A01EE" w14:textId="77777777" w:rsidR="001A5BCF" w:rsidRPr="00646254" w:rsidRDefault="001A5BCF" w:rsidP="00E96A1D">
            <w:pPr>
              <w:spacing w:after="0" w:line="240" w:lineRule="auto"/>
              <w:ind w:right="284"/>
              <w:jc w:val="right"/>
              <w:rPr>
                <w:rFonts w:cstheme="minorHAnsi"/>
                <w:color w:val="002060"/>
                <w:sz w:val="18"/>
                <w:szCs w:val="18"/>
                <w:lang w:val="sr-Cyrl-CS"/>
              </w:rPr>
            </w:pPr>
            <w:r w:rsidRPr="00646254">
              <w:rPr>
                <w:color w:val="002060"/>
                <w:sz w:val="18"/>
                <w:szCs w:val="18"/>
                <w:lang w:val="sr-Cyrl-CS"/>
              </w:rPr>
              <w:t>-1,3</w:t>
            </w:r>
          </w:p>
        </w:tc>
        <w:tc>
          <w:tcPr>
            <w:tcW w:w="711" w:type="pct"/>
            <w:shd w:val="clear" w:color="auto" w:fill="auto"/>
            <w:hideMark/>
          </w:tcPr>
          <w:p w14:paraId="6F78FAA0" w14:textId="77777777" w:rsidR="001A5BCF" w:rsidRPr="00646254" w:rsidRDefault="001A5BCF" w:rsidP="00E96A1D">
            <w:pPr>
              <w:spacing w:after="0" w:line="240" w:lineRule="auto"/>
              <w:ind w:right="340"/>
              <w:jc w:val="right"/>
              <w:rPr>
                <w:rFonts w:cstheme="minorHAnsi"/>
                <w:color w:val="002060"/>
                <w:sz w:val="18"/>
                <w:szCs w:val="18"/>
                <w:lang w:val="sr-Cyrl-CS"/>
              </w:rPr>
            </w:pPr>
            <w:r w:rsidRPr="00646254">
              <w:rPr>
                <w:color w:val="002060"/>
                <w:sz w:val="18"/>
                <w:szCs w:val="18"/>
                <w:lang w:val="sr-Cyrl-CS"/>
              </w:rPr>
              <w:t>-5,4</w:t>
            </w:r>
          </w:p>
        </w:tc>
        <w:tc>
          <w:tcPr>
            <w:tcW w:w="707" w:type="pct"/>
            <w:shd w:val="clear" w:color="auto" w:fill="auto"/>
            <w:noWrap/>
            <w:hideMark/>
          </w:tcPr>
          <w:p w14:paraId="0F33ACF0" w14:textId="77777777" w:rsidR="001A5BCF" w:rsidRPr="00646254" w:rsidRDefault="001A5BCF" w:rsidP="00E96A1D">
            <w:pPr>
              <w:spacing w:after="0" w:line="240" w:lineRule="auto"/>
              <w:ind w:right="340"/>
              <w:jc w:val="right"/>
              <w:rPr>
                <w:rFonts w:cstheme="minorHAnsi"/>
                <w:color w:val="002060"/>
                <w:sz w:val="18"/>
                <w:szCs w:val="18"/>
                <w:lang w:val="sr-Cyrl-CS"/>
              </w:rPr>
            </w:pPr>
            <w:r w:rsidRPr="00646254">
              <w:rPr>
                <w:color w:val="002060"/>
                <w:sz w:val="18"/>
                <w:szCs w:val="18"/>
                <w:lang w:val="sr-Cyrl-CS"/>
              </w:rPr>
              <w:t>0,4</w:t>
            </w:r>
          </w:p>
        </w:tc>
      </w:tr>
      <w:tr w:rsidR="00262F10" w:rsidRPr="00646254" w14:paraId="072D07F7" w14:textId="77777777" w:rsidTr="00E96A1D">
        <w:trPr>
          <w:trHeight w:val="155"/>
          <w:jc w:val="center"/>
        </w:trPr>
        <w:tc>
          <w:tcPr>
            <w:tcW w:w="1450" w:type="pct"/>
            <w:shd w:val="clear" w:color="auto" w:fill="auto"/>
            <w:noWrap/>
            <w:vAlign w:val="center"/>
            <w:hideMark/>
          </w:tcPr>
          <w:p w14:paraId="1CC6AEA4" w14:textId="77777777" w:rsidR="001A5BCF" w:rsidRPr="00646254" w:rsidRDefault="001A5BCF" w:rsidP="00E96A1D">
            <w:pPr>
              <w:spacing w:after="0" w:line="240" w:lineRule="auto"/>
              <w:jc w:val="lef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Активиране гаранције</w:t>
            </w:r>
          </w:p>
        </w:tc>
        <w:tc>
          <w:tcPr>
            <w:tcW w:w="710" w:type="pct"/>
            <w:shd w:val="clear" w:color="auto" w:fill="auto"/>
            <w:hideMark/>
          </w:tcPr>
          <w:p w14:paraId="0D269449" w14:textId="77777777" w:rsidR="001A5BCF" w:rsidRPr="00646254" w:rsidRDefault="001A5BCF" w:rsidP="00E96A1D">
            <w:pPr>
              <w:spacing w:after="0" w:line="240" w:lineRule="auto"/>
              <w:ind w:right="227"/>
              <w:jc w:val="right"/>
              <w:rPr>
                <w:rFonts w:cstheme="minorHAnsi"/>
                <w:color w:val="002060"/>
                <w:sz w:val="18"/>
                <w:szCs w:val="18"/>
                <w:lang w:val="sr-Cyrl-CS"/>
              </w:rPr>
            </w:pPr>
            <w:r w:rsidRPr="00646254">
              <w:rPr>
                <w:color w:val="002060"/>
                <w:sz w:val="18"/>
                <w:szCs w:val="18"/>
                <w:lang w:val="sr-Cyrl-CS"/>
              </w:rPr>
              <w:t>11,7</w:t>
            </w:r>
          </w:p>
        </w:tc>
        <w:tc>
          <w:tcPr>
            <w:tcW w:w="711" w:type="pct"/>
            <w:shd w:val="clear" w:color="auto" w:fill="auto"/>
            <w:noWrap/>
            <w:hideMark/>
          </w:tcPr>
          <w:p w14:paraId="1C136BAB" w14:textId="77777777" w:rsidR="001A5BCF" w:rsidRPr="00646254" w:rsidRDefault="001A5BCF" w:rsidP="00E96A1D">
            <w:pPr>
              <w:spacing w:after="0" w:line="240" w:lineRule="auto"/>
              <w:ind w:right="227"/>
              <w:jc w:val="right"/>
              <w:rPr>
                <w:rFonts w:cstheme="minorHAnsi"/>
                <w:color w:val="002060"/>
                <w:sz w:val="18"/>
                <w:szCs w:val="18"/>
                <w:lang w:val="sr-Cyrl-CS"/>
              </w:rPr>
            </w:pPr>
            <w:r w:rsidRPr="00646254">
              <w:rPr>
                <w:color w:val="002060"/>
                <w:sz w:val="18"/>
                <w:szCs w:val="18"/>
                <w:lang w:val="sr-Cyrl-CS"/>
              </w:rPr>
              <w:t>8,2</w:t>
            </w:r>
          </w:p>
        </w:tc>
        <w:tc>
          <w:tcPr>
            <w:tcW w:w="711" w:type="pct"/>
            <w:shd w:val="clear" w:color="auto" w:fill="auto"/>
            <w:hideMark/>
          </w:tcPr>
          <w:p w14:paraId="30164CF9" w14:textId="77777777" w:rsidR="001A5BCF" w:rsidRPr="00646254" w:rsidRDefault="001A5BCF" w:rsidP="00E96A1D">
            <w:pPr>
              <w:spacing w:after="0" w:line="240" w:lineRule="auto"/>
              <w:ind w:right="284"/>
              <w:jc w:val="right"/>
              <w:rPr>
                <w:rFonts w:cstheme="minorHAnsi"/>
                <w:color w:val="002060"/>
                <w:sz w:val="18"/>
                <w:szCs w:val="18"/>
                <w:lang w:val="sr-Cyrl-CS"/>
              </w:rPr>
            </w:pPr>
            <w:r w:rsidRPr="00646254">
              <w:rPr>
                <w:color w:val="002060"/>
                <w:sz w:val="18"/>
                <w:szCs w:val="18"/>
                <w:lang w:val="sr-Cyrl-CS"/>
              </w:rPr>
              <w:t>-3,5</w:t>
            </w:r>
          </w:p>
        </w:tc>
        <w:tc>
          <w:tcPr>
            <w:tcW w:w="711" w:type="pct"/>
            <w:shd w:val="clear" w:color="auto" w:fill="auto"/>
            <w:hideMark/>
          </w:tcPr>
          <w:p w14:paraId="6293BBBB" w14:textId="77777777" w:rsidR="001A5BCF" w:rsidRPr="00646254" w:rsidRDefault="001A5BCF" w:rsidP="00E96A1D">
            <w:pPr>
              <w:spacing w:after="0" w:line="240" w:lineRule="auto"/>
              <w:ind w:right="340"/>
              <w:jc w:val="right"/>
              <w:rPr>
                <w:rFonts w:cstheme="minorHAnsi"/>
                <w:color w:val="002060"/>
                <w:sz w:val="18"/>
                <w:szCs w:val="18"/>
                <w:lang w:val="sr-Cyrl-CS"/>
              </w:rPr>
            </w:pPr>
            <w:r w:rsidRPr="00646254">
              <w:rPr>
                <w:color w:val="002060"/>
                <w:sz w:val="18"/>
                <w:szCs w:val="18"/>
                <w:lang w:val="sr-Cyrl-CS"/>
              </w:rPr>
              <w:t>-29,8</w:t>
            </w:r>
          </w:p>
        </w:tc>
        <w:tc>
          <w:tcPr>
            <w:tcW w:w="707" w:type="pct"/>
            <w:shd w:val="clear" w:color="auto" w:fill="auto"/>
            <w:noWrap/>
            <w:hideMark/>
          </w:tcPr>
          <w:p w14:paraId="5895D584" w14:textId="77777777" w:rsidR="001A5BCF" w:rsidRPr="00646254" w:rsidRDefault="001A5BCF" w:rsidP="00E96A1D">
            <w:pPr>
              <w:spacing w:after="0" w:line="240" w:lineRule="auto"/>
              <w:ind w:right="340"/>
              <w:jc w:val="right"/>
              <w:rPr>
                <w:rFonts w:cstheme="minorHAnsi"/>
                <w:color w:val="002060"/>
                <w:sz w:val="18"/>
                <w:szCs w:val="18"/>
                <w:lang w:val="sr-Cyrl-CS"/>
              </w:rPr>
            </w:pPr>
            <w:r w:rsidRPr="00646254">
              <w:rPr>
                <w:color w:val="002060"/>
                <w:sz w:val="18"/>
                <w:szCs w:val="18"/>
                <w:lang w:val="sr-Cyrl-CS"/>
              </w:rPr>
              <w:t>0,1</w:t>
            </w:r>
          </w:p>
        </w:tc>
      </w:tr>
      <w:tr w:rsidR="00262F10" w:rsidRPr="00646254" w14:paraId="7B83F8F4" w14:textId="77777777" w:rsidTr="00E96A1D">
        <w:trPr>
          <w:trHeight w:val="155"/>
          <w:jc w:val="center"/>
        </w:trPr>
        <w:tc>
          <w:tcPr>
            <w:tcW w:w="1450" w:type="pct"/>
            <w:shd w:val="clear" w:color="auto" w:fill="E7E6E6" w:themeFill="background2"/>
            <w:noWrap/>
            <w:vAlign w:val="center"/>
            <w:hideMark/>
          </w:tcPr>
          <w:p w14:paraId="65974E7E" w14:textId="77777777" w:rsidR="001A5BCF" w:rsidRPr="00646254" w:rsidRDefault="001A5BCF" w:rsidP="00E96A1D">
            <w:pPr>
              <w:spacing w:after="0" w:line="240" w:lineRule="auto"/>
              <w:jc w:val="left"/>
              <w:rPr>
                <w:rFonts w:cstheme="minorHAnsi"/>
                <w:color w:val="002060"/>
                <w:sz w:val="18"/>
                <w:szCs w:val="18"/>
                <w:lang w:val="sr-Cyrl-CS"/>
              </w:rPr>
            </w:pPr>
            <w:r w:rsidRPr="00646254">
              <w:rPr>
                <w:rFonts w:eastAsia="MS PGothic" w:cstheme="minorHAnsi"/>
                <w:color w:val="002060"/>
                <w:sz w:val="18"/>
                <w:szCs w:val="18"/>
                <w:lang w:val="sr-Cyrl-CS" w:eastAsia="ja-JP"/>
              </w:rPr>
              <w:t>Резултат</w:t>
            </w:r>
          </w:p>
        </w:tc>
        <w:tc>
          <w:tcPr>
            <w:tcW w:w="710" w:type="pct"/>
            <w:shd w:val="clear" w:color="auto" w:fill="E7E6E6" w:themeFill="background2"/>
            <w:hideMark/>
          </w:tcPr>
          <w:p w14:paraId="78AB27B7" w14:textId="77777777" w:rsidR="001A5BCF" w:rsidRPr="00646254" w:rsidRDefault="001A5BCF" w:rsidP="00E96A1D">
            <w:pPr>
              <w:spacing w:after="0" w:line="240" w:lineRule="auto"/>
              <w:ind w:right="227"/>
              <w:jc w:val="right"/>
              <w:rPr>
                <w:rFonts w:cstheme="minorHAnsi"/>
                <w:color w:val="002060"/>
                <w:sz w:val="18"/>
                <w:szCs w:val="18"/>
                <w:lang w:val="sr-Cyrl-CS"/>
              </w:rPr>
            </w:pPr>
            <w:r w:rsidRPr="00646254">
              <w:rPr>
                <w:color w:val="002060"/>
                <w:sz w:val="18"/>
                <w:szCs w:val="18"/>
                <w:lang w:val="sr-Cyrl-CS"/>
              </w:rPr>
              <w:t>-179,3</w:t>
            </w:r>
          </w:p>
        </w:tc>
        <w:tc>
          <w:tcPr>
            <w:tcW w:w="711" w:type="pct"/>
            <w:shd w:val="clear" w:color="auto" w:fill="E7E6E6" w:themeFill="background2"/>
            <w:noWrap/>
            <w:hideMark/>
          </w:tcPr>
          <w:p w14:paraId="591F7F8E" w14:textId="77777777" w:rsidR="001A5BCF" w:rsidRPr="00646254" w:rsidRDefault="001A5BCF" w:rsidP="00E96A1D">
            <w:pPr>
              <w:spacing w:after="0" w:line="240" w:lineRule="auto"/>
              <w:ind w:right="227"/>
              <w:jc w:val="right"/>
              <w:rPr>
                <w:rFonts w:cstheme="minorHAnsi"/>
                <w:color w:val="002060"/>
                <w:sz w:val="18"/>
                <w:szCs w:val="18"/>
                <w:lang w:val="sr-Cyrl-CS"/>
              </w:rPr>
            </w:pPr>
            <w:r w:rsidRPr="00646254">
              <w:rPr>
                <w:color w:val="002060"/>
                <w:sz w:val="18"/>
                <w:szCs w:val="18"/>
                <w:lang w:val="sr-Cyrl-CS"/>
              </w:rPr>
              <w:t>-304,5</w:t>
            </w:r>
          </w:p>
        </w:tc>
        <w:tc>
          <w:tcPr>
            <w:tcW w:w="711" w:type="pct"/>
            <w:shd w:val="clear" w:color="auto" w:fill="E7E6E6" w:themeFill="background2"/>
            <w:hideMark/>
          </w:tcPr>
          <w:p w14:paraId="286D4FF7" w14:textId="77777777" w:rsidR="001A5BCF" w:rsidRPr="00646254" w:rsidRDefault="001A5BCF" w:rsidP="00E96A1D">
            <w:pPr>
              <w:spacing w:after="0" w:line="240" w:lineRule="auto"/>
              <w:ind w:right="284"/>
              <w:jc w:val="right"/>
              <w:rPr>
                <w:rFonts w:cstheme="minorHAnsi"/>
                <w:color w:val="002060"/>
                <w:sz w:val="18"/>
                <w:szCs w:val="18"/>
                <w:lang w:val="sr-Cyrl-CS"/>
              </w:rPr>
            </w:pPr>
            <w:r w:rsidRPr="00646254">
              <w:rPr>
                <w:color w:val="002060"/>
                <w:sz w:val="18"/>
                <w:szCs w:val="18"/>
                <w:lang w:val="sr-Cyrl-CS"/>
              </w:rPr>
              <w:t>-125,2</w:t>
            </w:r>
          </w:p>
        </w:tc>
        <w:tc>
          <w:tcPr>
            <w:tcW w:w="711" w:type="pct"/>
            <w:shd w:val="clear" w:color="auto" w:fill="E7E6E6" w:themeFill="background2"/>
            <w:hideMark/>
          </w:tcPr>
          <w:p w14:paraId="04A1875B" w14:textId="77777777" w:rsidR="001A5BCF" w:rsidRPr="00646254" w:rsidRDefault="001A5BCF" w:rsidP="00E96A1D">
            <w:pPr>
              <w:spacing w:after="0" w:line="240" w:lineRule="auto"/>
              <w:ind w:right="340"/>
              <w:jc w:val="right"/>
              <w:rPr>
                <w:rFonts w:cstheme="minorHAnsi"/>
                <w:color w:val="002060"/>
                <w:sz w:val="18"/>
                <w:szCs w:val="18"/>
                <w:lang w:val="sr-Cyrl-CS"/>
              </w:rPr>
            </w:pPr>
          </w:p>
        </w:tc>
        <w:tc>
          <w:tcPr>
            <w:tcW w:w="707" w:type="pct"/>
            <w:shd w:val="clear" w:color="auto" w:fill="E7E6E6" w:themeFill="background2"/>
            <w:noWrap/>
            <w:hideMark/>
          </w:tcPr>
          <w:p w14:paraId="43D2729E" w14:textId="77777777" w:rsidR="001A5BCF" w:rsidRPr="00646254" w:rsidRDefault="001A5BCF" w:rsidP="00E96A1D">
            <w:pPr>
              <w:spacing w:after="0" w:line="240" w:lineRule="auto"/>
              <w:ind w:right="340"/>
              <w:jc w:val="right"/>
              <w:rPr>
                <w:rFonts w:cstheme="minorHAnsi"/>
                <w:color w:val="002060"/>
                <w:sz w:val="18"/>
                <w:szCs w:val="18"/>
                <w:lang w:val="sr-Cyrl-CS"/>
              </w:rPr>
            </w:pPr>
            <w:r w:rsidRPr="00646254">
              <w:rPr>
                <w:color w:val="002060"/>
                <w:sz w:val="18"/>
                <w:szCs w:val="18"/>
                <w:lang w:val="sr-Cyrl-CS"/>
              </w:rPr>
              <w:t>-4,9</w:t>
            </w:r>
          </w:p>
        </w:tc>
      </w:tr>
      <w:tr w:rsidR="00262F10" w:rsidRPr="00646254" w14:paraId="1269A066" w14:textId="77777777" w:rsidTr="00E96A1D">
        <w:trPr>
          <w:trHeight w:val="155"/>
          <w:jc w:val="center"/>
        </w:trPr>
        <w:tc>
          <w:tcPr>
            <w:tcW w:w="1450" w:type="pct"/>
            <w:tcBorders>
              <w:bottom w:val="single" w:sz="4" w:space="0" w:color="002060"/>
            </w:tcBorders>
            <w:shd w:val="clear" w:color="auto" w:fill="auto"/>
            <w:noWrap/>
            <w:vAlign w:val="center"/>
            <w:hideMark/>
          </w:tcPr>
          <w:p w14:paraId="10F29584" w14:textId="77777777" w:rsidR="001A5BCF" w:rsidRPr="00646254" w:rsidRDefault="001A5BCF" w:rsidP="00E96A1D">
            <w:pPr>
              <w:spacing w:after="0" w:line="240" w:lineRule="auto"/>
              <w:jc w:val="left"/>
              <w:rPr>
                <w:rFonts w:cstheme="minorHAnsi"/>
                <w:color w:val="002060"/>
                <w:sz w:val="18"/>
                <w:szCs w:val="18"/>
                <w:lang w:val="sr-Cyrl-CS"/>
              </w:rPr>
            </w:pPr>
            <w:r w:rsidRPr="00646254">
              <w:rPr>
                <w:rFonts w:eastAsia="MS PGothic" w:cstheme="minorHAnsi"/>
                <w:color w:val="002060"/>
                <w:sz w:val="18"/>
                <w:szCs w:val="18"/>
                <w:lang w:val="sr-Cyrl-CS" w:eastAsia="ja-JP"/>
              </w:rPr>
              <w:t>Резултат у % БДП</w:t>
            </w:r>
          </w:p>
        </w:tc>
        <w:tc>
          <w:tcPr>
            <w:tcW w:w="710" w:type="pct"/>
            <w:tcBorders>
              <w:bottom w:val="single" w:sz="4" w:space="0" w:color="002060"/>
            </w:tcBorders>
            <w:shd w:val="clear" w:color="auto" w:fill="auto"/>
            <w:hideMark/>
          </w:tcPr>
          <w:p w14:paraId="455E9995" w14:textId="77777777" w:rsidR="001A5BCF" w:rsidRPr="00646254" w:rsidRDefault="001A5BCF" w:rsidP="00E96A1D">
            <w:pPr>
              <w:spacing w:after="0" w:line="240" w:lineRule="auto"/>
              <w:ind w:right="227"/>
              <w:jc w:val="right"/>
              <w:rPr>
                <w:rFonts w:cstheme="minorHAnsi"/>
                <w:color w:val="002060"/>
                <w:sz w:val="18"/>
                <w:szCs w:val="18"/>
                <w:lang w:val="sr-Cyrl-CS"/>
              </w:rPr>
            </w:pPr>
            <w:r w:rsidRPr="00646254">
              <w:rPr>
                <w:color w:val="002060"/>
                <w:sz w:val="18"/>
                <w:szCs w:val="18"/>
                <w:lang w:val="sr-Cyrl-CS"/>
              </w:rPr>
              <w:t>-3,0</w:t>
            </w:r>
          </w:p>
        </w:tc>
        <w:tc>
          <w:tcPr>
            <w:tcW w:w="711" w:type="pct"/>
            <w:tcBorders>
              <w:bottom w:val="single" w:sz="4" w:space="0" w:color="002060"/>
            </w:tcBorders>
            <w:shd w:val="clear" w:color="auto" w:fill="auto"/>
            <w:hideMark/>
          </w:tcPr>
          <w:p w14:paraId="5936BE8C" w14:textId="77777777" w:rsidR="001A5BCF" w:rsidRPr="00646254" w:rsidRDefault="001A5BCF" w:rsidP="00E96A1D">
            <w:pPr>
              <w:spacing w:after="0" w:line="240" w:lineRule="auto"/>
              <w:ind w:right="227"/>
              <w:jc w:val="right"/>
              <w:rPr>
                <w:rFonts w:cstheme="minorHAnsi"/>
                <w:color w:val="002060"/>
                <w:sz w:val="18"/>
                <w:szCs w:val="18"/>
                <w:lang w:val="sr-Cyrl-CS"/>
              </w:rPr>
            </w:pPr>
            <w:r w:rsidRPr="00646254">
              <w:rPr>
                <w:color w:val="002060"/>
                <w:sz w:val="18"/>
                <w:szCs w:val="18"/>
                <w:lang w:val="sr-Cyrl-CS"/>
              </w:rPr>
              <w:t>-4,9</w:t>
            </w:r>
          </w:p>
        </w:tc>
        <w:tc>
          <w:tcPr>
            <w:tcW w:w="711" w:type="pct"/>
            <w:tcBorders>
              <w:bottom w:val="single" w:sz="4" w:space="0" w:color="002060"/>
            </w:tcBorders>
            <w:shd w:val="clear" w:color="auto" w:fill="auto"/>
            <w:hideMark/>
          </w:tcPr>
          <w:p w14:paraId="2438DD66" w14:textId="77777777" w:rsidR="001A5BCF" w:rsidRPr="00646254" w:rsidRDefault="001A5BCF" w:rsidP="00E96A1D">
            <w:pPr>
              <w:spacing w:after="0" w:line="240" w:lineRule="auto"/>
              <w:ind w:right="284"/>
              <w:jc w:val="right"/>
              <w:rPr>
                <w:rFonts w:cstheme="minorHAnsi"/>
                <w:color w:val="002060"/>
                <w:sz w:val="18"/>
                <w:szCs w:val="18"/>
                <w:lang w:val="sr-Cyrl-CS"/>
              </w:rPr>
            </w:pPr>
            <w:r w:rsidRPr="00646254">
              <w:rPr>
                <w:color w:val="002060"/>
                <w:sz w:val="18"/>
                <w:szCs w:val="18"/>
                <w:lang w:val="sr-Cyrl-CS"/>
              </w:rPr>
              <w:t>-1,9</w:t>
            </w:r>
          </w:p>
        </w:tc>
        <w:tc>
          <w:tcPr>
            <w:tcW w:w="711" w:type="pct"/>
            <w:tcBorders>
              <w:bottom w:val="single" w:sz="4" w:space="0" w:color="002060"/>
            </w:tcBorders>
            <w:shd w:val="clear" w:color="auto" w:fill="auto"/>
            <w:hideMark/>
          </w:tcPr>
          <w:p w14:paraId="3492520B" w14:textId="77777777" w:rsidR="001A5BCF" w:rsidRPr="00646254" w:rsidRDefault="001A5BCF" w:rsidP="00E96A1D">
            <w:pPr>
              <w:spacing w:after="0" w:line="240" w:lineRule="auto"/>
              <w:ind w:right="340"/>
              <w:jc w:val="right"/>
              <w:rPr>
                <w:rFonts w:cstheme="minorHAnsi"/>
                <w:color w:val="002060"/>
                <w:sz w:val="18"/>
                <w:szCs w:val="18"/>
                <w:lang w:val="sr-Cyrl-CS"/>
              </w:rPr>
            </w:pPr>
          </w:p>
        </w:tc>
        <w:tc>
          <w:tcPr>
            <w:tcW w:w="707" w:type="pct"/>
            <w:tcBorders>
              <w:bottom w:val="single" w:sz="4" w:space="0" w:color="002060"/>
            </w:tcBorders>
            <w:shd w:val="clear" w:color="auto" w:fill="auto"/>
            <w:hideMark/>
          </w:tcPr>
          <w:p w14:paraId="6C624E7A" w14:textId="77777777" w:rsidR="001A5BCF" w:rsidRPr="00646254" w:rsidRDefault="001A5BCF" w:rsidP="00E96A1D">
            <w:pPr>
              <w:spacing w:after="0" w:line="240" w:lineRule="auto"/>
              <w:ind w:right="340"/>
              <w:jc w:val="right"/>
              <w:rPr>
                <w:rFonts w:cstheme="minorHAnsi"/>
                <w:color w:val="002060"/>
                <w:sz w:val="18"/>
                <w:szCs w:val="18"/>
                <w:lang w:val="sr-Cyrl-CS"/>
              </w:rPr>
            </w:pPr>
          </w:p>
        </w:tc>
      </w:tr>
    </w:tbl>
    <w:p w14:paraId="793B291D" w14:textId="77777777" w:rsidR="001A5BCF" w:rsidRPr="00646254" w:rsidRDefault="001A5BCF" w:rsidP="008265F0">
      <w:pPr>
        <w:spacing w:line="240" w:lineRule="auto"/>
        <w:jc w:val="left"/>
        <w:rPr>
          <w:rFonts w:cstheme="minorHAnsi"/>
          <w:sz w:val="16"/>
          <w:szCs w:val="16"/>
          <w:lang w:val="sr-Cyrl-CS"/>
        </w:rPr>
        <w:sectPr w:rsidR="001A5BCF" w:rsidRPr="00646254" w:rsidSect="00AE40EB">
          <w:type w:val="continuous"/>
          <w:pgSz w:w="12240" w:h="15840" w:code="1"/>
          <w:pgMar w:top="1440" w:right="1440" w:bottom="1440" w:left="1440" w:header="720" w:footer="720" w:gutter="0"/>
          <w:cols w:space="720"/>
          <w:docGrid w:linePitch="360"/>
        </w:sectPr>
      </w:pPr>
      <w:r w:rsidRPr="00646254">
        <w:rPr>
          <w:rFonts w:eastAsia="Calibri" w:cstheme="minorHAnsi"/>
          <w:bCs/>
          <w:sz w:val="16"/>
          <w:szCs w:val="16"/>
          <w:lang w:val="sr-Cyrl-CS" w:eastAsia="ja-JP"/>
        </w:rPr>
        <w:t xml:space="preserve">Извор: </w:t>
      </w:r>
      <w:r w:rsidRPr="00646254">
        <w:rPr>
          <w:rFonts w:cstheme="minorHAnsi"/>
          <w:sz w:val="16"/>
          <w:szCs w:val="16"/>
          <w:lang w:val="sr-Cyrl-CS"/>
        </w:rPr>
        <w:t>Министарство финансија</w:t>
      </w:r>
    </w:p>
    <w:p w14:paraId="6DA54959" w14:textId="77777777" w:rsidR="001A5BCF" w:rsidRPr="00646254" w:rsidRDefault="001A5BCF" w:rsidP="00E96A1D">
      <w:pPr>
        <w:keepLines/>
        <w:widowControl w:val="0"/>
        <w:spacing w:after="80"/>
        <w:rPr>
          <w:rFonts w:eastAsia="MS PGothic" w:cstheme="minorHAnsi"/>
          <w:szCs w:val="20"/>
          <w:lang w:val="sr-Cyrl-CS" w:eastAsia="ja-JP"/>
        </w:rPr>
      </w:pPr>
      <w:r w:rsidRPr="00646254">
        <w:rPr>
          <w:rFonts w:eastAsia="MS PGothic" w:cstheme="minorHAnsi"/>
          <w:szCs w:val="20"/>
          <w:lang w:val="sr-Cyrl-CS" w:eastAsia="ja-JP"/>
        </w:rPr>
        <w:t>Најважнији фактори који су довели до измене у висини и структури прихода опште државе су:</w:t>
      </w:r>
    </w:p>
    <w:p w14:paraId="78FBD96F" w14:textId="77777777" w:rsidR="001A5BCF" w:rsidRPr="00646254" w:rsidRDefault="001A5BCF" w:rsidP="001A5BCF">
      <w:pPr>
        <w:pStyle w:val="ListParagraph"/>
        <w:keepLines/>
        <w:widowControl w:val="0"/>
        <w:numPr>
          <w:ilvl w:val="0"/>
          <w:numId w:val="50"/>
        </w:numPr>
        <w:spacing w:after="60"/>
        <w:rPr>
          <w:rFonts w:eastAsia="MS PGothic" w:cstheme="minorHAnsi"/>
          <w:szCs w:val="20"/>
          <w:lang w:val="sr-Cyrl-CS" w:eastAsia="ja-JP"/>
        </w:rPr>
      </w:pPr>
      <w:r w:rsidRPr="00646254">
        <w:rPr>
          <w:rFonts w:eastAsia="MS PGothic" w:cstheme="minorHAnsi"/>
          <w:szCs w:val="20"/>
          <w:lang w:val="sr-Cyrl-CS" w:eastAsia="ja-JP"/>
        </w:rPr>
        <w:t>базни ефекат (боље остварење на крају претходне године);</w:t>
      </w:r>
    </w:p>
    <w:p w14:paraId="70D16C23" w14:textId="3469D72E" w:rsidR="001A5BCF" w:rsidRPr="00646254" w:rsidRDefault="001A5BCF" w:rsidP="001A5BCF">
      <w:pPr>
        <w:pStyle w:val="ListParagraph"/>
        <w:keepLines/>
        <w:widowControl w:val="0"/>
        <w:numPr>
          <w:ilvl w:val="0"/>
          <w:numId w:val="50"/>
        </w:numPr>
        <w:spacing w:after="60"/>
        <w:rPr>
          <w:rFonts w:eastAsia="MS PGothic" w:cstheme="minorHAnsi"/>
          <w:szCs w:val="20"/>
          <w:lang w:val="sr-Cyrl-CS" w:eastAsia="ja-JP"/>
        </w:rPr>
      </w:pPr>
      <w:r w:rsidRPr="00646254">
        <w:rPr>
          <w:rFonts w:eastAsia="MS PGothic" w:cstheme="minorHAnsi"/>
          <w:szCs w:val="20"/>
          <w:lang w:val="sr-Cyrl-CS" w:eastAsia="ja-JP"/>
        </w:rPr>
        <w:t>убрзање економске активности тј. ревизија стопе реалног раста БДП навише са 6% на 7%;</w:t>
      </w:r>
    </w:p>
    <w:p w14:paraId="2D2E5B73" w14:textId="77777777" w:rsidR="001A5BCF" w:rsidRPr="00646254" w:rsidRDefault="001A5BCF" w:rsidP="001A5BCF">
      <w:pPr>
        <w:pStyle w:val="ListParagraph"/>
        <w:keepLines/>
        <w:widowControl w:val="0"/>
        <w:numPr>
          <w:ilvl w:val="0"/>
          <w:numId w:val="50"/>
        </w:numPr>
        <w:spacing w:after="60"/>
        <w:rPr>
          <w:rFonts w:eastAsia="MS PGothic" w:cstheme="minorHAnsi"/>
          <w:szCs w:val="20"/>
          <w:lang w:val="sr-Cyrl-CS" w:eastAsia="ja-JP"/>
        </w:rPr>
      </w:pPr>
      <w:r w:rsidRPr="00646254">
        <w:rPr>
          <w:rFonts w:eastAsia="MS PGothic" w:cstheme="minorHAnsi"/>
          <w:szCs w:val="20"/>
          <w:lang w:val="sr-Cyrl-CS" w:eastAsia="ja-JP"/>
        </w:rPr>
        <w:t>конзервативно планирање одређених категорија пореских прихода (услед неизвесности у вези тока и ефеката продужене пандемије);</w:t>
      </w:r>
    </w:p>
    <w:p w14:paraId="6677116F" w14:textId="77777777" w:rsidR="001A5BCF" w:rsidRPr="00646254" w:rsidRDefault="001A5BCF" w:rsidP="001A5BCF">
      <w:pPr>
        <w:pStyle w:val="ListParagraph"/>
        <w:keepLines/>
        <w:widowControl w:val="0"/>
        <w:numPr>
          <w:ilvl w:val="0"/>
          <w:numId w:val="50"/>
        </w:numPr>
        <w:spacing w:after="60"/>
        <w:rPr>
          <w:rFonts w:eastAsia="MS PGothic" w:cstheme="minorHAnsi"/>
          <w:szCs w:val="20"/>
          <w:lang w:val="sr-Cyrl-CS" w:eastAsia="ja-JP"/>
        </w:rPr>
      </w:pPr>
      <w:r w:rsidRPr="00646254">
        <w:rPr>
          <w:rFonts w:eastAsia="MS PGothic" w:cstheme="minorHAnsi"/>
          <w:szCs w:val="20"/>
          <w:lang w:val="sr-Cyrl-CS" w:eastAsia="ja-JP"/>
        </w:rPr>
        <w:t xml:space="preserve">наплата пореских прихода током првог квартала 2021. године </w:t>
      </w:r>
    </w:p>
    <w:p w14:paraId="00E4B42F" w14:textId="77777777" w:rsidR="001A5BCF" w:rsidRPr="00646254" w:rsidRDefault="001A5BCF" w:rsidP="001A5BCF">
      <w:pPr>
        <w:pStyle w:val="ListParagraph"/>
        <w:keepLines/>
        <w:widowControl w:val="0"/>
        <w:numPr>
          <w:ilvl w:val="0"/>
          <w:numId w:val="50"/>
        </w:numPr>
        <w:spacing w:after="60"/>
        <w:rPr>
          <w:rFonts w:eastAsia="MS PGothic" w:cstheme="minorHAnsi"/>
          <w:szCs w:val="20"/>
          <w:lang w:val="sr-Cyrl-CS" w:eastAsia="ja-JP"/>
        </w:rPr>
      </w:pPr>
      <w:r w:rsidRPr="00646254">
        <w:rPr>
          <w:rFonts w:eastAsia="MS PGothic" w:cstheme="minorHAnsi"/>
          <w:szCs w:val="20"/>
          <w:lang w:val="sr-Cyrl-CS" w:eastAsia="ja-JP"/>
        </w:rPr>
        <w:t>повољнија кретања на тржишту рада од предвиђених;</w:t>
      </w:r>
    </w:p>
    <w:p w14:paraId="60E10EEB" w14:textId="77777777" w:rsidR="001A5BCF" w:rsidRPr="00646254" w:rsidRDefault="001A5BCF" w:rsidP="001A5BCF">
      <w:pPr>
        <w:pStyle w:val="ListParagraph"/>
        <w:keepLines/>
        <w:widowControl w:val="0"/>
        <w:numPr>
          <w:ilvl w:val="0"/>
          <w:numId w:val="50"/>
        </w:numPr>
        <w:spacing w:after="60"/>
        <w:rPr>
          <w:rFonts w:eastAsia="MS PGothic" w:cstheme="minorHAnsi"/>
          <w:szCs w:val="20"/>
          <w:lang w:val="sr-Cyrl-CS" w:eastAsia="ja-JP"/>
        </w:rPr>
      </w:pPr>
      <w:r w:rsidRPr="00646254">
        <w:rPr>
          <w:rFonts w:eastAsia="MS PGothic" w:cstheme="minorHAnsi"/>
          <w:szCs w:val="20"/>
          <w:lang w:val="sr-Cyrl-CS" w:eastAsia="ja-JP"/>
        </w:rPr>
        <w:t>опоравак спољнотрговинске размене;</w:t>
      </w:r>
    </w:p>
    <w:p w14:paraId="35062EC8" w14:textId="77777777" w:rsidR="001A5BCF" w:rsidRPr="00646254" w:rsidRDefault="001A5BCF" w:rsidP="001A5BCF">
      <w:pPr>
        <w:pStyle w:val="ListParagraph"/>
        <w:keepLines/>
        <w:widowControl w:val="0"/>
        <w:numPr>
          <w:ilvl w:val="0"/>
          <w:numId w:val="50"/>
        </w:numPr>
        <w:spacing w:after="60"/>
        <w:rPr>
          <w:rFonts w:eastAsia="MS PGothic" w:cstheme="minorHAnsi"/>
          <w:szCs w:val="20"/>
          <w:lang w:val="sr-Cyrl-CS" w:eastAsia="ja-JP"/>
        </w:rPr>
      </w:pPr>
      <w:r w:rsidRPr="00646254">
        <w:rPr>
          <w:rFonts w:eastAsia="MS PGothic" w:cstheme="minorHAnsi"/>
          <w:szCs w:val="20"/>
          <w:lang w:val="sr-Cyrl-CS" w:eastAsia="ja-JP"/>
        </w:rPr>
        <w:t>уплата првобитно непланираних непореских прихода и донација;</w:t>
      </w:r>
    </w:p>
    <w:p w14:paraId="5565C771" w14:textId="09EEFEBF" w:rsidR="001A5BCF" w:rsidRPr="00646254" w:rsidRDefault="001A5BCF" w:rsidP="001A5BCF">
      <w:pPr>
        <w:pStyle w:val="ListParagraph"/>
        <w:keepLines/>
        <w:widowControl w:val="0"/>
        <w:numPr>
          <w:ilvl w:val="0"/>
          <w:numId w:val="50"/>
        </w:numPr>
        <w:spacing w:after="120"/>
        <w:rPr>
          <w:rFonts w:eastAsia="MS PGothic" w:cstheme="minorHAnsi"/>
          <w:szCs w:val="20"/>
          <w:lang w:val="sr-Cyrl-CS" w:eastAsia="ja-JP"/>
        </w:rPr>
      </w:pPr>
      <w:r w:rsidRPr="00646254">
        <w:rPr>
          <w:rFonts w:eastAsia="MS PGothic" w:cstheme="minorHAnsi"/>
          <w:szCs w:val="20"/>
          <w:lang w:val="sr-Cyrl-CS" w:eastAsia="ja-JP"/>
        </w:rPr>
        <w:t>позитиван утицај програма економских мера на привредну активност и личну потрошњу.</w:t>
      </w:r>
    </w:p>
    <w:p w14:paraId="3CA11D68" w14:textId="77777777" w:rsidR="001A5BCF" w:rsidRPr="00646254" w:rsidRDefault="001A5BCF" w:rsidP="00E96A1D">
      <w:pPr>
        <w:keepLines/>
        <w:widowControl w:val="0"/>
        <w:spacing w:after="120"/>
        <w:rPr>
          <w:rFonts w:eastAsia="MS PGothic" w:cstheme="minorHAnsi"/>
          <w:szCs w:val="20"/>
          <w:lang w:val="sr-Cyrl-CS" w:eastAsia="ja-JP"/>
        </w:rPr>
      </w:pPr>
      <w:r w:rsidRPr="00646254">
        <w:rPr>
          <w:rFonts w:eastAsia="MS PGothic" w:cstheme="minorHAnsi"/>
          <w:szCs w:val="20"/>
          <w:lang w:val="sr-Cyrl-CS" w:eastAsia="ja-JP"/>
        </w:rPr>
        <w:t>Пројекција прихода од пореза на доходак грађана повећана је за 27,6 млрд динара у односу на оригинални износ. Приликом израде оригиналне пројекције прихода од пореза на зараде, узете су у обзир пројекције кретања просечних зарада и запослености, процене о превременом враћању дела одложених пореза током 2020. године, као и процене ефеката подизања неопорезивог дела зараде у 2021. години. Исте претпоставке се користе и за пројекцију прихода од социјалних доприноса који чине највећи појединачни приход на нивоу опште државе.</w:t>
      </w:r>
    </w:p>
    <w:p w14:paraId="0BF1F314" w14:textId="6BF5896A" w:rsidR="001A5BCF" w:rsidRPr="00646254" w:rsidRDefault="001A5BCF" w:rsidP="00E96A1D">
      <w:pPr>
        <w:keepLines/>
        <w:widowControl w:val="0"/>
        <w:rPr>
          <w:rFonts w:eastAsia="MS PGothic" w:cstheme="minorHAnsi"/>
          <w:szCs w:val="20"/>
          <w:lang w:val="sr-Cyrl-CS" w:eastAsia="ja-JP"/>
        </w:rPr>
      </w:pPr>
      <w:r w:rsidRPr="00646254">
        <w:rPr>
          <w:rFonts w:eastAsia="MS PGothic" w:cstheme="minorHAnsi"/>
          <w:szCs w:val="20"/>
          <w:lang w:val="sr-Cyrl-CS" w:eastAsia="ja-JP"/>
        </w:rPr>
        <w:t>Реализација ових прихода крајем 2020. године била је изнад очекивања, а подаци о запослености и кретању просечних зарад</w:t>
      </w:r>
      <w:r w:rsidR="00DC28C8" w:rsidRPr="00646254">
        <w:rPr>
          <w:rFonts w:eastAsia="MS PGothic" w:cstheme="minorHAnsi"/>
          <w:szCs w:val="20"/>
          <w:lang w:val="sr-Cyrl-CS" w:eastAsia="ja-JP"/>
        </w:rPr>
        <w:t>а указују на одржану стабилност</w:t>
      </w:r>
      <w:r w:rsidRPr="00646254">
        <w:rPr>
          <w:rFonts w:eastAsia="MS PGothic" w:cstheme="minorHAnsi"/>
          <w:szCs w:val="20"/>
          <w:lang w:val="sr-Cyrl-CS" w:eastAsia="ja-JP"/>
        </w:rPr>
        <w:t xml:space="preserve"> на тржишту рада. Такав тренд настављен је и током првог квартала 2021. године. Током другог и трећег квартала текуће године позитивни трендови на тржишту рада су настављени, чиме су се стекли услови за још једну ревизију овог пореског облика навише. Процена о враћању дела одложених пореза и доприноса током 2021. године, незнатно је коригована на основу података о уплатама током године. На сличан начин извршена је ревизија пројекције прихода од социјалних доприноса при чему је она повећана за 70,5 млрд динара.</w:t>
      </w:r>
    </w:p>
    <w:p w14:paraId="5C070701" w14:textId="77777777" w:rsidR="001A5BCF" w:rsidRPr="00646254" w:rsidRDefault="001A5BCF" w:rsidP="00E96A1D">
      <w:pPr>
        <w:widowControl w:val="0"/>
        <w:rPr>
          <w:rFonts w:eastAsia="MS PGothic" w:cstheme="minorHAnsi"/>
          <w:szCs w:val="20"/>
          <w:lang w:val="sr-Cyrl-CS" w:eastAsia="ja-JP"/>
        </w:rPr>
      </w:pPr>
      <w:r w:rsidRPr="00646254">
        <w:rPr>
          <w:rFonts w:eastAsia="MS PGothic" w:cstheme="minorHAnsi"/>
          <w:szCs w:val="20"/>
          <w:lang w:val="sr-Cyrl-CS" w:eastAsia="ja-JP"/>
        </w:rPr>
        <w:t>Остатак пореза на доходак чине остали облици као што су порез на дивиденде, порез на приходе од камата, годишњи порез на доходак, порез на приходе од закупа непокретности и др. Претходним програмом мера, током 2020. године, био је предвиђен мораторијум на исплату дивиденди код компанија које користе подршку државе. Како највећи део профитабилних компанија није користио државну помоћ, дивиденде су исплаћене својим акционарима у редовној динамици. Део компанија који је користио државну помоћ, исплатио је дивиденде по истеку мораторијума, почетком 2021. године. Почетком године је забележен снажан скок уплата пореза на дивиденде, те је ревидирана пројекција прихода по том основа.</w:t>
      </w:r>
    </w:p>
    <w:p w14:paraId="14A488CF" w14:textId="77777777" w:rsidR="001A5BCF" w:rsidRPr="00646254" w:rsidRDefault="001A5BCF" w:rsidP="008265F0">
      <w:pPr>
        <w:keepLines/>
        <w:widowControl w:val="0"/>
        <w:rPr>
          <w:rFonts w:eastAsia="MS PGothic" w:cstheme="minorHAnsi"/>
          <w:szCs w:val="20"/>
          <w:lang w:val="sr-Cyrl-CS" w:eastAsia="ja-JP"/>
        </w:rPr>
      </w:pPr>
      <w:r w:rsidRPr="00646254">
        <w:rPr>
          <w:rFonts w:eastAsia="MS PGothic" w:cstheme="minorHAnsi"/>
          <w:szCs w:val="20"/>
          <w:lang w:val="sr-Cyrl-CS" w:eastAsia="ja-JP"/>
        </w:rPr>
        <w:t xml:space="preserve">Пројекција прихода од пореза на добит повећана је за око 50 млрд динара у односу на оригиналан буџетски план за 2021. годину, иако није модификована приликом априлске ревизије. Основни разлог за корекцију у овом износу је опрезност приликом претходне процене, имајући у виду да подаци о профитабилности у 2020. години у тренутку израде априлске пројекције нису били познати. И поред тога што је у 2020. години забележено успоравање привредне активности, добит привредних друштва забележила је раст, што је додатно повећало износ плаћеног пореза на добит. Као последица тога, веће су и уплате по основу пореза на дивиденде које исплаћују правна лица. </w:t>
      </w:r>
    </w:p>
    <w:p w14:paraId="07211FB4" w14:textId="6125D1EF" w:rsidR="001A5BCF" w:rsidRPr="00646254" w:rsidRDefault="001A5BCF" w:rsidP="00E96A1D">
      <w:pPr>
        <w:keepLines/>
        <w:widowControl w:val="0"/>
        <w:spacing w:after="240"/>
        <w:rPr>
          <w:rFonts w:eastAsia="MS PGothic" w:cstheme="minorHAnsi"/>
          <w:szCs w:val="20"/>
          <w:lang w:val="sr-Cyrl-CS" w:eastAsia="ja-JP"/>
        </w:rPr>
      </w:pPr>
      <w:r w:rsidRPr="00646254">
        <w:rPr>
          <w:rFonts w:eastAsia="MS PGothic" w:cstheme="minorHAnsi"/>
          <w:szCs w:val="20"/>
          <w:lang w:val="sr-Cyrl-CS" w:eastAsia="ja-JP"/>
        </w:rPr>
        <w:t>Порез на додату вредност пројектован је у висини од 654 млрд динара што представља повећање од 53,7 млрд у односу на оригиналну пројекцију. Приликом доношења априлског ребаланса, пројекција ПДВ није мењана. Током првог квартала забележене су умерено боље стопе раста од оче</w:t>
      </w:r>
      <w:r w:rsidR="00076F3A" w:rsidRPr="00646254">
        <w:rPr>
          <w:rFonts w:eastAsia="MS PGothic" w:cstheme="minorHAnsi"/>
          <w:szCs w:val="20"/>
          <w:lang w:val="sr-Cyrl-CS" w:eastAsia="ja-JP"/>
        </w:rPr>
        <w:t>киваних, али неизвесност у вези</w:t>
      </w:r>
      <w:r w:rsidRPr="00646254">
        <w:rPr>
          <w:rFonts w:eastAsia="MS PGothic" w:cstheme="minorHAnsi"/>
          <w:szCs w:val="20"/>
          <w:lang w:val="sr-Cyrl-CS" w:eastAsia="ja-JP"/>
        </w:rPr>
        <w:t xml:space="preserve"> неповољне епидемиолошке ситуације и даље спровођење епидемиолошких мера, захтевали су опрезност приликом ревидирања процене прихода. Током другог и трећег квартала, стопа раста наплате ПДВ је додатно убрзана, чиме су се стекли услови за значајнију ревизиј</w:t>
      </w:r>
      <w:r w:rsidR="00076F3A" w:rsidRPr="00646254">
        <w:rPr>
          <w:rFonts w:eastAsia="MS PGothic" w:cstheme="minorHAnsi"/>
          <w:szCs w:val="20"/>
          <w:lang w:val="sr-Cyrl-CS" w:eastAsia="ja-JP"/>
        </w:rPr>
        <w:t xml:space="preserve">у овог пореског облика навише. </w:t>
      </w:r>
      <w:r w:rsidRPr="00646254">
        <w:rPr>
          <w:rFonts w:eastAsia="MS PGothic" w:cstheme="minorHAnsi"/>
          <w:szCs w:val="20"/>
          <w:lang w:val="sr-Cyrl-CS" w:eastAsia="ja-JP"/>
        </w:rPr>
        <w:t xml:space="preserve">Разлози </w:t>
      </w:r>
      <w:r w:rsidR="00076F3A" w:rsidRPr="00646254">
        <w:rPr>
          <w:rFonts w:eastAsia="MS PGothic" w:cstheme="minorHAnsi"/>
          <w:szCs w:val="20"/>
          <w:lang w:val="sr-Cyrl-CS" w:eastAsia="ja-JP"/>
        </w:rPr>
        <w:t xml:space="preserve">за убрзани расте наплате су </w:t>
      </w:r>
      <w:r w:rsidRPr="00646254">
        <w:rPr>
          <w:rFonts w:eastAsia="MS PGothic" w:cstheme="minorHAnsi"/>
          <w:szCs w:val="20"/>
          <w:lang w:val="sr-Cyrl-CS" w:eastAsia="ja-JP"/>
        </w:rPr>
        <w:t xml:space="preserve">снажнији оправак личне потрошње, ефекти стимулативних мера државе на потрошњу, повољнији биланс у сектору туризма и осталим услужним делатностима чиме је подстакнута потрошња на домаћем тржишту итд. </w:t>
      </w:r>
    </w:p>
    <w:p w14:paraId="1CCA0034" w14:textId="77777777" w:rsidR="001A5BCF" w:rsidRPr="00646254" w:rsidRDefault="001A5BCF" w:rsidP="00E96A1D">
      <w:pPr>
        <w:keepLines/>
        <w:widowControl w:val="0"/>
        <w:rPr>
          <w:rFonts w:eastAsia="MS PGothic" w:cstheme="minorHAnsi"/>
          <w:szCs w:val="20"/>
          <w:lang w:val="sr-Cyrl-CS" w:eastAsia="ja-JP"/>
        </w:rPr>
      </w:pPr>
      <w:r w:rsidRPr="00646254">
        <w:rPr>
          <w:rFonts w:eastAsia="MS PGothic" w:cstheme="minorHAnsi"/>
          <w:szCs w:val="20"/>
          <w:lang w:val="sr-Cyrl-CS" w:eastAsia="ja-JP"/>
        </w:rPr>
        <w:t>Приходи од царина пројектовани су у износу од 59 млрд што представља повећање од 5,9 млрд динара у односу на оригиналну пројекцију. Приходи од царина у највећој мери прате динамику ПДВ из увоза, па је у складу са изменом структуре ПДВ, обима спољнотрговинске размене и кретања наплате царина у првом кварталу, извршена ревизија пројекције овог прихода.</w:t>
      </w:r>
    </w:p>
    <w:p w14:paraId="0C768D21" w14:textId="4EDF6B98" w:rsidR="001A5BCF" w:rsidRPr="00646254" w:rsidRDefault="001A5BCF" w:rsidP="00E96A1D">
      <w:pPr>
        <w:keepLines/>
        <w:widowControl w:val="0"/>
        <w:rPr>
          <w:rFonts w:eastAsia="MS PGothic" w:cstheme="minorHAnsi"/>
          <w:szCs w:val="20"/>
          <w:lang w:val="sr-Cyrl-CS" w:eastAsia="ja-JP"/>
        </w:rPr>
      </w:pPr>
      <w:r w:rsidRPr="00646254">
        <w:rPr>
          <w:rFonts w:eastAsia="MS PGothic" w:cstheme="minorHAnsi"/>
          <w:szCs w:val="20"/>
          <w:lang w:val="sr-Cyrl-CS" w:eastAsia="ja-JP"/>
        </w:rPr>
        <w:t>Приходи од акциза пројектовани су у укупном износу од 329,2 млрд динара што је за 13,4 млрд динара више у односу на оригиналну пројекцију. Акцизе на дуванске прерађевине повећане су за 1,6 млрд динара, акцизе на деривате нафте за 12 млрд динара. Пројекција прихода од осталих акциза није мењана.</w:t>
      </w:r>
      <w:r w:rsidRPr="00646254">
        <w:rPr>
          <w:lang w:val="sr-Cyrl-CS"/>
        </w:rPr>
        <w:t xml:space="preserve"> Наплата </w:t>
      </w:r>
      <w:r w:rsidRPr="00646254">
        <w:rPr>
          <w:rFonts w:eastAsia="MS PGothic" w:cstheme="minorHAnsi"/>
          <w:szCs w:val="20"/>
          <w:lang w:val="sr-Cyrl-CS" w:eastAsia="ja-JP"/>
        </w:rPr>
        <w:t>акциза на дуванске прерађевине, после снажног раста и уплата током најиздашнијих ле</w:t>
      </w:r>
      <w:r w:rsidR="00076F3A" w:rsidRPr="00646254">
        <w:rPr>
          <w:rFonts w:eastAsia="MS PGothic" w:cstheme="minorHAnsi"/>
          <w:szCs w:val="20"/>
          <w:lang w:val="sr-Cyrl-CS" w:eastAsia="ja-JP"/>
        </w:rPr>
        <w:t xml:space="preserve">тњих месеци, стабилизовала се, </w:t>
      </w:r>
      <w:r w:rsidRPr="00646254">
        <w:rPr>
          <w:rFonts w:eastAsia="MS PGothic" w:cstheme="minorHAnsi"/>
          <w:szCs w:val="20"/>
          <w:lang w:val="sr-Cyrl-CS" w:eastAsia="ja-JP"/>
        </w:rPr>
        <w:t>што је довело до мање корекције процене овог прихода, али уз присутан позитиван р</w:t>
      </w:r>
      <w:r w:rsidR="00076F3A" w:rsidRPr="00646254">
        <w:rPr>
          <w:rFonts w:eastAsia="MS PGothic" w:cstheme="minorHAnsi"/>
          <w:szCs w:val="20"/>
          <w:lang w:val="sr-Cyrl-CS" w:eastAsia="ja-JP"/>
        </w:rPr>
        <w:t xml:space="preserve">изик да реализација буде већа. </w:t>
      </w:r>
      <w:r w:rsidRPr="00646254">
        <w:rPr>
          <w:rFonts w:eastAsia="MS PGothic" w:cstheme="minorHAnsi"/>
          <w:szCs w:val="20"/>
          <w:lang w:val="sr-Cyrl-CS" w:eastAsia="ja-JP"/>
        </w:rPr>
        <w:t>За буџетску пројекцију прихода од акциза на деривате нафте, као референтна основа узета је 2019. година код које, за разлику од 2020. године, постоји уобичајена месечна динамика. Током првог квартала забележен је солидан раст овог прихода, уз додатно убрзање током другог и трећег квартала. И поред раста цена нафте и деривата на домаћем тржишту, бележи се раст потрошње. Ниво транзитног саобраћаја се значајно опоравио, домаћи потрошачи више користе сопствени превоз (делом и услед навика стечених током пандемије), а забележен је и мањи одлазак домаћих туриста у иностранство чиме се увећал</w:t>
      </w:r>
      <w:r w:rsidR="00076F3A" w:rsidRPr="00646254">
        <w:rPr>
          <w:rFonts w:eastAsia="MS PGothic" w:cstheme="minorHAnsi"/>
          <w:szCs w:val="20"/>
          <w:lang w:val="sr-Cyrl-CS" w:eastAsia="ja-JP"/>
        </w:rPr>
        <w:t xml:space="preserve">а потрошња на домаћем тржишту. </w:t>
      </w:r>
      <w:r w:rsidRPr="00646254">
        <w:rPr>
          <w:rFonts w:eastAsia="MS PGothic" w:cstheme="minorHAnsi"/>
          <w:szCs w:val="20"/>
          <w:lang w:val="sr-Cyrl-CS" w:eastAsia="ja-JP"/>
        </w:rPr>
        <w:t>Такође, реална је и претпоставка да се јавни саобраћај, где постоји рефакција дела акциза, одвија у нешто мањем обиму. Код осталих акциза, очекује се нешто слабија потрошња алкохолних производа и наплата акциза по том основу. Овај пад неутралисан је очекиваном већом наплатом акцизе на електричну енергију.</w:t>
      </w:r>
    </w:p>
    <w:p w14:paraId="3B10F458" w14:textId="25BA28A4" w:rsidR="001A5BCF" w:rsidRPr="00646254" w:rsidRDefault="001A5BCF" w:rsidP="001A5BCF">
      <w:pPr>
        <w:widowControl w:val="0"/>
        <w:rPr>
          <w:rFonts w:eastAsia="MS PGothic" w:cstheme="minorHAnsi"/>
          <w:szCs w:val="20"/>
          <w:lang w:val="sr-Cyrl-CS" w:eastAsia="ja-JP"/>
        </w:rPr>
      </w:pPr>
      <w:r w:rsidRPr="00646254">
        <w:rPr>
          <w:rFonts w:eastAsia="MS PGothic" w:cstheme="minorHAnsi"/>
          <w:szCs w:val="20"/>
          <w:lang w:val="sr-Cyrl-CS" w:eastAsia="ja-JP"/>
        </w:rPr>
        <w:t>Непорески приходи су повећани у односу на износ предвиђен оригинални</w:t>
      </w:r>
      <w:r w:rsidR="00076F3A" w:rsidRPr="00646254">
        <w:rPr>
          <w:rFonts w:eastAsia="MS PGothic" w:cstheme="minorHAnsi"/>
          <w:szCs w:val="20"/>
          <w:lang w:val="sr-Cyrl-CS" w:eastAsia="ja-JP"/>
        </w:rPr>
        <w:t xml:space="preserve">м буџетом за 28,2 млрд динара. </w:t>
      </w:r>
      <w:r w:rsidRPr="00646254">
        <w:rPr>
          <w:rFonts w:eastAsia="MS PGothic" w:cstheme="minorHAnsi"/>
          <w:szCs w:val="20"/>
          <w:lang w:val="sr-Cyrl-CS" w:eastAsia="ja-JP"/>
        </w:rPr>
        <w:t>Редовни непорески приходи су различите таксе, накнаде, казне, приходи органа и организација и сви остали приходи који се остварују устаљеном динамиком током године, у приближно сличним износима на месечном нивоу уз одређене сезонске варијације. Редовни непорески приходи, током претходне године били су значајно погођени економском и епидемиолошком ситуацијом у земљи. Приходи од путарина су се скоро у потпуности опоравили, а то се може рећи и за остале категорије редовних непореских прихода. Тиме су се створили услови за значајнију корекцију процене ових прихода навише. Ванредне непореске приходе чине уплате добити јавних предузећа и агенција, дивиденде буџета, приходи по основу наплаћених потраживања Агенције за осигурање депозита, емисионе премије, итд. Ванредни непорески приходи кориговани су навише због реализоване уплате прихода који нису били укључени у буџетски план (емисиона премија и дивиденде буџета).</w:t>
      </w:r>
    </w:p>
    <w:p w14:paraId="147AA724" w14:textId="77777777" w:rsidR="001A5BCF" w:rsidRPr="00646254" w:rsidRDefault="001A5BCF" w:rsidP="00492053">
      <w:pPr>
        <w:keepLines/>
        <w:widowControl w:val="0"/>
        <w:jc w:val="center"/>
        <w:rPr>
          <w:rFonts w:cstheme="minorHAnsi"/>
          <w:b/>
          <w:color w:val="002060"/>
          <w:lang w:val="sr-Cyrl-CS"/>
        </w:rPr>
      </w:pPr>
      <w:r w:rsidRPr="00646254">
        <w:rPr>
          <w:rFonts w:cstheme="minorHAnsi"/>
          <w:b/>
          <w:color w:val="002060"/>
          <w:lang w:val="sr-Cyrl-CS"/>
        </w:rPr>
        <w:t>Допринос појединачних фактора корекцији фискалног резултата у односу на план за 2022. годину, % БДП</w:t>
      </w:r>
    </w:p>
    <w:p w14:paraId="406ADB62" w14:textId="77777777" w:rsidR="001A5BCF" w:rsidRPr="00646254" w:rsidRDefault="001A5BCF" w:rsidP="008265F0">
      <w:pPr>
        <w:keepLines/>
        <w:widowControl w:val="0"/>
        <w:rPr>
          <w:rFonts w:eastAsia="MS PGothic" w:cstheme="minorHAnsi"/>
          <w:szCs w:val="20"/>
          <w:lang w:val="sr-Cyrl-CS" w:eastAsia="ja-JP"/>
        </w:rPr>
      </w:pPr>
      <w:r w:rsidRPr="00646254">
        <w:rPr>
          <w:rFonts w:eastAsia="MS PGothic" w:cstheme="minorHAnsi"/>
          <w:noProof/>
          <w:szCs w:val="20"/>
        </w:rPr>
        <w:drawing>
          <wp:inline distT="0" distB="0" distL="0" distR="0" wp14:anchorId="51B23224" wp14:editId="3C3A7BBA">
            <wp:extent cx="2858770" cy="2779414"/>
            <wp:effectExtent l="0" t="0" r="0" b="1905"/>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874949" cy="2795144"/>
                    </a:xfrm>
                    <a:prstGeom prst="rect">
                      <a:avLst/>
                    </a:prstGeom>
                    <a:noFill/>
                  </pic:spPr>
                </pic:pic>
              </a:graphicData>
            </a:graphic>
          </wp:inline>
        </w:drawing>
      </w:r>
    </w:p>
    <w:p w14:paraId="5E6F0721" w14:textId="77777777" w:rsidR="001A5BCF" w:rsidRPr="00646254" w:rsidRDefault="001A5BCF" w:rsidP="00451ACB">
      <w:pPr>
        <w:rPr>
          <w:rFonts w:eastAsia="MS PGothic" w:cstheme="minorHAnsi"/>
          <w:szCs w:val="20"/>
          <w:lang w:val="sr-Cyrl-CS" w:eastAsia="ja-JP"/>
        </w:rPr>
      </w:pPr>
      <w:r w:rsidRPr="00646254">
        <w:rPr>
          <w:rFonts w:eastAsia="MS PGothic" w:cstheme="minorHAnsi"/>
          <w:szCs w:val="20"/>
          <w:lang w:val="sr-Cyrl-CS" w:eastAsia="ja-JP"/>
        </w:rPr>
        <w:t>Процена расхода опште државе повећана је за 380,1 млрд динара у односу на оригинални буџет. Највећи део овог повећања се односи на спровођење пакета за подршку привреди и становништву. Остатак чине расходи везани за директну борбу против пандемије, побољшање здравствених капацитета земље као и значајно увећање капиталних расхода. У периоду јануар–август, јавни расходи расту по стопи 1,8% у односу на исти период 2020. године, а до краја године очекује се да ће укупан раст расхода убрзати услед спровођења програма мера у остатку године као и реализације капиталних расхода.</w:t>
      </w:r>
    </w:p>
    <w:p w14:paraId="64717698" w14:textId="77777777" w:rsidR="001A5BCF" w:rsidRPr="00646254" w:rsidRDefault="001A5BCF" w:rsidP="00451ACB">
      <w:pPr>
        <w:rPr>
          <w:rFonts w:eastAsia="MS PGothic" w:cstheme="minorHAnsi"/>
          <w:szCs w:val="20"/>
          <w:lang w:val="sr-Cyrl-CS" w:eastAsia="ja-JP"/>
        </w:rPr>
      </w:pPr>
      <w:r w:rsidRPr="00646254">
        <w:rPr>
          <w:rFonts w:eastAsia="MS PGothic" w:cstheme="minorHAnsi"/>
          <w:szCs w:val="20"/>
          <w:lang w:val="sr-Cyrl-CS" w:eastAsia="ja-JP"/>
        </w:rPr>
        <w:t>Расходи за запослене повећани су за 26,1 млрд динара у односу на оригинално планиране. Највећи део се односи на повећање броја ангажованих људи у здравственом систему, повећаног ангажмана и броја радних сати у осталим секторима који су учествовали у контроли епидемиолошке ситуације. Један део увећања је последица нешто већег извршења на крају 2020. године.</w:t>
      </w:r>
    </w:p>
    <w:p w14:paraId="6FDF9DDA" w14:textId="66077EC5" w:rsidR="001A5BCF" w:rsidRPr="00646254" w:rsidRDefault="001A5BCF" w:rsidP="00451ACB">
      <w:pPr>
        <w:rPr>
          <w:rFonts w:eastAsia="MS PGothic" w:cstheme="minorHAnsi"/>
          <w:szCs w:val="20"/>
          <w:lang w:val="sr-Cyrl-CS" w:eastAsia="ja-JP"/>
        </w:rPr>
      </w:pPr>
      <w:r w:rsidRPr="00646254">
        <w:rPr>
          <w:rFonts w:eastAsia="MS PGothic" w:cstheme="minorHAnsi"/>
          <w:szCs w:val="20"/>
          <w:lang w:val="sr-Cyrl-CS" w:eastAsia="ja-JP"/>
        </w:rPr>
        <w:t>Расходи за робе и услуге су повећани за 36,9 млрд динара. Нај</w:t>
      </w:r>
      <w:r w:rsidR="00076F3A" w:rsidRPr="00646254">
        <w:rPr>
          <w:rFonts w:eastAsia="MS PGothic" w:cstheme="minorHAnsi"/>
          <w:szCs w:val="20"/>
          <w:lang w:val="sr-Cyrl-CS" w:eastAsia="ja-JP"/>
        </w:rPr>
        <w:t xml:space="preserve">већи део повећања се односи на </w:t>
      </w:r>
      <w:r w:rsidRPr="00646254">
        <w:rPr>
          <w:rFonts w:eastAsia="MS PGothic" w:cstheme="minorHAnsi"/>
          <w:szCs w:val="20"/>
          <w:lang w:val="sr-Cyrl-CS" w:eastAsia="ja-JP"/>
        </w:rPr>
        <w:t>набавку вакцина, других медикамената, медицинске опреме и средстава од стране РФЗО. Други део повећања се односи на текуће одржавање путева код ЈП „Путеви Србије”. И код осталих нивоа власти се бележи увећања ових расхода, посебно на нивоу локалне самоуправе.</w:t>
      </w:r>
    </w:p>
    <w:p w14:paraId="70B79EF7" w14:textId="77777777" w:rsidR="001A5BCF" w:rsidRPr="00646254" w:rsidRDefault="001A5BCF" w:rsidP="00451ACB">
      <w:pPr>
        <w:rPr>
          <w:rFonts w:eastAsia="MS PGothic" w:cstheme="minorHAnsi"/>
          <w:szCs w:val="20"/>
          <w:lang w:val="sr-Cyrl-CS" w:eastAsia="ja-JP"/>
        </w:rPr>
      </w:pPr>
      <w:r w:rsidRPr="00646254">
        <w:rPr>
          <w:rFonts w:eastAsia="MS PGothic" w:cstheme="minorHAnsi"/>
          <w:szCs w:val="20"/>
          <w:lang w:val="sr-Cyrl-CS" w:eastAsia="ja-JP"/>
        </w:rPr>
        <w:t>Субвенције су значајно повећане у односу на оригинални план за 82,7 млрд динара. Највећи део односи се на исплату директне помоћи привредним друштвима и предузетницима за превазилажење кризе изазване пандемијом. За ове намене у 2021. години предвиђено је преко 66,3 млрд динара. Један део повећања расхода за субвенције чини повећано субвенционисање у пољопривреди (око 7 млрд динара), и железничком саобраћају.</w:t>
      </w:r>
    </w:p>
    <w:p w14:paraId="4F5A63CA" w14:textId="77777777" w:rsidR="001A5BCF" w:rsidRPr="00646254" w:rsidRDefault="001A5BCF" w:rsidP="00451ACB">
      <w:pPr>
        <w:rPr>
          <w:rFonts w:eastAsia="MS PGothic" w:cstheme="minorHAnsi"/>
          <w:szCs w:val="20"/>
          <w:lang w:val="sr-Cyrl-CS" w:eastAsia="ja-JP"/>
        </w:rPr>
      </w:pPr>
      <w:r w:rsidRPr="00646254">
        <w:rPr>
          <w:rFonts w:eastAsia="MS PGothic" w:cstheme="minorHAnsi"/>
          <w:szCs w:val="20"/>
          <w:lang w:val="sr-Cyrl-CS" w:eastAsia="ja-JP"/>
        </w:rPr>
        <w:t>Расходи за социјалну заштиту већи су за 10 млрд динара у односу на оригинални план. У оквиру ове категорије расхода, извршиће се исплата дела помоћи становништву у оквиру трећег пакета мера. Конкретно, НСЗ и ПИО фонд исплатиће по 60 и 50 евра у динарској противвредности, респективно, својим корисницима. Ово представља вид додатне помоћи угроженијим категоријама становништва, поред оне коју добијају сви пунолетни грађани. Расходи за пензије снижени су у односу на оригинални план за 9 млрд динара. Пензије у 2021. години индексиране су према „швајцарској формули”, чији параметри су били познати у току планирања ове категорије расхода, али је изостао предвиђен прираст броја пензионера. Учешће расхода за пензије у БДП износиће 9,9% у 2021. години.</w:t>
      </w:r>
    </w:p>
    <w:p w14:paraId="59B3122D" w14:textId="0FA2E5F7" w:rsidR="001A5BCF" w:rsidRPr="00646254" w:rsidRDefault="001A5BCF" w:rsidP="00451ACB">
      <w:pPr>
        <w:rPr>
          <w:rFonts w:eastAsia="MS PGothic" w:cstheme="minorHAnsi"/>
          <w:szCs w:val="20"/>
          <w:lang w:val="sr-Cyrl-CS" w:eastAsia="ja-JP"/>
        </w:rPr>
      </w:pPr>
      <w:r w:rsidRPr="00646254">
        <w:rPr>
          <w:rFonts w:eastAsia="MS PGothic" w:cstheme="minorHAnsi"/>
          <w:szCs w:val="20"/>
          <w:lang w:val="sr-Cyrl-CS" w:eastAsia="ja-JP"/>
        </w:rPr>
        <w:t xml:space="preserve">Остали текући расходи повећани су за 80,1 млрд динара у односу на оригинални план, првенствено због исплате директне новчане помоћи становништву (80 евра свим пунолетним грађанима у динарској противвредности прерачунато по званичном средњем курсу НБС) у укупном износу од 58,8 млрд динара. Остатак повећања се односи набавку дела вакцина за имунизацију становништва против </w:t>
      </w:r>
      <w:r w:rsidR="00F26771" w:rsidRPr="00646254">
        <w:rPr>
          <w:rFonts w:eastAsia="MS PGothic" w:cstheme="minorHAnsi"/>
          <w:szCs w:val="20"/>
          <w:lang w:val="sr-Cyrl-CS" w:eastAsia="ja-JP"/>
        </w:rPr>
        <w:t>COVID-19</w:t>
      </w:r>
      <w:r w:rsidRPr="00646254">
        <w:rPr>
          <w:rFonts w:eastAsia="MS PGothic" w:cstheme="minorHAnsi"/>
          <w:szCs w:val="20"/>
          <w:lang w:val="sr-Cyrl-CS" w:eastAsia="ja-JP"/>
        </w:rPr>
        <w:t xml:space="preserve">, која се не реализује преко РФЗО, као и бонуса вакцинисаним грађанима. </w:t>
      </w:r>
    </w:p>
    <w:p w14:paraId="45CD215D" w14:textId="77777777" w:rsidR="001A5BCF" w:rsidRPr="00646254" w:rsidRDefault="001A5BCF" w:rsidP="00451ACB">
      <w:pPr>
        <w:rPr>
          <w:rFonts w:eastAsia="MS PGothic" w:cstheme="minorHAnsi"/>
          <w:szCs w:val="20"/>
          <w:lang w:val="sr-Cyrl-CS" w:eastAsia="ja-JP"/>
        </w:rPr>
      </w:pPr>
      <w:r w:rsidRPr="00646254">
        <w:rPr>
          <w:rFonts w:eastAsia="MS PGothic" w:cstheme="minorHAnsi"/>
          <w:szCs w:val="20"/>
          <w:lang w:val="sr-Cyrl-CS" w:eastAsia="ja-JP"/>
        </w:rPr>
        <w:t>Процењује се да ће реализација јавних инвестиција бити већа за 148,8 млрд динара од првобитног плана. Извршење капиталних расхода у периоду јануар–август 2021. године у односу на исти период претходне године веће је за 40,1%. Капитални расходи достижу, за сада рекордан, ниво од 7,8% БДП у 2021. години. Планирани су већи издаци и за нове и за постојеће инфраструктурне пројекте, пре свега у путну, железничку и комуналну инфраструктуру. Већа инвестициона улагања ће деловати на убрзање привредног раста у 2021. години и у средњорочном периоду. Планирана су већа улагања у нове здравствене капацитете и опрему која има дужи век експлоатације. Један део увећаних издатака се односи на даљу епидемиолошку заштиту становништва од COVID-19, а други на побољшање система здравствене заштите у будућности. У ранијим кризним периодима најчешће је долазило до смањења капиталних расхода, међутим то сада није био случај, што представља позитивну промену у управљању јавним финансијама. Остатак повећања капиталних расхода представља улагање у обнављање и модернизацију војне опреме.</w:t>
      </w:r>
    </w:p>
    <w:p w14:paraId="6985BE88" w14:textId="77777777" w:rsidR="001A5BCF" w:rsidRPr="00646254" w:rsidRDefault="001A5BCF" w:rsidP="00451ACB">
      <w:pPr>
        <w:rPr>
          <w:rFonts w:eastAsia="MS PGothic" w:cstheme="minorHAnsi"/>
          <w:szCs w:val="20"/>
          <w:lang w:val="sr-Cyrl-CS" w:eastAsia="ja-JP"/>
        </w:rPr>
      </w:pPr>
      <w:r w:rsidRPr="00646254">
        <w:rPr>
          <w:rFonts w:eastAsia="MS PGothic" w:cstheme="minorHAnsi"/>
          <w:szCs w:val="20"/>
          <w:lang w:val="sr-Cyrl-CS" w:eastAsia="ja-JP"/>
        </w:rPr>
        <w:t>Процењен фискални дефицит од 4,9% БДП не одступа од просека фискалних резултата који се очекују у земљама региона и ЕУ. Такав резултат је директна последица спровођења пакета мера помоћи, као и напора да се започети економски опоравак одржи и убрза у наредном периоду. Структурном анализом фискалног резултата идентификовано је да се око 4,2% БДП односи на једнократне и привремене мере, чиме је утврђено да одрживост фискалне позиције земље није нарушена.</w:t>
      </w:r>
    </w:p>
    <w:p w14:paraId="4AEB47C4" w14:textId="77777777" w:rsidR="001A5BCF" w:rsidRPr="00646254" w:rsidRDefault="001A5BCF" w:rsidP="00451ACB">
      <w:pPr>
        <w:rPr>
          <w:rFonts w:eastAsia="MS PGothic" w:cstheme="minorHAnsi"/>
          <w:spacing w:val="-4"/>
          <w:szCs w:val="20"/>
          <w:lang w:val="sr-Cyrl-CS" w:eastAsia="ja-JP"/>
        </w:rPr>
        <w:sectPr w:rsidR="001A5BCF" w:rsidRPr="00646254" w:rsidSect="00AE40EB">
          <w:type w:val="continuous"/>
          <w:pgSz w:w="12240" w:h="15840" w:code="1"/>
          <w:pgMar w:top="1440" w:right="1440" w:bottom="1440" w:left="1440" w:header="720" w:footer="720" w:gutter="0"/>
          <w:cols w:num="2" w:space="720"/>
          <w:docGrid w:linePitch="360"/>
        </w:sectPr>
      </w:pPr>
    </w:p>
    <w:p w14:paraId="337BD348" w14:textId="77777777" w:rsidR="001A5BCF" w:rsidRPr="00646254" w:rsidRDefault="001A5BCF">
      <w:pPr>
        <w:jc w:val="left"/>
        <w:rPr>
          <w:rFonts w:eastAsia="MS PGothic" w:cstheme="minorHAnsi"/>
          <w:b/>
          <w:color w:val="002060"/>
          <w:szCs w:val="20"/>
          <w:lang w:val="sr-Cyrl-CS" w:eastAsia="ja-JP"/>
        </w:rPr>
      </w:pPr>
      <w:r w:rsidRPr="00646254">
        <w:rPr>
          <w:rFonts w:eastAsia="MS PGothic" w:cstheme="minorHAnsi"/>
          <w:b/>
          <w:color w:val="002060"/>
          <w:szCs w:val="20"/>
          <w:lang w:val="sr-Cyrl-CS" w:eastAsia="ja-JP"/>
        </w:rPr>
        <w:br w:type="page"/>
      </w:r>
    </w:p>
    <w:p w14:paraId="3F2CF44F" w14:textId="1FDAB088" w:rsidR="001A5BCF" w:rsidRPr="00646254" w:rsidRDefault="001A5BCF" w:rsidP="00E96A1D">
      <w:pPr>
        <w:jc w:val="center"/>
        <w:rPr>
          <w:rFonts w:eastAsia="MS PGothic" w:cstheme="minorHAnsi"/>
          <w:b/>
          <w:szCs w:val="20"/>
          <w:lang w:val="sr-Cyrl-CS" w:eastAsia="ja-JP"/>
        </w:rPr>
      </w:pPr>
      <w:r w:rsidRPr="00646254">
        <w:rPr>
          <w:rFonts w:eastAsia="MS PGothic" w:cstheme="minorHAnsi"/>
          <w:b/>
          <w:color w:val="002060"/>
          <w:szCs w:val="20"/>
          <w:lang w:val="sr-Cyrl-CS" w:eastAsia="ja-JP"/>
        </w:rPr>
        <w:t>Табела 8. Приходи, расходи и резултат сектора државе, јануар–август, у млрд динара</w:t>
      </w:r>
    </w:p>
    <w:tbl>
      <w:tblPr>
        <w:tblW w:w="5014" w:type="pct"/>
        <w:jc w:val="right"/>
        <w:tblLook w:val="04A0" w:firstRow="1" w:lastRow="0" w:firstColumn="1" w:lastColumn="0" w:noHBand="0" w:noVBand="1"/>
      </w:tblPr>
      <w:tblGrid>
        <w:gridCol w:w="3481"/>
        <w:gridCol w:w="1477"/>
        <w:gridCol w:w="1477"/>
        <w:gridCol w:w="1477"/>
        <w:gridCol w:w="1474"/>
      </w:tblGrid>
      <w:tr w:rsidR="00262F10" w:rsidRPr="00646254" w14:paraId="2DBF90D1" w14:textId="77777777" w:rsidTr="00E96A1D">
        <w:trPr>
          <w:trHeight w:val="39"/>
          <w:tblHeader/>
          <w:jc w:val="right"/>
        </w:trPr>
        <w:tc>
          <w:tcPr>
            <w:tcW w:w="1854" w:type="pct"/>
            <w:tcBorders>
              <w:top w:val="single" w:sz="4" w:space="0" w:color="002060"/>
            </w:tcBorders>
            <w:shd w:val="clear" w:color="auto" w:fill="auto"/>
            <w:noWrap/>
            <w:vAlign w:val="center"/>
            <w:hideMark/>
          </w:tcPr>
          <w:p w14:paraId="3AA546D4" w14:textId="77777777" w:rsidR="001A5BCF" w:rsidRPr="00646254" w:rsidRDefault="001A5BCF" w:rsidP="008265F0">
            <w:pPr>
              <w:spacing w:after="0" w:line="240" w:lineRule="auto"/>
              <w:rPr>
                <w:rFonts w:cstheme="minorHAnsi"/>
                <w:color w:val="002060"/>
                <w:sz w:val="16"/>
                <w:szCs w:val="16"/>
                <w:lang w:val="sr-Cyrl-CS"/>
              </w:rPr>
            </w:pPr>
            <w:r w:rsidRPr="00646254">
              <w:rPr>
                <w:rFonts w:eastAsia="MS PGothic" w:cstheme="minorHAnsi"/>
                <w:color w:val="002060"/>
                <w:sz w:val="16"/>
                <w:szCs w:val="16"/>
                <w:lang w:val="sr-Cyrl-CS" w:eastAsia="ja-JP"/>
              </w:rPr>
              <w:tab/>
            </w:r>
          </w:p>
        </w:tc>
        <w:tc>
          <w:tcPr>
            <w:tcW w:w="787" w:type="pct"/>
            <w:tcBorders>
              <w:top w:val="single" w:sz="4" w:space="0" w:color="002060"/>
              <w:bottom w:val="single" w:sz="4" w:space="0" w:color="002060"/>
            </w:tcBorders>
            <w:shd w:val="clear" w:color="auto" w:fill="auto"/>
            <w:vAlign w:val="center"/>
            <w:hideMark/>
          </w:tcPr>
          <w:p w14:paraId="719AFB78" w14:textId="77777777" w:rsidR="001A5BCF" w:rsidRPr="00646254" w:rsidRDefault="001A5BCF" w:rsidP="00E96A1D">
            <w:pPr>
              <w:spacing w:after="0" w:line="240" w:lineRule="auto"/>
              <w:jc w:val="center"/>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I–VIII 2020</w:t>
            </w:r>
          </w:p>
        </w:tc>
        <w:tc>
          <w:tcPr>
            <w:tcW w:w="787" w:type="pct"/>
            <w:tcBorders>
              <w:top w:val="single" w:sz="4" w:space="0" w:color="002060"/>
              <w:bottom w:val="single" w:sz="4" w:space="0" w:color="002060"/>
            </w:tcBorders>
            <w:shd w:val="clear" w:color="auto" w:fill="auto"/>
            <w:vAlign w:val="center"/>
            <w:hideMark/>
          </w:tcPr>
          <w:p w14:paraId="61AE1D3B" w14:textId="173AA973" w:rsidR="001A5BCF" w:rsidRPr="00646254" w:rsidRDefault="001A5BCF" w:rsidP="00E96A1D">
            <w:pPr>
              <w:spacing w:after="0" w:line="240" w:lineRule="auto"/>
              <w:jc w:val="center"/>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I–VII</w:t>
            </w:r>
            <w:r w:rsidR="009C6672" w:rsidRPr="00646254">
              <w:rPr>
                <w:rFonts w:eastAsia="MS PGothic" w:cstheme="minorHAnsi"/>
                <w:color w:val="002060"/>
                <w:sz w:val="18"/>
                <w:szCs w:val="18"/>
                <w:lang w:val="sr-Cyrl-CS" w:eastAsia="ja-JP"/>
              </w:rPr>
              <w:t>I</w:t>
            </w:r>
            <w:r w:rsidRPr="00646254">
              <w:rPr>
                <w:rFonts w:eastAsia="MS PGothic" w:cstheme="minorHAnsi"/>
                <w:color w:val="002060"/>
                <w:sz w:val="18"/>
                <w:szCs w:val="18"/>
                <w:lang w:val="sr-Cyrl-CS" w:eastAsia="ja-JP"/>
              </w:rPr>
              <w:t xml:space="preserve"> 2021</w:t>
            </w:r>
          </w:p>
        </w:tc>
        <w:tc>
          <w:tcPr>
            <w:tcW w:w="787" w:type="pct"/>
            <w:tcBorders>
              <w:top w:val="single" w:sz="4" w:space="0" w:color="002060"/>
              <w:bottom w:val="single" w:sz="4" w:space="0" w:color="002060"/>
            </w:tcBorders>
            <w:vAlign w:val="center"/>
          </w:tcPr>
          <w:p w14:paraId="6FA45D56" w14:textId="77777777" w:rsidR="001A5BCF" w:rsidRPr="00646254" w:rsidRDefault="001A5BCF" w:rsidP="00E96A1D">
            <w:pPr>
              <w:spacing w:after="0" w:line="240" w:lineRule="auto"/>
              <w:jc w:val="center"/>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I–VIII стопа раста у %</w:t>
            </w:r>
          </w:p>
        </w:tc>
        <w:tc>
          <w:tcPr>
            <w:tcW w:w="785" w:type="pct"/>
            <w:tcBorders>
              <w:top w:val="single" w:sz="4" w:space="0" w:color="002060"/>
              <w:bottom w:val="single" w:sz="4" w:space="0" w:color="002060"/>
            </w:tcBorders>
            <w:shd w:val="clear" w:color="auto" w:fill="auto"/>
            <w:vAlign w:val="center"/>
            <w:hideMark/>
          </w:tcPr>
          <w:p w14:paraId="0F9DA495" w14:textId="77777777" w:rsidR="001A5BCF" w:rsidRPr="00646254" w:rsidRDefault="001A5BCF" w:rsidP="008265F0">
            <w:pPr>
              <w:spacing w:after="0" w:line="240" w:lineRule="auto"/>
              <w:jc w:val="center"/>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2021/2020 стопа раста у %</w:t>
            </w:r>
          </w:p>
        </w:tc>
      </w:tr>
      <w:tr w:rsidR="00262F10" w:rsidRPr="00646254" w14:paraId="71D21423" w14:textId="77777777" w:rsidTr="00E96A1D">
        <w:trPr>
          <w:trHeight w:val="39"/>
          <w:tblHeader/>
          <w:jc w:val="right"/>
        </w:trPr>
        <w:tc>
          <w:tcPr>
            <w:tcW w:w="1854" w:type="pct"/>
            <w:shd w:val="clear" w:color="auto" w:fill="E7E6E6" w:themeFill="background2"/>
            <w:noWrap/>
            <w:vAlign w:val="center"/>
            <w:hideMark/>
          </w:tcPr>
          <w:p w14:paraId="29236D9B" w14:textId="77777777" w:rsidR="001A5BCF" w:rsidRPr="00646254" w:rsidRDefault="001A5BCF" w:rsidP="00E96A1D">
            <w:pPr>
              <w:spacing w:after="0" w:line="240" w:lineRule="auto"/>
              <w:jc w:val="left"/>
              <w:rPr>
                <w:rFonts w:cstheme="minorHAnsi"/>
                <w:color w:val="002060"/>
                <w:sz w:val="18"/>
                <w:szCs w:val="18"/>
                <w:lang w:val="sr-Cyrl-CS"/>
              </w:rPr>
            </w:pPr>
            <w:r w:rsidRPr="00646254">
              <w:rPr>
                <w:rFonts w:eastAsia="MS PGothic" w:cstheme="minorHAnsi"/>
                <w:color w:val="002060"/>
                <w:sz w:val="18"/>
                <w:szCs w:val="18"/>
                <w:lang w:val="sr-Cyrl-CS" w:eastAsia="ja-JP"/>
              </w:rPr>
              <w:t>ЈАВНИ ПРИХОДИ</w:t>
            </w:r>
          </w:p>
        </w:tc>
        <w:tc>
          <w:tcPr>
            <w:tcW w:w="787" w:type="pct"/>
            <w:tcBorders>
              <w:top w:val="single" w:sz="4" w:space="0" w:color="002060"/>
            </w:tcBorders>
            <w:shd w:val="clear" w:color="auto" w:fill="E7E6E6" w:themeFill="background2"/>
            <w:hideMark/>
          </w:tcPr>
          <w:p w14:paraId="4F309851" w14:textId="77777777" w:rsidR="001A5BCF" w:rsidRPr="00646254" w:rsidRDefault="001A5BCF" w:rsidP="00E96A1D">
            <w:pPr>
              <w:spacing w:after="0" w:line="240" w:lineRule="auto"/>
              <w:ind w:right="340"/>
              <w:jc w:val="right"/>
              <w:rPr>
                <w:rFonts w:cstheme="minorHAnsi"/>
                <w:color w:val="002060"/>
                <w:sz w:val="18"/>
                <w:szCs w:val="18"/>
                <w:lang w:val="sr-Cyrl-CS"/>
              </w:rPr>
            </w:pPr>
            <w:r w:rsidRPr="00646254">
              <w:rPr>
                <w:color w:val="002060"/>
                <w:sz w:val="18"/>
                <w:szCs w:val="18"/>
                <w:lang w:val="sr-Cyrl-CS"/>
              </w:rPr>
              <w:t>1.413,6</w:t>
            </w:r>
          </w:p>
        </w:tc>
        <w:tc>
          <w:tcPr>
            <w:tcW w:w="787" w:type="pct"/>
            <w:tcBorders>
              <w:top w:val="single" w:sz="4" w:space="0" w:color="002060"/>
            </w:tcBorders>
            <w:shd w:val="clear" w:color="auto" w:fill="E7E6E6" w:themeFill="background2"/>
            <w:hideMark/>
          </w:tcPr>
          <w:p w14:paraId="1650406F" w14:textId="77777777" w:rsidR="001A5BCF" w:rsidRPr="00646254" w:rsidRDefault="001A5BCF" w:rsidP="00E96A1D">
            <w:pPr>
              <w:spacing w:after="0" w:line="240" w:lineRule="auto"/>
              <w:ind w:right="340"/>
              <w:jc w:val="right"/>
              <w:rPr>
                <w:rFonts w:cstheme="minorHAnsi"/>
                <w:color w:val="002060"/>
                <w:sz w:val="18"/>
                <w:szCs w:val="18"/>
                <w:lang w:val="sr-Cyrl-CS"/>
              </w:rPr>
            </w:pPr>
            <w:r w:rsidRPr="00646254">
              <w:rPr>
                <w:color w:val="002060"/>
                <w:sz w:val="18"/>
                <w:szCs w:val="18"/>
                <w:lang w:val="sr-Cyrl-CS"/>
              </w:rPr>
              <w:t>1.755,3</w:t>
            </w:r>
          </w:p>
        </w:tc>
        <w:tc>
          <w:tcPr>
            <w:tcW w:w="787" w:type="pct"/>
            <w:tcBorders>
              <w:top w:val="single" w:sz="4" w:space="0" w:color="002060"/>
            </w:tcBorders>
            <w:shd w:val="clear" w:color="auto" w:fill="E7E6E6" w:themeFill="background2"/>
          </w:tcPr>
          <w:p w14:paraId="1FC4901C" w14:textId="77777777" w:rsidR="001A5BCF" w:rsidRPr="00646254" w:rsidRDefault="001A5BCF" w:rsidP="00E96A1D">
            <w:pPr>
              <w:spacing w:after="0" w:line="240" w:lineRule="auto"/>
              <w:ind w:right="510"/>
              <w:jc w:val="right"/>
              <w:rPr>
                <w:rFonts w:cstheme="minorHAnsi"/>
                <w:color w:val="002060"/>
                <w:sz w:val="18"/>
                <w:szCs w:val="18"/>
                <w:lang w:val="sr-Cyrl-CS"/>
              </w:rPr>
            </w:pPr>
            <w:r w:rsidRPr="00646254">
              <w:rPr>
                <w:color w:val="002060"/>
                <w:sz w:val="18"/>
                <w:szCs w:val="18"/>
                <w:lang w:val="sr-Cyrl-CS"/>
              </w:rPr>
              <w:t>24,2</w:t>
            </w:r>
          </w:p>
        </w:tc>
        <w:tc>
          <w:tcPr>
            <w:tcW w:w="785" w:type="pct"/>
            <w:tcBorders>
              <w:top w:val="single" w:sz="4" w:space="0" w:color="002060"/>
            </w:tcBorders>
            <w:shd w:val="clear" w:color="auto" w:fill="E7E6E6" w:themeFill="background2"/>
            <w:hideMark/>
          </w:tcPr>
          <w:p w14:paraId="52D934F9" w14:textId="77777777" w:rsidR="001A5BCF" w:rsidRPr="00646254" w:rsidRDefault="001A5BCF" w:rsidP="00E96A1D">
            <w:pPr>
              <w:spacing w:after="0" w:line="240" w:lineRule="auto"/>
              <w:ind w:right="510"/>
              <w:jc w:val="right"/>
              <w:rPr>
                <w:rFonts w:cstheme="minorHAnsi"/>
                <w:color w:val="002060"/>
                <w:sz w:val="18"/>
                <w:szCs w:val="18"/>
                <w:lang w:val="sr-Cyrl-CS"/>
              </w:rPr>
            </w:pPr>
            <w:r w:rsidRPr="00646254">
              <w:rPr>
                <w:color w:val="002060"/>
                <w:sz w:val="18"/>
                <w:szCs w:val="18"/>
                <w:lang w:val="sr-Cyrl-CS"/>
              </w:rPr>
              <w:t>18,8</w:t>
            </w:r>
          </w:p>
        </w:tc>
      </w:tr>
      <w:tr w:rsidR="00262F10" w:rsidRPr="00646254" w14:paraId="72C2B9B6" w14:textId="77777777" w:rsidTr="00E96A1D">
        <w:trPr>
          <w:trHeight w:val="39"/>
          <w:tblHeader/>
          <w:jc w:val="right"/>
        </w:trPr>
        <w:tc>
          <w:tcPr>
            <w:tcW w:w="1854" w:type="pct"/>
            <w:shd w:val="clear" w:color="auto" w:fill="auto"/>
            <w:noWrap/>
            <w:vAlign w:val="center"/>
            <w:hideMark/>
          </w:tcPr>
          <w:p w14:paraId="235B8132" w14:textId="77777777" w:rsidR="001A5BCF" w:rsidRPr="00646254" w:rsidRDefault="001A5BCF" w:rsidP="00E96A1D">
            <w:pPr>
              <w:spacing w:after="0" w:line="240" w:lineRule="auto"/>
              <w:jc w:val="lef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Текући приходи</w:t>
            </w:r>
          </w:p>
        </w:tc>
        <w:tc>
          <w:tcPr>
            <w:tcW w:w="787" w:type="pct"/>
            <w:shd w:val="clear" w:color="auto" w:fill="auto"/>
            <w:hideMark/>
          </w:tcPr>
          <w:p w14:paraId="08782605" w14:textId="77777777" w:rsidR="001A5BCF" w:rsidRPr="00646254" w:rsidRDefault="001A5BCF" w:rsidP="00E96A1D">
            <w:pPr>
              <w:spacing w:after="0" w:line="240" w:lineRule="auto"/>
              <w:ind w:right="340"/>
              <w:jc w:val="right"/>
              <w:rPr>
                <w:rFonts w:cstheme="minorHAnsi"/>
                <w:color w:val="002060"/>
                <w:sz w:val="18"/>
                <w:szCs w:val="18"/>
                <w:lang w:val="sr-Cyrl-CS"/>
              </w:rPr>
            </w:pPr>
            <w:r w:rsidRPr="00646254">
              <w:rPr>
                <w:color w:val="002060"/>
                <w:sz w:val="18"/>
                <w:szCs w:val="18"/>
                <w:lang w:val="sr-Cyrl-CS"/>
              </w:rPr>
              <w:t>1.406,3</w:t>
            </w:r>
          </w:p>
        </w:tc>
        <w:tc>
          <w:tcPr>
            <w:tcW w:w="787" w:type="pct"/>
            <w:shd w:val="clear" w:color="auto" w:fill="auto"/>
            <w:noWrap/>
            <w:hideMark/>
          </w:tcPr>
          <w:p w14:paraId="045752E7" w14:textId="77777777" w:rsidR="001A5BCF" w:rsidRPr="00646254" w:rsidRDefault="001A5BCF" w:rsidP="00E96A1D">
            <w:pPr>
              <w:spacing w:after="0" w:line="240" w:lineRule="auto"/>
              <w:ind w:right="340"/>
              <w:jc w:val="right"/>
              <w:rPr>
                <w:rFonts w:cstheme="minorHAnsi"/>
                <w:color w:val="002060"/>
                <w:sz w:val="18"/>
                <w:szCs w:val="18"/>
                <w:lang w:val="sr-Cyrl-CS"/>
              </w:rPr>
            </w:pPr>
            <w:r w:rsidRPr="00646254">
              <w:rPr>
                <w:color w:val="002060"/>
                <w:sz w:val="18"/>
                <w:szCs w:val="18"/>
                <w:lang w:val="sr-Cyrl-CS"/>
              </w:rPr>
              <w:t>1.744,7</w:t>
            </w:r>
          </w:p>
        </w:tc>
        <w:tc>
          <w:tcPr>
            <w:tcW w:w="787" w:type="pct"/>
          </w:tcPr>
          <w:p w14:paraId="25142D87" w14:textId="77777777" w:rsidR="001A5BCF" w:rsidRPr="00646254" w:rsidRDefault="001A5BCF" w:rsidP="00E96A1D">
            <w:pPr>
              <w:spacing w:after="0" w:line="240" w:lineRule="auto"/>
              <w:ind w:right="510"/>
              <w:jc w:val="right"/>
              <w:rPr>
                <w:rFonts w:cstheme="minorHAnsi"/>
                <w:color w:val="002060"/>
                <w:sz w:val="18"/>
                <w:szCs w:val="18"/>
                <w:lang w:val="sr-Cyrl-CS"/>
              </w:rPr>
            </w:pPr>
            <w:r w:rsidRPr="00646254">
              <w:rPr>
                <w:color w:val="002060"/>
                <w:sz w:val="18"/>
                <w:szCs w:val="18"/>
                <w:lang w:val="sr-Cyrl-CS"/>
              </w:rPr>
              <w:t>24,1</w:t>
            </w:r>
          </w:p>
        </w:tc>
        <w:tc>
          <w:tcPr>
            <w:tcW w:w="785" w:type="pct"/>
            <w:shd w:val="clear" w:color="auto" w:fill="auto"/>
            <w:hideMark/>
          </w:tcPr>
          <w:p w14:paraId="12236412" w14:textId="77777777" w:rsidR="001A5BCF" w:rsidRPr="00646254" w:rsidRDefault="001A5BCF" w:rsidP="00E96A1D">
            <w:pPr>
              <w:spacing w:after="0" w:line="240" w:lineRule="auto"/>
              <w:ind w:right="510"/>
              <w:jc w:val="right"/>
              <w:rPr>
                <w:rFonts w:cstheme="minorHAnsi"/>
                <w:color w:val="002060"/>
                <w:sz w:val="18"/>
                <w:szCs w:val="18"/>
                <w:lang w:val="sr-Cyrl-CS"/>
              </w:rPr>
            </w:pPr>
            <w:r w:rsidRPr="00646254">
              <w:rPr>
                <w:color w:val="002060"/>
                <w:sz w:val="18"/>
                <w:szCs w:val="18"/>
                <w:lang w:val="sr-Cyrl-CS"/>
              </w:rPr>
              <w:t>18,5</w:t>
            </w:r>
          </w:p>
        </w:tc>
      </w:tr>
      <w:tr w:rsidR="00262F10" w:rsidRPr="00646254" w14:paraId="0CFD20C3" w14:textId="77777777" w:rsidTr="00E96A1D">
        <w:trPr>
          <w:trHeight w:val="39"/>
          <w:tblHeader/>
          <w:jc w:val="right"/>
        </w:trPr>
        <w:tc>
          <w:tcPr>
            <w:tcW w:w="1854" w:type="pct"/>
            <w:shd w:val="clear" w:color="auto" w:fill="auto"/>
            <w:noWrap/>
            <w:vAlign w:val="center"/>
            <w:hideMark/>
          </w:tcPr>
          <w:p w14:paraId="335B7DA5" w14:textId="77777777" w:rsidR="001A5BCF" w:rsidRPr="00646254" w:rsidRDefault="001A5BCF" w:rsidP="00E96A1D">
            <w:pPr>
              <w:spacing w:after="0" w:line="240" w:lineRule="auto"/>
              <w:jc w:val="lef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Порески приходи</w:t>
            </w:r>
          </w:p>
        </w:tc>
        <w:tc>
          <w:tcPr>
            <w:tcW w:w="787" w:type="pct"/>
            <w:shd w:val="clear" w:color="auto" w:fill="auto"/>
            <w:hideMark/>
          </w:tcPr>
          <w:p w14:paraId="57EFE69A" w14:textId="77777777" w:rsidR="001A5BCF" w:rsidRPr="00646254" w:rsidRDefault="001A5BCF" w:rsidP="00E96A1D">
            <w:pPr>
              <w:spacing w:after="0" w:line="240" w:lineRule="auto"/>
              <w:ind w:right="340"/>
              <w:jc w:val="right"/>
              <w:rPr>
                <w:rFonts w:cstheme="minorHAnsi"/>
                <w:color w:val="002060"/>
                <w:sz w:val="18"/>
                <w:szCs w:val="18"/>
                <w:lang w:val="sr-Cyrl-CS"/>
              </w:rPr>
            </w:pPr>
            <w:r w:rsidRPr="00646254">
              <w:rPr>
                <w:color w:val="002060"/>
                <w:sz w:val="18"/>
                <w:szCs w:val="18"/>
                <w:lang w:val="sr-Cyrl-CS"/>
              </w:rPr>
              <w:t>1.261,8</w:t>
            </w:r>
          </w:p>
        </w:tc>
        <w:tc>
          <w:tcPr>
            <w:tcW w:w="787" w:type="pct"/>
            <w:shd w:val="clear" w:color="auto" w:fill="auto"/>
            <w:hideMark/>
          </w:tcPr>
          <w:p w14:paraId="296E7C9C" w14:textId="77777777" w:rsidR="001A5BCF" w:rsidRPr="00646254" w:rsidRDefault="001A5BCF" w:rsidP="00E96A1D">
            <w:pPr>
              <w:spacing w:after="0" w:line="240" w:lineRule="auto"/>
              <w:ind w:right="340"/>
              <w:jc w:val="right"/>
              <w:rPr>
                <w:rFonts w:cstheme="minorHAnsi"/>
                <w:color w:val="002060"/>
                <w:sz w:val="18"/>
                <w:szCs w:val="18"/>
                <w:lang w:val="sr-Cyrl-CS"/>
              </w:rPr>
            </w:pPr>
            <w:r w:rsidRPr="00646254">
              <w:rPr>
                <w:color w:val="002060"/>
                <w:sz w:val="18"/>
                <w:szCs w:val="18"/>
                <w:lang w:val="sr-Cyrl-CS"/>
              </w:rPr>
              <w:t>1.575,6</w:t>
            </w:r>
          </w:p>
        </w:tc>
        <w:tc>
          <w:tcPr>
            <w:tcW w:w="787" w:type="pct"/>
          </w:tcPr>
          <w:p w14:paraId="0EAF3E46" w14:textId="77777777" w:rsidR="001A5BCF" w:rsidRPr="00646254" w:rsidRDefault="001A5BCF" w:rsidP="00E96A1D">
            <w:pPr>
              <w:spacing w:after="0" w:line="240" w:lineRule="auto"/>
              <w:ind w:right="510"/>
              <w:jc w:val="right"/>
              <w:rPr>
                <w:rFonts w:cstheme="minorHAnsi"/>
                <w:color w:val="002060"/>
                <w:sz w:val="18"/>
                <w:szCs w:val="18"/>
                <w:lang w:val="sr-Cyrl-CS"/>
              </w:rPr>
            </w:pPr>
            <w:r w:rsidRPr="00646254">
              <w:rPr>
                <w:color w:val="002060"/>
                <w:sz w:val="18"/>
                <w:szCs w:val="18"/>
                <w:lang w:val="sr-Cyrl-CS"/>
              </w:rPr>
              <w:t>24,9</w:t>
            </w:r>
          </w:p>
        </w:tc>
        <w:tc>
          <w:tcPr>
            <w:tcW w:w="785" w:type="pct"/>
            <w:shd w:val="clear" w:color="auto" w:fill="auto"/>
            <w:hideMark/>
          </w:tcPr>
          <w:p w14:paraId="73F4AF7C" w14:textId="77777777" w:rsidR="001A5BCF" w:rsidRPr="00646254" w:rsidRDefault="001A5BCF" w:rsidP="00E96A1D">
            <w:pPr>
              <w:spacing w:after="0" w:line="240" w:lineRule="auto"/>
              <w:ind w:right="510"/>
              <w:jc w:val="right"/>
              <w:rPr>
                <w:rFonts w:cstheme="minorHAnsi"/>
                <w:color w:val="002060"/>
                <w:sz w:val="18"/>
                <w:szCs w:val="18"/>
                <w:lang w:val="sr-Cyrl-CS"/>
              </w:rPr>
            </w:pPr>
            <w:r w:rsidRPr="00646254">
              <w:rPr>
                <w:color w:val="002060"/>
                <w:sz w:val="18"/>
                <w:szCs w:val="18"/>
                <w:lang w:val="sr-Cyrl-CS"/>
              </w:rPr>
              <w:t>20,4</w:t>
            </w:r>
          </w:p>
        </w:tc>
      </w:tr>
      <w:tr w:rsidR="00262F10" w:rsidRPr="00646254" w14:paraId="3ECB29F5" w14:textId="77777777" w:rsidTr="00E96A1D">
        <w:trPr>
          <w:trHeight w:val="39"/>
          <w:tblHeader/>
          <w:jc w:val="right"/>
        </w:trPr>
        <w:tc>
          <w:tcPr>
            <w:tcW w:w="1854" w:type="pct"/>
            <w:shd w:val="clear" w:color="auto" w:fill="auto"/>
            <w:noWrap/>
            <w:vAlign w:val="center"/>
            <w:hideMark/>
          </w:tcPr>
          <w:p w14:paraId="65DE7DED" w14:textId="77777777" w:rsidR="001A5BCF" w:rsidRPr="00646254" w:rsidRDefault="001A5BCF" w:rsidP="00E96A1D">
            <w:pPr>
              <w:spacing w:after="0" w:line="240" w:lineRule="auto"/>
              <w:jc w:val="lef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Порез на доходак грађана</w:t>
            </w:r>
          </w:p>
        </w:tc>
        <w:tc>
          <w:tcPr>
            <w:tcW w:w="787" w:type="pct"/>
            <w:shd w:val="clear" w:color="auto" w:fill="auto"/>
            <w:hideMark/>
          </w:tcPr>
          <w:p w14:paraId="2391E9EE" w14:textId="77777777" w:rsidR="001A5BCF" w:rsidRPr="00646254" w:rsidRDefault="001A5BCF" w:rsidP="00E96A1D">
            <w:pPr>
              <w:spacing w:after="0" w:line="240" w:lineRule="auto"/>
              <w:ind w:right="340"/>
              <w:jc w:val="right"/>
              <w:rPr>
                <w:rFonts w:cstheme="minorHAnsi"/>
                <w:color w:val="002060"/>
                <w:sz w:val="18"/>
                <w:szCs w:val="18"/>
                <w:lang w:val="sr-Cyrl-CS"/>
              </w:rPr>
            </w:pPr>
            <w:r w:rsidRPr="00646254">
              <w:rPr>
                <w:color w:val="002060"/>
                <w:sz w:val="18"/>
                <w:szCs w:val="18"/>
                <w:lang w:val="sr-Cyrl-CS"/>
              </w:rPr>
              <w:t>128,3</w:t>
            </w:r>
          </w:p>
        </w:tc>
        <w:tc>
          <w:tcPr>
            <w:tcW w:w="787" w:type="pct"/>
            <w:shd w:val="clear" w:color="auto" w:fill="auto"/>
            <w:hideMark/>
          </w:tcPr>
          <w:p w14:paraId="2FC81A77" w14:textId="77777777" w:rsidR="001A5BCF" w:rsidRPr="00646254" w:rsidRDefault="001A5BCF" w:rsidP="00E96A1D">
            <w:pPr>
              <w:spacing w:after="0" w:line="240" w:lineRule="auto"/>
              <w:ind w:right="340"/>
              <w:jc w:val="right"/>
              <w:rPr>
                <w:rFonts w:cstheme="minorHAnsi"/>
                <w:color w:val="002060"/>
                <w:sz w:val="18"/>
                <w:szCs w:val="18"/>
                <w:lang w:val="sr-Cyrl-CS"/>
              </w:rPr>
            </w:pPr>
            <w:r w:rsidRPr="00646254">
              <w:rPr>
                <w:color w:val="002060"/>
                <w:sz w:val="18"/>
                <w:szCs w:val="18"/>
                <w:lang w:val="sr-Cyrl-CS"/>
              </w:rPr>
              <w:t>167,3</w:t>
            </w:r>
          </w:p>
        </w:tc>
        <w:tc>
          <w:tcPr>
            <w:tcW w:w="787" w:type="pct"/>
          </w:tcPr>
          <w:p w14:paraId="2AAC1A41" w14:textId="77777777" w:rsidR="001A5BCF" w:rsidRPr="00646254" w:rsidRDefault="001A5BCF" w:rsidP="00E96A1D">
            <w:pPr>
              <w:spacing w:after="0" w:line="240" w:lineRule="auto"/>
              <w:ind w:right="510"/>
              <w:jc w:val="right"/>
              <w:rPr>
                <w:rFonts w:cstheme="minorHAnsi"/>
                <w:color w:val="002060"/>
                <w:sz w:val="18"/>
                <w:szCs w:val="18"/>
                <w:lang w:val="sr-Cyrl-CS"/>
              </w:rPr>
            </w:pPr>
            <w:r w:rsidRPr="00646254">
              <w:rPr>
                <w:color w:val="002060"/>
                <w:sz w:val="18"/>
                <w:szCs w:val="18"/>
                <w:lang w:val="sr-Cyrl-CS"/>
              </w:rPr>
              <w:t>30,4</w:t>
            </w:r>
          </w:p>
        </w:tc>
        <w:tc>
          <w:tcPr>
            <w:tcW w:w="785" w:type="pct"/>
            <w:shd w:val="clear" w:color="auto" w:fill="auto"/>
            <w:hideMark/>
          </w:tcPr>
          <w:p w14:paraId="2777ECFB" w14:textId="77777777" w:rsidR="001A5BCF" w:rsidRPr="00646254" w:rsidRDefault="001A5BCF" w:rsidP="00E96A1D">
            <w:pPr>
              <w:spacing w:after="0" w:line="240" w:lineRule="auto"/>
              <w:ind w:right="510"/>
              <w:jc w:val="right"/>
              <w:rPr>
                <w:rFonts w:cstheme="minorHAnsi"/>
                <w:color w:val="002060"/>
                <w:sz w:val="18"/>
                <w:szCs w:val="18"/>
                <w:lang w:val="sr-Cyrl-CS"/>
              </w:rPr>
            </w:pPr>
            <w:r w:rsidRPr="00646254">
              <w:rPr>
                <w:color w:val="002060"/>
                <w:sz w:val="18"/>
                <w:szCs w:val="18"/>
                <w:lang w:val="sr-Cyrl-CS"/>
              </w:rPr>
              <w:t>23,9</w:t>
            </w:r>
          </w:p>
        </w:tc>
      </w:tr>
      <w:tr w:rsidR="00262F10" w:rsidRPr="00646254" w14:paraId="046F1139" w14:textId="77777777" w:rsidTr="00E96A1D">
        <w:trPr>
          <w:trHeight w:val="39"/>
          <w:tblHeader/>
          <w:jc w:val="right"/>
        </w:trPr>
        <w:tc>
          <w:tcPr>
            <w:tcW w:w="1854" w:type="pct"/>
            <w:shd w:val="clear" w:color="auto" w:fill="auto"/>
            <w:noWrap/>
            <w:vAlign w:val="center"/>
            <w:hideMark/>
          </w:tcPr>
          <w:p w14:paraId="13156E81" w14:textId="77777777" w:rsidR="001A5BCF" w:rsidRPr="00646254" w:rsidRDefault="001A5BCF" w:rsidP="00E96A1D">
            <w:pPr>
              <w:spacing w:after="0" w:line="240" w:lineRule="auto"/>
              <w:jc w:val="lef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Порез на добит правних лица</w:t>
            </w:r>
          </w:p>
        </w:tc>
        <w:tc>
          <w:tcPr>
            <w:tcW w:w="787" w:type="pct"/>
            <w:shd w:val="clear" w:color="auto" w:fill="auto"/>
            <w:hideMark/>
          </w:tcPr>
          <w:p w14:paraId="383CFDD1" w14:textId="77777777" w:rsidR="001A5BCF" w:rsidRPr="00646254" w:rsidRDefault="001A5BCF" w:rsidP="00E96A1D">
            <w:pPr>
              <w:spacing w:after="0" w:line="240" w:lineRule="auto"/>
              <w:ind w:right="340"/>
              <w:jc w:val="right"/>
              <w:rPr>
                <w:rFonts w:cstheme="minorHAnsi"/>
                <w:color w:val="002060"/>
                <w:sz w:val="18"/>
                <w:szCs w:val="18"/>
                <w:lang w:val="sr-Cyrl-CS"/>
              </w:rPr>
            </w:pPr>
            <w:r w:rsidRPr="00646254">
              <w:rPr>
                <w:color w:val="002060"/>
                <w:sz w:val="18"/>
                <w:szCs w:val="18"/>
                <w:lang w:val="sr-Cyrl-CS"/>
              </w:rPr>
              <w:t>85,7</w:t>
            </w:r>
          </w:p>
        </w:tc>
        <w:tc>
          <w:tcPr>
            <w:tcW w:w="787" w:type="pct"/>
            <w:shd w:val="clear" w:color="auto" w:fill="auto"/>
            <w:hideMark/>
          </w:tcPr>
          <w:p w14:paraId="16E2022F" w14:textId="77777777" w:rsidR="001A5BCF" w:rsidRPr="00646254" w:rsidRDefault="001A5BCF" w:rsidP="00E96A1D">
            <w:pPr>
              <w:spacing w:after="0" w:line="240" w:lineRule="auto"/>
              <w:ind w:right="340"/>
              <w:jc w:val="right"/>
              <w:rPr>
                <w:rFonts w:cstheme="minorHAnsi"/>
                <w:color w:val="002060"/>
                <w:sz w:val="18"/>
                <w:szCs w:val="18"/>
                <w:lang w:val="sr-Cyrl-CS"/>
              </w:rPr>
            </w:pPr>
            <w:r w:rsidRPr="00646254">
              <w:rPr>
                <w:color w:val="002060"/>
                <w:sz w:val="18"/>
                <w:szCs w:val="18"/>
                <w:lang w:val="sr-Cyrl-CS"/>
              </w:rPr>
              <w:t>116,0</w:t>
            </w:r>
          </w:p>
        </w:tc>
        <w:tc>
          <w:tcPr>
            <w:tcW w:w="787" w:type="pct"/>
          </w:tcPr>
          <w:p w14:paraId="777A94F2" w14:textId="77777777" w:rsidR="001A5BCF" w:rsidRPr="00646254" w:rsidRDefault="001A5BCF" w:rsidP="00E96A1D">
            <w:pPr>
              <w:spacing w:after="0" w:line="240" w:lineRule="auto"/>
              <w:ind w:right="510"/>
              <w:jc w:val="right"/>
              <w:rPr>
                <w:rFonts w:cstheme="minorHAnsi"/>
                <w:color w:val="002060"/>
                <w:sz w:val="18"/>
                <w:szCs w:val="18"/>
                <w:lang w:val="sr-Cyrl-CS"/>
              </w:rPr>
            </w:pPr>
            <w:r w:rsidRPr="00646254">
              <w:rPr>
                <w:color w:val="002060"/>
                <w:sz w:val="18"/>
                <w:szCs w:val="18"/>
                <w:lang w:val="sr-Cyrl-CS"/>
              </w:rPr>
              <w:t>35,4</w:t>
            </w:r>
          </w:p>
        </w:tc>
        <w:tc>
          <w:tcPr>
            <w:tcW w:w="785" w:type="pct"/>
            <w:shd w:val="clear" w:color="auto" w:fill="auto"/>
            <w:hideMark/>
          </w:tcPr>
          <w:p w14:paraId="34B0F9E2" w14:textId="77777777" w:rsidR="001A5BCF" w:rsidRPr="00646254" w:rsidRDefault="001A5BCF" w:rsidP="00E96A1D">
            <w:pPr>
              <w:spacing w:after="0" w:line="240" w:lineRule="auto"/>
              <w:ind w:right="510"/>
              <w:jc w:val="right"/>
              <w:rPr>
                <w:rFonts w:cstheme="minorHAnsi"/>
                <w:color w:val="002060"/>
                <w:sz w:val="18"/>
                <w:szCs w:val="18"/>
                <w:lang w:val="sr-Cyrl-CS"/>
              </w:rPr>
            </w:pPr>
            <w:r w:rsidRPr="00646254">
              <w:rPr>
                <w:color w:val="002060"/>
                <w:sz w:val="18"/>
                <w:szCs w:val="18"/>
                <w:lang w:val="sr-Cyrl-CS"/>
              </w:rPr>
              <w:t>27,8</w:t>
            </w:r>
          </w:p>
        </w:tc>
      </w:tr>
      <w:tr w:rsidR="00262F10" w:rsidRPr="00646254" w14:paraId="706982A1" w14:textId="77777777" w:rsidTr="00E96A1D">
        <w:trPr>
          <w:trHeight w:val="39"/>
          <w:tblHeader/>
          <w:jc w:val="right"/>
        </w:trPr>
        <w:tc>
          <w:tcPr>
            <w:tcW w:w="1854" w:type="pct"/>
            <w:shd w:val="clear" w:color="auto" w:fill="auto"/>
            <w:noWrap/>
            <w:vAlign w:val="center"/>
            <w:hideMark/>
          </w:tcPr>
          <w:p w14:paraId="33F45B13" w14:textId="77777777" w:rsidR="001A5BCF" w:rsidRPr="00646254" w:rsidRDefault="001A5BCF" w:rsidP="00E96A1D">
            <w:pPr>
              <w:spacing w:after="0" w:line="240" w:lineRule="auto"/>
              <w:jc w:val="lef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ПДВ</w:t>
            </w:r>
          </w:p>
        </w:tc>
        <w:tc>
          <w:tcPr>
            <w:tcW w:w="787" w:type="pct"/>
            <w:shd w:val="clear" w:color="auto" w:fill="auto"/>
            <w:hideMark/>
          </w:tcPr>
          <w:p w14:paraId="4056B78D" w14:textId="77777777" w:rsidR="001A5BCF" w:rsidRPr="00646254" w:rsidRDefault="001A5BCF" w:rsidP="00E96A1D">
            <w:pPr>
              <w:spacing w:after="0" w:line="240" w:lineRule="auto"/>
              <w:ind w:right="340"/>
              <w:jc w:val="right"/>
              <w:rPr>
                <w:rFonts w:cstheme="minorHAnsi"/>
                <w:color w:val="002060"/>
                <w:sz w:val="18"/>
                <w:szCs w:val="18"/>
                <w:lang w:val="sr-Cyrl-CS"/>
              </w:rPr>
            </w:pPr>
            <w:r w:rsidRPr="00646254">
              <w:rPr>
                <w:color w:val="002060"/>
                <w:sz w:val="18"/>
                <w:szCs w:val="18"/>
                <w:lang w:val="sr-Cyrl-CS"/>
              </w:rPr>
              <w:t>351,4</w:t>
            </w:r>
          </w:p>
        </w:tc>
        <w:tc>
          <w:tcPr>
            <w:tcW w:w="787" w:type="pct"/>
            <w:shd w:val="clear" w:color="auto" w:fill="auto"/>
            <w:hideMark/>
          </w:tcPr>
          <w:p w14:paraId="59CC7948" w14:textId="77777777" w:rsidR="001A5BCF" w:rsidRPr="00646254" w:rsidRDefault="001A5BCF" w:rsidP="00E96A1D">
            <w:pPr>
              <w:spacing w:after="0" w:line="240" w:lineRule="auto"/>
              <w:ind w:right="340"/>
              <w:jc w:val="right"/>
              <w:rPr>
                <w:rFonts w:cstheme="minorHAnsi"/>
                <w:color w:val="002060"/>
                <w:sz w:val="18"/>
                <w:szCs w:val="18"/>
                <w:lang w:val="sr-Cyrl-CS"/>
              </w:rPr>
            </w:pPr>
            <w:r w:rsidRPr="00646254">
              <w:rPr>
                <w:color w:val="002060"/>
                <w:sz w:val="18"/>
                <w:szCs w:val="18"/>
                <w:lang w:val="sr-Cyrl-CS"/>
              </w:rPr>
              <w:t>420,8</w:t>
            </w:r>
          </w:p>
        </w:tc>
        <w:tc>
          <w:tcPr>
            <w:tcW w:w="787" w:type="pct"/>
          </w:tcPr>
          <w:p w14:paraId="1455AFED" w14:textId="77777777" w:rsidR="001A5BCF" w:rsidRPr="00646254" w:rsidRDefault="001A5BCF" w:rsidP="00E96A1D">
            <w:pPr>
              <w:spacing w:after="0" w:line="240" w:lineRule="auto"/>
              <w:ind w:right="510"/>
              <w:jc w:val="right"/>
              <w:rPr>
                <w:rFonts w:cstheme="minorHAnsi"/>
                <w:color w:val="002060"/>
                <w:sz w:val="18"/>
                <w:szCs w:val="18"/>
                <w:lang w:val="sr-Cyrl-CS"/>
              </w:rPr>
            </w:pPr>
            <w:r w:rsidRPr="00646254">
              <w:rPr>
                <w:color w:val="002060"/>
                <w:sz w:val="18"/>
                <w:szCs w:val="18"/>
                <w:lang w:val="sr-Cyrl-CS"/>
              </w:rPr>
              <w:t>19,8</w:t>
            </w:r>
          </w:p>
        </w:tc>
        <w:tc>
          <w:tcPr>
            <w:tcW w:w="785" w:type="pct"/>
            <w:shd w:val="clear" w:color="auto" w:fill="auto"/>
            <w:hideMark/>
          </w:tcPr>
          <w:p w14:paraId="364AD8BC" w14:textId="77777777" w:rsidR="001A5BCF" w:rsidRPr="00646254" w:rsidRDefault="001A5BCF" w:rsidP="00E96A1D">
            <w:pPr>
              <w:spacing w:after="0" w:line="240" w:lineRule="auto"/>
              <w:ind w:right="510"/>
              <w:jc w:val="right"/>
              <w:rPr>
                <w:rFonts w:cstheme="minorHAnsi"/>
                <w:color w:val="002060"/>
                <w:sz w:val="18"/>
                <w:szCs w:val="18"/>
                <w:lang w:val="sr-Cyrl-CS"/>
              </w:rPr>
            </w:pPr>
            <w:r w:rsidRPr="00646254">
              <w:rPr>
                <w:color w:val="002060"/>
                <w:sz w:val="18"/>
                <w:szCs w:val="18"/>
                <w:lang w:val="sr-Cyrl-CS"/>
              </w:rPr>
              <w:t>19,1</w:t>
            </w:r>
          </w:p>
        </w:tc>
      </w:tr>
      <w:tr w:rsidR="00262F10" w:rsidRPr="00646254" w14:paraId="2EEA81AC" w14:textId="77777777" w:rsidTr="00E96A1D">
        <w:trPr>
          <w:trHeight w:val="39"/>
          <w:tblHeader/>
          <w:jc w:val="right"/>
        </w:trPr>
        <w:tc>
          <w:tcPr>
            <w:tcW w:w="1854" w:type="pct"/>
            <w:shd w:val="clear" w:color="auto" w:fill="auto"/>
            <w:noWrap/>
            <w:vAlign w:val="center"/>
            <w:hideMark/>
          </w:tcPr>
          <w:p w14:paraId="1AC54EA1" w14:textId="77777777" w:rsidR="001A5BCF" w:rsidRPr="00646254" w:rsidRDefault="001A5BCF" w:rsidP="00E96A1D">
            <w:pPr>
              <w:spacing w:after="0" w:line="240" w:lineRule="auto"/>
              <w:jc w:val="lef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Акцизе</w:t>
            </w:r>
          </w:p>
        </w:tc>
        <w:tc>
          <w:tcPr>
            <w:tcW w:w="787" w:type="pct"/>
            <w:shd w:val="clear" w:color="auto" w:fill="auto"/>
            <w:hideMark/>
          </w:tcPr>
          <w:p w14:paraId="1E663EF2" w14:textId="77777777" w:rsidR="001A5BCF" w:rsidRPr="00646254" w:rsidRDefault="001A5BCF" w:rsidP="00E96A1D">
            <w:pPr>
              <w:spacing w:after="0" w:line="240" w:lineRule="auto"/>
              <w:ind w:right="340"/>
              <w:jc w:val="right"/>
              <w:rPr>
                <w:rFonts w:cstheme="minorHAnsi"/>
                <w:color w:val="002060"/>
                <w:sz w:val="18"/>
                <w:szCs w:val="18"/>
                <w:lang w:val="sr-Cyrl-CS"/>
              </w:rPr>
            </w:pPr>
            <w:r w:rsidRPr="00646254">
              <w:rPr>
                <w:color w:val="002060"/>
                <w:sz w:val="18"/>
                <w:szCs w:val="18"/>
                <w:lang w:val="sr-Cyrl-CS"/>
              </w:rPr>
              <w:t>200,8</w:t>
            </w:r>
          </w:p>
        </w:tc>
        <w:tc>
          <w:tcPr>
            <w:tcW w:w="787" w:type="pct"/>
            <w:shd w:val="clear" w:color="auto" w:fill="auto"/>
            <w:hideMark/>
          </w:tcPr>
          <w:p w14:paraId="53899631" w14:textId="77777777" w:rsidR="001A5BCF" w:rsidRPr="00646254" w:rsidRDefault="001A5BCF" w:rsidP="00E96A1D">
            <w:pPr>
              <w:spacing w:after="0" w:line="240" w:lineRule="auto"/>
              <w:ind w:right="340"/>
              <w:jc w:val="right"/>
              <w:rPr>
                <w:rFonts w:cstheme="minorHAnsi"/>
                <w:color w:val="002060"/>
                <w:sz w:val="18"/>
                <w:szCs w:val="18"/>
                <w:lang w:val="sr-Cyrl-CS"/>
              </w:rPr>
            </w:pPr>
            <w:r w:rsidRPr="00646254">
              <w:rPr>
                <w:color w:val="002060"/>
                <w:sz w:val="18"/>
                <w:szCs w:val="18"/>
                <w:lang w:val="sr-Cyrl-CS"/>
              </w:rPr>
              <w:t>219,6</w:t>
            </w:r>
          </w:p>
        </w:tc>
        <w:tc>
          <w:tcPr>
            <w:tcW w:w="787" w:type="pct"/>
          </w:tcPr>
          <w:p w14:paraId="6053AC31" w14:textId="77777777" w:rsidR="001A5BCF" w:rsidRPr="00646254" w:rsidRDefault="001A5BCF" w:rsidP="00E96A1D">
            <w:pPr>
              <w:spacing w:after="0" w:line="240" w:lineRule="auto"/>
              <w:ind w:right="510"/>
              <w:jc w:val="right"/>
              <w:rPr>
                <w:rFonts w:cstheme="minorHAnsi"/>
                <w:color w:val="002060"/>
                <w:sz w:val="18"/>
                <w:szCs w:val="18"/>
                <w:lang w:val="sr-Cyrl-CS"/>
              </w:rPr>
            </w:pPr>
            <w:r w:rsidRPr="00646254">
              <w:rPr>
                <w:color w:val="002060"/>
                <w:sz w:val="18"/>
                <w:szCs w:val="18"/>
                <w:lang w:val="sr-Cyrl-CS"/>
              </w:rPr>
              <w:t>9,4</w:t>
            </w:r>
          </w:p>
        </w:tc>
        <w:tc>
          <w:tcPr>
            <w:tcW w:w="785" w:type="pct"/>
            <w:shd w:val="clear" w:color="auto" w:fill="auto"/>
            <w:hideMark/>
          </w:tcPr>
          <w:p w14:paraId="0501BE34" w14:textId="77777777" w:rsidR="001A5BCF" w:rsidRPr="00646254" w:rsidRDefault="001A5BCF" w:rsidP="00E96A1D">
            <w:pPr>
              <w:spacing w:after="0" w:line="240" w:lineRule="auto"/>
              <w:ind w:right="510"/>
              <w:jc w:val="right"/>
              <w:rPr>
                <w:rFonts w:cstheme="minorHAnsi"/>
                <w:color w:val="002060"/>
                <w:sz w:val="18"/>
                <w:szCs w:val="18"/>
                <w:lang w:val="sr-Cyrl-CS"/>
              </w:rPr>
            </w:pPr>
            <w:r w:rsidRPr="00646254">
              <w:rPr>
                <w:color w:val="002060"/>
                <w:sz w:val="18"/>
                <w:szCs w:val="18"/>
                <w:lang w:val="sr-Cyrl-CS"/>
              </w:rPr>
              <w:t>7,6</w:t>
            </w:r>
          </w:p>
        </w:tc>
      </w:tr>
      <w:tr w:rsidR="00262F10" w:rsidRPr="00646254" w14:paraId="2D7DB712" w14:textId="77777777" w:rsidTr="00E96A1D">
        <w:trPr>
          <w:trHeight w:val="39"/>
          <w:tblHeader/>
          <w:jc w:val="right"/>
        </w:trPr>
        <w:tc>
          <w:tcPr>
            <w:tcW w:w="1854" w:type="pct"/>
            <w:shd w:val="clear" w:color="auto" w:fill="auto"/>
            <w:noWrap/>
            <w:vAlign w:val="center"/>
            <w:hideMark/>
          </w:tcPr>
          <w:p w14:paraId="757D6079" w14:textId="77777777" w:rsidR="001A5BCF" w:rsidRPr="00646254" w:rsidRDefault="001A5BCF" w:rsidP="00E96A1D">
            <w:pPr>
              <w:spacing w:after="0" w:line="240" w:lineRule="auto"/>
              <w:jc w:val="lef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Царине</w:t>
            </w:r>
          </w:p>
        </w:tc>
        <w:tc>
          <w:tcPr>
            <w:tcW w:w="787" w:type="pct"/>
            <w:shd w:val="clear" w:color="auto" w:fill="auto"/>
            <w:hideMark/>
          </w:tcPr>
          <w:p w14:paraId="65EAFC9D" w14:textId="77777777" w:rsidR="001A5BCF" w:rsidRPr="00646254" w:rsidRDefault="001A5BCF" w:rsidP="00E96A1D">
            <w:pPr>
              <w:spacing w:after="0" w:line="240" w:lineRule="auto"/>
              <w:ind w:right="340"/>
              <w:jc w:val="right"/>
              <w:rPr>
                <w:rFonts w:cstheme="minorHAnsi"/>
                <w:color w:val="002060"/>
                <w:sz w:val="18"/>
                <w:szCs w:val="18"/>
                <w:lang w:val="sr-Cyrl-CS"/>
              </w:rPr>
            </w:pPr>
            <w:r w:rsidRPr="00646254">
              <w:rPr>
                <w:color w:val="002060"/>
                <w:sz w:val="18"/>
                <w:szCs w:val="18"/>
                <w:lang w:val="sr-Cyrl-CS"/>
              </w:rPr>
              <w:t>32,4</w:t>
            </w:r>
          </w:p>
        </w:tc>
        <w:tc>
          <w:tcPr>
            <w:tcW w:w="787" w:type="pct"/>
            <w:shd w:val="clear" w:color="auto" w:fill="auto"/>
            <w:hideMark/>
          </w:tcPr>
          <w:p w14:paraId="02E9FA37" w14:textId="77777777" w:rsidR="001A5BCF" w:rsidRPr="00646254" w:rsidRDefault="001A5BCF" w:rsidP="00E96A1D">
            <w:pPr>
              <w:spacing w:after="0" w:line="240" w:lineRule="auto"/>
              <w:ind w:right="340"/>
              <w:jc w:val="right"/>
              <w:rPr>
                <w:rFonts w:cstheme="minorHAnsi"/>
                <w:color w:val="002060"/>
                <w:sz w:val="18"/>
                <w:szCs w:val="18"/>
                <w:lang w:val="sr-Cyrl-CS"/>
              </w:rPr>
            </w:pPr>
            <w:r w:rsidRPr="00646254">
              <w:rPr>
                <w:color w:val="002060"/>
                <w:sz w:val="18"/>
                <w:szCs w:val="18"/>
                <w:lang w:val="sr-Cyrl-CS"/>
              </w:rPr>
              <w:t>37,8</w:t>
            </w:r>
          </w:p>
        </w:tc>
        <w:tc>
          <w:tcPr>
            <w:tcW w:w="787" w:type="pct"/>
          </w:tcPr>
          <w:p w14:paraId="6530C806" w14:textId="77777777" w:rsidR="001A5BCF" w:rsidRPr="00646254" w:rsidRDefault="001A5BCF" w:rsidP="00E96A1D">
            <w:pPr>
              <w:spacing w:after="0" w:line="240" w:lineRule="auto"/>
              <w:ind w:right="510"/>
              <w:jc w:val="right"/>
              <w:rPr>
                <w:rFonts w:cstheme="minorHAnsi"/>
                <w:color w:val="002060"/>
                <w:sz w:val="18"/>
                <w:szCs w:val="18"/>
                <w:lang w:val="sr-Cyrl-CS"/>
              </w:rPr>
            </w:pPr>
            <w:r w:rsidRPr="00646254">
              <w:rPr>
                <w:color w:val="002060"/>
                <w:sz w:val="18"/>
                <w:szCs w:val="18"/>
                <w:lang w:val="sr-Cyrl-CS"/>
              </w:rPr>
              <w:t>16,6</w:t>
            </w:r>
          </w:p>
        </w:tc>
        <w:tc>
          <w:tcPr>
            <w:tcW w:w="785" w:type="pct"/>
            <w:shd w:val="clear" w:color="auto" w:fill="auto"/>
            <w:hideMark/>
          </w:tcPr>
          <w:p w14:paraId="1B76894B" w14:textId="77777777" w:rsidR="001A5BCF" w:rsidRPr="00646254" w:rsidRDefault="001A5BCF" w:rsidP="00E96A1D">
            <w:pPr>
              <w:spacing w:after="0" w:line="240" w:lineRule="auto"/>
              <w:ind w:right="510"/>
              <w:jc w:val="right"/>
              <w:rPr>
                <w:rFonts w:cstheme="minorHAnsi"/>
                <w:color w:val="002060"/>
                <w:sz w:val="18"/>
                <w:szCs w:val="18"/>
                <w:lang w:val="sr-Cyrl-CS"/>
              </w:rPr>
            </w:pPr>
            <w:r w:rsidRPr="00646254">
              <w:rPr>
                <w:color w:val="002060"/>
                <w:sz w:val="18"/>
                <w:szCs w:val="18"/>
                <w:lang w:val="sr-Cyrl-CS"/>
              </w:rPr>
              <w:t>13,6</w:t>
            </w:r>
          </w:p>
        </w:tc>
      </w:tr>
      <w:tr w:rsidR="00262F10" w:rsidRPr="00646254" w14:paraId="3D529A18" w14:textId="77777777" w:rsidTr="00E96A1D">
        <w:trPr>
          <w:trHeight w:val="39"/>
          <w:tblHeader/>
          <w:jc w:val="right"/>
        </w:trPr>
        <w:tc>
          <w:tcPr>
            <w:tcW w:w="1854" w:type="pct"/>
            <w:shd w:val="clear" w:color="auto" w:fill="auto"/>
            <w:noWrap/>
            <w:vAlign w:val="center"/>
            <w:hideMark/>
          </w:tcPr>
          <w:p w14:paraId="4AE5098D" w14:textId="77777777" w:rsidR="001A5BCF" w:rsidRPr="00646254" w:rsidRDefault="001A5BCF" w:rsidP="00E96A1D">
            <w:pPr>
              <w:spacing w:after="0" w:line="240" w:lineRule="auto"/>
              <w:jc w:val="lef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Остали порески приходи</w:t>
            </w:r>
          </w:p>
        </w:tc>
        <w:tc>
          <w:tcPr>
            <w:tcW w:w="787" w:type="pct"/>
            <w:shd w:val="clear" w:color="auto" w:fill="auto"/>
            <w:hideMark/>
          </w:tcPr>
          <w:p w14:paraId="4FAC4229" w14:textId="77777777" w:rsidR="001A5BCF" w:rsidRPr="00646254" w:rsidRDefault="001A5BCF" w:rsidP="00E96A1D">
            <w:pPr>
              <w:spacing w:after="0" w:line="240" w:lineRule="auto"/>
              <w:ind w:right="340"/>
              <w:jc w:val="right"/>
              <w:rPr>
                <w:rFonts w:cstheme="minorHAnsi"/>
                <w:color w:val="002060"/>
                <w:sz w:val="18"/>
                <w:szCs w:val="18"/>
                <w:lang w:val="sr-Cyrl-CS"/>
              </w:rPr>
            </w:pPr>
            <w:r w:rsidRPr="00646254">
              <w:rPr>
                <w:color w:val="002060"/>
                <w:sz w:val="18"/>
                <w:szCs w:val="18"/>
                <w:lang w:val="sr-Cyrl-CS"/>
              </w:rPr>
              <w:t>52,7</w:t>
            </w:r>
          </w:p>
        </w:tc>
        <w:tc>
          <w:tcPr>
            <w:tcW w:w="787" w:type="pct"/>
            <w:shd w:val="clear" w:color="auto" w:fill="auto"/>
            <w:hideMark/>
          </w:tcPr>
          <w:p w14:paraId="1E72F3DE" w14:textId="77777777" w:rsidR="001A5BCF" w:rsidRPr="00646254" w:rsidRDefault="001A5BCF" w:rsidP="00E96A1D">
            <w:pPr>
              <w:spacing w:after="0" w:line="240" w:lineRule="auto"/>
              <w:ind w:right="340"/>
              <w:jc w:val="right"/>
              <w:rPr>
                <w:rFonts w:cstheme="minorHAnsi"/>
                <w:color w:val="002060"/>
                <w:sz w:val="18"/>
                <w:szCs w:val="18"/>
                <w:lang w:val="sr-Cyrl-CS"/>
              </w:rPr>
            </w:pPr>
            <w:r w:rsidRPr="00646254">
              <w:rPr>
                <w:color w:val="002060"/>
                <w:sz w:val="18"/>
                <w:szCs w:val="18"/>
                <w:lang w:val="sr-Cyrl-CS"/>
              </w:rPr>
              <w:t>61,3</w:t>
            </w:r>
          </w:p>
        </w:tc>
        <w:tc>
          <w:tcPr>
            <w:tcW w:w="787" w:type="pct"/>
          </w:tcPr>
          <w:p w14:paraId="3B023E60" w14:textId="77777777" w:rsidR="001A5BCF" w:rsidRPr="00646254" w:rsidRDefault="001A5BCF" w:rsidP="00E96A1D">
            <w:pPr>
              <w:spacing w:after="0" w:line="240" w:lineRule="auto"/>
              <w:ind w:right="510"/>
              <w:jc w:val="right"/>
              <w:rPr>
                <w:rFonts w:cstheme="minorHAnsi"/>
                <w:color w:val="002060"/>
                <w:sz w:val="18"/>
                <w:szCs w:val="18"/>
                <w:lang w:val="sr-Cyrl-CS"/>
              </w:rPr>
            </w:pPr>
            <w:r w:rsidRPr="00646254">
              <w:rPr>
                <w:color w:val="002060"/>
                <w:sz w:val="18"/>
                <w:szCs w:val="18"/>
                <w:lang w:val="sr-Cyrl-CS"/>
              </w:rPr>
              <w:t>16,4</w:t>
            </w:r>
          </w:p>
        </w:tc>
        <w:tc>
          <w:tcPr>
            <w:tcW w:w="785" w:type="pct"/>
            <w:shd w:val="clear" w:color="auto" w:fill="auto"/>
            <w:hideMark/>
          </w:tcPr>
          <w:p w14:paraId="601FC197" w14:textId="77777777" w:rsidR="001A5BCF" w:rsidRPr="00646254" w:rsidRDefault="001A5BCF" w:rsidP="00E96A1D">
            <w:pPr>
              <w:spacing w:after="0" w:line="240" w:lineRule="auto"/>
              <w:ind w:right="510"/>
              <w:jc w:val="right"/>
              <w:rPr>
                <w:rFonts w:cstheme="minorHAnsi"/>
                <w:color w:val="002060"/>
                <w:sz w:val="18"/>
                <w:szCs w:val="18"/>
                <w:lang w:val="sr-Cyrl-CS"/>
              </w:rPr>
            </w:pPr>
            <w:r w:rsidRPr="00646254">
              <w:rPr>
                <w:color w:val="002060"/>
                <w:sz w:val="18"/>
                <w:szCs w:val="18"/>
                <w:lang w:val="sr-Cyrl-CS"/>
              </w:rPr>
              <w:t>8,8</w:t>
            </w:r>
          </w:p>
        </w:tc>
      </w:tr>
      <w:tr w:rsidR="00262F10" w:rsidRPr="00646254" w14:paraId="4E367D92" w14:textId="77777777" w:rsidTr="00E96A1D">
        <w:trPr>
          <w:trHeight w:val="39"/>
          <w:tblHeader/>
          <w:jc w:val="right"/>
        </w:trPr>
        <w:tc>
          <w:tcPr>
            <w:tcW w:w="1854" w:type="pct"/>
            <w:shd w:val="clear" w:color="auto" w:fill="auto"/>
            <w:noWrap/>
            <w:vAlign w:val="center"/>
            <w:hideMark/>
          </w:tcPr>
          <w:p w14:paraId="24EE5533" w14:textId="77777777" w:rsidR="001A5BCF" w:rsidRPr="00646254" w:rsidRDefault="001A5BCF" w:rsidP="00E96A1D">
            <w:pPr>
              <w:spacing w:after="0" w:line="240" w:lineRule="auto"/>
              <w:jc w:val="lef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Доприноси</w:t>
            </w:r>
          </w:p>
        </w:tc>
        <w:tc>
          <w:tcPr>
            <w:tcW w:w="787" w:type="pct"/>
            <w:shd w:val="clear" w:color="auto" w:fill="auto"/>
            <w:hideMark/>
          </w:tcPr>
          <w:p w14:paraId="66474E21" w14:textId="77777777" w:rsidR="001A5BCF" w:rsidRPr="00646254" w:rsidRDefault="001A5BCF" w:rsidP="00E96A1D">
            <w:pPr>
              <w:spacing w:after="0" w:line="240" w:lineRule="auto"/>
              <w:ind w:right="340"/>
              <w:jc w:val="right"/>
              <w:rPr>
                <w:rFonts w:cstheme="minorHAnsi"/>
                <w:color w:val="002060"/>
                <w:sz w:val="18"/>
                <w:szCs w:val="18"/>
                <w:lang w:val="sr-Cyrl-CS"/>
              </w:rPr>
            </w:pPr>
            <w:r w:rsidRPr="00646254">
              <w:rPr>
                <w:color w:val="002060"/>
                <w:sz w:val="18"/>
                <w:szCs w:val="18"/>
                <w:lang w:val="sr-Cyrl-CS"/>
              </w:rPr>
              <w:t>410,6</w:t>
            </w:r>
          </w:p>
        </w:tc>
        <w:tc>
          <w:tcPr>
            <w:tcW w:w="787" w:type="pct"/>
            <w:shd w:val="clear" w:color="auto" w:fill="auto"/>
            <w:hideMark/>
          </w:tcPr>
          <w:p w14:paraId="588D4890" w14:textId="77777777" w:rsidR="001A5BCF" w:rsidRPr="00646254" w:rsidRDefault="001A5BCF" w:rsidP="00E96A1D">
            <w:pPr>
              <w:spacing w:after="0" w:line="240" w:lineRule="auto"/>
              <w:ind w:right="340"/>
              <w:jc w:val="right"/>
              <w:rPr>
                <w:rFonts w:cstheme="minorHAnsi"/>
                <w:color w:val="002060"/>
                <w:sz w:val="18"/>
                <w:szCs w:val="18"/>
                <w:lang w:val="sr-Cyrl-CS"/>
              </w:rPr>
            </w:pPr>
            <w:r w:rsidRPr="00646254">
              <w:rPr>
                <w:color w:val="002060"/>
                <w:sz w:val="18"/>
                <w:szCs w:val="18"/>
                <w:lang w:val="sr-Cyrl-CS"/>
              </w:rPr>
              <w:t>552,7</w:t>
            </w:r>
          </w:p>
        </w:tc>
        <w:tc>
          <w:tcPr>
            <w:tcW w:w="787" w:type="pct"/>
          </w:tcPr>
          <w:p w14:paraId="3F25B0D4" w14:textId="77777777" w:rsidR="001A5BCF" w:rsidRPr="00646254" w:rsidRDefault="001A5BCF" w:rsidP="00E96A1D">
            <w:pPr>
              <w:spacing w:after="0" w:line="240" w:lineRule="auto"/>
              <w:ind w:right="510"/>
              <w:jc w:val="right"/>
              <w:rPr>
                <w:rFonts w:cstheme="minorHAnsi"/>
                <w:color w:val="002060"/>
                <w:sz w:val="18"/>
                <w:szCs w:val="18"/>
                <w:lang w:val="sr-Cyrl-CS"/>
              </w:rPr>
            </w:pPr>
            <w:r w:rsidRPr="00646254">
              <w:rPr>
                <w:color w:val="002060"/>
                <w:sz w:val="18"/>
                <w:szCs w:val="18"/>
                <w:lang w:val="sr-Cyrl-CS"/>
              </w:rPr>
              <w:t>34,6</w:t>
            </w:r>
          </w:p>
        </w:tc>
        <w:tc>
          <w:tcPr>
            <w:tcW w:w="785" w:type="pct"/>
            <w:shd w:val="clear" w:color="auto" w:fill="auto"/>
            <w:hideMark/>
          </w:tcPr>
          <w:p w14:paraId="23FD79CD" w14:textId="77777777" w:rsidR="001A5BCF" w:rsidRPr="00646254" w:rsidRDefault="001A5BCF" w:rsidP="00E96A1D">
            <w:pPr>
              <w:spacing w:after="0" w:line="240" w:lineRule="auto"/>
              <w:ind w:right="510"/>
              <w:jc w:val="right"/>
              <w:rPr>
                <w:rFonts w:cstheme="minorHAnsi"/>
                <w:color w:val="002060"/>
                <w:sz w:val="18"/>
                <w:szCs w:val="18"/>
                <w:lang w:val="sr-Cyrl-CS"/>
              </w:rPr>
            </w:pPr>
            <w:r w:rsidRPr="00646254">
              <w:rPr>
                <w:color w:val="002060"/>
                <w:sz w:val="18"/>
                <w:szCs w:val="18"/>
                <w:lang w:val="sr-Cyrl-CS"/>
              </w:rPr>
              <w:t>26,9</w:t>
            </w:r>
          </w:p>
        </w:tc>
      </w:tr>
      <w:tr w:rsidR="00262F10" w:rsidRPr="00646254" w14:paraId="291DAAFB" w14:textId="77777777" w:rsidTr="00E96A1D">
        <w:trPr>
          <w:trHeight w:val="39"/>
          <w:tblHeader/>
          <w:jc w:val="right"/>
        </w:trPr>
        <w:tc>
          <w:tcPr>
            <w:tcW w:w="1854" w:type="pct"/>
            <w:shd w:val="clear" w:color="auto" w:fill="auto"/>
            <w:noWrap/>
            <w:vAlign w:val="center"/>
            <w:hideMark/>
          </w:tcPr>
          <w:p w14:paraId="1B7C2A8D" w14:textId="77777777" w:rsidR="001A5BCF" w:rsidRPr="00646254" w:rsidRDefault="001A5BCF" w:rsidP="00E96A1D">
            <w:pPr>
              <w:spacing w:after="0" w:line="240" w:lineRule="auto"/>
              <w:jc w:val="lef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Непорески приходи</w:t>
            </w:r>
          </w:p>
        </w:tc>
        <w:tc>
          <w:tcPr>
            <w:tcW w:w="787" w:type="pct"/>
            <w:shd w:val="clear" w:color="auto" w:fill="auto"/>
            <w:hideMark/>
          </w:tcPr>
          <w:p w14:paraId="057914E7" w14:textId="77777777" w:rsidR="001A5BCF" w:rsidRPr="00646254" w:rsidRDefault="001A5BCF" w:rsidP="00E96A1D">
            <w:pPr>
              <w:spacing w:after="0" w:line="240" w:lineRule="auto"/>
              <w:ind w:right="340"/>
              <w:jc w:val="right"/>
              <w:rPr>
                <w:rFonts w:cstheme="minorHAnsi"/>
                <w:color w:val="002060"/>
                <w:sz w:val="18"/>
                <w:szCs w:val="18"/>
                <w:lang w:val="sr-Cyrl-CS"/>
              </w:rPr>
            </w:pPr>
            <w:r w:rsidRPr="00646254">
              <w:rPr>
                <w:color w:val="002060"/>
                <w:sz w:val="18"/>
                <w:szCs w:val="18"/>
                <w:lang w:val="sr-Cyrl-CS"/>
              </w:rPr>
              <w:t>144,4</w:t>
            </w:r>
          </w:p>
        </w:tc>
        <w:tc>
          <w:tcPr>
            <w:tcW w:w="787" w:type="pct"/>
            <w:shd w:val="clear" w:color="auto" w:fill="auto"/>
            <w:hideMark/>
          </w:tcPr>
          <w:p w14:paraId="1123A5CE" w14:textId="77777777" w:rsidR="001A5BCF" w:rsidRPr="00646254" w:rsidRDefault="001A5BCF" w:rsidP="00E96A1D">
            <w:pPr>
              <w:spacing w:after="0" w:line="240" w:lineRule="auto"/>
              <w:ind w:right="340"/>
              <w:jc w:val="right"/>
              <w:rPr>
                <w:rFonts w:cstheme="minorHAnsi"/>
                <w:color w:val="002060"/>
                <w:sz w:val="18"/>
                <w:szCs w:val="18"/>
                <w:lang w:val="sr-Cyrl-CS"/>
              </w:rPr>
            </w:pPr>
            <w:r w:rsidRPr="00646254">
              <w:rPr>
                <w:color w:val="002060"/>
                <w:sz w:val="18"/>
                <w:szCs w:val="18"/>
                <w:lang w:val="sr-Cyrl-CS"/>
              </w:rPr>
              <w:t>169,1</w:t>
            </w:r>
          </w:p>
        </w:tc>
        <w:tc>
          <w:tcPr>
            <w:tcW w:w="787" w:type="pct"/>
          </w:tcPr>
          <w:p w14:paraId="1F9C990B" w14:textId="77777777" w:rsidR="001A5BCF" w:rsidRPr="00646254" w:rsidRDefault="001A5BCF" w:rsidP="00E96A1D">
            <w:pPr>
              <w:spacing w:after="0" w:line="240" w:lineRule="auto"/>
              <w:ind w:right="510"/>
              <w:jc w:val="right"/>
              <w:rPr>
                <w:rFonts w:cstheme="minorHAnsi"/>
                <w:color w:val="002060"/>
                <w:sz w:val="18"/>
                <w:szCs w:val="18"/>
                <w:lang w:val="sr-Cyrl-CS"/>
              </w:rPr>
            </w:pPr>
            <w:r w:rsidRPr="00646254">
              <w:rPr>
                <w:color w:val="002060"/>
                <w:sz w:val="18"/>
                <w:szCs w:val="18"/>
                <w:lang w:val="sr-Cyrl-CS"/>
              </w:rPr>
              <w:t>17,1</w:t>
            </w:r>
          </w:p>
        </w:tc>
        <w:tc>
          <w:tcPr>
            <w:tcW w:w="785" w:type="pct"/>
            <w:shd w:val="clear" w:color="auto" w:fill="auto"/>
            <w:hideMark/>
          </w:tcPr>
          <w:p w14:paraId="55A8003B" w14:textId="77777777" w:rsidR="001A5BCF" w:rsidRPr="00646254" w:rsidRDefault="001A5BCF" w:rsidP="00E96A1D">
            <w:pPr>
              <w:spacing w:after="0" w:line="240" w:lineRule="auto"/>
              <w:ind w:right="510"/>
              <w:jc w:val="right"/>
              <w:rPr>
                <w:rFonts w:cstheme="minorHAnsi"/>
                <w:color w:val="002060"/>
                <w:sz w:val="18"/>
                <w:szCs w:val="18"/>
                <w:lang w:val="sr-Cyrl-CS"/>
              </w:rPr>
            </w:pPr>
            <w:r w:rsidRPr="00646254">
              <w:rPr>
                <w:color w:val="002060"/>
                <w:sz w:val="18"/>
                <w:szCs w:val="18"/>
                <w:lang w:val="sr-Cyrl-CS"/>
              </w:rPr>
              <w:t>3,4</w:t>
            </w:r>
          </w:p>
        </w:tc>
      </w:tr>
      <w:tr w:rsidR="00262F10" w:rsidRPr="00646254" w14:paraId="3FE3E533" w14:textId="77777777" w:rsidTr="00E96A1D">
        <w:trPr>
          <w:trHeight w:val="39"/>
          <w:tblHeader/>
          <w:jc w:val="right"/>
        </w:trPr>
        <w:tc>
          <w:tcPr>
            <w:tcW w:w="1854" w:type="pct"/>
            <w:shd w:val="clear" w:color="auto" w:fill="auto"/>
            <w:noWrap/>
            <w:vAlign w:val="center"/>
            <w:hideMark/>
          </w:tcPr>
          <w:p w14:paraId="723526F6" w14:textId="77777777" w:rsidR="001A5BCF" w:rsidRPr="00646254" w:rsidRDefault="001A5BCF" w:rsidP="00E96A1D">
            <w:pPr>
              <w:spacing w:after="0" w:line="240" w:lineRule="auto"/>
              <w:jc w:val="lef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Донације</w:t>
            </w:r>
          </w:p>
        </w:tc>
        <w:tc>
          <w:tcPr>
            <w:tcW w:w="787" w:type="pct"/>
            <w:shd w:val="clear" w:color="auto" w:fill="auto"/>
            <w:hideMark/>
          </w:tcPr>
          <w:p w14:paraId="7C24AC04" w14:textId="77777777" w:rsidR="001A5BCF" w:rsidRPr="00646254" w:rsidRDefault="001A5BCF" w:rsidP="00E96A1D">
            <w:pPr>
              <w:spacing w:after="0" w:line="240" w:lineRule="auto"/>
              <w:ind w:right="340"/>
              <w:jc w:val="right"/>
              <w:rPr>
                <w:rFonts w:cstheme="minorHAnsi"/>
                <w:color w:val="002060"/>
                <w:sz w:val="18"/>
                <w:szCs w:val="18"/>
                <w:lang w:val="sr-Cyrl-CS"/>
              </w:rPr>
            </w:pPr>
            <w:r w:rsidRPr="00646254">
              <w:rPr>
                <w:color w:val="002060"/>
                <w:sz w:val="18"/>
                <w:szCs w:val="18"/>
                <w:lang w:val="sr-Cyrl-CS"/>
              </w:rPr>
              <w:t>7,3</w:t>
            </w:r>
          </w:p>
        </w:tc>
        <w:tc>
          <w:tcPr>
            <w:tcW w:w="787" w:type="pct"/>
            <w:shd w:val="clear" w:color="auto" w:fill="auto"/>
            <w:hideMark/>
          </w:tcPr>
          <w:p w14:paraId="25E81103" w14:textId="77777777" w:rsidR="001A5BCF" w:rsidRPr="00646254" w:rsidRDefault="001A5BCF" w:rsidP="00E96A1D">
            <w:pPr>
              <w:spacing w:after="0" w:line="240" w:lineRule="auto"/>
              <w:ind w:right="340"/>
              <w:jc w:val="right"/>
              <w:rPr>
                <w:rFonts w:cstheme="minorHAnsi"/>
                <w:color w:val="002060"/>
                <w:sz w:val="18"/>
                <w:szCs w:val="18"/>
                <w:lang w:val="sr-Cyrl-CS"/>
              </w:rPr>
            </w:pPr>
            <w:r w:rsidRPr="00646254">
              <w:rPr>
                <w:color w:val="002060"/>
                <w:sz w:val="18"/>
                <w:szCs w:val="18"/>
                <w:lang w:val="sr-Cyrl-CS"/>
              </w:rPr>
              <w:t>10,6</w:t>
            </w:r>
          </w:p>
        </w:tc>
        <w:tc>
          <w:tcPr>
            <w:tcW w:w="787" w:type="pct"/>
          </w:tcPr>
          <w:p w14:paraId="52E167CC" w14:textId="77777777" w:rsidR="001A5BCF" w:rsidRPr="00646254" w:rsidRDefault="001A5BCF" w:rsidP="00E96A1D">
            <w:pPr>
              <w:spacing w:after="0" w:line="240" w:lineRule="auto"/>
              <w:ind w:right="510"/>
              <w:jc w:val="right"/>
              <w:rPr>
                <w:rFonts w:cstheme="minorHAnsi"/>
                <w:color w:val="002060"/>
                <w:sz w:val="18"/>
                <w:szCs w:val="18"/>
                <w:lang w:val="sr-Cyrl-CS"/>
              </w:rPr>
            </w:pPr>
            <w:r w:rsidRPr="00646254">
              <w:rPr>
                <w:color w:val="002060"/>
                <w:sz w:val="18"/>
                <w:szCs w:val="18"/>
                <w:lang w:val="sr-Cyrl-CS"/>
              </w:rPr>
              <w:t>44,5</w:t>
            </w:r>
          </w:p>
        </w:tc>
        <w:tc>
          <w:tcPr>
            <w:tcW w:w="785" w:type="pct"/>
            <w:shd w:val="clear" w:color="auto" w:fill="auto"/>
            <w:hideMark/>
          </w:tcPr>
          <w:p w14:paraId="2C57D06E" w14:textId="77777777" w:rsidR="001A5BCF" w:rsidRPr="00646254" w:rsidRDefault="001A5BCF" w:rsidP="00E96A1D">
            <w:pPr>
              <w:spacing w:after="0" w:line="240" w:lineRule="auto"/>
              <w:ind w:right="510"/>
              <w:jc w:val="right"/>
              <w:rPr>
                <w:rFonts w:cstheme="minorHAnsi"/>
                <w:color w:val="002060"/>
                <w:sz w:val="18"/>
                <w:szCs w:val="18"/>
                <w:lang w:val="sr-Cyrl-CS"/>
              </w:rPr>
            </w:pPr>
            <w:r w:rsidRPr="00646254">
              <w:rPr>
                <w:color w:val="002060"/>
                <w:sz w:val="18"/>
                <w:szCs w:val="18"/>
                <w:lang w:val="sr-Cyrl-CS"/>
              </w:rPr>
              <w:t>79,7</w:t>
            </w:r>
          </w:p>
        </w:tc>
      </w:tr>
      <w:tr w:rsidR="00262F10" w:rsidRPr="00646254" w14:paraId="7AA60807" w14:textId="77777777" w:rsidTr="00E96A1D">
        <w:trPr>
          <w:trHeight w:val="39"/>
          <w:tblHeader/>
          <w:jc w:val="right"/>
        </w:trPr>
        <w:tc>
          <w:tcPr>
            <w:tcW w:w="1854" w:type="pct"/>
            <w:shd w:val="clear" w:color="auto" w:fill="E7E6E6" w:themeFill="background2"/>
            <w:noWrap/>
            <w:vAlign w:val="center"/>
            <w:hideMark/>
          </w:tcPr>
          <w:p w14:paraId="24DCBC2E" w14:textId="77777777" w:rsidR="001A5BCF" w:rsidRPr="00646254" w:rsidRDefault="001A5BCF" w:rsidP="00E96A1D">
            <w:pPr>
              <w:spacing w:after="0" w:line="240" w:lineRule="auto"/>
              <w:jc w:val="left"/>
              <w:rPr>
                <w:rFonts w:cstheme="minorHAnsi"/>
                <w:color w:val="002060"/>
                <w:sz w:val="18"/>
                <w:szCs w:val="18"/>
                <w:lang w:val="sr-Cyrl-CS"/>
              </w:rPr>
            </w:pPr>
            <w:r w:rsidRPr="00646254">
              <w:rPr>
                <w:rFonts w:eastAsia="MS PGothic" w:cstheme="minorHAnsi"/>
                <w:color w:val="002060"/>
                <w:sz w:val="18"/>
                <w:szCs w:val="18"/>
                <w:lang w:val="sr-Cyrl-CS" w:eastAsia="ja-JP"/>
              </w:rPr>
              <w:t>ЈАВНИ РАСХОДИ</w:t>
            </w:r>
          </w:p>
        </w:tc>
        <w:tc>
          <w:tcPr>
            <w:tcW w:w="787" w:type="pct"/>
            <w:shd w:val="clear" w:color="auto" w:fill="E7E6E6" w:themeFill="background2"/>
            <w:hideMark/>
          </w:tcPr>
          <w:p w14:paraId="432C04B5" w14:textId="77777777" w:rsidR="001A5BCF" w:rsidRPr="00646254" w:rsidRDefault="001A5BCF" w:rsidP="00E96A1D">
            <w:pPr>
              <w:spacing w:after="0" w:line="240" w:lineRule="auto"/>
              <w:ind w:right="340"/>
              <w:jc w:val="right"/>
              <w:rPr>
                <w:rFonts w:cstheme="minorHAnsi"/>
                <w:color w:val="002060"/>
                <w:sz w:val="18"/>
                <w:szCs w:val="18"/>
                <w:lang w:val="sr-Cyrl-CS"/>
              </w:rPr>
            </w:pPr>
            <w:r w:rsidRPr="00646254">
              <w:rPr>
                <w:color w:val="002060"/>
                <w:sz w:val="18"/>
                <w:szCs w:val="18"/>
                <w:lang w:val="sr-Cyrl-CS"/>
              </w:rPr>
              <w:t>1.753,8</w:t>
            </w:r>
          </w:p>
        </w:tc>
        <w:tc>
          <w:tcPr>
            <w:tcW w:w="787" w:type="pct"/>
            <w:shd w:val="clear" w:color="auto" w:fill="E7E6E6" w:themeFill="background2"/>
            <w:noWrap/>
            <w:hideMark/>
          </w:tcPr>
          <w:p w14:paraId="0ABD5EFC" w14:textId="77777777" w:rsidR="001A5BCF" w:rsidRPr="00646254" w:rsidRDefault="001A5BCF" w:rsidP="00E96A1D">
            <w:pPr>
              <w:spacing w:after="0" w:line="240" w:lineRule="auto"/>
              <w:ind w:right="340"/>
              <w:jc w:val="right"/>
              <w:rPr>
                <w:rFonts w:cstheme="minorHAnsi"/>
                <w:color w:val="002060"/>
                <w:sz w:val="18"/>
                <w:szCs w:val="18"/>
                <w:lang w:val="sr-Cyrl-CS"/>
              </w:rPr>
            </w:pPr>
            <w:r w:rsidRPr="00646254">
              <w:rPr>
                <w:color w:val="002060"/>
                <w:sz w:val="18"/>
                <w:szCs w:val="18"/>
                <w:lang w:val="sr-Cyrl-CS"/>
              </w:rPr>
              <w:t>1.784,5</w:t>
            </w:r>
          </w:p>
        </w:tc>
        <w:tc>
          <w:tcPr>
            <w:tcW w:w="787" w:type="pct"/>
            <w:shd w:val="clear" w:color="auto" w:fill="E7E6E6" w:themeFill="background2"/>
          </w:tcPr>
          <w:p w14:paraId="1DF1AB1D" w14:textId="77777777" w:rsidR="001A5BCF" w:rsidRPr="00646254" w:rsidRDefault="001A5BCF" w:rsidP="00E96A1D">
            <w:pPr>
              <w:spacing w:after="0" w:line="240" w:lineRule="auto"/>
              <w:ind w:right="510"/>
              <w:jc w:val="right"/>
              <w:rPr>
                <w:rFonts w:cstheme="minorHAnsi"/>
                <w:color w:val="002060"/>
                <w:sz w:val="18"/>
                <w:szCs w:val="18"/>
                <w:lang w:val="sr-Cyrl-CS"/>
              </w:rPr>
            </w:pPr>
            <w:r w:rsidRPr="00646254">
              <w:rPr>
                <w:color w:val="002060"/>
                <w:sz w:val="18"/>
                <w:szCs w:val="18"/>
                <w:lang w:val="sr-Cyrl-CS"/>
              </w:rPr>
              <w:t>1,8</w:t>
            </w:r>
          </w:p>
        </w:tc>
        <w:tc>
          <w:tcPr>
            <w:tcW w:w="785" w:type="pct"/>
            <w:shd w:val="clear" w:color="auto" w:fill="E7E6E6" w:themeFill="background2"/>
            <w:hideMark/>
          </w:tcPr>
          <w:p w14:paraId="5B3E2889" w14:textId="77777777" w:rsidR="001A5BCF" w:rsidRPr="00646254" w:rsidRDefault="001A5BCF" w:rsidP="00E96A1D">
            <w:pPr>
              <w:spacing w:after="0" w:line="240" w:lineRule="auto"/>
              <w:ind w:right="510"/>
              <w:jc w:val="right"/>
              <w:rPr>
                <w:rFonts w:cstheme="minorHAnsi"/>
                <w:color w:val="002060"/>
                <w:sz w:val="18"/>
                <w:szCs w:val="18"/>
                <w:lang w:val="sr-Cyrl-CS"/>
              </w:rPr>
            </w:pPr>
            <w:r w:rsidRPr="00646254">
              <w:rPr>
                <w:color w:val="002060"/>
                <w:sz w:val="18"/>
                <w:szCs w:val="18"/>
                <w:lang w:val="sr-Cyrl-CS"/>
              </w:rPr>
              <w:t>10,6</w:t>
            </w:r>
          </w:p>
        </w:tc>
      </w:tr>
      <w:tr w:rsidR="00262F10" w:rsidRPr="00646254" w14:paraId="54CD370F" w14:textId="77777777" w:rsidTr="00E96A1D">
        <w:trPr>
          <w:trHeight w:val="39"/>
          <w:tblHeader/>
          <w:jc w:val="right"/>
        </w:trPr>
        <w:tc>
          <w:tcPr>
            <w:tcW w:w="1854" w:type="pct"/>
            <w:shd w:val="clear" w:color="auto" w:fill="auto"/>
            <w:noWrap/>
            <w:vAlign w:val="center"/>
            <w:hideMark/>
          </w:tcPr>
          <w:p w14:paraId="4E8EE2D6" w14:textId="77777777" w:rsidR="001A5BCF" w:rsidRPr="00646254" w:rsidRDefault="001A5BCF" w:rsidP="00E96A1D">
            <w:pPr>
              <w:spacing w:after="0" w:line="240" w:lineRule="auto"/>
              <w:jc w:val="lef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Текући расходи</w:t>
            </w:r>
          </w:p>
        </w:tc>
        <w:tc>
          <w:tcPr>
            <w:tcW w:w="787" w:type="pct"/>
            <w:shd w:val="clear" w:color="auto" w:fill="auto"/>
            <w:hideMark/>
          </w:tcPr>
          <w:p w14:paraId="5AA113F7" w14:textId="77777777" w:rsidR="001A5BCF" w:rsidRPr="00646254" w:rsidRDefault="001A5BCF" w:rsidP="00E96A1D">
            <w:pPr>
              <w:spacing w:after="0" w:line="240" w:lineRule="auto"/>
              <w:ind w:right="340"/>
              <w:jc w:val="right"/>
              <w:rPr>
                <w:rFonts w:cstheme="minorHAnsi"/>
                <w:color w:val="002060"/>
                <w:sz w:val="18"/>
                <w:szCs w:val="18"/>
                <w:lang w:val="sr-Cyrl-CS"/>
              </w:rPr>
            </w:pPr>
            <w:r w:rsidRPr="00646254">
              <w:rPr>
                <w:color w:val="002060"/>
                <w:sz w:val="18"/>
                <w:szCs w:val="18"/>
                <w:lang w:val="sr-Cyrl-CS"/>
              </w:rPr>
              <w:t>1.571,7</w:t>
            </w:r>
          </w:p>
        </w:tc>
        <w:tc>
          <w:tcPr>
            <w:tcW w:w="787" w:type="pct"/>
            <w:shd w:val="clear" w:color="auto" w:fill="auto"/>
            <w:noWrap/>
            <w:hideMark/>
          </w:tcPr>
          <w:p w14:paraId="7087DDF8" w14:textId="77777777" w:rsidR="001A5BCF" w:rsidRPr="00646254" w:rsidRDefault="001A5BCF" w:rsidP="00E96A1D">
            <w:pPr>
              <w:spacing w:after="0" w:line="240" w:lineRule="auto"/>
              <w:ind w:right="340"/>
              <w:jc w:val="right"/>
              <w:rPr>
                <w:rFonts w:cstheme="minorHAnsi"/>
                <w:color w:val="002060"/>
                <w:sz w:val="18"/>
                <w:szCs w:val="18"/>
                <w:lang w:val="sr-Cyrl-CS"/>
              </w:rPr>
            </w:pPr>
            <w:r w:rsidRPr="00646254">
              <w:rPr>
                <w:color w:val="002060"/>
                <w:sz w:val="18"/>
                <w:szCs w:val="18"/>
                <w:lang w:val="sr-Cyrl-CS"/>
              </w:rPr>
              <w:t>1.550,6</w:t>
            </w:r>
          </w:p>
        </w:tc>
        <w:tc>
          <w:tcPr>
            <w:tcW w:w="787" w:type="pct"/>
          </w:tcPr>
          <w:p w14:paraId="275B5ADF" w14:textId="77777777" w:rsidR="001A5BCF" w:rsidRPr="00646254" w:rsidRDefault="001A5BCF" w:rsidP="00E96A1D">
            <w:pPr>
              <w:spacing w:after="0" w:line="240" w:lineRule="auto"/>
              <w:ind w:right="510"/>
              <w:jc w:val="right"/>
              <w:rPr>
                <w:rFonts w:cstheme="minorHAnsi"/>
                <w:color w:val="002060"/>
                <w:sz w:val="18"/>
                <w:szCs w:val="18"/>
                <w:lang w:val="sr-Cyrl-CS"/>
              </w:rPr>
            </w:pPr>
            <w:r w:rsidRPr="00646254">
              <w:rPr>
                <w:color w:val="002060"/>
                <w:sz w:val="18"/>
                <w:szCs w:val="18"/>
                <w:lang w:val="sr-Cyrl-CS"/>
              </w:rPr>
              <w:t>-1,3</w:t>
            </w:r>
          </w:p>
        </w:tc>
        <w:tc>
          <w:tcPr>
            <w:tcW w:w="785" w:type="pct"/>
            <w:shd w:val="clear" w:color="auto" w:fill="auto"/>
            <w:hideMark/>
          </w:tcPr>
          <w:p w14:paraId="76B9E683" w14:textId="77777777" w:rsidR="001A5BCF" w:rsidRPr="00646254" w:rsidRDefault="001A5BCF" w:rsidP="00E96A1D">
            <w:pPr>
              <w:spacing w:after="0" w:line="240" w:lineRule="auto"/>
              <w:ind w:right="510"/>
              <w:jc w:val="right"/>
              <w:rPr>
                <w:rFonts w:cstheme="minorHAnsi"/>
                <w:color w:val="002060"/>
                <w:sz w:val="18"/>
                <w:szCs w:val="18"/>
                <w:lang w:val="sr-Cyrl-CS"/>
              </w:rPr>
            </w:pPr>
            <w:r w:rsidRPr="00646254">
              <w:rPr>
                <w:color w:val="002060"/>
                <w:sz w:val="18"/>
                <w:szCs w:val="18"/>
                <w:lang w:val="sr-Cyrl-CS"/>
              </w:rPr>
              <w:t>5,2</w:t>
            </w:r>
          </w:p>
        </w:tc>
      </w:tr>
      <w:tr w:rsidR="00262F10" w:rsidRPr="00646254" w14:paraId="6605720D" w14:textId="77777777" w:rsidTr="00E96A1D">
        <w:trPr>
          <w:trHeight w:val="39"/>
          <w:tblHeader/>
          <w:jc w:val="right"/>
        </w:trPr>
        <w:tc>
          <w:tcPr>
            <w:tcW w:w="1854" w:type="pct"/>
            <w:shd w:val="clear" w:color="auto" w:fill="auto"/>
            <w:noWrap/>
            <w:vAlign w:val="center"/>
            <w:hideMark/>
          </w:tcPr>
          <w:p w14:paraId="5FC623DF" w14:textId="77777777" w:rsidR="001A5BCF" w:rsidRPr="00646254" w:rsidRDefault="001A5BCF" w:rsidP="00E96A1D">
            <w:pPr>
              <w:spacing w:after="0" w:line="240" w:lineRule="auto"/>
              <w:jc w:val="lef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Расходи за запослене</w:t>
            </w:r>
          </w:p>
        </w:tc>
        <w:tc>
          <w:tcPr>
            <w:tcW w:w="787" w:type="pct"/>
            <w:shd w:val="clear" w:color="auto" w:fill="auto"/>
            <w:hideMark/>
          </w:tcPr>
          <w:p w14:paraId="4F5B11A7" w14:textId="77777777" w:rsidR="001A5BCF" w:rsidRPr="00646254" w:rsidRDefault="001A5BCF" w:rsidP="00E96A1D">
            <w:pPr>
              <w:spacing w:after="0" w:line="240" w:lineRule="auto"/>
              <w:ind w:right="340"/>
              <w:jc w:val="right"/>
              <w:rPr>
                <w:rFonts w:cstheme="minorHAnsi"/>
                <w:color w:val="002060"/>
                <w:sz w:val="18"/>
                <w:szCs w:val="18"/>
                <w:lang w:val="sr-Cyrl-CS"/>
              </w:rPr>
            </w:pPr>
            <w:r w:rsidRPr="00646254">
              <w:rPr>
                <w:color w:val="002060"/>
                <w:sz w:val="18"/>
                <w:szCs w:val="18"/>
                <w:lang w:val="sr-Cyrl-CS"/>
              </w:rPr>
              <w:t>378,9</w:t>
            </w:r>
          </w:p>
        </w:tc>
        <w:tc>
          <w:tcPr>
            <w:tcW w:w="787" w:type="pct"/>
            <w:shd w:val="clear" w:color="auto" w:fill="auto"/>
            <w:hideMark/>
          </w:tcPr>
          <w:p w14:paraId="73C1263B" w14:textId="77777777" w:rsidR="001A5BCF" w:rsidRPr="00646254" w:rsidRDefault="001A5BCF" w:rsidP="00E96A1D">
            <w:pPr>
              <w:spacing w:after="0" w:line="240" w:lineRule="auto"/>
              <w:ind w:right="340"/>
              <w:jc w:val="right"/>
              <w:rPr>
                <w:rFonts w:cstheme="minorHAnsi"/>
                <w:color w:val="002060"/>
                <w:sz w:val="18"/>
                <w:szCs w:val="18"/>
                <w:lang w:val="sr-Cyrl-CS"/>
              </w:rPr>
            </w:pPr>
            <w:r w:rsidRPr="00646254">
              <w:rPr>
                <w:color w:val="002060"/>
                <w:sz w:val="18"/>
                <w:szCs w:val="18"/>
                <w:lang w:val="sr-Cyrl-CS"/>
              </w:rPr>
              <w:t>410,8</w:t>
            </w:r>
          </w:p>
        </w:tc>
        <w:tc>
          <w:tcPr>
            <w:tcW w:w="787" w:type="pct"/>
          </w:tcPr>
          <w:p w14:paraId="53E49B38" w14:textId="77777777" w:rsidR="001A5BCF" w:rsidRPr="00646254" w:rsidRDefault="001A5BCF" w:rsidP="00E96A1D">
            <w:pPr>
              <w:spacing w:after="0" w:line="240" w:lineRule="auto"/>
              <w:ind w:right="510"/>
              <w:jc w:val="right"/>
              <w:rPr>
                <w:rFonts w:cstheme="minorHAnsi"/>
                <w:color w:val="002060"/>
                <w:sz w:val="18"/>
                <w:szCs w:val="18"/>
                <w:lang w:val="sr-Cyrl-CS"/>
              </w:rPr>
            </w:pPr>
            <w:r w:rsidRPr="00646254">
              <w:rPr>
                <w:color w:val="002060"/>
                <w:sz w:val="18"/>
                <w:szCs w:val="18"/>
                <w:lang w:val="sr-Cyrl-CS"/>
              </w:rPr>
              <w:t>8,4</w:t>
            </w:r>
          </w:p>
        </w:tc>
        <w:tc>
          <w:tcPr>
            <w:tcW w:w="785" w:type="pct"/>
            <w:shd w:val="clear" w:color="auto" w:fill="auto"/>
            <w:hideMark/>
          </w:tcPr>
          <w:p w14:paraId="0423A1DE" w14:textId="77777777" w:rsidR="001A5BCF" w:rsidRPr="00646254" w:rsidRDefault="001A5BCF" w:rsidP="00E96A1D">
            <w:pPr>
              <w:spacing w:after="0" w:line="240" w:lineRule="auto"/>
              <w:ind w:right="510"/>
              <w:jc w:val="right"/>
              <w:rPr>
                <w:rFonts w:cstheme="minorHAnsi"/>
                <w:color w:val="002060"/>
                <w:sz w:val="18"/>
                <w:szCs w:val="18"/>
                <w:lang w:val="sr-Cyrl-CS"/>
              </w:rPr>
            </w:pPr>
            <w:r w:rsidRPr="00646254">
              <w:rPr>
                <w:color w:val="002060"/>
                <w:sz w:val="18"/>
                <w:szCs w:val="18"/>
                <w:lang w:val="sr-Cyrl-CS"/>
              </w:rPr>
              <w:t>8,6</w:t>
            </w:r>
          </w:p>
        </w:tc>
      </w:tr>
      <w:tr w:rsidR="00262F10" w:rsidRPr="00646254" w14:paraId="34D2B20A" w14:textId="77777777" w:rsidTr="00E96A1D">
        <w:trPr>
          <w:trHeight w:val="39"/>
          <w:tblHeader/>
          <w:jc w:val="right"/>
        </w:trPr>
        <w:tc>
          <w:tcPr>
            <w:tcW w:w="1854" w:type="pct"/>
            <w:shd w:val="clear" w:color="auto" w:fill="auto"/>
            <w:noWrap/>
            <w:vAlign w:val="center"/>
            <w:hideMark/>
          </w:tcPr>
          <w:p w14:paraId="79F54399" w14:textId="77777777" w:rsidR="001A5BCF" w:rsidRPr="00646254" w:rsidRDefault="001A5BCF" w:rsidP="00E96A1D">
            <w:pPr>
              <w:spacing w:after="0" w:line="240" w:lineRule="auto"/>
              <w:jc w:val="lef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Куповина робе и услуга</w:t>
            </w:r>
          </w:p>
        </w:tc>
        <w:tc>
          <w:tcPr>
            <w:tcW w:w="787" w:type="pct"/>
            <w:shd w:val="clear" w:color="auto" w:fill="auto"/>
            <w:hideMark/>
          </w:tcPr>
          <w:p w14:paraId="512F2D7B" w14:textId="77777777" w:rsidR="001A5BCF" w:rsidRPr="00646254" w:rsidRDefault="001A5BCF" w:rsidP="00E96A1D">
            <w:pPr>
              <w:spacing w:after="0" w:line="240" w:lineRule="auto"/>
              <w:ind w:right="340"/>
              <w:jc w:val="right"/>
              <w:rPr>
                <w:rFonts w:cstheme="minorHAnsi"/>
                <w:color w:val="002060"/>
                <w:sz w:val="18"/>
                <w:szCs w:val="18"/>
                <w:lang w:val="sr-Cyrl-CS"/>
              </w:rPr>
            </w:pPr>
            <w:r w:rsidRPr="00646254">
              <w:rPr>
                <w:color w:val="002060"/>
                <w:sz w:val="18"/>
                <w:szCs w:val="18"/>
                <w:lang w:val="sr-Cyrl-CS"/>
              </w:rPr>
              <w:t>275,9</w:t>
            </w:r>
          </w:p>
        </w:tc>
        <w:tc>
          <w:tcPr>
            <w:tcW w:w="787" w:type="pct"/>
            <w:shd w:val="clear" w:color="auto" w:fill="auto"/>
            <w:hideMark/>
          </w:tcPr>
          <w:p w14:paraId="19F0ACEA" w14:textId="77777777" w:rsidR="001A5BCF" w:rsidRPr="00646254" w:rsidRDefault="001A5BCF" w:rsidP="00E96A1D">
            <w:pPr>
              <w:spacing w:after="0" w:line="240" w:lineRule="auto"/>
              <w:ind w:right="340"/>
              <w:jc w:val="right"/>
              <w:rPr>
                <w:rFonts w:cstheme="minorHAnsi"/>
                <w:color w:val="002060"/>
                <w:sz w:val="18"/>
                <w:szCs w:val="18"/>
                <w:lang w:val="sr-Cyrl-CS"/>
              </w:rPr>
            </w:pPr>
            <w:r w:rsidRPr="00646254">
              <w:rPr>
                <w:color w:val="002060"/>
                <w:sz w:val="18"/>
                <w:szCs w:val="18"/>
                <w:lang w:val="sr-Cyrl-CS"/>
              </w:rPr>
              <w:t>284,8</w:t>
            </w:r>
          </w:p>
        </w:tc>
        <w:tc>
          <w:tcPr>
            <w:tcW w:w="787" w:type="pct"/>
          </w:tcPr>
          <w:p w14:paraId="41264FB2" w14:textId="77777777" w:rsidR="001A5BCF" w:rsidRPr="00646254" w:rsidRDefault="001A5BCF" w:rsidP="00E96A1D">
            <w:pPr>
              <w:spacing w:after="0" w:line="240" w:lineRule="auto"/>
              <w:ind w:right="510"/>
              <w:jc w:val="right"/>
              <w:rPr>
                <w:rFonts w:cstheme="minorHAnsi"/>
                <w:color w:val="002060"/>
                <w:sz w:val="18"/>
                <w:szCs w:val="18"/>
                <w:lang w:val="sr-Cyrl-CS"/>
              </w:rPr>
            </w:pPr>
            <w:r w:rsidRPr="00646254">
              <w:rPr>
                <w:color w:val="002060"/>
                <w:sz w:val="18"/>
                <w:szCs w:val="18"/>
                <w:lang w:val="sr-Cyrl-CS"/>
              </w:rPr>
              <w:t>3,2</w:t>
            </w:r>
          </w:p>
        </w:tc>
        <w:tc>
          <w:tcPr>
            <w:tcW w:w="785" w:type="pct"/>
            <w:shd w:val="clear" w:color="auto" w:fill="auto"/>
            <w:hideMark/>
          </w:tcPr>
          <w:p w14:paraId="75CC2C76" w14:textId="77777777" w:rsidR="001A5BCF" w:rsidRPr="00646254" w:rsidRDefault="001A5BCF" w:rsidP="00E96A1D">
            <w:pPr>
              <w:spacing w:after="0" w:line="240" w:lineRule="auto"/>
              <w:ind w:right="510"/>
              <w:jc w:val="right"/>
              <w:rPr>
                <w:rFonts w:cstheme="minorHAnsi"/>
                <w:color w:val="002060"/>
                <w:sz w:val="18"/>
                <w:szCs w:val="18"/>
                <w:lang w:val="sr-Cyrl-CS"/>
              </w:rPr>
            </w:pPr>
            <w:r w:rsidRPr="00646254">
              <w:rPr>
                <w:color w:val="002060"/>
                <w:sz w:val="18"/>
                <w:szCs w:val="18"/>
                <w:lang w:val="sr-Cyrl-CS"/>
              </w:rPr>
              <w:t>12,5</w:t>
            </w:r>
          </w:p>
        </w:tc>
      </w:tr>
      <w:tr w:rsidR="00262F10" w:rsidRPr="00646254" w14:paraId="6E482B5E" w14:textId="77777777" w:rsidTr="00E96A1D">
        <w:trPr>
          <w:trHeight w:val="39"/>
          <w:tblHeader/>
          <w:jc w:val="right"/>
        </w:trPr>
        <w:tc>
          <w:tcPr>
            <w:tcW w:w="1854" w:type="pct"/>
            <w:shd w:val="clear" w:color="auto" w:fill="auto"/>
            <w:noWrap/>
            <w:vAlign w:val="center"/>
            <w:hideMark/>
          </w:tcPr>
          <w:p w14:paraId="1204F730" w14:textId="77777777" w:rsidR="001A5BCF" w:rsidRPr="00646254" w:rsidRDefault="001A5BCF" w:rsidP="00E96A1D">
            <w:pPr>
              <w:spacing w:after="0" w:line="240" w:lineRule="auto"/>
              <w:jc w:val="lef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Отплата камата</w:t>
            </w:r>
          </w:p>
        </w:tc>
        <w:tc>
          <w:tcPr>
            <w:tcW w:w="787" w:type="pct"/>
            <w:shd w:val="clear" w:color="auto" w:fill="auto"/>
            <w:hideMark/>
          </w:tcPr>
          <w:p w14:paraId="638B9FD6" w14:textId="77777777" w:rsidR="001A5BCF" w:rsidRPr="00646254" w:rsidRDefault="001A5BCF" w:rsidP="00E96A1D">
            <w:pPr>
              <w:spacing w:after="0" w:line="240" w:lineRule="auto"/>
              <w:ind w:right="340"/>
              <w:jc w:val="right"/>
              <w:rPr>
                <w:rFonts w:cstheme="minorHAnsi"/>
                <w:color w:val="002060"/>
                <w:sz w:val="18"/>
                <w:szCs w:val="18"/>
                <w:lang w:val="sr-Cyrl-CS"/>
              </w:rPr>
            </w:pPr>
            <w:r w:rsidRPr="00646254">
              <w:rPr>
                <w:color w:val="002060"/>
                <w:sz w:val="18"/>
                <w:szCs w:val="18"/>
                <w:lang w:val="sr-Cyrl-CS"/>
              </w:rPr>
              <w:t>76,1</w:t>
            </w:r>
          </w:p>
        </w:tc>
        <w:tc>
          <w:tcPr>
            <w:tcW w:w="787" w:type="pct"/>
            <w:shd w:val="clear" w:color="auto" w:fill="auto"/>
            <w:hideMark/>
          </w:tcPr>
          <w:p w14:paraId="7E7FC5CE" w14:textId="77777777" w:rsidR="001A5BCF" w:rsidRPr="00646254" w:rsidRDefault="001A5BCF" w:rsidP="00E96A1D">
            <w:pPr>
              <w:spacing w:after="0" w:line="240" w:lineRule="auto"/>
              <w:ind w:right="340"/>
              <w:jc w:val="right"/>
              <w:rPr>
                <w:rFonts w:cstheme="minorHAnsi"/>
                <w:color w:val="002060"/>
                <w:sz w:val="18"/>
                <w:szCs w:val="18"/>
                <w:lang w:val="sr-Cyrl-CS"/>
              </w:rPr>
            </w:pPr>
            <w:r w:rsidRPr="00646254">
              <w:rPr>
                <w:color w:val="002060"/>
                <w:sz w:val="18"/>
                <w:szCs w:val="18"/>
                <w:lang w:val="sr-Cyrl-CS"/>
              </w:rPr>
              <w:t>85,2</w:t>
            </w:r>
          </w:p>
        </w:tc>
        <w:tc>
          <w:tcPr>
            <w:tcW w:w="787" w:type="pct"/>
          </w:tcPr>
          <w:p w14:paraId="06D473B7" w14:textId="77777777" w:rsidR="001A5BCF" w:rsidRPr="00646254" w:rsidRDefault="001A5BCF" w:rsidP="00E96A1D">
            <w:pPr>
              <w:spacing w:after="0" w:line="240" w:lineRule="auto"/>
              <w:ind w:right="510"/>
              <w:jc w:val="right"/>
              <w:rPr>
                <w:rFonts w:cstheme="minorHAnsi"/>
                <w:color w:val="002060"/>
                <w:sz w:val="18"/>
                <w:szCs w:val="18"/>
                <w:lang w:val="sr-Cyrl-CS"/>
              </w:rPr>
            </w:pPr>
            <w:r w:rsidRPr="00646254">
              <w:rPr>
                <w:color w:val="002060"/>
                <w:sz w:val="18"/>
                <w:szCs w:val="18"/>
                <w:lang w:val="sr-Cyrl-CS"/>
              </w:rPr>
              <w:t>12,0</w:t>
            </w:r>
          </w:p>
        </w:tc>
        <w:tc>
          <w:tcPr>
            <w:tcW w:w="785" w:type="pct"/>
            <w:shd w:val="clear" w:color="auto" w:fill="auto"/>
            <w:hideMark/>
          </w:tcPr>
          <w:p w14:paraId="1F67DAF8" w14:textId="77777777" w:rsidR="001A5BCF" w:rsidRPr="00646254" w:rsidRDefault="001A5BCF" w:rsidP="00E96A1D">
            <w:pPr>
              <w:spacing w:after="0" w:line="240" w:lineRule="auto"/>
              <w:ind w:right="510"/>
              <w:jc w:val="right"/>
              <w:rPr>
                <w:rFonts w:cstheme="minorHAnsi"/>
                <w:color w:val="002060"/>
                <w:sz w:val="18"/>
                <w:szCs w:val="18"/>
                <w:lang w:val="sr-Cyrl-CS"/>
              </w:rPr>
            </w:pPr>
            <w:r w:rsidRPr="00646254">
              <w:rPr>
                <w:color w:val="002060"/>
                <w:sz w:val="18"/>
                <w:szCs w:val="18"/>
                <w:lang w:val="sr-Cyrl-CS"/>
              </w:rPr>
              <w:t>3,3</w:t>
            </w:r>
          </w:p>
        </w:tc>
      </w:tr>
      <w:tr w:rsidR="00262F10" w:rsidRPr="00646254" w14:paraId="52107E2D" w14:textId="77777777" w:rsidTr="00E96A1D">
        <w:trPr>
          <w:trHeight w:val="39"/>
          <w:tblHeader/>
          <w:jc w:val="right"/>
        </w:trPr>
        <w:tc>
          <w:tcPr>
            <w:tcW w:w="1854" w:type="pct"/>
            <w:shd w:val="clear" w:color="auto" w:fill="auto"/>
            <w:noWrap/>
            <w:vAlign w:val="center"/>
            <w:hideMark/>
          </w:tcPr>
          <w:p w14:paraId="61B495BB" w14:textId="77777777" w:rsidR="001A5BCF" w:rsidRPr="00646254" w:rsidRDefault="001A5BCF" w:rsidP="00E96A1D">
            <w:pPr>
              <w:spacing w:after="0" w:line="240" w:lineRule="auto"/>
              <w:jc w:val="lef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Субвенције</w:t>
            </w:r>
          </w:p>
        </w:tc>
        <w:tc>
          <w:tcPr>
            <w:tcW w:w="787" w:type="pct"/>
            <w:shd w:val="clear" w:color="auto" w:fill="auto"/>
            <w:hideMark/>
          </w:tcPr>
          <w:p w14:paraId="67E10604" w14:textId="77777777" w:rsidR="001A5BCF" w:rsidRPr="00646254" w:rsidRDefault="001A5BCF" w:rsidP="00E96A1D">
            <w:pPr>
              <w:spacing w:after="0" w:line="240" w:lineRule="auto"/>
              <w:ind w:right="340"/>
              <w:jc w:val="right"/>
              <w:rPr>
                <w:rFonts w:cstheme="minorHAnsi"/>
                <w:color w:val="002060"/>
                <w:sz w:val="18"/>
                <w:szCs w:val="18"/>
                <w:lang w:val="sr-Cyrl-CS"/>
              </w:rPr>
            </w:pPr>
            <w:r w:rsidRPr="00646254">
              <w:rPr>
                <w:color w:val="002060"/>
                <w:sz w:val="18"/>
                <w:szCs w:val="18"/>
                <w:lang w:val="sr-Cyrl-CS"/>
              </w:rPr>
              <w:t>181,0</w:t>
            </w:r>
          </w:p>
        </w:tc>
        <w:tc>
          <w:tcPr>
            <w:tcW w:w="787" w:type="pct"/>
            <w:shd w:val="clear" w:color="auto" w:fill="auto"/>
            <w:hideMark/>
          </w:tcPr>
          <w:p w14:paraId="3EB0B48D" w14:textId="77777777" w:rsidR="001A5BCF" w:rsidRPr="00646254" w:rsidRDefault="001A5BCF" w:rsidP="00E96A1D">
            <w:pPr>
              <w:spacing w:after="0" w:line="240" w:lineRule="auto"/>
              <w:ind w:right="340"/>
              <w:jc w:val="right"/>
              <w:rPr>
                <w:rFonts w:cstheme="minorHAnsi"/>
                <w:color w:val="002060"/>
                <w:sz w:val="18"/>
                <w:szCs w:val="18"/>
                <w:lang w:val="sr-Cyrl-CS"/>
              </w:rPr>
            </w:pPr>
            <w:r w:rsidRPr="00646254">
              <w:rPr>
                <w:color w:val="002060"/>
                <w:sz w:val="18"/>
                <w:szCs w:val="18"/>
                <w:lang w:val="sr-Cyrl-CS"/>
              </w:rPr>
              <w:t>133,0</w:t>
            </w:r>
          </w:p>
        </w:tc>
        <w:tc>
          <w:tcPr>
            <w:tcW w:w="787" w:type="pct"/>
          </w:tcPr>
          <w:p w14:paraId="1C0B4AAF" w14:textId="77777777" w:rsidR="001A5BCF" w:rsidRPr="00646254" w:rsidRDefault="001A5BCF" w:rsidP="00E96A1D">
            <w:pPr>
              <w:spacing w:after="0" w:line="240" w:lineRule="auto"/>
              <w:ind w:right="510"/>
              <w:jc w:val="right"/>
              <w:rPr>
                <w:rFonts w:cstheme="minorHAnsi"/>
                <w:color w:val="002060"/>
                <w:sz w:val="18"/>
                <w:szCs w:val="18"/>
                <w:lang w:val="sr-Cyrl-CS"/>
              </w:rPr>
            </w:pPr>
            <w:r w:rsidRPr="00646254">
              <w:rPr>
                <w:color w:val="002060"/>
                <w:sz w:val="18"/>
                <w:szCs w:val="18"/>
                <w:lang w:val="sr-Cyrl-CS"/>
              </w:rPr>
              <w:t>-26,5</w:t>
            </w:r>
          </w:p>
        </w:tc>
        <w:tc>
          <w:tcPr>
            <w:tcW w:w="785" w:type="pct"/>
            <w:shd w:val="clear" w:color="auto" w:fill="auto"/>
            <w:hideMark/>
          </w:tcPr>
          <w:p w14:paraId="783CDDA8" w14:textId="77777777" w:rsidR="001A5BCF" w:rsidRPr="00646254" w:rsidRDefault="001A5BCF" w:rsidP="00E96A1D">
            <w:pPr>
              <w:spacing w:after="0" w:line="240" w:lineRule="auto"/>
              <w:ind w:right="510"/>
              <w:jc w:val="right"/>
              <w:rPr>
                <w:rFonts w:cstheme="minorHAnsi"/>
                <w:color w:val="002060"/>
                <w:sz w:val="18"/>
                <w:szCs w:val="18"/>
                <w:lang w:val="sr-Cyrl-CS"/>
              </w:rPr>
            </w:pPr>
            <w:r w:rsidRPr="00646254">
              <w:rPr>
                <w:color w:val="002060"/>
                <w:sz w:val="18"/>
                <w:szCs w:val="18"/>
                <w:lang w:val="sr-Cyrl-CS"/>
              </w:rPr>
              <w:t>-15,3</w:t>
            </w:r>
          </w:p>
        </w:tc>
      </w:tr>
      <w:tr w:rsidR="00262F10" w:rsidRPr="00646254" w14:paraId="79EF9145" w14:textId="77777777" w:rsidTr="00E96A1D">
        <w:trPr>
          <w:trHeight w:val="39"/>
          <w:tblHeader/>
          <w:jc w:val="right"/>
        </w:trPr>
        <w:tc>
          <w:tcPr>
            <w:tcW w:w="1854" w:type="pct"/>
            <w:shd w:val="clear" w:color="auto" w:fill="auto"/>
            <w:noWrap/>
            <w:vAlign w:val="center"/>
            <w:hideMark/>
          </w:tcPr>
          <w:p w14:paraId="5DC55FD5" w14:textId="77777777" w:rsidR="001A5BCF" w:rsidRPr="00646254" w:rsidRDefault="001A5BCF" w:rsidP="00E96A1D">
            <w:pPr>
              <w:spacing w:after="0" w:line="240" w:lineRule="auto"/>
              <w:jc w:val="lef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Социјална помоћ и трансфери</w:t>
            </w:r>
          </w:p>
        </w:tc>
        <w:tc>
          <w:tcPr>
            <w:tcW w:w="787" w:type="pct"/>
            <w:shd w:val="clear" w:color="auto" w:fill="auto"/>
            <w:hideMark/>
          </w:tcPr>
          <w:p w14:paraId="77FA6643" w14:textId="77777777" w:rsidR="001A5BCF" w:rsidRPr="00646254" w:rsidRDefault="001A5BCF" w:rsidP="00E96A1D">
            <w:pPr>
              <w:spacing w:after="0" w:line="240" w:lineRule="auto"/>
              <w:ind w:right="340"/>
              <w:jc w:val="right"/>
              <w:rPr>
                <w:rFonts w:cstheme="minorHAnsi"/>
                <w:color w:val="002060"/>
                <w:sz w:val="18"/>
                <w:szCs w:val="18"/>
                <w:lang w:val="sr-Cyrl-CS"/>
              </w:rPr>
            </w:pPr>
            <w:r w:rsidRPr="00646254">
              <w:rPr>
                <w:color w:val="002060"/>
                <w:sz w:val="18"/>
                <w:szCs w:val="18"/>
                <w:lang w:val="sr-Cyrl-CS"/>
              </w:rPr>
              <w:t>528,8</w:t>
            </w:r>
          </w:p>
        </w:tc>
        <w:tc>
          <w:tcPr>
            <w:tcW w:w="787" w:type="pct"/>
            <w:shd w:val="clear" w:color="auto" w:fill="auto"/>
            <w:hideMark/>
          </w:tcPr>
          <w:p w14:paraId="5C320A28" w14:textId="77777777" w:rsidR="001A5BCF" w:rsidRPr="00646254" w:rsidRDefault="001A5BCF" w:rsidP="00E96A1D">
            <w:pPr>
              <w:spacing w:after="0" w:line="240" w:lineRule="auto"/>
              <w:ind w:right="340"/>
              <w:jc w:val="right"/>
              <w:rPr>
                <w:rFonts w:cstheme="minorHAnsi"/>
                <w:color w:val="002060"/>
                <w:sz w:val="18"/>
                <w:szCs w:val="18"/>
                <w:lang w:val="sr-Cyrl-CS"/>
              </w:rPr>
            </w:pPr>
            <w:r w:rsidRPr="00646254">
              <w:rPr>
                <w:color w:val="002060"/>
                <w:sz w:val="18"/>
                <w:szCs w:val="18"/>
                <w:lang w:val="sr-Cyrl-CS"/>
              </w:rPr>
              <w:t>554,9</w:t>
            </w:r>
          </w:p>
        </w:tc>
        <w:tc>
          <w:tcPr>
            <w:tcW w:w="787" w:type="pct"/>
          </w:tcPr>
          <w:p w14:paraId="06BC7714" w14:textId="77777777" w:rsidR="001A5BCF" w:rsidRPr="00646254" w:rsidRDefault="001A5BCF" w:rsidP="00E96A1D">
            <w:pPr>
              <w:spacing w:after="0" w:line="240" w:lineRule="auto"/>
              <w:ind w:right="510"/>
              <w:jc w:val="right"/>
              <w:rPr>
                <w:rFonts w:cstheme="minorHAnsi"/>
                <w:color w:val="002060"/>
                <w:sz w:val="18"/>
                <w:szCs w:val="18"/>
                <w:lang w:val="sr-Cyrl-CS"/>
              </w:rPr>
            </w:pPr>
            <w:r w:rsidRPr="00646254">
              <w:rPr>
                <w:color w:val="002060"/>
                <w:sz w:val="18"/>
                <w:szCs w:val="18"/>
                <w:lang w:val="sr-Cyrl-CS"/>
              </w:rPr>
              <w:t>4,9</w:t>
            </w:r>
          </w:p>
        </w:tc>
        <w:tc>
          <w:tcPr>
            <w:tcW w:w="785" w:type="pct"/>
            <w:shd w:val="clear" w:color="auto" w:fill="auto"/>
            <w:hideMark/>
          </w:tcPr>
          <w:p w14:paraId="0730E5E1" w14:textId="77777777" w:rsidR="001A5BCF" w:rsidRPr="00646254" w:rsidRDefault="001A5BCF" w:rsidP="00E96A1D">
            <w:pPr>
              <w:spacing w:after="0" w:line="240" w:lineRule="auto"/>
              <w:ind w:right="510"/>
              <w:jc w:val="right"/>
              <w:rPr>
                <w:rFonts w:cstheme="minorHAnsi"/>
                <w:color w:val="002060"/>
                <w:sz w:val="18"/>
                <w:szCs w:val="18"/>
                <w:lang w:val="sr-Cyrl-CS"/>
              </w:rPr>
            </w:pPr>
            <w:r w:rsidRPr="00646254">
              <w:rPr>
                <w:color w:val="002060"/>
                <w:sz w:val="18"/>
                <w:szCs w:val="18"/>
                <w:lang w:val="sr-Cyrl-CS"/>
              </w:rPr>
              <w:t>6,4</w:t>
            </w:r>
          </w:p>
        </w:tc>
      </w:tr>
      <w:tr w:rsidR="00262F10" w:rsidRPr="00646254" w14:paraId="112FB346" w14:textId="77777777" w:rsidTr="00E96A1D">
        <w:trPr>
          <w:trHeight w:val="39"/>
          <w:tblHeader/>
          <w:jc w:val="right"/>
        </w:trPr>
        <w:tc>
          <w:tcPr>
            <w:tcW w:w="1854" w:type="pct"/>
            <w:shd w:val="clear" w:color="auto" w:fill="auto"/>
            <w:noWrap/>
            <w:vAlign w:val="center"/>
            <w:hideMark/>
          </w:tcPr>
          <w:p w14:paraId="76A50E88" w14:textId="77777777" w:rsidR="001A5BCF" w:rsidRPr="00646254" w:rsidRDefault="001A5BCF" w:rsidP="00E96A1D">
            <w:pPr>
              <w:spacing w:after="0" w:line="240" w:lineRule="auto"/>
              <w:jc w:val="lef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од чега пензије</w:t>
            </w:r>
          </w:p>
        </w:tc>
        <w:tc>
          <w:tcPr>
            <w:tcW w:w="787" w:type="pct"/>
            <w:shd w:val="clear" w:color="auto" w:fill="auto"/>
            <w:hideMark/>
          </w:tcPr>
          <w:p w14:paraId="352B6B06" w14:textId="77777777" w:rsidR="001A5BCF" w:rsidRPr="00646254" w:rsidRDefault="001A5BCF" w:rsidP="00E96A1D">
            <w:pPr>
              <w:spacing w:after="0" w:line="240" w:lineRule="auto"/>
              <w:ind w:right="340"/>
              <w:jc w:val="right"/>
              <w:rPr>
                <w:rFonts w:cstheme="minorHAnsi"/>
                <w:color w:val="002060"/>
                <w:sz w:val="18"/>
                <w:szCs w:val="18"/>
                <w:lang w:val="sr-Cyrl-CS"/>
              </w:rPr>
            </w:pPr>
            <w:r w:rsidRPr="00646254">
              <w:rPr>
                <w:color w:val="002060"/>
                <w:sz w:val="18"/>
                <w:szCs w:val="18"/>
                <w:lang w:val="sr-Cyrl-CS"/>
              </w:rPr>
              <w:t>388,7</w:t>
            </w:r>
          </w:p>
        </w:tc>
        <w:tc>
          <w:tcPr>
            <w:tcW w:w="787" w:type="pct"/>
            <w:shd w:val="clear" w:color="auto" w:fill="auto"/>
            <w:hideMark/>
          </w:tcPr>
          <w:p w14:paraId="5DB58325" w14:textId="77777777" w:rsidR="001A5BCF" w:rsidRPr="00646254" w:rsidRDefault="001A5BCF" w:rsidP="00E96A1D">
            <w:pPr>
              <w:spacing w:after="0" w:line="240" w:lineRule="auto"/>
              <w:ind w:right="340"/>
              <w:jc w:val="right"/>
              <w:rPr>
                <w:rFonts w:cstheme="minorHAnsi"/>
                <w:color w:val="002060"/>
                <w:sz w:val="18"/>
                <w:szCs w:val="18"/>
                <w:lang w:val="sr-Cyrl-CS"/>
              </w:rPr>
            </w:pPr>
            <w:r w:rsidRPr="00646254">
              <w:rPr>
                <w:color w:val="002060"/>
                <w:sz w:val="18"/>
                <w:szCs w:val="18"/>
                <w:lang w:val="sr-Cyrl-CS"/>
              </w:rPr>
              <w:t>406,3</w:t>
            </w:r>
          </w:p>
        </w:tc>
        <w:tc>
          <w:tcPr>
            <w:tcW w:w="787" w:type="pct"/>
          </w:tcPr>
          <w:p w14:paraId="1775049A" w14:textId="77777777" w:rsidR="001A5BCF" w:rsidRPr="00646254" w:rsidRDefault="001A5BCF" w:rsidP="00E96A1D">
            <w:pPr>
              <w:spacing w:after="0" w:line="240" w:lineRule="auto"/>
              <w:ind w:right="510"/>
              <w:jc w:val="right"/>
              <w:rPr>
                <w:rFonts w:cstheme="minorHAnsi"/>
                <w:color w:val="002060"/>
                <w:sz w:val="18"/>
                <w:szCs w:val="18"/>
                <w:lang w:val="sr-Cyrl-CS"/>
              </w:rPr>
            </w:pPr>
            <w:r w:rsidRPr="00646254">
              <w:rPr>
                <w:color w:val="002060"/>
                <w:sz w:val="18"/>
                <w:szCs w:val="18"/>
                <w:lang w:val="sr-Cyrl-CS"/>
              </w:rPr>
              <w:t>4,5</w:t>
            </w:r>
          </w:p>
        </w:tc>
        <w:tc>
          <w:tcPr>
            <w:tcW w:w="785" w:type="pct"/>
            <w:shd w:val="clear" w:color="auto" w:fill="auto"/>
            <w:hideMark/>
          </w:tcPr>
          <w:p w14:paraId="7F3E3978" w14:textId="77777777" w:rsidR="001A5BCF" w:rsidRPr="00646254" w:rsidRDefault="001A5BCF" w:rsidP="00E96A1D">
            <w:pPr>
              <w:spacing w:after="0" w:line="240" w:lineRule="auto"/>
              <w:ind w:right="510"/>
              <w:jc w:val="right"/>
              <w:rPr>
                <w:rFonts w:cstheme="minorHAnsi"/>
                <w:color w:val="002060"/>
                <w:sz w:val="18"/>
                <w:szCs w:val="18"/>
                <w:lang w:val="sr-Cyrl-CS"/>
              </w:rPr>
            </w:pPr>
            <w:r w:rsidRPr="00646254">
              <w:rPr>
                <w:color w:val="002060"/>
                <w:sz w:val="18"/>
                <w:szCs w:val="18"/>
                <w:lang w:val="sr-Cyrl-CS"/>
              </w:rPr>
              <w:t>4,9</w:t>
            </w:r>
          </w:p>
        </w:tc>
      </w:tr>
      <w:tr w:rsidR="00262F10" w:rsidRPr="00646254" w14:paraId="676271AB" w14:textId="77777777" w:rsidTr="00E96A1D">
        <w:trPr>
          <w:trHeight w:val="39"/>
          <w:tblHeader/>
          <w:jc w:val="right"/>
        </w:trPr>
        <w:tc>
          <w:tcPr>
            <w:tcW w:w="1854" w:type="pct"/>
            <w:shd w:val="clear" w:color="auto" w:fill="auto"/>
            <w:noWrap/>
            <w:vAlign w:val="center"/>
            <w:hideMark/>
          </w:tcPr>
          <w:p w14:paraId="6DFD2F83" w14:textId="77777777" w:rsidR="001A5BCF" w:rsidRPr="00646254" w:rsidRDefault="001A5BCF" w:rsidP="00E96A1D">
            <w:pPr>
              <w:spacing w:after="0" w:line="240" w:lineRule="auto"/>
              <w:jc w:val="lef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Остали текући расходи</w:t>
            </w:r>
          </w:p>
        </w:tc>
        <w:tc>
          <w:tcPr>
            <w:tcW w:w="787" w:type="pct"/>
            <w:shd w:val="clear" w:color="auto" w:fill="auto"/>
            <w:hideMark/>
          </w:tcPr>
          <w:p w14:paraId="25149F71" w14:textId="77777777" w:rsidR="001A5BCF" w:rsidRPr="00646254" w:rsidRDefault="001A5BCF" w:rsidP="00E96A1D">
            <w:pPr>
              <w:spacing w:after="0" w:line="240" w:lineRule="auto"/>
              <w:ind w:right="340"/>
              <w:jc w:val="right"/>
              <w:rPr>
                <w:rFonts w:cstheme="minorHAnsi"/>
                <w:color w:val="002060"/>
                <w:sz w:val="18"/>
                <w:szCs w:val="18"/>
                <w:lang w:val="sr-Cyrl-CS"/>
              </w:rPr>
            </w:pPr>
            <w:r w:rsidRPr="00646254">
              <w:rPr>
                <w:color w:val="002060"/>
                <w:sz w:val="18"/>
                <w:szCs w:val="18"/>
                <w:lang w:val="sr-Cyrl-CS"/>
              </w:rPr>
              <w:t>131,0</w:t>
            </w:r>
          </w:p>
        </w:tc>
        <w:tc>
          <w:tcPr>
            <w:tcW w:w="787" w:type="pct"/>
            <w:shd w:val="clear" w:color="auto" w:fill="auto"/>
            <w:hideMark/>
          </w:tcPr>
          <w:p w14:paraId="2335666E" w14:textId="77777777" w:rsidR="001A5BCF" w:rsidRPr="00646254" w:rsidRDefault="001A5BCF" w:rsidP="00E96A1D">
            <w:pPr>
              <w:spacing w:after="0" w:line="240" w:lineRule="auto"/>
              <w:ind w:right="340"/>
              <w:jc w:val="right"/>
              <w:rPr>
                <w:rFonts w:cstheme="minorHAnsi"/>
                <w:color w:val="002060"/>
                <w:sz w:val="18"/>
                <w:szCs w:val="18"/>
                <w:lang w:val="sr-Cyrl-CS"/>
              </w:rPr>
            </w:pPr>
            <w:r w:rsidRPr="00646254">
              <w:rPr>
                <w:color w:val="002060"/>
                <w:sz w:val="18"/>
                <w:szCs w:val="18"/>
                <w:lang w:val="sr-Cyrl-CS"/>
              </w:rPr>
              <w:t>81,9</w:t>
            </w:r>
          </w:p>
        </w:tc>
        <w:tc>
          <w:tcPr>
            <w:tcW w:w="787" w:type="pct"/>
          </w:tcPr>
          <w:p w14:paraId="52A73C29" w14:textId="77777777" w:rsidR="001A5BCF" w:rsidRPr="00646254" w:rsidRDefault="001A5BCF" w:rsidP="00E96A1D">
            <w:pPr>
              <w:spacing w:after="0" w:line="240" w:lineRule="auto"/>
              <w:ind w:right="510"/>
              <w:jc w:val="right"/>
              <w:rPr>
                <w:rFonts w:cstheme="minorHAnsi"/>
                <w:color w:val="002060"/>
                <w:sz w:val="18"/>
                <w:szCs w:val="18"/>
                <w:lang w:val="sr-Cyrl-CS"/>
              </w:rPr>
            </w:pPr>
            <w:r w:rsidRPr="00646254">
              <w:rPr>
                <w:color w:val="002060"/>
                <w:sz w:val="18"/>
                <w:szCs w:val="18"/>
                <w:lang w:val="sr-Cyrl-CS"/>
              </w:rPr>
              <w:t>-37,5</w:t>
            </w:r>
          </w:p>
        </w:tc>
        <w:tc>
          <w:tcPr>
            <w:tcW w:w="785" w:type="pct"/>
            <w:shd w:val="clear" w:color="auto" w:fill="auto"/>
            <w:hideMark/>
          </w:tcPr>
          <w:p w14:paraId="74BBE58E" w14:textId="77777777" w:rsidR="001A5BCF" w:rsidRPr="00646254" w:rsidRDefault="001A5BCF" w:rsidP="00E96A1D">
            <w:pPr>
              <w:spacing w:after="0" w:line="240" w:lineRule="auto"/>
              <w:ind w:right="510"/>
              <w:jc w:val="right"/>
              <w:rPr>
                <w:rFonts w:cstheme="minorHAnsi"/>
                <w:color w:val="002060"/>
                <w:sz w:val="18"/>
                <w:szCs w:val="18"/>
                <w:lang w:val="sr-Cyrl-CS"/>
              </w:rPr>
            </w:pPr>
            <w:r w:rsidRPr="00646254">
              <w:rPr>
                <w:color w:val="002060"/>
                <w:sz w:val="18"/>
                <w:szCs w:val="18"/>
                <w:lang w:val="sr-Cyrl-CS"/>
              </w:rPr>
              <w:t>-0,2</w:t>
            </w:r>
          </w:p>
        </w:tc>
      </w:tr>
      <w:tr w:rsidR="00262F10" w:rsidRPr="00646254" w14:paraId="52D3A54C" w14:textId="77777777" w:rsidTr="00E96A1D">
        <w:trPr>
          <w:trHeight w:val="39"/>
          <w:tblHeader/>
          <w:jc w:val="right"/>
        </w:trPr>
        <w:tc>
          <w:tcPr>
            <w:tcW w:w="1854" w:type="pct"/>
            <w:shd w:val="clear" w:color="auto" w:fill="auto"/>
            <w:noWrap/>
            <w:vAlign w:val="center"/>
            <w:hideMark/>
          </w:tcPr>
          <w:p w14:paraId="46AF9B57" w14:textId="77777777" w:rsidR="001A5BCF" w:rsidRPr="00646254" w:rsidRDefault="001A5BCF" w:rsidP="00E96A1D">
            <w:pPr>
              <w:spacing w:after="0" w:line="240" w:lineRule="auto"/>
              <w:jc w:val="lef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Капитални расходи</w:t>
            </w:r>
          </w:p>
        </w:tc>
        <w:tc>
          <w:tcPr>
            <w:tcW w:w="787" w:type="pct"/>
            <w:shd w:val="clear" w:color="auto" w:fill="auto"/>
            <w:hideMark/>
          </w:tcPr>
          <w:p w14:paraId="59E739DC" w14:textId="77777777" w:rsidR="001A5BCF" w:rsidRPr="00646254" w:rsidRDefault="001A5BCF" w:rsidP="00E96A1D">
            <w:pPr>
              <w:spacing w:after="0" w:line="240" w:lineRule="auto"/>
              <w:ind w:right="340"/>
              <w:jc w:val="right"/>
              <w:rPr>
                <w:rFonts w:cstheme="minorHAnsi"/>
                <w:color w:val="002060"/>
                <w:sz w:val="18"/>
                <w:szCs w:val="18"/>
                <w:lang w:val="sr-Cyrl-CS"/>
              </w:rPr>
            </w:pPr>
            <w:r w:rsidRPr="00646254">
              <w:rPr>
                <w:color w:val="002060"/>
                <w:sz w:val="18"/>
                <w:szCs w:val="18"/>
                <w:lang w:val="sr-Cyrl-CS"/>
              </w:rPr>
              <w:t>155,7</w:t>
            </w:r>
          </w:p>
        </w:tc>
        <w:tc>
          <w:tcPr>
            <w:tcW w:w="787" w:type="pct"/>
            <w:shd w:val="clear" w:color="auto" w:fill="auto"/>
            <w:hideMark/>
          </w:tcPr>
          <w:p w14:paraId="16A3A449" w14:textId="77777777" w:rsidR="001A5BCF" w:rsidRPr="00646254" w:rsidRDefault="001A5BCF" w:rsidP="00E96A1D">
            <w:pPr>
              <w:spacing w:after="0" w:line="240" w:lineRule="auto"/>
              <w:ind w:right="340"/>
              <w:jc w:val="right"/>
              <w:rPr>
                <w:rFonts w:cstheme="minorHAnsi"/>
                <w:color w:val="002060"/>
                <w:sz w:val="18"/>
                <w:szCs w:val="18"/>
                <w:lang w:val="sr-Cyrl-CS"/>
              </w:rPr>
            </w:pPr>
            <w:r w:rsidRPr="00646254">
              <w:rPr>
                <w:color w:val="002060"/>
                <w:sz w:val="18"/>
                <w:szCs w:val="18"/>
                <w:lang w:val="sr-Cyrl-CS"/>
              </w:rPr>
              <w:t>218,2</w:t>
            </w:r>
          </w:p>
        </w:tc>
        <w:tc>
          <w:tcPr>
            <w:tcW w:w="787" w:type="pct"/>
          </w:tcPr>
          <w:p w14:paraId="1EE2458F" w14:textId="77777777" w:rsidR="001A5BCF" w:rsidRPr="00646254" w:rsidRDefault="001A5BCF" w:rsidP="00E96A1D">
            <w:pPr>
              <w:spacing w:after="0" w:line="240" w:lineRule="auto"/>
              <w:ind w:right="510"/>
              <w:jc w:val="right"/>
              <w:rPr>
                <w:rFonts w:cstheme="minorHAnsi"/>
                <w:color w:val="002060"/>
                <w:sz w:val="18"/>
                <w:szCs w:val="18"/>
                <w:lang w:val="sr-Cyrl-CS"/>
              </w:rPr>
            </w:pPr>
            <w:r w:rsidRPr="00646254">
              <w:rPr>
                <w:color w:val="002060"/>
                <w:sz w:val="18"/>
                <w:szCs w:val="18"/>
                <w:lang w:val="sr-Cyrl-CS"/>
              </w:rPr>
              <w:t>40,1</w:t>
            </w:r>
          </w:p>
        </w:tc>
        <w:tc>
          <w:tcPr>
            <w:tcW w:w="785" w:type="pct"/>
            <w:shd w:val="clear" w:color="auto" w:fill="auto"/>
            <w:hideMark/>
          </w:tcPr>
          <w:p w14:paraId="69934BE6" w14:textId="77777777" w:rsidR="001A5BCF" w:rsidRPr="00646254" w:rsidRDefault="001A5BCF" w:rsidP="00E96A1D">
            <w:pPr>
              <w:spacing w:after="0" w:line="240" w:lineRule="auto"/>
              <w:ind w:right="510"/>
              <w:jc w:val="right"/>
              <w:rPr>
                <w:rFonts w:cstheme="minorHAnsi"/>
                <w:color w:val="002060"/>
                <w:sz w:val="18"/>
                <w:szCs w:val="18"/>
                <w:lang w:val="sr-Cyrl-CS"/>
              </w:rPr>
            </w:pPr>
            <w:r w:rsidRPr="00646254">
              <w:rPr>
                <w:color w:val="002060"/>
                <w:sz w:val="18"/>
                <w:szCs w:val="18"/>
                <w:lang w:val="sr-Cyrl-CS"/>
              </w:rPr>
              <w:t>63,2</w:t>
            </w:r>
          </w:p>
        </w:tc>
      </w:tr>
      <w:tr w:rsidR="00262F10" w:rsidRPr="00646254" w14:paraId="3A2B0718" w14:textId="77777777" w:rsidTr="00E96A1D">
        <w:trPr>
          <w:trHeight w:val="39"/>
          <w:tblHeader/>
          <w:jc w:val="right"/>
        </w:trPr>
        <w:tc>
          <w:tcPr>
            <w:tcW w:w="1854" w:type="pct"/>
            <w:shd w:val="clear" w:color="auto" w:fill="auto"/>
            <w:noWrap/>
            <w:vAlign w:val="center"/>
            <w:hideMark/>
          </w:tcPr>
          <w:p w14:paraId="1C794049" w14:textId="77777777" w:rsidR="001A5BCF" w:rsidRPr="00646254" w:rsidRDefault="001A5BCF" w:rsidP="00E96A1D">
            <w:pPr>
              <w:spacing w:after="0" w:line="240" w:lineRule="auto"/>
              <w:jc w:val="lef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Нето буџетске позајмице</w:t>
            </w:r>
          </w:p>
        </w:tc>
        <w:tc>
          <w:tcPr>
            <w:tcW w:w="787" w:type="pct"/>
            <w:shd w:val="clear" w:color="auto" w:fill="auto"/>
            <w:hideMark/>
          </w:tcPr>
          <w:p w14:paraId="72A3E4AB" w14:textId="77777777" w:rsidR="001A5BCF" w:rsidRPr="00646254" w:rsidRDefault="001A5BCF" w:rsidP="00E96A1D">
            <w:pPr>
              <w:spacing w:after="0" w:line="240" w:lineRule="auto"/>
              <w:ind w:right="340"/>
              <w:jc w:val="right"/>
              <w:rPr>
                <w:rFonts w:cstheme="minorHAnsi"/>
                <w:color w:val="002060"/>
                <w:sz w:val="18"/>
                <w:szCs w:val="18"/>
                <w:lang w:val="sr-Cyrl-CS"/>
              </w:rPr>
            </w:pPr>
            <w:r w:rsidRPr="00646254">
              <w:rPr>
                <w:color w:val="002060"/>
                <w:sz w:val="18"/>
                <w:szCs w:val="18"/>
                <w:lang w:val="sr-Cyrl-CS"/>
              </w:rPr>
              <w:t>21,4</w:t>
            </w:r>
          </w:p>
        </w:tc>
        <w:tc>
          <w:tcPr>
            <w:tcW w:w="787" w:type="pct"/>
            <w:shd w:val="clear" w:color="auto" w:fill="auto"/>
            <w:hideMark/>
          </w:tcPr>
          <w:p w14:paraId="14885E26" w14:textId="77777777" w:rsidR="001A5BCF" w:rsidRPr="00646254" w:rsidRDefault="001A5BCF" w:rsidP="00E96A1D">
            <w:pPr>
              <w:spacing w:after="0" w:line="240" w:lineRule="auto"/>
              <w:ind w:right="340"/>
              <w:jc w:val="right"/>
              <w:rPr>
                <w:rFonts w:cstheme="minorHAnsi"/>
                <w:color w:val="002060"/>
                <w:sz w:val="18"/>
                <w:szCs w:val="18"/>
                <w:lang w:val="sr-Cyrl-CS"/>
              </w:rPr>
            </w:pPr>
            <w:r w:rsidRPr="00646254">
              <w:rPr>
                <w:color w:val="002060"/>
                <w:sz w:val="18"/>
                <w:szCs w:val="18"/>
                <w:lang w:val="sr-Cyrl-CS"/>
              </w:rPr>
              <w:t>11,1</w:t>
            </w:r>
          </w:p>
        </w:tc>
        <w:tc>
          <w:tcPr>
            <w:tcW w:w="787" w:type="pct"/>
          </w:tcPr>
          <w:p w14:paraId="4E908C2E" w14:textId="77777777" w:rsidR="001A5BCF" w:rsidRPr="00646254" w:rsidRDefault="001A5BCF" w:rsidP="00E96A1D">
            <w:pPr>
              <w:spacing w:after="0" w:line="240" w:lineRule="auto"/>
              <w:ind w:right="510"/>
              <w:jc w:val="right"/>
              <w:rPr>
                <w:rFonts w:cstheme="minorHAnsi"/>
                <w:color w:val="002060"/>
                <w:sz w:val="18"/>
                <w:szCs w:val="18"/>
                <w:lang w:val="sr-Cyrl-CS"/>
              </w:rPr>
            </w:pPr>
            <w:r w:rsidRPr="00646254">
              <w:rPr>
                <w:color w:val="002060"/>
                <w:sz w:val="18"/>
                <w:szCs w:val="18"/>
                <w:lang w:val="sr-Cyrl-CS"/>
              </w:rPr>
              <w:t>-47,9</w:t>
            </w:r>
          </w:p>
        </w:tc>
        <w:tc>
          <w:tcPr>
            <w:tcW w:w="785" w:type="pct"/>
            <w:shd w:val="clear" w:color="auto" w:fill="auto"/>
            <w:hideMark/>
          </w:tcPr>
          <w:p w14:paraId="1A5E9947" w14:textId="77777777" w:rsidR="001A5BCF" w:rsidRPr="00646254" w:rsidRDefault="001A5BCF" w:rsidP="00E96A1D">
            <w:pPr>
              <w:spacing w:after="0" w:line="240" w:lineRule="auto"/>
              <w:ind w:right="510"/>
              <w:jc w:val="right"/>
              <w:rPr>
                <w:rFonts w:cstheme="minorHAnsi"/>
                <w:color w:val="002060"/>
                <w:sz w:val="18"/>
                <w:szCs w:val="18"/>
                <w:lang w:val="sr-Cyrl-CS"/>
              </w:rPr>
            </w:pPr>
            <w:r w:rsidRPr="00646254">
              <w:rPr>
                <w:color w:val="002060"/>
                <w:sz w:val="18"/>
                <w:szCs w:val="18"/>
                <w:lang w:val="sr-Cyrl-CS"/>
              </w:rPr>
              <w:t>-49,5</w:t>
            </w:r>
          </w:p>
        </w:tc>
      </w:tr>
      <w:tr w:rsidR="00262F10" w:rsidRPr="00646254" w14:paraId="14D9E248" w14:textId="77777777" w:rsidTr="00E96A1D">
        <w:trPr>
          <w:trHeight w:val="39"/>
          <w:tblHeader/>
          <w:jc w:val="right"/>
        </w:trPr>
        <w:tc>
          <w:tcPr>
            <w:tcW w:w="1854" w:type="pct"/>
            <w:shd w:val="clear" w:color="auto" w:fill="auto"/>
            <w:noWrap/>
            <w:vAlign w:val="center"/>
            <w:hideMark/>
          </w:tcPr>
          <w:p w14:paraId="1FBBF671" w14:textId="77777777" w:rsidR="001A5BCF" w:rsidRPr="00646254" w:rsidRDefault="001A5BCF" w:rsidP="00E96A1D">
            <w:pPr>
              <w:spacing w:after="0" w:line="240" w:lineRule="auto"/>
              <w:jc w:val="lef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Активиране гаранције</w:t>
            </w:r>
          </w:p>
        </w:tc>
        <w:tc>
          <w:tcPr>
            <w:tcW w:w="787" w:type="pct"/>
            <w:shd w:val="clear" w:color="auto" w:fill="auto"/>
            <w:hideMark/>
          </w:tcPr>
          <w:p w14:paraId="08EA14E9" w14:textId="77777777" w:rsidR="001A5BCF" w:rsidRPr="00646254" w:rsidRDefault="001A5BCF" w:rsidP="00E96A1D">
            <w:pPr>
              <w:spacing w:after="0" w:line="240" w:lineRule="auto"/>
              <w:ind w:right="340"/>
              <w:jc w:val="right"/>
              <w:rPr>
                <w:rFonts w:cstheme="minorHAnsi"/>
                <w:color w:val="002060"/>
                <w:sz w:val="18"/>
                <w:szCs w:val="18"/>
                <w:lang w:val="sr-Cyrl-CS"/>
              </w:rPr>
            </w:pPr>
            <w:r w:rsidRPr="00646254">
              <w:rPr>
                <w:color w:val="002060"/>
                <w:sz w:val="18"/>
                <w:szCs w:val="18"/>
                <w:lang w:val="sr-Cyrl-CS"/>
              </w:rPr>
              <w:t>5,0</w:t>
            </w:r>
          </w:p>
        </w:tc>
        <w:tc>
          <w:tcPr>
            <w:tcW w:w="787" w:type="pct"/>
            <w:shd w:val="clear" w:color="auto" w:fill="auto"/>
            <w:hideMark/>
          </w:tcPr>
          <w:p w14:paraId="1730E98A" w14:textId="77777777" w:rsidR="001A5BCF" w:rsidRPr="00646254" w:rsidRDefault="001A5BCF" w:rsidP="00E96A1D">
            <w:pPr>
              <w:spacing w:after="0" w:line="240" w:lineRule="auto"/>
              <w:ind w:right="340"/>
              <w:jc w:val="right"/>
              <w:rPr>
                <w:rFonts w:cstheme="minorHAnsi"/>
                <w:color w:val="002060"/>
                <w:sz w:val="18"/>
                <w:szCs w:val="18"/>
                <w:lang w:val="sr-Cyrl-CS"/>
              </w:rPr>
            </w:pPr>
            <w:r w:rsidRPr="00646254">
              <w:rPr>
                <w:color w:val="002060"/>
                <w:sz w:val="18"/>
                <w:szCs w:val="18"/>
                <w:lang w:val="sr-Cyrl-CS"/>
              </w:rPr>
              <w:t>4,7</w:t>
            </w:r>
          </w:p>
        </w:tc>
        <w:tc>
          <w:tcPr>
            <w:tcW w:w="787" w:type="pct"/>
          </w:tcPr>
          <w:p w14:paraId="4A7C2421" w14:textId="77777777" w:rsidR="001A5BCF" w:rsidRPr="00646254" w:rsidRDefault="001A5BCF" w:rsidP="00E96A1D">
            <w:pPr>
              <w:spacing w:after="0" w:line="240" w:lineRule="auto"/>
              <w:ind w:right="510"/>
              <w:jc w:val="right"/>
              <w:rPr>
                <w:rFonts w:cstheme="minorHAnsi"/>
                <w:color w:val="002060"/>
                <w:sz w:val="18"/>
                <w:szCs w:val="18"/>
                <w:lang w:val="sr-Cyrl-CS"/>
              </w:rPr>
            </w:pPr>
            <w:r w:rsidRPr="00646254">
              <w:rPr>
                <w:color w:val="002060"/>
                <w:sz w:val="18"/>
                <w:szCs w:val="18"/>
                <w:lang w:val="sr-Cyrl-CS"/>
              </w:rPr>
              <w:t>-6,0</w:t>
            </w:r>
          </w:p>
        </w:tc>
        <w:tc>
          <w:tcPr>
            <w:tcW w:w="785" w:type="pct"/>
            <w:shd w:val="clear" w:color="auto" w:fill="auto"/>
            <w:hideMark/>
          </w:tcPr>
          <w:p w14:paraId="1782ED64" w14:textId="77777777" w:rsidR="001A5BCF" w:rsidRPr="00646254" w:rsidRDefault="001A5BCF" w:rsidP="00E96A1D">
            <w:pPr>
              <w:spacing w:after="0" w:line="240" w:lineRule="auto"/>
              <w:ind w:right="510"/>
              <w:jc w:val="right"/>
              <w:rPr>
                <w:rFonts w:cstheme="minorHAnsi"/>
                <w:color w:val="002060"/>
                <w:sz w:val="18"/>
                <w:szCs w:val="18"/>
                <w:lang w:val="sr-Cyrl-CS"/>
              </w:rPr>
            </w:pPr>
            <w:r w:rsidRPr="00646254">
              <w:rPr>
                <w:color w:val="002060"/>
                <w:sz w:val="18"/>
                <w:szCs w:val="18"/>
                <w:lang w:val="sr-Cyrl-CS"/>
              </w:rPr>
              <w:t>9,7</w:t>
            </w:r>
          </w:p>
        </w:tc>
      </w:tr>
      <w:tr w:rsidR="00262F10" w:rsidRPr="00646254" w14:paraId="1AD718C0" w14:textId="77777777" w:rsidTr="00E96A1D">
        <w:trPr>
          <w:trHeight w:val="39"/>
          <w:tblHeader/>
          <w:jc w:val="right"/>
        </w:trPr>
        <w:tc>
          <w:tcPr>
            <w:tcW w:w="1854" w:type="pct"/>
            <w:tcBorders>
              <w:bottom w:val="single" w:sz="4" w:space="0" w:color="002060"/>
            </w:tcBorders>
            <w:shd w:val="clear" w:color="auto" w:fill="E7E6E6" w:themeFill="background2"/>
            <w:noWrap/>
            <w:vAlign w:val="center"/>
            <w:hideMark/>
          </w:tcPr>
          <w:p w14:paraId="05CAAC8A" w14:textId="77777777" w:rsidR="001A5BCF" w:rsidRPr="00646254" w:rsidRDefault="001A5BCF" w:rsidP="00E96A1D">
            <w:pPr>
              <w:spacing w:after="0" w:line="240" w:lineRule="auto"/>
              <w:jc w:val="left"/>
              <w:rPr>
                <w:rFonts w:cstheme="minorHAnsi"/>
                <w:color w:val="002060"/>
                <w:sz w:val="18"/>
                <w:szCs w:val="18"/>
                <w:lang w:val="sr-Cyrl-CS"/>
              </w:rPr>
            </w:pPr>
            <w:r w:rsidRPr="00646254">
              <w:rPr>
                <w:rFonts w:eastAsia="MS PGothic" w:cstheme="minorHAnsi"/>
                <w:color w:val="002060"/>
                <w:sz w:val="18"/>
                <w:szCs w:val="18"/>
                <w:lang w:val="sr-Cyrl-CS" w:eastAsia="ja-JP"/>
              </w:rPr>
              <w:t>Фискални резултат</w:t>
            </w:r>
          </w:p>
        </w:tc>
        <w:tc>
          <w:tcPr>
            <w:tcW w:w="787" w:type="pct"/>
            <w:tcBorders>
              <w:bottom w:val="single" w:sz="4" w:space="0" w:color="002060"/>
            </w:tcBorders>
            <w:shd w:val="clear" w:color="auto" w:fill="E7E6E6" w:themeFill="background2"/>
            <w:hideMark/>
          </w:tcPr>
          <w:p w14:paraId="4B49EF71" w14:textId="77777777" w:rsidR="001A5BCF" w:rsidRPr="00646254" w:rsidRDefault="001A5BCF" w:rsidP="00E96A1D">
            <w:pPr>
              <w:spacing w:after="0" w:line="240" w:lineRule="auto"/>
              <w:ind w:right="340"/>
              <w:jc w:val="right"/>
              <w:rPr>
                <w:rFonts w:cstheme="minorHAnsi"/>
                <w:color w:val="002060"/>
                <w:sz w:val="18"/>
                <w:szCs w:val="18"/>
                <w:lang w:val="sr-Cyrl-CS"/>
              </w:rPr>
            </w:pPr>
            <w:r w:rsidRPr="00646254">
              <w:rPr>
                <w:color w:val="002060"/>
                <w:sz w:val="18"/>
                <w:szCs w:val="18"/>
                <w:lang w:val="sr-Cyrl-CS"/>
              </w:rPr>
              <w:t>-340,2</w:t>
            </w:r>
          </w:p>
        </w:tc>
        <w:tc>
          <w:tcPr>
            <w:tcW w:w="787" w:type="pct"/>
            <w:tcBorders>
              <w:bottom w:val="single" w:sz="4" w:space="0" w:color="002060"/>
            </w:tcBorders>
            <w:shd w:val="clear" w:color="auto" w:fill="E7E6E6" w:themeFill="background2"/>
            <w:hideMark/>
          </w:tcPr>
          <w:p w14:paraId="6E739C90" w14:textId="77777777" w:rsidR="001A5BCF" w:rsidRPr="00646254" w:rsidRDefault="001A5BCF" w:rsidP="00E96A1D">
            <w:pPr>
              <w:spacing w:after="0" w:line="240" w:lineRule="auto"/>
              <w:ind w:right="340"/>
              <w:jc w:val="right"/>
              <w:rPr>
                <w:rFonts w:cstheme="minorHAnsi"/>
                <w:color w:val="002060"/>
                <w:sz w:val="18"/>
                <w:szCs w:val="18"/>
                <w:lang w:val="sr-Cyrl-CS"/>
              </w:rPr>
            </w:pPr>
            <w:r w:rsidRPr="00646254">
              <w:rPr>
                <w:color w:val="002060"/>
                <w:sz w:val="18"/>
                <w:szCs w:val="18"/>
                <w:lang w:val="sr-Cyrl-CS"/>
              </w:rPr>
              <w:t>-29,3</w:t>
            </w:r>
          </w:p>
        </w:tc>
        <w:tc>
          <w:tcPr>
            <w:tcW w:w="787" w:type="pct"/>
            <w:tcBorders>
              <w:bottom w:val="single" w:sz="4" w:space="0" w:color="002060"/>
            </w:tcBorders>
            <w:shd w:val="clear" w:color="auto" w:fill="E7E6E6" w:themeFill="background2"/>
          </w:tcPr>
          <w:p w14:paraId="644A2A56" w14:textId="77777777" w:rsidR="001A5BCF" w:rsidRPr="00646254" w:rsidRDefault="001A5BCF" w:rsidP="00E96A1D">
            <w:pPr>
              <w:spacing w:after="0" w:line="240" w:lineRule="auto"/>
              <w:ind w:right="737"/>
              <w:jc w:val="right"/>
              <w:rPr>
                <w:rFonts w:cstheme="minorHAnsi"/>
                <w:color w:val="002060"/>
                <w:sz w:val="18"/>
                <w:szCs w:val="18"/>
                <w:lang w:val="sr-Cyrl-CS"/>
              </w:rPr>
            </w:pPr>
          </w:p>
        </w:tc>
        <w:tc>
          <w:tcPr>
            <w:tcW w:w="785" w:type="pct"/>
            <w:tcBorders>
              <w:bottom w:val="single" w:sz="4" w:space="0" w:color="002060"/>
            </w:tcBorders>
            <w:shd w:val="clear" w:color="auto" w:fill="E7E6E6" w:themeFill="background2"/>
            <w:hideMark/>
          </w:tcPr>
          <w:p w14:paraId="0C46FFFC" w14:textId="77777777" w:rsidR="001A5BCF" w:rsidRPr="00646254" w:rsidRDefault="001A5BCF" w:rsidP="00E96A1D">
            <w:pPr>
              <w:spacing w:after="0" w:line="240" w:lineRule="auto"/>
              <w:ind w:right="737"/>
              <w:jc w:val="right"/>
              <w:rPr>
                <w:rFonts w:cstheme="minorHAnsi"/>
                <w:color w:val="002060"/>
                <w:sz w:val="18"/>
                <w:szCs w:val="18"/>
                <w:lang w:val="sr-Cyrl-CS"/>
              </w:rPr>
            </w:pPr>
          </w:p>
        </w:tc>
      </w:tr>
    </w:tbl>
    <w:p w14:paraId="48DD4C0D" w14:textId="77777777" w:rsidR="001A5BCF" w:rsidRPr="00646254" w:rsidRDefault="001A5BCF" w:rsidP="00F50273">
      <w:pPr>
        <w:tabs>
          <w:tab w:val="left" w:pos="623"/>
        </w:tabs>
        <w:spacing w:line="240" w:lineRule="auto"/>
        <w:rPr>
          <w:lang w:val="sr-Cyrl-CS" w:eastAsia="ja-JP"/>
        </w:rPr>
      </w:pPr>
      <w:r w:rsidRPr="00646254">
        <w:rPr>
          <w:rFonts w:eastAsia="Calibri" w:cstheme="minorHAnsi"/>
          <w:bCs/>
          <w:sz w:val="16"/>
          <w:szCs w:val="16"/>
          <w:lang w:val="sr-Cyrl-CS" w:eastAsia="ja-JP"/>
        </w:rPr>
        <w:t xml:space="preserve">Извор: </w:t>
      </w:r>
      <w:r w:rsidRPr="00646254">
        <w:rPr>
          <w:rFonts w:cstheme="minorHAnsi"/>
          <w:sz w:val="16"/>
          <w:szCs w:val="16"/>
          <w:lang w:val="sr-Cyrl-CS"/>
        </w:rPr>
        <w:t>Министарство финансија</w:t>
      </w:r>
    </w:p>
    <w:p w14:paraId="6CBB6171" w14:textId="77777777" w:rsidR="001A5BCF" w:rsidRPr="00646254" w:rsidRDefault="001A5BCF" w:rsidP="00F50273">
      <w:pPr>
        <w:rPr>
          <w:lang w:val="sr-Cyrl-CS" w:eastAsia="ja-JP"/>
        </w:rPr>
        <w:sectPr w:rsidR="001A5BCF" w:rsidRPr="00646254" w:rsidSect="00AE40EB">
          <w:type w:val="continuous"/>
          <w:pgSz w:w="12240" w:h="15840" w:code="1"/>
          <w:pgMar w:top="1440" w:right="1440" w:bottom="1440" w:left="1440" w:header="720" w:footer="720" w:gutter="0"/>
          <w:cols w:space="720"/>
          <w:docGrid w:linePitch="360"/>
        </w:sectPr>
      </w:pPr>
    </w:p>
    <w:p w14:paraId="6B961A45" w14:textId="77777777" w:rsidR="001A5BCF" w:rsidRPr="00646254" w:rsidRDefault="001A5BCF" w:rsidP="00E96A1D">
      <w:pPr>
        <w:spacing w:after="0"/>
        <w:rPr>
          <w:rFonts w:eastAsia="MS PGothic" w:cstheme="minorHAnsi"/>
          <w:szCs w:val="20"/>
          <w:lang w:val="sr-Cyrl-CS" w:eastAsia="ja-JP"/>
        </w:rPr>
        <w:sectPr w:rsidR="001A5BCF" w:rsidRPr="00646254" w:rsidSect="008265F0">
          <w:headerReference w:type="even" r:id="rId122"/>
          <w:headerReference w:type="default" r:id="rId123"/>
          <w:footerReference w:type="even" r:id="rId124"/>
          <w:footerReference w:type="default" r:id="rId125"/>
          <w:headerReference w:type="first" r:id="rId126"/>
          <w:type w:val="continuous"/>
          <w:pgSz w:w="12240" w:h="15840" w:code="1"/>
          <w:pgMar w:top="1440" w:right="1440" w:bottom="1440" w:left="1440" w:header="720" w:footer="720" w:gutter="0"/>
          <w:cols w:num="2" w:space="720"/>
          <w:docGrid w:linePitch="360"/>
        </w:sectPr>
      </w:pPr>
      <w:r w:rsidRPr="00646254">
        <w:rPr>
          <w:rFonts w:eastAsia="MS PGothic" w:cstheme="minorHAnsi"/>
          <w:szCs w:val="20"/>
          <w:lang w:val="sr-Cyrl-CS" w:eastAsia="ja-JP"/>
        </w:rPr>
        <w:t>Стање доцњи (преко 60 дана кашњења)* буџетских корисника и организација обавезног социјалног осигурања последњег дана септембра 2021. године износило је 2,7 млрд динара (око 0,04% БДП), и незнатно је повећано је у односу на крај 2020. године. Корисници буџета и ЈП „Путеви Србије” креирали су доцње у плаћању од 1,3 млрд динара, док је стање доцњи организација обавезног социјалног осигурања 1,4 млрд динара.</w:t>
      </w:r>
    </w:p>
    <w:p w14:paraId="787AAA65" w14:textId="77777777" w:rsidR="001A5BCF" w:rsidRPr="00646254" w:rsidRDefault="001A5BCF" w:rsidP="00E96A1D">
      <w:pPr>
        <w:spacing w:after="0"/>
        <w:rPr>
          <w:rFonts w:eastAsia="MS PGothic" w:cstheme="minorHAnsi"/>
          <w:b/>
          <w:color w:val="002060"/>
          <w:szCs w:val="20"/>
          <w:lang w:val="sr-Cyrl-CS" w:eastAsia="ja-JP"/>
        </w:rPr>
        <w:sectPr w:rsidR="001A5BCF" w:rsidRPr="00646254" w:rsidSect="00AE40EB">
          <w:headerReference w:type="even" r:id="rId127"/>
          <w:headerReference w:type="default" r:id="rId128"/>
          <w:footerReference w:type="even" r:id="rId129"/>
          <w:footerReference w:type="default" r:id="rId130"/>
          <w:headerReference w:type="first" r:id="rId131"/>
          <w:type w:val="continuous"/>
          <w:pgSz w:w="12240" w:h="15840" w:code="1"/>
          <w:pgMar w:top="1440" w:right="1440" w:bottom="1440" w:left="1440" w:header="720" w:footer="720" w:gutter="0"/>
          <w:cols w:num="2" w:space="332"/>
          <w:docGrid w:linePitch="360"/>
        </w:sectPr>
      </w:pPr>
    </w:p>
    <w:p w14:paraId="14E7E319" w14:textId="36CF1281" w:rsidR="001A5BCF" w:rsidRPr="00646254" w:rsidRDefault="001A5BCF" w:rsidP="001E580D">
      <w:pPr>
        <w:spacing w:after="120"/>
        <w:jc w:val="center"/>
        <w:rPr>
          <w:rFonts w:eastAsia="MS PGothic" w:cstheme="minorHAnsi"/>
          <w:b/>
          <w:color w:val="002060"/>
          <w:szCs w:val="20"/>
          <w:lang w:val="sr-Cyrl-CS" w:eastAsia="ja-JP"/>
        </w:rPr>
      </w:pPr>
      <w:r w:rsidRPr="00646254">
        <w:rPr>
          <w:rFonts w:eastAsia="MS PGothic" w:cstheme="minorHAnsi"/>
          <w:b/>
          <w:color w:val="002060"/>
          <w:szCs w:val="20"/>
          <w:lang w:val="sr-Cyrl-CS" w:eastAsia="ja-JP"/>
        </w:rPr>
        <w:t xml:space="preserve">Табела 9. Стање доцњи буџетских корисника и ООСО, крај 2020. године и септембар 2021. године, </w:t>
      </w:r>
      <w:r w:rsidR="00437CD4" w:rsidRPr="00646254">
        <w:rPr>
          <w:rFonts w:eastAsia="MS PGothic" w:cstheme="minorHAnsi"/>
          <w:b/>
          <w:color w:val="002060"/>
          <w:szCs w:val="20"/>
          <w:lang w:val="sr-Cyrl-CS" w:eastAsia="ja-JP"/>
        </w:rPr>
        <w:br w:type="textWrapping" w:clear="all"/>
      </w:r>
      <w:r w:rsidRPr="00646254">
        <w:rPr>
          <w:rFonts w:eastAsia="MS PGothic" w:cstheme="minorHAnsi"/>
          <w:b/>
          <w:color w:val="002060"/>
          <w:szCs w:val="20"/>
          <w:lang w:val="sr-Cyrl-CS" w:eastAsia="ja-JP"/>
        </w:rPr>
        <w:t>у млрд динара</w:t>
      </w:r>
    </w:p>
    <w:tbl>
      <w:tblPr>
        <w:tblStyle w:val="LightShading-Accent335"/>
        <w:tblpPr w:leftFromText="180" w:rightFromText="180" w:vertAnchor="text" w:horzAnchor="margin" w:tblpY="56"/>
        <w:tblW w:w="4879" w:type="pct"/>
        <w:tblBorders>
          <w:top w:val="none" w:sz="0" w:space="0" w:color="auto"/>
          <w:bottom w:val="none" w:sz="0" w:space="0" w:color="auto"/>
        </w:tblBorders>
        <w:tblLook w:val="04A0" w:firstRow="1" w:lastRow="0" w:firstColumn="1" w:lastColumn="0" w:noHBand="0" w:noVBand="1"/>
      </w:tblPr>
      <w:tblGrid>
        <w:gridCol w:w="5451"/>
        <w:gridCol w:w="1841"/>
        <w:gridCol w:w="1841"/>
      </w:tblGrid>
      <w:tr w:rsidR="00262F10" w:rsidRPr="00646254" w14:paraId="6A167000" w14:textId="77777777" w:rsidTr="000A0807">
        <w:trPr>
          <w:cnfStyle w:val="100000000000" w:firstRow="1" w:lastRow="0" w:firstColumn="0" w:lastColumn="0" w:oddVBand="0" w:evenVBand="0" w:oddHBand="0" w:evenHBand="0" w:firstRowFirstColumn="0" w:firstRowLastColumn="0" w:lastRowFirstColumn="0" w:lastRowLastColumn="0"/>
          <w:trHeight w:val="154"/>
        </w:trPr>
        <w:tc>
          <w:tcPr>
            <w:cnfStyle w:val="001000000000" w:firstRow="0" w:lastRow="0" w:firstColumn="1" w:lastColumn="0" w:oddVBand="0" w:evenVBand="0" w:oddHBand="0" w:evenHBand="0" w:firstRowFirstColumn="0" w:firstRowLastColumn="0" w:lastRowFirstColumn="0" w:lastRowLastColumn="0"/>
            <w:tcW w:w="2984" w:type="pct"/>
            <w:tcBorders>
              <w:top w:val="single" w:sz="4" w:space="0" w:color="002060"/>
              <w:bottom w:val="none" w:sz="0" w:space="0" w:color="auto"/>
            </w:tcBorders>
            <w:shd w:val="clear" w:color="auto" w:fill="auto"/>
            <w:noWrap/>
            <w:hideMark/>
          </w:tcPr>
          <w:p w14:paraId="1EFFFA0B" w14:textId="77777777" w:rsidR="001A5BCF" w:rsidRPr="00646254" w:rsidRDefault="001A5BCF" w:rsidP="00FE1A26">
            <w:pPr>
              <w:rPr>
                <w:rFonts w:asciiTheme="minorHAnsi" w:hAnsiTheme="minorHAnsi" w:cstheme="minorHAnsi"/>
                <w:b w:val="0"/>
                <w:color w:val="002060"/>
                <w:sz w:val="16"/>
                <w:szCs w:val="16"/>
                <w:lang w:val="sr-Cyrl-CS"/>
              </w:rPr>
            </w:pPr>
            <w:r w:rsidRPr="00646254">
              <w:rPr>
                <w:rFonts w:asciiTheme="minorHAnsi" w:hAnsiTheme="minorHAnsi" w:cstheme="minorHAnsi"/>
                <w:b w:val="0"/>
                <w:color w:val="002060"/>
                <w:sz w:val="16"/>
                <w:szCs w:val="16"/>
                <w:lang w:val="sr-Cyrl-CS"/>
              </w:rPr>
              <w:t> </w:t>
            </w:r>
          </w:p>
        </w:tc>
        <w:tc>
          <w:tcPr>
            <w:tcW w:w="1008" w:type="pct"/>
            <w:tcBorders>
              <w:top w:val="single" w:sz="4" w:space="0" w:color="002060"/>
              <w:bottom w:val="single" w:sz="4" w:space="0" w:color="002060"/>
            </w:tcBorders>
            <w:shd w:val="clear" w:color="auto" w:fill="auto"/>
            <w:vAlign w:val="center"/>
          </w:tcPr>
          <w:p w14:paraId="5D28482B" w14:textId="77777777" w:rsidR="001A5BCF" w:rsidRPr="00646254" w:rsidRDefault="001A5BCF" w:rsidP="00262F10">
            <w:pPr>
              <w:jc w:val="right"/>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 w:val="0"/>
                <w:color w:val="002060"/>
                <w:sz w:val="18"/>
                <w:szCs w:val="18"/>
                <w:lang w:val="sr-Cyrl-CS"/>
              </w:rPr>
            </w:pPr>
            <w:r w:rsidRPr="00646254">
              <w:rPr>
                <w:rFonts w:asciiTheme="minorHAnsi" w:hAnsiTheme="minorHAnsi" w:cstheme="minorHAnsi"/>
                <w:b w:val="0"/>
                <w:color w:val="002060"/>
                <w:sz w:val="18"/>
                <w:szCs w:val="18"/>
                <w:lang w:val="sr-Cyrl-CS"/>
              </w:rPr>
              <w:t>31.12.2020.</w:t>
            </w:r>
          </w:p>
        </w:tc>
        <w:tc>
          <w:tcPr>
            <w:tcW w:w="1008" w:type="pct"/>
            <w:tcBorders>
              <w:top w:val="single" w:sz="4" w:space="0" w:color="002060"/>
              <w:bottom w:val="single" w:sz="4" w:space="0" w:color="002060"/>
            </w:tcBorders>
            <w:shd w:val="clear" w:color="auto" w:fill="auto"/>
            <w:vAlign w:val="center"/>
          </w:tcPr>
          <w:p w14:paraId="6D658118" w14:textId="77777777" w:rsidR="001A5BCF" w:rsidRPr="00646254" w:rsidRDefault="001A5BCF" w:rsidP="00262F10">
            <w:pPr>
              <w:jc w:val="right"/>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 w:val="0"/>
                <w:color w:val="002060"/>
                <w:sz w:val="18"/>
                <w:szCs w:val="18"/>
                <w:lang w:val="sr-Cyrl-CS"/>
              </w:rPr>
            </w:pPr>
            <w:r w:rsidRPr="00646254">
              <w:rPr>
                <w:rFonts w:asciiTheme="minorHAnsi" w:hAnsiTheme="minorHAnsi" w:cstheme="minorHAnsi"/>
                <w:b w:val="0"/>
                <w:color w:val="002060"/>
                <w:sz w:val="18"/>
                <w:szCs w:val="18"/>
                <w:lang w:val="sr-Cyrl-CS"/>
              </w:rPr>
              <w:t>31.09.2021.</w:t>
            </w:r>
          </w:p>
        </w:tc>
      </w:tr>
      <w:tr w:rsidR="00262F10" w:rsidRPr="00646254" w14:paraId="0DFFD1F7" w14:textId="77777777" w:rsidTr="000A0807">
        <w:trPr>
          <w:cnfStyle w:val="000000100000" w:firstRow="0" w:lastRow="0" w:firstColumn="0" w:lastColumn="0" w:oddVBand="0" w:evenVBand="0" w:oddHBand="1" w:evenHBand="0" w:firstRowFirstColumn="0" w:firstRowLastColumn="0" w:lastRowFirstColumn="0" w:lastRowLastColumn="0"/>
          <w:trHeight w:val="154"/>
        </w:trPr>
        <w:tc>
          <w:tcPr>
            <w:cnfStyle w:val="001000000000" w:firstRow="0" w:lastRow="0" w:firstColumn="1" w:lastColumn="0" w:oddVBand="0" w:evenVBand="0" w:oddHBand="0" w:evenHBand="0" w:firstRowFirstColumn="0" w:firstRowLastColumn="0" w:lastRowFirstColumn="0" w:lastRowLastColumn="0"/>
            <w:tcW w:w="2984" w:type="pct"/>
            <w:shd w:val="clear" w:color="auto" w:fill="auto"/>
            <w:noWrap/>
            <w:vAlign w:val="center"/>
            <w:hideMark/>
          </w:tcPr>
          <w:p w14:paraId="79D39A9F" w14:textId="77777777" w:rsidR="001A5BCF" w:rsidRPr="00646254" w:rsidRDefault="001A5BCF" w:rsidP="00262F10">
            <w:pPr>
              <w:jc w:val="left"/>
              <w:rPr>
                <w:rFonts w:asciiTheme="minorHAnsi" w:hAnsiTheme="minorHAnsi" w:cstheme="minorHAnsi"/>
                <w:b w:val="0"/>
                <w:color w:val="002060"/>
                <w:sz w:val="18"/>
                <w:szCs w:val="18"/>
                <w:lang w:val="sr-Cyrl-CS"/>
              </w:rPr>
            </w:pPr>
            <w:r w:rsidRPr="00646254">
              <w:rPr>
                <w:rFonts w:asciiTheme="minorHAnsi" w:hAnsiTheme="minorHAnsi" w:cstheme="minorHAnsi"/>
                <w:b w:val="0"/>
                <w:color w:val="002060"/>
                <w:sz w:val="18"/>
                <w:szCs w:val="18"/>
                <w:lang w:val="sr-Cyrl-CS"/>
              </w:rPr>
              <w:t xml:space="preserve">Буџетски корисници и ЈП „Путеви Србије” </w:t>
            </w:r>
          </w:p>
        </w:tc>
        <w:tc>
          <w:tcPr>
            <w:tcW w:w="1008" w:type="pct"/>
            <w:tcBorders>
              <w:top w:val="single" w:sz="4" w:space="0" w:color="002060"/>
            </w:tcBorders>
            <w:shd w:val="clear" w:color="auto" w:fill="auto"/>
            <w:vAlign w:val="center"/>
          </w:tcPr>
          <w:p w14:paraId="45DFB1CF" w14:textId="77777777" w:rsidR="001A5BCF" w:rsidRPr="00646254" w:rsidRDefault="001A5BCF" w:rsidP="00262F10">
            <w:pPr>
              <w:ind w:firstLine="709"/>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1,2</w:t>
            </w:r>
          </w:p>
        </w:tc>
        <w:tc>
          <w:tcPr>
            <w:tcW w:w="1008" w:type="pct"/>
            <w:tcBorders>
              <w:top w:val="single" w:sz="4" w:space="0" w:color="002060"/>
            </w:tcBorders>
            <w:shd w:val="clear" w:color="auto" w:fill="auto"/>
            <w:vAlign w:val="center"/>
          </w:tcPr>
          <w:p w14:paraId="31B52958" w14:textId="77777777" w:rsidR="001A5BCF" w:rsidRPr="00646254" w:rsidRDefault="001A5BCF" w:rsidP="00262F10">
            <w:pPr>
              <w:ind w:firstLine="709"/>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1,3</w:t>
            </w:r>
          </w:p>
        </w:tc>
      </w:tr>
      <w:tr w:rsidR="00262F10" w:rsidRPr="00646254" w14:paraId="38D7A9A2" w14:textId="77777777" w:rsidTr="00262F10">
        <w:trPr>
          <w:trHeight w:val="154"/>
        </w:trPr>
        <w:tc>
          <w:tcPr>
            <w:cnfStyle w:val="001000000000" w:firstRow="0" w:lastRow="0" w:firstColumn="1" w:lastColumn="0" w:oddVBand="0" w:evenVBand="0" w:oddHBand="0" w:evenHBand="0" w:firstRowFirstColumn="0" w:firstRowLastColumn="0" w:lastRowFirstColumn="0" w:lastRowLastColumn="0"/>
            <w:tcW w:w="2984" w:type="pct"/>
            <w:shd w:val="clear" w:color="auto" w:fill="auto"/>
            <w:noWrap/>
            <w:vAlign w:val="center"/>
            <w:hideMark/>
          </w:tcPr>
          <w:p w14:paraId="2A269EAA" w14:textId="77777777" w:rsidR="001A5BCF" w:rsidRPr="00646254" w:rsidRDefault="001A5BCF" w:rsidP="00262F10">
            <w:pPr>
              <w:jc w:val="left"/>
              <w:rPr>
                <w:rFonts w:asciiTheme="minorHAnsi" w:hAnsiTheme="minorHAnsi" w:cstheme="minorHAnsi"/>
                <w:b w:val="0"/>
                <w:color w:val="002060"/>
                <w:sz w:val="18"/>
                <w:szCs w:val="18"/>
                <w:lang w:val="sr-Cyrl-CS"/>
              </w:rPr>
            </w:pPr>
            <w:r w:rsidRPr="00646254">
              <w:rPr>
                <w:rFonts w:asciiTheme="minorHAnsi" w:hAnsiTheme="minorHAnsi" w:cstheme="minorHAnsi"/>
                <w:b w:val="0"/>
                <w:color w:val="002060"/>
                <w:sz w:val="18"/>
                <w:szCs w:val="18"/>
                <w:lang w:val="sr-Cyrl-CS"/>
              </w:rPr>
              <w:t>ООСО</w:t>
            </w:r>
          </w:p>
        </w:tc>
        <w:tc>
          <w:tcPr>
            <w:tcW w:w="1008" w:type="pct"/>
            <w:shd w:val="clear" w:color="auto" w:fill="auto"/>
            <w:vAlign w:val="center"/>
          </w:tcPr>
          <w:p w14:paraId="26A1A07F" w14:textId="77777777" w:rsidR="001A5BCF" w:rsidRPr="00646254" w:rsidRDefault="001A5BCF" w:rsidP="00262F10">
            <w:pPr>
              <w:ind w:firstLine="709"/>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1,4</w:t>
            </w:r>
          </w:p>
        </w:tc>
        <w:tc>
          <w:tcPr>
            <w:tcW w:w="1008" w:type="pct"/>
            <w:shd w:val="clear" w:color="auto" w:fill="auto"/>
            <w:vAlign w:val="center"/>
          </w:tcPr>
          <w:p w14:paraId="2196FF95" w14:textId="77777777" w:rsidR="001A5BCF" w:rsidRPr="00646254" w:rsidRDefault="001A5BCF" w:rsidP="00262F10">
            <w:pPr>
              <w:ind w:firstLine="709"/>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1,4</w:t>
            </w:r>
          </w:p>
        </w:tc>
      </w:tr>
      <w:tr w:rsidR="00262F10" w:rsidRPr="00646254" w14:paraId="20C00472" w14:textId="77777777" w:rsidTr="00262F1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984" w:type="pct"/>
            <w:tcBorders>
              <w:bottom w:val="single" w:sz="4" w:space="0" w:color="002060"/>
            </w:tcBorders>
            <w:shd w:val="clear" w:color="auto" w:fill="auto"/>
            <w:noWrap/>
            <w:vAlign w:val="center"/>
            <w:hideMark/>
          </w:tcPr>
          <w:p w14:paraId="44936FA9" w14:textId="77777777" w:rsidR="001A5BCF" w:rsidRPr="00646254" w:rsidRDefault="001A5BCF" w:rsidP="00262F10">
            <w:pPr>
              <w:jc w:val="left"/>
              <w:rPr>
                <w:rFonts w:asciiTheme="minorHAnsi" w:hAnsiTheme="minorHAnsi" w:cstheme="minorHAnsi"/>
                <w:b w:val="0"/>
                <w:color w:val="002060"/>
                <w:sz w:val="18"/>
                <w:szCs w:val="18"/>
                <w:lang w:val="sr-Cyrl-CS"/>
              </w:rPr>
            </w:pPr>
            <w:r w:rsidRPr="00646254">
              <w:rPr>
                <w:rFonts w:asciiTheme="minorHAnsi" w:hAnsiTheme="minorHAnsi" w:cstheme="minorHAnsi"/>
                <w:b w:val="0"/>
                <w:color w:val="002060"/>
                <w:sz w:val="18"/>
                <w:szCs w:val="18"/>
                <w:lang w:val="sr-Cyrl-CS"/>
              </w:rPr>
              <w:t>УКУПНО</w:t>
            </w:r>
          </w:p>
        </w:tc>
        <w:tc>
          <w:tcPr>
            <w:tcW w:w="1008" w:type="pct"/>
            <w:tcBorders>
              <w:bottom w:val="single" w:sz="4" w:space="0" w:color="002060"/>
            </w:tcBorders>
            <w:shd w:val="clear" w:color="auto" w:fill="auto"/>
            <w:vAlign w:val="center"/>
          </w:tcPr>
          <w:p w14:paraId="672F8EFE" w14:textId="77777777" w:rsidR="001A5BCF" w:rsidRPr="00646254" w:rsidRDefault="001A5BCF" w:rsidP="00262F10">
            <w:pPr>
              <w:ind w:firstLine="709"/>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2,6</w:t>
            </w:r>
          </w:p>
        </w:tc>
        <w:tc>
          <w:tcPr>
            <w:tcW w:w="1008" w:type="pct"/>
            <w:tcBorders>
              <w:bottom w:val="single" w:sz="4" w:space="0" w:color="002060"/>
            </w:tcBorders>
            <w:shd w:val="clear" w:color="auto" w:fill="auto"/>
            <w:vAlign w:val="center"/>
          </w:tcPr>
          <w:p w14:paraId="268D95FE" w14:textId="77777777" w:rsidR="001A5BCF" w:rsidRPr="00646254" w:rsidRDefault="001A5BCF" w:rsidP="00262F10">
            <w:pPr>
              <w:ind w:firstLine="709"/>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2,7</w:t>
            </w:r>
          </w:p>
        </w:tc>
      </w:tr>
    </w:tbl>
    <w:p w14:paraId="017754B9" w14:textId="77777777" w:rsidR="001A5BCF" w:rsidRPr="00646254" w:rsidRDefault="001A5BCF" w:rsidP="00FE1A26">
      <w:pPr>
        <w:spacing w:before="40" w:after="0" w:line="240" w:lineRule="auto"/>
        <w:rPr>
          <w:rFonts w:cstheme="minorHAnsi"/>
          <w:sz w:val="16"/>
          <w:szCs w:val="20"/>
          <w:lang w:val="sr-Cyrl-CS"/>
        </w:rPr>
      </w:pPr>
      <w:r w:rsidRPr="00646254">
        <w:rPr>
          <w:rFonts w:eastAsia="Calibri" w:cstheme="minorHAnsi"/>
          <w:bCs/>
          <w:sz w:val="16"/>
          <w:szCs w:val="20"/>
          <w:lang w:val="sr-Cyrl-CS" w:eastAsia="ja-JP"/>
        </w:rPr>
        <w:t xml:space="preserve">Извор: </w:t>
      </w:r>
      <w:r w:rsidRPr="00646254">
        <w:rPr>
          <w:rFonts w:cstheme="minorHAnsi"/>
          <w:sz w:val="16"/>
          <w:szCs w:val="20"/>
          <w:lang w:val="sr-Cyrl-CS"/>
        </w:rPr>
        <w:t>Министарство финансија</w:t>
      </w:r>
    </w:p>
    <w:p w14:paraId="59F9DF60" w14:textId="77777777" w:rsidR="001A5BCF" w:rsidRPr="00646254" w:rsidRDefault="001A5BCF" w:rsidP="00FE1A26">
      <w:pPr>
        <w:spacing w:after="0" w:line="240" w:lineRule="auto"/>
        <w:rPr>
          <w:rFonts w:eastAsia="MS PGothic" w:cstheme="minorHAnsi"/>
          <w:b/>
          <w:color w:val="002060"/>
          <w:szCs w:val="20"/>
          <w:highlight w:val="yellow"/>
          <w:lang w:val="sr-Cyrl-CS" w:eastAsia="ja-JP"/>
        </w:rPr>
      </w:pPr>
      <w:r w:rsidRPr="00646254">
        <w:rPr>
          <w:rFonts w:eastAsia="MS PGothic" w:cstheme="minorHAnsi"/>
          <w:sz w:val="16"/>
          <w:szCs w:val="16"/>
          <w:lang w:val="sr-Cyrl-CS" w:eastAsia="ja-JP"/>
        </w:rPr>
        <w:t>* У складу са дефиницијом која се користила за потребе праћења спровођења аранжмана са ММФ.</w:t>
      </w:r>
    </w:p>
    <w:p w14:paraId="61FB391F" w14:textId="77777777" w:rsidR="001A5BCF" w:rsidRPr="00646254" w:rsidRDefault="001A5BCF" w:rsidP="00FE1A26">
      <w:pPr>
        <w:spacing w:after="240" w:line="240" w:lineRule="auto"/>
        <w:rPr>
          <w:rFonts w:eastAsia="MS PGothic" w:cstheme="minorHAnsi"/>
          <w:b/>
          <w:color w:val="002060"/>
          <w:szCs w:val="20"/>
          <w:highlight w:val="yellow"/>
          <w:lang w:val="sr-Cyrl-CS" w:eastAsia="ja-JP"/>
        </w:rPr>
      </w:pPr>
    </w:p>
    <w:p w14:paraId="7DCB37FE" w14:textId="77777777" w:rsidR="001A5BCF" w:rsidRPr="00646254" w:rsidRDefault="001A5BCF" w:rsidP="00FE1A26">
      <w:pPr>
        <w:spacing w:after="240" w:line="240" w:lineRule="auto"/>
        <w:rPr>
          <w:rFonts w:eastAsia="MS PGothic" w:cstheme="minorHAnsi"/>
          <w:b/>
          <w:color w:val="002060"/>
          <w:szCs w:val="20"/>
          <w:highlight w:val="yellow"/>
          <w:lang w:val="sr-Cyrl-CS" w:eastAsia="ja-JP"/>
        </w:rPr>
        <w:sectPr w:rsidR="001A5BCF" w:rsidRPr="00646254" w:rsidSect="00AE40EB">
          <w:type w:val="continuous"/>
          <w:pgSz w:w="12240" w:h="15840" w:code="1"/>
          <w:pgMar w:top="1440" w:right="1440" w:bottom="1440" w:left="1440" w:header="720" w:footer="720" w:gutter="0"/>
          <w:cols w:space="332"/>
          <w:docGrid w:linePitch="360"/>
        </w:sectPr>
      </w:pPr>
    </w:p>
    <w:p w14:paraId="78301464" w14:textId="77777777" w:rsidR="001A5BCF" w:rsidRPr="00646254" w:rsidRDefault="001A5BCF" w:rsidP="00A251B9">
      <w:pPr>
        <w:spacing w:before="40" w:after="0" w:line="240" w:lineRule="auto"/>
        <w:rPr>
          <w:rFonts w:eastAsia="Calibri" w:cstheme="minorHAnsi"/>
          <w:bCs/>
          <w:sz w:val="16"/>
          <w:szCs w:val="20"/>
          <w:lang w:val="sr-Cyrl-CS" w:eastAsia="ja-JP"/>
        </w:rPr>
      </w:pPr>
    </w:p>
    <w:p w14:paraId="678B29C0" w14:textId="77777777" w:rsidR="001A5BCF" w:rsidRPr="00646254" w:rsidRDefault="001A5BCF">
      <w:pPr>
        <w:jc w:val="left"/>
        <w:rPr>
          <w:rFonts w:ascii="Calibri" w:eastAsia="Calibri" w:hAnsi="Calibri" w:cs="Calibri"/>
          <w:b/>
          <w:color w:val="2F5496" w:themeColor="accent1" w:themeShade="BF"/>
          <w:sz w:val="24"/>
          <w:szCs w:val="24"/>
          <w:lang w:val="sr-Cyrl-CS"/>
        </w:rPr>
      </w:pPr>
      <w:r w:rsidRPr="00646254">
        <w:rPr>
          <w:rFonts w:ascii="Calibri" w:eastAsia="Calibri" w:hAnsi="Calibri" w:cs="Calibri"/>
          <w:b/>
          <w:color w:val="2F5496" w:themeColor="accent1" w:themeShade="BF"/>
          <w:sz w:val="24"/>
          <w:szCs w:val="24"/>
          <w:lang w:val="sr-Cyrl-CS"/>
        </w:rPr>
        <w:br w:type="page"/>
      </w:r>
    </w:p>
    <w:p w14:paraId="60CD9A77" w14:textId="77777777" w:rsidR="001A5BCF" w:rsidRPr="00646254" w:rsidRDefault="001A5BCF" w:rsidP="008265F0">
      <w:pPr>
        <w:spacing w:after="0" w:line="240" w:lineRule="auto"/>
        <w:jc w:val="center"/>
        <w:rPr>
          <w:rFonts w:ascii="Calibri" w:eastAsia="Calibri" w:hAnsi="Calibri" w:cs="Calibri"/>
          <w:b/>
          <w:color w:val="2F5496" w:themeColor="accent1" w:themeShade="BF"/>
          <w:sz w:val="24"/>
          <w:szCs w:val="24"/>
          <w:lang w:val="sr-Cyrl-CS"/>
        </w:rPr>
      </w:pPr>
      <w:r w:rsidRPr="00646254">
        <w:rPr>
          <w:rFonts w:ascii="Calibri" w:eastAsia="Calibri" w:hAnsi="Calibri" w:cs="Calibri"/>
          <w:noProof/>
          <w:color w:val="2F5496" w:themeColor="accent1" w:themeShade="BF"/>
        </w:rPr>
        <mc:AlternateContent>
          <mc:Choice Requires="wps">
            <w:drawing>
              <wp:anchor distT="0" distB="0" distL="114300" distR="114300" simplePos="0" relativeHeight="251676160" behindDoc="1" locked="0" layoutInCell="1" allowOverlap="1" wp14:anchorId="2AA95095" wp14:editId="3C853EF1">
                <wp:simplePos x="0" y="0"/>
                <wp:positionH relativeFrom="margin">
                  <wp:posOffset>-189781</wp:posOffset>
                </wp:positionH>
                <wp:positionV relativeFrom="paragraph">
                  <wp:posOffset>-69011</wp:posOffset>
                </wp:positionV>
                <wp:extent cx="6276975" cy="8086569"/>
                <wp:effectExtent l="0" t="0" r="9525" b="0"/>
                <wp:wrapNone/>
                <wp:docPr id="61" name="Rectangle 61"/>
                <wp:cNvGraphicFramePr/>
                <a:graphic xmlns:a="http://schemas.openxmlformats.org/drawingml/2006/main">
                  <a:graphicData uri="http://schemas.microsoft.com/office/word/2010/wordprocessingShape">
                    <wps:wsp>
                      <wps:cNvSpPr/>
                      <wps:spPr>
                        <a:xfrm>
                          <a:off x="0" y="0"/>
                          <a:ext cx="6276975" cy="8086569"/>
                        </a:xfrm>
                        <a:prstGeom prst="rect">
                          <a:avLst/>
                        </a:prstGeom>
                        <a:pattFill prst="pct25">
                          <a:fgClr>
                            <a:sysClr val="window" lastClr="FFFFFF">
                              <a:lumMod val="85000"/>
                            </a:sysClr>
                          </a:fgClr>
                          <a:bgClr>
                            <a:sysClr val="window" lastClr="FFFFFF"/>
                          </a:bgClr>
                        </a:patt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EB3AB0C" id="Rectangle 61" o:spid="_x0000_s1026" style="position:absolute;margin-left:-14.95pt;margin-top:-5.45pt;width:494.25pt;height:636.75pt;z-index:-2516403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" fillcolor="#d9d9d9" stroked="f" strokeweight="1pt">
                <v:fill r:id="rId18" o:title="" color2="window" type="pattern"/>
                <w10:wrap anchorx="margin"/>
              </v:rect>
            </w:pict>
          </mc:Fallback>
        </mc:AlternateContent>
      </w:r>
      <w:r w:rsidRPr="00646254">
        <w:rPr>
          <w:rFonts w:ascii="Calibri" w:eastAsia="Calibri" w:hAnsi="Calibri" w:cs="Calibri"/>
          <w:b/>
          <w:color w:val="2F5496" w:themeColor="accent1" w:themeShade="BF"/>
          <w:sz w:val="24"/>
          <w:szCs w:val="24"/>
          <w:lang w:val="sr-Cyrl-CS"/>
        </w:rPr>
        <w:t>S0 индикатор краткорочне фискалне одрживости</w:t>
      </w:r>
    </w:p>
    <w:p w14:paraId="4AABC0C4" w14:textId="77777777" w:rsidR="001A5BCF" w:rsidRPr="00646254" w:rsidRDefault="001A5BCF" w:rsidP="008265F0">
      <w:pPr>
        <w:spacing w:after="60"/>
        <w:rPr>
          <w:rFonts w:ascii="Calibri" w:eastAsia="Calibri" w:hAnsi="Calibri" w:cs="Calibri"/>
          <w:color w:val="auto"/>
          <w:szCs w:val="20"/>
          <w:lang w:val="sr-Cyrl-CS"/>
        </w:rPr>
      </w:pPr>
    </w:p>
    <w:p w14:paraId="3A0EEA82" w14:textId="77777777" w:rsidR="001A5BCF" w:rsidRPr="00646254" w:rsidRDefault="001A5BCF" w:rsidP="008265F0">
      <w:pPr>
        <w:spacing w:after="60"/>
        <w:rPr>
          <w:rFonts w:ascii="Calibri" w:eastAsia="Calibri" w:hAnsi="Calibri" w:cs="Calibri"/>
          <w:color w:val="auto"/>
          <w:szCs w:val="20"/>
          <w:lang w:val="sr-Cyrl-CS"/>
        </w:rPr>
        <w:sectPr w:rsidR="001A5BCF" w:rsidRPr="00646254" w:rsidSect="008265F0">
          <w:headerReference w:type="even" r:id="rId132"/>
          <w:headerReference w:type="default" r:id="rId133"/>
          <w:footerReference w:type="even" r:id="rId134"/>
          <w:footerReference w:type="default" r:id="rId135"/>
          <w:headerReference w:type="first" r:id="rId136"/>
          <w:type w:val="continuous"/>
          <w:pgSz w:w="12240" w:h="15840"/>
          <w:pgMar w:top="1440" w:right="1440" w:bottom="1440" w:left="1440" w:header="720" w:footer="720" w:gutter="0"/>
          <w:cols w:space="720"/>
          <w:docGrid w:linePitch="360"/>
        </w:sectPr>
      </w:pPr>
    </w:p>
    <w:p w14:paraId="694745C1" w14:textId="77777777" w:rsidR="001A5BCF" w:rsidRPr="00646254" w:rsidRDefault="001A5BCF" w:rsidP="008265F0">
      <w:pPr>
        <w:rPr>
          <w:rFonts w:ascii="Calibri" w:eastAsia="Calibri" w:hAnsi="Calibri" w:cs="Calibri"/>
          <w:color w:val="44546A"/>
          <w:szCs w:val="20"/>
          <w:lang w:val="sr-Cyrl-CS"/>
        </w:rPr>
      </w:pPr>
      <w:r w:rsidRPr="00646254">
        <w:rPr>
          <w:rFonts w:ascii="Calibri" w:eastAsia="Calibri" w:hAnsi="Calibri" w:cs="Calibri"/>
          <w:color w:val="44546A"/>
          <w:szCs w:val="20"/>
          <w:lang w:val="sr-Cyrl-CS"/>
        </w:rPr>
        <w:t>Европска комисија је за оцену краткорочне фискалне одрживости дизајнирала композитни индикатор S0 којим се кроз идентификацију потенцијалних краткорочних ризика у текућој години настоји антиципирати фискални стрес у наредној години. Уколико вредност S0 индикатора прелази дефинисани праг сматра се да је земља у краткорочном ризику од фискалног стреса. Поред вредности за целокупан индикатор, ради лоцирања извора из ког ризик потиче, разматрају се и вредности подиндекса и њихових компоненти. S0 композитни индикатор се састоји од два подиндекса, који у себи садрже низ варијабли фискалне и макро-финансијске одрживости. Вредност ових подиндекса испод дефинисаног прага указују на одсуство краткорочног фискалног ризика.</w:t>
      </w:r>
    </w:p>
    <w:p w14:paraId="6E4BF6B8" w14:textId="77777777" w:rsidR="001A5BCF" w:rsidRPr="00646254" w:rsidRDefault="001A5BCF" w:rsidP="008265F0">
      <w:pPr>
        <w:rPr>
          <w:rFonts w:ascii="Calibri" w:eastAsia="Calibri" w:hAnsi="Calibri" w:cs="Calibri"/>
          <w:color w:val="44546A"/>
          <w:szCs w:val="20"/>
          <w:lang w:val="sr-Cyrl-CS"/>
        </w:rPr>
      </w:pPr>
      <w:r w:rsidRPr="00646254">
        <w:rPr>
          <w:rFonts w:ascii="Calibri" w:eastAsia="Calibri" w:hAnsi="Calibri" w:cs="Calibri"/>
          <w:color w:val="44546A"/>
          <w:szCs w:val="20"/>
          <w:lang w:val="sr-Cyrl-CS"/>
        </w:rPr>
        <w:t>У 2020. години вредност целокупног S0 индикатора за Републику Србију се налазила испод дефинисаног прага што начелно указује да не постоји опасност од појаве макроекономске нестабилности у наредном средњорочном периоду. Међутим,</w:t>
      </w:r>
      <w:r w:rsidRPr="00646254">
        <w:rPr>
          <w:rFonts w:ascii="Calibri" w:eastAsia="Calibri" w:hAnsi="Calibri" w:cs="Times New Roman"/>
          <w:color w:val="44546A"/>
          <w:lang w:val="sr-Cyrl-CS"/>
        </w:rPr>
        <w:t xml:space="preserve"> </w:t>
      </w:r>
      <w:r w:rsidRPr="00646254">
        <w:rPr>
          <w:rFonts w:ascii="Calibri" w:eastAsia="Calibri" w:hAnsi="Calibri" w:cs="Calibri"/>
          <w:color w:val="44546A"/>
          <w:szCs w:val="20"/>
          <w:lang w:val="sr-Cyrl-CS"/>
        </w:rPr>
        <w:t>као последица кризе изазване пандемијом вируса COVID-19 вредност фискалног подиндекса (0,48) је изнад за њега дефинисаног прага (0,36) што указује да би се могли јавити изазови у фискалној сфери. Вредност финансијског подиндекса у 2020. години (0,42) је унутар за њега дефинисаног прага (0,49).</w:t>
      </w:r>
    </w:p>
    <w:p w14:paraId="7344E97A" w14:textId="77777777" w:rsidR="001A5BCF" w:rsidRPr="00646254" w:rsidRDefault="001A5BCF" w:rsidP="008265F0">
      <w:pPr>
        <w:rPr>
          <w:rFonts w:ascii="Calibri" w:eastAsia="Calibri" w:hAnsi="Calibri" w:cs="Calibri"/>
          <w:color w:val="auto"/>
          <w:szCs w:val="20"/>
          <w:lang w:val="sr-Cyrl-CS"/>
        </w:rPr>
      </w:pPr>
      <w:r w:rsidRPr="00646254">
        <w:rPr>
          <w:rFonts w:ascii="Calibri" w:eastAsia="Calibri" w:hAnsi="Calibri" w:cs="Times New Roman"/>
          <w:noProof/>
          <w:color w:val="44546A"/>
        </w:rPr>
        <w:drawing>
          <wp:inline distT="0" distB="0" distL="0" distR="0" wp14:anchorId="5ECC8315" wp14:editId="66CDAD2B">
            <wp:extent cx="2724150" cy="3648075"/>
            <wp:effectExtent l="0" t="0" r="0" b="0"/>
            <wp:docPr id="69" name="Chart 69"/>
            <wp:cNvGraphicFramePr/>
            <a:graphic xmlns:a="http://schemas.openxmlformats.org/drawingml/2006/main">
              <a:graphicData uri="http://schemas.openxmlformats.org/drawingml/2006/chart">
                <c:chart xmlns:c="http://schemas.openxmlformats.org/drawingml/2006/chart" xmlns:r="http://schemas.openxmlformats.org/officeDocument/2006/relationships" r:id="rId137"/>
              </a:graphicData>
            </a:graphic>
          </wp:inline>
        </w:drawing>
      </w:r>
    </w:p>
    <w:p w14:paraId="35BDD83E" w14:textId="77777777" w:rsidR="001A5BCF" w:rsidRPr="00646254" w:rsidRDefault="001A5BCF" w:rsidP="008265F0">
      <w:pPr>
        <w:rPr>
          <w:rFonts w:ascii="Calibri" w:eastAsia="Calibri" w:hAnsi="Calibri" w:cs="Calibri"/>
          <w:color w:val="auto"/>
          <w:szCs w:val="20"/>
          <w:lang w:val="sr-Cyrl-CS"/>
        </w:rPr>
      </w:pPr>
    </w:p>
    <w:p w14:paraId="4F1DA428" w14:textId="77777777" w:rsidR="001A5BCF" w:rsidRPr="00646254" w:rsidRDefault="001A5BCF" w:rsidP="008265F0">
      <w:pPr>
        <w:rPr>
          <w:rFonts w:ascii="Calibri" w:eastAsia="Calibri" w:hAnsi="Calibri" w:cs="Calibri"/>
          <w:color w:val="auto"/>
          <w:szCs w:val="20"/>
          <w:lang w:val="sr-Cyrl-CS"/>
        </w:rPr>
      </w:pPr>
    </w:p>
    <w:p w14:paraId="3F2F6002" w14:textId="77777777" w:rsidR="001A5BCF" w:rsidRPr="00646254" w:rsidRDefault="001A5BCF" w:rsidP="008265F0">
      <w:pPr>
        <w:rPr>
          <w:rFonts w:ascii="Calibri" w:eastAsia="Calibri" w:hAnsi="Calibri" w:cs="Calibri"/>
          <w:color w:val="auto"/>
          <w:szCs w:val="20"/>
          <w:lang w:val="sr-Cyrl-CS"/>
        </w:rPr>
      </w:pPr>
    </w:p>
    <w:p w14:paraId="1782FF86" w14:textId="77777777" w:rsidR="001A5BCF" w:rsidRPr="00646254" w:rsidRDefault="001A5BCF" w:rsidP="008265F0">
      <w:pPr>
        <w:rPr>
          <w:rFonts w:ascii="Calibri" w:eastAsia="Calibri" w:hAnsi="Calibri" w:cs="Calibri"/>
          <w:b/>
          <w:color w:val="auto"/>
          <w:sz w:val="24"/>
          <w:szCs w:val="26"/>
          <w:lang w:val="sr-Cyrl-CS"/>
        </w:rPr>
        <w:sectPr w:rsidR="001A5BCF" w:rsidRPr="00646254" w:rsidSect="008265F0">
          <w:type w:val="continuous"/>
          <w:pgSz w:w="12240" w:h="15840"/>
          <w:pgMar w:top="1440" w:right="1440" w:bottom="1440" w:left="1440" w:header="720" w:footer="720" w:gutter="0"/>
          <w:cols w:num="2" w:space="720"/>
          <w:docGrid w:linePitch="360"/>
        </w:sectPr>
      </w:pPr>
    </w:p>
    <w:p w14:paraId="17918682" w14:textId="77777777" w:rsidR="001A5BCF" w:rsidRPr="00646254" w:rsidRDefault="001A5BCF" w:rsidP="008265F0">
      <w:pPr>
        <w:rPr>
          <w:rFonts w:ascii="Calibri" w:eastAsia="Calibri" w:hAnsi="Calibri" w:cs="Calibri"/>
          <w:color w:val="auto"/>
          <w:szCs w:val="20"/>
          <w:lang w:val="sr-Cyrl-CS"/>
        </w:rPr>
      </w:pPr>
      <w:r w:rsidRPr="00646254">
        <w:rPr>
          <w:rFonts w:ascii="Calibri" w:eastAsia="Calibri" w:hAnsi="Calibri" w:cs="Times New Roman"/>
          <w:noProof/>
          <w:color w:val="44546A"/>
        </w:rPr>
        <w:drawing>
          <wp:inline distT="0" distB="0" distL="0" distR="0" wp14:anchorId="7B794414" wp14:editId="76359DF6">
            <wp:extent cx="5943600" cy="2574290"/>
            <wp:effectExtent l="0" t="0" r="0" b="0"/>
            <wp:docPr id="70" name="Chart 70"/>
            <wp:cNvGraphicFramePr/>
            <a:graphic xmlns:a="http://schemas.openxmlformats.org/drawingml/2006/main">
              <a:graphicData uri="http://schemas.openxmlformats.org/drawingml/2006/chart">
                <c:chart xmlns:c="http://schemas.openxmlformats.org/drawingml/2006/chart" xmlns:r="http://schemas.openxmlformats.org/officeDocument/2006/relationships" r:id="rId138"/>
              </a:graphicData>
            </a:graphic>
          </wp:inline>
        </w:drawing>
      </w:r>
    </w:p>
    <w:p w14:paraId="44E1E000" w14:textId="77777777" w:rsidR="001A5BCF" w:rsidRPr="00646254" w:rsidRDefault="001A5BCF" w:rsidP="008265F0">
      <w:pPr>
        <w:rPr>
          <w:rFonts w:ascii="Calibri" w:eastAsia="Calibri" w:hAnsi="Calibri" w:cs="Calibri"/>
          <w:color w:val="auto"/>
          <w:szCs w:val="20"/>
          <w:lang w:val="sr-Cyrl-CS"/>
        </w:rPr>
      </w:pPr>
      <w:r w:rsidRPr="00646254">
        <w:rPr>
          <w:rFonts w:ascii="Calibri" w:eastAsia="Calibri" w:hAnsi="Calibri" w:cs="Calibri"/>
          <w:noProof/>
          <w:color w:val="auto"/>
        </w:rPr>
        <mc:AlternateContent>
          <mc:Choice Requires="wps">
            <w:drawing>
              <wp:anchor distT="0" distB="0" distL="114300" distR="114300" simplePos="0" relativeHeight="251677184" behindDoc="1" locked="0" layoutInCell="1" allowOverlap="1" wp14:anchorId="01F9D963" wp14:editId="6915578C">
                <wp:simplePos x="0" y="0"/>
                <wp:positionH relativeFrom="margin">
                  <wp:posOffset>-301925</wp:posOffset>
                </wp:positionH>
                <wp:positionV relativeFrom="paragraph">
                  <wp:posOffset>120770</wp:posOffset>
                </wp:positionV>
                <wp:extent cx="6564702" cy="4382219"/>
                <wp:effectExtent l="0" t="0" r="7620" b="0"/>
                <wp:wrapNone/>
                <wp:docPr id="64" name="Rectangle 64"/>
                <wp:cNvGraphicFramePr/>
                <a:graphic xmlns:a="http://schemas.openxmlformats.org/drawingml/2006/main">
                  <a:graphicData uri="http://schemas.microsoft.com/office/word/2010/wordprocessingShape">
                    <wps:wsp>
                      <wps:cNvSpPr/>
                      <wps:spPr>
                        <a:xfrm>
                          <a:off x="0" y="0"/>
                          <a:ext cx="6564702" cy="4382219"/>
                        </a:xfrm>
                        <a:prstGeom prst="rect">
                          <a:avLst/>
                        </a:prstGeom>
                        <a:pattFill prst="pct25">
                          <a:fgClr>
                            <a:sysClr val="window" lastClr="FFFFFF">
                              <a:lumMod val="85000"/>
                            </a:sysClr>
                          </a:fgClr>
                          <a:bgClr>
                            <a:sysClr val="window" lastClr="FFFFFF"/>
                          </a:bgClr>
                        </a:patt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CBB701F" id="Rectangle 64" o:spid="_x0000_s1026" style="position:absolute;margin-left:-23.75pt;margin-top:9.5pt;width:516.9pt;height:345.05pt;z-index:-2516392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" fillcolor="#d9d9d9" stroked="f" strokeweight="1pt">
                <v:fill r:id="rId18" o:title="" color2="window" type="pattern"/>
                <w10:wrap anchorx="margin"/>
              </v:rect>
            </w:pict>
          </mc:Fallback>
        </mc:AlternateContent>
      </w:r>
    </w:p>
    <w:p w14:paraId="285B3160" w14:textId="77777777" w:rsidR="001A5BCF" w:rsidRPr="00646254" w:rsidRDefault="001A5BCF" w:rsidP="008265F0">
      <w:pPr>
        <w:rPr>
          <w:rFonts w:ascii="Calibri" w:eastAsia="Calibri" w:hAnsi="Calibri" w:cs="Calibri"/>
          <w:color w:val="auto"/>
          <w:szCs w:val="20"/>
          <w:lang w:val="sr-Cyrl-CS"/>
        </w:rPr>
        <w:sectPr w:rsidR="001A5BCF" w:rsidRPr="00646254" w:rsidSect="008265F0">
          <w:type w:val="continuous"/>
          <w:pgSz w:w="12240" w:h="15840"/>
          <w:pgMar w:top="1440" w:right="1440" w:bottom="1440" w:left="1440" w:header="720" w:footer="720" w:gutter="0"/>
          <w:cols w:space="720"/>
          <w:docGrid w:linePitch="360"/>
        </w:sectPr>
      </w:pPr>
    </w:p>
    <w:p w14:paraId="4D81ED64" w14:textId="77777777" w:rsidR="001A5BCF" w:rsidRPr="00646254" w:rsidRDefault="001A5BCF" w:rsidP="008265F0">
      <w:pPr>
        <w:rPr>
          <w:rFonts w:ascii="Calibri" w:eastAsia="Calibri" w:hAnsi="Calibri" w:cs="Calibri"/>
          <w:color w:val="44546A"/>
          <w:szCs w:val="20"/>
          <w:lang w:val="sr-Cyrl-CS"/>
        </w:rPr>
      </w:pPr>
    </w:p>
    <w:p w14:paraId="0C7CF40A" w14:textId="77777777" w:rsidR="001A5BCF" w:rsidRPr="00646254" w:rsidRDefault="001A5BCF" w:rsidP="008265F0">
      <w:pPr>
        <w:rPr>
          <w:rFonts w:ascii="Calibri" w:eastAsia="Calibri" w:hAnsi="Calibri" w:cs="Calibri"/>
          <w:color w:val="44546A"/>
          <w:szCs w:val="20"/>
          <w:lang w:val="sr-Cyrl-CS"/>
        </w:rPr>
      </w:pPr>
      <w:r w:rsidRPr="00646254">
        <w:rPr>
          <w:rFonts w:ascii="Calibri" w:eastAsia="Calibri" w:hAnsi="Calibri" w:cs="Calibri"/>
          <w:color w:val="44546A"/>
          <w:szCs w:val="20"/>
          <w:lang w:val="sr-Cyrl-CS"/>
        </w:rPr>
        <w:t>Обрачун S0 индикатора за Републику Србију, урађен је од стране Министарства финансија, и базира се на методологији ЕК.</w:t>
      </w:r>
    </w:p>
    <w:p w14:paraId="30AAEDE3" w14:textId="77777777" w:rsidR="001A5BCF" w:rsidRPr="00646254" w:rsidRDefault="001A5BCF" w:rsidP="008265F0">
      <w:pPr>
        <w:rPr>
          <w:rFonts w:ascii="Calibri" w:eastAsia="Calibri" w:hAnsi="Calibri" w:cs="Calibri"/>
          <w:color w:val="44546A"/>
          <w:spacing w:val="2"/>
          <w:szCs w:val="20"/>
          <w:lang w:val="sr-Cyrl-CS"/>
        </w:rPr>
      </w:pPr>
      <w:r w:rsidRPr="00646254">
        <w:rPr>
          <w:rFonts w:ascii="Calibri" w:eastAsia="Calibri" w:hAnsi="Calibri" w:cs="Calibri"/>
          <w:color w:val="44546A"/>
          <w:spacing w:val="2"/>
          <w:szCs w:val="20"/>
          <w:lang w:val="sr-Cyrl-CS"/>
        </w:rPr>
        <w:t>На основу података ЕК за земље ЕУ за 2020. годину и обрачуна Министарства финансија за Републику Србију, закључујемо да се већина посматраних земаља, као и Србија, нашла у зони где би могла бити изложена некој врсти фискалног стреса у наредном средњорочном периоду. Минимизирање потенцијалних ризика за настанак фискалног стреса у посматраним земљама ће бити неопходно ради стварања простора за доношење мера економске политике као одговор на здравствену кризу која се прелила у све сфере економије.</w:t>
      </w:r>
    </w:p>
    <w:p w14:paraId="2874F788" w14:textId="77777777" w:rsidR="001A5BCF" w:rsidRPr="00646254" w:rsidRDefault="001A5BCF" w:rsidP="008265F0">
      <w:pPr>
        <w:rPr>
          <w:rFonts w:ascii="Calibri" w:eastAsia="Calibri" w:hAnsi="Calibri" w:cs="Calibri"/>
          <w:color w:val="44546A"/>
          <w:szCs w:val="20"/>
          <w:lang w:val="sr-Cyrl-CS"/>
        </w:rPr>
      </w:pPr>
    </w:p>
    <w:p w14:paraId="2A48DC9F" w14:textId="77777777" w:rsidR="001A5BCF" w:rsidRPr="00646254" w:rsidRDefault="001A5BCF" w:rsidP="008265F0">
      <w:pPr>
        <w:rPr>
          <w:rFonts w:ascii="Calibri" w:eastAsia="Calibri" w:hAnsi="Calibri" w:cs="Calibri"/>
          <w:color w:val="44546A"/>
          <w:szCs w:val="20"/>
          <w:lang w:val="sr-Cyrl-CS"/>
        </w:rPr>
      </w:pPr>
    </w:p>
    <w:p w14:paraId="48448CCA" w14:textId="77777777" w:rsidR="001A5BCF" w:rsidRPr="00646254" w:rsidRDefault="001A5BCF" w:rsidP="008265F0">
      <w:pPr>
        <w:rPr>
          <w:rFonts w:ascii="Calibri" w:eastAsia="Calibri" w:hAnsi="Calibri" w:cs="Calibri"/>
          <w:color w:val="44546A"/>
          <w:szCs w:val="20"/>
          <w:lang w:val="sr-Cyrl-CS"/>
        </w:rPr>
      </w:pPr>
    </w:p>
    <w:p w14:paraId="08D9F0BC" w14:textId="77777777" w:rsidR="001A5BCF" w:rsidRPr="00646254" w:rsidRDefault="001A5BCF" w:rsidP="008265F0">
      <w:pPr>
        <w:rPr>
          <w:rFonts w:ascii="Calibri" w:eastAsia="Calibri" w:hAnsi="Calibri" w:cs="Calibri"/>
          <w:color w:val="44546A"/>
          <w:szCs w:val="20"/>
          <w:lang w:val="sr-Cyrl-CS"/>
        </w:rPr>
      </w:pPr>
    </w:p>
    <w:p w14:paraId="2BF51D7C" w14:textId="77777777" w:rsidR="001A5BCF" w:rsidRPr="00646254" w:rsidRDefault="001A5BCF" w:rsidP="008265F0">
      <w:pPr>
        <w:rPr>
          <w:rFonts w:ascii="Calibri" w:eastAsia="Calibri" w:hAnsi="Calibri" w:cs="Calibri"/>
          <w:color w:val="44546A"/>
          <w:szCs w:val="20"/>
          <w:lang w:val="sr-Cyrl-CS"/>
        </w:rPr>
      </w:pPr>
    </w:p>
    <w:p w14:paraId="7578F8EF" w14:textId="77777777" w:rsidR="001A5BCF" w:rsidRPr="00646254" w:rsidRDefault="001A5BCF" w:rsidP="008265F0">
      <w:pPr>
        <w:rPr>
          <w:rFonts w:ascii="Calibri" w:eastAsia="Calibri" w:hAnsi="Calibri" w:cs="Calibri"/>
          <w:color w:val="44546A"/>
          <w:szCs w:val="20"/>
          <w:lang w:val="sr-Cyrl-CS"/>
        </w:rPr>
      </w:pPr>
    </w:p>
    <w:p w14:paraId="3CF2CF54" w14:textId="77777777" w:rsidR="001A5BCF" w:rsidRPr="00646254" w:rsidRDefault="001A5BCF" w:rsidP="008265F0">
      <w:pPr>
        <w:rPr>
          <w:rFonts w:ascii="Calibri" w:eastAsia="Calibri" w:hAnsi="Calibri" w:cs="Calibri"/>
          <w:color w:val="44546A"/>
          <w:szCs w:val="20"/>
          <w:lang w:val="sr-Cyrl-CS"/>
        </w:rPr>
      </w:pPr>
      <w:r w:rsidRPr="00646254">
        <w:rPr>
          <w:noProof/>
        </w:rPr>
        <w:drawing>
          <wp:inline distT="0" distB="0" distL="0" distR="0" wp14:anchorId="72CC729F" wp14:editId="285629A9">
            <wp:extent cx="2857500" cy="4181475"/>
            <wp:effectExtent l="0" t="0" r="0" b="0"/>
            <wp:docPr id="71" name="Chart 71"/>
            <wp:cNvGraphicFramePr/>
            <a:graphic xmlns:a="http://schemas.openxmlformats.org/drawingml/2006/main">
              <a:graphicData uri="http://schemas.openxmlformats.org/drawingml/2006/chart">
                <c:chart xmlns:c="http://schemas.openxmlformats.org/drawingml/2006/chart" xmlns:r="http://schemas.openxmlformats.org/officeDocument/2006/relationships" r:id="rId139"/>
              </a:graphicData>
            </a:graphic>
          </wp:inline>
        </w:drawing>
      </w:r>
    </w:p>
    <w:p w14:paraId="4A088F93" w14:textId="77777777" w:rsidR="001A5BCF" w:rsidRPr="00646254" w:rsidRDefault="001A5BCF" w:rsidP="00E96A1D">
      <w:pPr>
        <w:jc w:val="center"/>
        <w:rPr>
          <w:color w:val="auto"/>
          <w:lang w:val="sr-Cyrl-CS"/>
        </w:rPr>
        <w:sectPr w:rsidR="001A5BCF" w:rsidRPr="00646254" w:rsidSect="008265F0">
          <w:type w:val="continuous"/>
          <w:pgSz w:w="12240" w:h="15840" w:code="1"/>
          <w:pgMar w:top="1440" w:right="1440" w:bottom="1440" w:left="1440" w:header="720" w:footer="720" w:gutter="0"/>
          <w:cols w:num="2" w:space="720"/>
          <w:docGrid w:linePitch="360"/>
        </w:sectPr>
      </w:pPr>
    </w:p>
    <w:p w14:paraId="0DEC7E4E" w14:textId="77777777" w:rsidR="001A5BCF" w:rsidRPr="00646254" w:rsidRDefault="001A5BCF">
      <w:pPr>
        <w:jc w:val="left"/>
        <w:rPr>
          <w:rFonts w:eastAsia="Times New Roman" w:cstheme="minorHAnsi"/>
          <w:b/>
          <w:sz w:val="24"/>
          <w:lang w:val="sr-Cyrl-CS"/>
        </w:rPr>
      </w:pPr>
      <w:bookmarkStart w:id="30" w:name="_Toc56667080"/>
      <w:r w:rsidRPr="00646254">
        <w:rPr>
          <w:rFonts w:eastAsia="Times New Roman" w:cstheme="minorHAnsi"/>
          <w:b/>
          <w:sz w:val="24"/>
          <w:lang w:val="sr-Cyrl-CS"/>
        </w:rPr>
        <w:br w:type="page"/>
      </w:r>
    </w:p>
    <w:p w14:paraId="258CEE2F" w14:textId="77777777" w:rsidR="001A5BCF" w:rsidRPr="00646254" w:rsidRDefault="001A5BCF" w:rsidP="001A5BCF">
      <w:pPr>
        <w:pStyle w:val="Heading2"/>
        <w:spacing w:before="240" w:after="240"/>
        <w:jc w:val="center"/>
        <w:rPr>
          <w:rFonts w:asciiTheme="minorHAnsi" w:eastAsia="Calibri" w:hAnsiTheme="minorHAnsi" w:cstheme="minorHAnsi"/>
          <w:b/>
          <w:sz w:val="24"/>
          <w:lang w:val="sr-Cyrl-CS"/>
        </w:rPr>
      </w:pPr>
      <w:bookmarkStart w:id="31" w:name="_Toc56667078"/>
      <w:bookmarkStart w:id="32" w:name="_Toc86650476"/>
      <w:r w:rsidRPr="00646254">
        <w:rPr>
          <w:rFonts w:asciiTheme="minorHAnsi" w:eastAsia="Calibri" w:hAnsiTheme="minorHAnsi" w:cstheme="minorHAnsi"/>
          <w:b/>
          <w:sz w:val="24"/>
          <w:lang w:val="sr-Cyrl-CS"/>
        </w:rPr>
        <w:t>4. Фискалне пројекције у периоду 2022–2024. године</w:t>
      </w:r>
      <w:bookmarkEnd w:id="31"/>
      <w:bookmarkEnd w:id="32"/>
    </w:p>
    <w:p w14:paraId="2A9A421D" w14:textId="77777777" w:rsidR="001A5BCF" w:rsidRPr="00646254" w:rsidRDefault="001A5BCF" w:rsidP="001A5BCF">
      <w:pPr>
        <w:pStyle w:val="Heading2"/>
        <w:spacing w:before="240" w:after="240"/>
        <w:rPr>
          <w:rFonts w:eastAsia="MS PGothic" w:cstheme="minorHAnsi"/>
          <w:color w:val="44546A" w:themeColor="text2"/>
          <w:sz w:val="20"/>
          <w:szCs w:val="20"/>
          <w:lang w:val="sr-Cyrl-CS" w:eastAsia="ja-JP"/>
        </w:rPr>
        <w:sectPr w:rsidR="001A5BCF" w:rsidRPr="00646254" w:rsidSect="001A5BCF">
          <w:headerReference w:type="default" r:id="rId140"/>
          <w:footerReference w:type="even" r:id="rId141"/>
          <w:footerReference w:type="default" r:id="rId142"/>
          <w:headerReference w:type="first" r:id="rId143"/>
          <w:type w:val="continuous"/>
          <w:pgSz w:w="12240" w:h="15840" w:code="1"/>
          <w:pgMar w:top="1440" w:right="1440" w:bottom="1440" w:left="1440" w:header="720" w:footer="720" w:gutter="0"/>
          <w:cols w:space="720"/>
          <w:docGrid w:linePitch="360"/>
        </w:sectPr>
      </w:pPr>
    </w:p>
    <w:p w14:paraId="7AE71F7C" w14:textId="77777777" w:rsidR="001A5BCF" w:rsidRPr="00646254" w:rsidRDefault="001A5BCF" w:rsidP="001A5BCF">
      <w:pPr>
        <w:rPr>
          <w:lang w:val="sr-Cyrl-CS" w:eastAsia="ja-JP"/>
        </w:rPr>
      </w:pPr>
      <w:r w:rsidRPr="00646254">
        <w:rPr>
          <w:lang w:val="sr-Cyrl-CS" w:eastAsia="ja-JP"/>
        </w:rPr>
        <w:t>Циљеви фискалне политике су усмерени на одржање фискалне стабилности и смањење учешћа јавног дуга у БДП. Средњорочни фискални оквир предвиђа постепено смањење дефицита опште државе на ниво од 1,0% БДП до 2024. године и пад учешћа јавног дуга на 53,8% БДП. Пројекције фискалних агрегата у периоду од 2022. до 2024. године заснивају се на пројекцијама макроекономских показатеља за наведени период, планираној пореској политици која подразумева даље усаглашавање са законима и директивама ЕУ и фискалним и структурним мерама, укључујући и даљу реформу великих јавних предузећа.</w:t>
      </w:r>
    </w:p>
    <w:p w14:paraId="0FAFC6CB" w14:textId="77777777" w:rsidR="001A5BCF" w:rsidRPr="00646254" w:rsidRDefault="001A5BCF" w:rsidP="001A5BCF">
      <w:pPr>
        <w:rPr>
          <w:lang w:val="sr-Cyrl-CS" w:eastAsia="ja-JP"/>
        </w:rPr>
      </w:pPr>
      <w:r w:rsidRPr="00646254">
        <w:rPr>
          <w:lang w:val="sr-Cyrl-CS" w:eastAsia="ja-JP"/>
        </w:rPr>
        <w:t>Захваљујући мерама фискалне консолидације у претходном периоду створен је фискални простор који је омогућио богате пакете мера у склопу борбе против ефеката кризе изазване пандемијом током 2020. и 2021. године. У наредној години не очекује се истоветан утицај пандемије који би захтевао сличан пакет мера, али биће обезбеђене одређене резерве у случају новог погоршања економских кретања. У 2022. години се очекује наставак улагања у капиталне инвестиције и здравствени систем, умерено повећање пензија и плата у јавном сектору, а са приходне стране и пореско растерећење привреде. Ове мере и њихове фискалне импликације дизајниране су тако да не угрозе стабилност јавних финансија и темпо смањења јавног дуга, затим да одрже животни стандард становништва и помогну привредни развој, али и да осигурају флексибилност реакције на евентуалне нове ударе кризе.</w:t>
      </w:r>
    </w:p>
    <w:p w14:paraId="656A1F34" w14:textId="77777777" w:rsidR="001A5BCF" w:rsidRPr="00646254" w:rsidRDefault="001A5BCF" w:rsidP="001A5BCF">
      <w:pPr>
        <w:spacing w:line="276" w:lineRule="auto"/>
        <w:rPr>
          <w:lang w:val="sr-Cyrl-CS" w:eastAsia="ja-JP"/>
        </w:rPr>
        <w:sectPr w:rsidR="001A5BCF" w:rsidRPr="00646254" w:rsidSect="00AE40EB">
          <w:type w:val="continuous"/>
          <w:pgSz w:w="12240" w:h="15840" w:code="1"/>
          <w:pgMar w:top="1440" w:right="1440" w:bottom="1440" w:left="1440" w:header="720" w:footer="720" w:gutter="0"/>
          <w:cols w:num="2" w:space="720"/>
          <w:docGrid w:linePitch="360"/>
        </w:sectPr>
      </w:pPr>
    </w:p>
    <w:p w14:paraId="333BF657" w14:textId="77777777" w:rsidR="001A5BCF" w:rsidRPr="00646254" w:rsidRDefault="001A5BCF" w:rsidP="001A5BCF">
      <w:pPr>
        <w:widowControl w:val="0"/>
        <w:spacing w:before="360" w:after="120" w:line="276" w:lineRule="auto"/>
        <w:jc w:val="center"/>
        <w:rPr>
          <w:rFonts w:eastAsia="MS PGothic" w:cstheme="minorHAnsi"/>
          <w:b/>
          <w:color w:val="002060"/>
          <w:szCs w:val="20"/>
          <w:lang w:val="sr-Cyrl-CS" w:eastAsia="ja-JP"/>
        </w:rPr>
      </w:pPr>
      <w:r w:rsidRPr="00646254">
        <w:rPr>
          <w:rFonts w:eastAsia="MS PGothic" w:cstheme="minorHAnsi"/>
          <w:b/>
          <w:color w:val="002060"/>
          <w:szCs w:val="20"/>
          <w:lang w:val="sr-Cyrl-CS" w:eastAsia="ja-JP"/>
        </w:rPr>
        <w:t>Табела 10. Фискални агрегати у периоду 2020–2024. године, % БДП</w:t>
      </w:r>
    </w:p>
    <w:tbl>
      <w:tblPr>
        <w:tblStyle w:val="LightShading-Accent1221"/>
        <w:tblW w:w="5000" w:type="pct"/>
        <w:tblBorders>
          <w:top w:val="none" w:sz="0" w:space="0" w:color="auto"/>
          <w:bottom w:val="none" w:sz="0" w:space="0" w:color="auto"/>
        </w:tblBorders>
        <w:tblLook w:val="0420" w:firstRow="1" w:lastRow="0" w:firstColumn="0" w:lastColumn="0" w:noHBand="0" w:noVBand="1"/>
      </w:tblPr>
      <w:tblGrid>
        <w:gridCol w:w="3971"/>
        <w:gridCol w:w="1133"/>
        <w:gridCol w:w="1133"/>
        <w:gridCol w:w="1041"/>
        <w:gridCol w:w="1041"/>
        <w:gridCol w:w="1041"/>
      </w:tblGrid>
      <w:tr w:rsidR="001A5BCF" w:rsidRPr="00646254" w14:paraId="6BFDC7E1" w14:textId="77777777" w:rsidTr="00E96A1D">
        <w:trPr>
          <w:cnfStyle w:val="100000000000" w:firstRow="1" w:lastRow="0" w:firstColumn="0" w:lastColumn="0" w:oddVBand="0" w:evenVBand="0" w:oddHBand="0" w:evenHBand="0" w:firstRowFirstColumn="0" w:firstRowLastColumn="0" w:lastRowFirstColumn="0" w:lastRowLastColumn="0"/>
          <w:trHeight w:val="253"/>
        </w:trPr>
        <w:tc>
          <w:tcPr>
            <w:tcW w:w="2121" w:type="pct"/>
            <w:tcBorders>
              <w:top w:val="single" w:sz="4" w:space="0" w:color="002060"/>
              <w:bottom w:val="single" w:sz="4" w:space="0" w:color="002060"/>
            </w:tcBorders>
            <w:shd w:val="clear" w:color="auto" w:fill="auto"/>
            <w:noWrap/>
            <w:vAlign w:val="center"/>
          </w:tcPr>
          <w:p w14:paraId="1E664964" w14:textId="77777777" w:rsidR="001A5BCF" w:rsidRPr="00646254" w:rsidRDefault="001A5BCF" w:rsidP="00E96A1D">
            <w:pPr>
              <w:spacing w:line="276" w:lineRule="auto"/>
              <w:rPr>
                <w:rFonts w:asciiTheme="minorHAnsi" w:hAnsiTheme="minorHAnsi" w:cstheme="minorHAnsi"/>
                <w:b w:val="0"/>
                <w:color w:val="002060"/>
                <w:sz w:val="18"/>
                <w:lang w:val="sr-Cyrl-CS"/>
              </w:rPr>
            </w:pPr>
            <w:r w:rsidRPr="00646254">
              <w:rPr>
                <w:rFonts w:asciiTheme="minorHAnsi" w:hAnsiTheme="minorHAnsi" w:cstheme="minorHAnsi"/>
                <w:b w:val="0"/>
                <w:color w:val="002060"/>
                <w:sz w:val="18"/>
                <w:lang w:val="sr-Cyrl-CS"/>
              </w:rPr>
              <w:t>Опис</w:t>
            </w:r>
          </w:p>
        </w:tc>
        <w:tc>
          <w:tcPr>
            <w:tcW w:w="605" w:type="pct"/>
            <w:tcBorders>
              <w:top w:val="single" w:sz="4" w:space="0" w:color="002060"/>
              <w:bottom w:val="single" w:sz="4" w:space="0" w:color="002060"/>
            </w:tcBorders>
            <w:shd w:val="clear" w:color="auto" w:fill="auto"/>
            <w:vAlign w:val="center"/>
          </w:tcPr>
          <w:p w14:paraId="551A3660" w14:textId="77777777" w:rsidR="001A5BCF" w:rsidRPr="00646254" w:rsidRDefault="001A5BCF" w:rsidP="00E96A1D">
            <w:pPr>
              <w:spacing w:line="276" w:lineRule="auto"/>
              <w:jc w:val="right"/>
              <w:rPr>
                <w:rFonts w:asciiTheme="minorHAnsi" w:hAnsiTheme="minorHAnsi" w:cstheme="minorHAnsi"/>
                <w:b w:val="0"/>
                <w:color w:val="002060"/>
                <w:sz w:val="18"/>
                <w:lang w:val="sr-Cyrl-CS"/>
              </w:rPr>
            </w:pPr>
            <w:r w:rsidRPr="00646254">
              <w:rPr>
                <w:rFonts w:asciiTheme="minorHAnsi" w:hAnsiTheme="minorHAnsi" w:cstheme="minorHAnsi"/>
                <w:b w:val="0"/>
                <w:color w:val="002060"/>
                <w:sz w:val="18"/>
                <w:lang w:val="sr-Cyrl-CS"/>
              </w:rPr>
              <w:t>Извршење</w:t>
            </w:r>
          </w:p>
        </w:tc>
        <w:tc>
          <w:tcPr>
            <w:tcW w:w="605" w:type="pct"/>
            <w:tcBorders>
              <w:top w:val="single" w:sz="4" w:space="0" w:color="002060"/>
              <w:bottom w:val="single" w:sz="4" w:space="0" w:color="002060"/>
            </w:tcBorders>
            <w:shd w:val="clear" w:color="auto" w:fill="auto"/>
            <w:vAlign w:val="center"/>
          </w:tcPr>
          <w:p w14:paraId="69A4F1CA" w14:textId="77777777" w:rsidR="001A5BCF" w:rsidRPr="00646254" w:rsidRDefault="001A5BCF" w:rsidP="00E96A1D">
            <w:pPr>
              <w:spacing w:line="276" w:lineRule="auto"/>
              <w:jc w:val="right"/>
              <w:rPr>
                <w:rFonts w:asciiTheme="minorHAnsi" w:hAnsiTheme="minorHAnsi" w:cstheme="minorHAnsi"/>
                <w:b w:val="0"/>
                <w:color w:val="002060"/>
                <w:sz w:val="18"/>
                <w:lang w:val="sr-Cyrl-CS"/>
              </w:rPr>
            </w:pPr>
            <w:r w:rsidRPr="00646254">
              <w:rPr>
                <w:rFonts w:asciiTheme="minorHAnsi" w:hAnsiTheme="minorHAnsi" w:cstheme="minorHAnsi"/>
                <w:b w:val="0"/>
                <w:color w:val="002060"/>
                <w:sz w:val="18"/>
                <w:lang w:val="sr-Cyrl-CS"/>
              </w:rPr>
              <w:t>Процена</w:t>
            </w:r>
          </w:p>
        </w:tc>
        <w:tc>
          <w:tcPr>
            <w:tcW w:w="1668" w:type="pct"/>
            <w:gridSpan w:val="3"/>
            <w:tcBorders>
              <w:top w:val="single" w:sz="4" w:space="0" w:color="002060"/>
              <w:bottom w:val="single" w:sz="4" w:space="0" w:color="002060"/>
            </w:tcBorders>
            <w:shd w:val="clear" w:color="auto" w:fill="auto"/>
            <w:vAlign w:val="center"/>
          </w:tcPr>
          <w:p w14:paraId="77DCC851" w14:textId="77777777" w:rsidR="001A5BCF" w:rsidRPr="00646254" w:rsidRDefault="001A5BCF" w:rsidP="00E96A1D">
            <w:pPr>
              <w:spacing w:line="276" w:lineRule="auto"/>
              <w:jc w:val="center"/>
              <w:rPr>
                <w:rFonts w:asciiTheme="minorHAnsi" w:hAnsiTheme="minorHAnsi" w:cstheme="minorHAnsi"/>
                <w:b w:val="0"/>
                <w:color w:val="002060"/>
                <w:sz w:val="18"/>
                <w:lang w:val="sr-Cyrl-CS"/>
              </w:rPr>
            </w:pPr>
            <w:r w:rsidRPr="00646254">
              <w:rPr>
                <w:rFonts w:asciiTheme="minorHAnsi" w:hAnsiTheme="minorHAnsi" w:cstheme="minorHAnsi"/>
                <w:b w:val="0"/>
                <w:color w:val="002060"/>
                <w:sz w:val="18"/>
                <w:lang w:val="sr-Cyrl-CS"/>
              </w:rPr>
              <w:t>Пројекција</w:t>
            </w:r>
          </w:p>
        </w:tc>
      </w:tr>
      <w:tr w:rsidR="001A5BCF" w:rsidRPr="00646254" w14:paraId="36440A09" w14:textId="77777777" w:rsidTr="00E96A1D">
        <w:trPr>
          <w:cnfStyle w:val="000000100000" w:firstRow="0" w:lastRow="0" w:firstColumn="0" w:lastColumn="0" w:oddVBand="0" w:evenVBand="0" w:oddHBand="1" w:evenHBand="0" w:firstRowFirstColumn="0" w:firstRowLastColumn="0" w:lastRowFirstColumn="0" w:lastRowLastColumn="0"/>
          <w:trHeight w:val="253"/>
        </w:trPr>
        <w:tc>
          <w:tcPr>
            <w:tcW w:w="2121" w:type="pct"/>
            <w:tcBorders>
              <w:top w:val="single" w:sz="4" w:space="0" w:color="002060"/>
              <w:left w:val="none" w:sz="0" w:space="0" w:color="auto"/>
              <w:right w:val="none" w:sz="0" w:space="0" w:color="auto"/>
            </w:tcBorders>
            <w:shd w:val="clear" w:color="auto" w:fill="auto"/>
            <w:noWrap/>
            <w:vAlign w:val="center"/>
          </w:tcPr>
          <w:p w14:paraId="01E9F7B5" w14:textId="77777777" w:rsidR="001A5BCF" w:rsidRPr="00646254" w:rsidRDefault="001A5BCF" w:rsidP="00E96A1D">
            <w:pPr>
              <w:spacing w:line="276" w:lineRule="auto"/>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 </w:t>
            </w:r>
          </w:p>
        </w:tc>
        <w:tc>
          <w:tcPr>
            <w:tcW w:w="605" w:type="pct"/>
            <w:tcBorders>
              <w:top w:val="single" w:sz="4" w:space="0" w:color="002060"/>
              <w:left w:val="none" w:sz="0" w:space="0" w:color="auto"/>
              <w:bottom w:val="single" w:sz="4" w:space="0" w:color="002060"/>
              <w:right w:val="none" w:sz="0" w:space="0" w:color="auto"/>
            </w:tcBorders>
            <w:shd w:val="clear" w:color="auto" w:fill="auto"/>
            <w:vAlign w:val="center"/>
          </w:tcPr>
          <w:p w14:paraId="07D07CB3" w14:textId="77777777" w:rsidR="001A5BCF" w:rsidRPr="00646254" w:rsidRDefault="001A5BCF" w:rsidP="00E96A1D">
            <w:pPr>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2020</w:t>
            </w:r>
          </w:p>
        </w:tc>
        <w:tc>
          <w:tcPr>
            <w:tcW w:w="605" w:type="pct"/>
            <w:tcBorders>
              <w:top w:val="single" w:sz="4" w:space="0" w:color="002060"/>
              <w:left w:val="none" w:sz="0" w:space="0" w:color="auto"/>
              <w:bottom w:val="single" w:sz="4" w:space="0" w:color="002060"/>
              <w:right w:val="none" w:sz="0" w:space="0" w:color="auto"/>
            </w:tcBorders>
            <w:shd w:val="clear" w:color="auto" w:fill="auto"/>
            <w:vAlign w:val="center"/>
          </w:tcPr>
          <w:p w14:paraId="644C9D5E" w14:textId="77777777" w:rsidR="001A5BCF" w:rsidRPr="00646254" w:rsidRDefault="001A5BCF" w:rsidP="00E96A1D">
            <w:pPr>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2021</w:t>
            </w:r>
          </w:p>
        </w:tc>
        <w:tc>
          <w:tcPr>
            <w:tcW w:w="556" w:type="pct"/>
            <w:tcBorders>
              <w:top w:val="single" w:sz="4" w:space="0" w:color="002060"/>
              <w:left w:val="none" w:sz="0" w:space="0" w:color="auto"/>
              <w:bottom w:val="single" w:sz="4" w:space="0" w:color="002060"/>
              <w:right w:val="none" w:sz="0" w:space="0" w:color="auto"/>
            </w:tcBorders>
            <w:shd w:val="clear" w:color="auto" w:fill="auto"/>
            <w:vAlign w:val="center"/>
          </w:tcPr>
          <w:p w14:paraId="6A3E14C6" w14:textId="77777777" w:rsidR="001A5BCF" w:rsidRPr="00646254" w:rsidRDefault="001A5BCF" w:rsidP="00E96A1D">
            <w:pPr>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2022</w:t>
            </w:r>
          </w:p>
        </w:tc>
        <w:tc>
          <w:tcPr>
            <w:tcW w:w="556" w:type="pct"/>
            <w:tcBorders>
              <w:top w:val="single" w:sz="4" w:space="0" w:color="002060"/>
              <w:left w:val="none" w:sz="0" w:space="0" w:color="auto"/>
              <w:bottom w:val="single" w:sz="4" w:space="0" w:color="002060"/>
              <w:right w:val="none" w:sz="0" w:space="0" w:color="auto"/>
            </w:tcBorders>
            <w:shd w:val="clear" w:color="auto" w:fill="auto"/>
            <w:vAlign w:val="center"/>
          </w:tcPr>
          <w:p w14:paraId="6AAFE796" w14:textId="77777777" w:rsidR="001A5BCF" w:rsidRPr="00646254" w:rsidRDefault="001A5BCF" w:rsidP="00E96A1D">
            <w:pPr>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2023</w:t>
            </w:r>
          </w:p>
        </w:tc>
        <w:tc>
          <w:tcPr>
            <w:tcW w:w="556" w:type="pct"/>
            <w:tcBorders>
              <w:top w:val="single" w:sz="4" w:space="0" w:color="002060"/>
              <w:left w:val="none" w:sz="0" w:space="0" w:color="auto"/>
              <w:bottom w:val="single" w:sz="4" w:space="0" w:color="002060"/>
              <w:right w:val="none" w:sz="0" w:space="0" w:color="auto"/>
            </w:tcBorders>
            <w:shd w:val="clear" w:color="auto" w:fill="auto"/>
            <w:vAlign w:val="center"/>
          </w:tcPr>
          <w:p w14:paraId="795468C3" w14:textId="77777777" w:rsidR="001A5BCF" w:rsidRPr="00646254" w:rsidRDefault="001A5BCF" w:rsidP="00E96A1D">
            <w:pPr>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2024</w:t>
            </w:r>
          </w:p>
        </w:tc>
      </w:tr>
      <w:tr w:rsidR="001A5BCF" w:rsidRPr="00646254" w14:paraId="4A0625F9" w14:textId="77777777" w:rsidTr="00E96A1D">
        <w:trPr>
          <w:trHeight w:val="253"/>
        </w:trPr>
        <w:tc>
          <w:tcPr>
            <w:tcW w:w="2121" w:type="pct"/>
            <w:shd w:val="clear" w:color="auto" w:fill="auto"/>
            <w:vAlign w:val="center"/>
          </w:tcPr>
          <w:p w14:paraId="6B41C539" w14:textId="77777777" w:rsidR="001A5BCF" w:rsidRPr="00646254" w:rsidRDefault="001A5BCF" w:rsidP="00E96A1D">
            <w:pPr>
              <w:spacing w:line="276" w:lineRule="auto"/>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Јавни приходи</w:t>
            </w:r>
          </w:p>
        </w:tc>
        <w:tc>
          <w:tcPr>
            <w:tcW w:w="605" w:type="pct"/>
            <w:tcBorders>
              <w:top w:val="single" w:sz="4" w:space="0" w:color="002060"/>
            </w:tcBorders>
            <w:shd w:val="clear" w:color="auto" w:fill="auto"/>
            <w:vAlign w:val="center"/>
          </w:tcPr>
          <w:p w14:paraId="55380043" w14:textId="77777777" w:rsidR="001A5BCF" w:rsidRPr="00646254" w:rsidRDefault="001A5BCF" w:rsidP="00E96A1D">
            <w:pPr>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41,0</w:t>
            </w:r>
          </w:p>
        </w:tc>
        <w:tc>
          <w:tcPr>
            <w:tcW w:w="605" w:type="pct"/>
            <w:tcBorders>
              <w:top w:val="single" w:sz="4" w:space="0" w:color="002060"/>
            </w:tcBorders>
            <w:shd w:val="clear" w:color="auto" w:fill="auto"/>
            <w:vAlign w:val="center"/>
          </w:tcPr>
          <w:p w14:paraId="606EDB30" w14:textId="77777777" w:rsidR="001A5BCF" w:rsidRPr="00646254" w:rsidRDefault="001A5BCF" w:rsidP="00E96A1D">
            <w:pPr>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43,5</w:t>
            </w:r>
          </w:p>
        </w:tc>
        <w:tc>
          <w:tcPr>
            <w:tcW w:w="556" w:type="pct"/>
            <w:tcBorders>
              <w:top w:val="single" w:sz="4" w:space="0" w:color="002060"/>
            </w:tcBorders>
            <w:shd w:val="clear" w:color="auto" w:fill="auto"/>
            <w:vAlign w:val="center"/>
          </w:tcPr>
          <w:p w14:paraId="17DB99E8" w14:textId="77777777" w:rsidR="001A5BCF" w:rsidRPr="00646254" w:rsidRDefault="001A5BCF" w:rsidP="00E96A1D">
            <w:pPr>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42,2</w:t>
            </w:r>
          </w:p>
        </w:tc>
        <w:tc>
          <w:tcPr>
            <w:tcW w:w="556" w:type="pct"/>
            <w:tcBorders>
              <w:top w:val="single" w:sz="4" w:space="0" w:color="002060"/>
            </w:tcBorders>
            <w:shd w:val="clear" w:color="auto" w:fill="auto"/>
            <w:vAlign w:val="center"/>
          </w:tcPr>
          <w:p w14:paraId="5EAC081C" w14:textId="77777777" w:rsidR="001A5BCF" w:rsidRPr="00646254" w:rsidRDefault="001A5BCF" w:rsidP="00E96A1D">
            <w:pPr>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41,4</w:t>
            </w:r>
          </w:p>
        </w:tc>
        <w:tc>
          <w:tcPr>
            <w:tcW w:w="556" w:type="pct"/>
            <w:tcBorders>
              <w:top w:val="single" w:sz="4" w:space="0" w:color="002060"/>
            </w:tcBorders>
            <w:shd w:val="clear" w:color="auto" w:fill="auto"/>
            <w:vAlign w:val="center"/>
          </w:tcPr>
          <w:p w14:paraId="08C0082C" w14:textId="77777777" w:rsidR="001A5BCF" w:rsidRPr="00646254" w:rsidRDefault="001A5BCF" w:rsidP="00E96A1D">
            <w:pPr>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41,1</w:t>
            </w:r>
          </w:p>
        </w:tc>
      </w:tr>
      <w:tr w:rsidR="001A5BCF" w:rsidRPr="00646254" w14:paraId="304E3A01" w14:textId="77777777" w:rsidTr="00E96A1D">
        <w:trPr>
          <w:cnfStyle w:val="000000100000" w:firstRow="0" w:lastRow="0" w:firstColumn="0" w:lastColumn="0" w:oddVBand="0" w:evenVBand="0" w:oddHBand="1" w:evenHBand="0" w:firstRowFirstColumn="0" w:firstRowLastColumn="0" w:lastRowFirstColumn="0" w:lastRowLastColumn="0"/>
          <w:trHeight w:val="253"/>
        </w:trPr>
        <w:tc>
          <w:tcPr>
            <w:tcW w:w="2121" w:type="pct"/>
            <w:shd w:val="clear" w:color="auto" w:fill="auto"/>
            <w:vAlign w:val="center"/>
          </w:tcPr>
          <w:p w14:paraId="68EB9ED1" w14:textId="77777777" w:rsidR="001A5BCF" w:rsidRPr="00646254" w:rsidRDefault="001A5BCF" w:rsidP="00E96A1D">
            <w:pPr>
              <w:spacing w:line="276" w:lineRule="auto"/>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Јавни расходи</w:t>
            </w:r>
          </w:p>
        </w:tc>
        <w:tc>
          <w:tcPr>
            <w:tcW w:w="605" w:type="pct"/>
            <w:shd w:val="clear" w:color="auto" w:fill="auto"/>
            <w:vAlign w:val="center"/>
          </w:tcPr>
          <w:p w14:paraId="32389E34" w14:textId="77777777" w:rsidR="001A5BCF" w:rsidRPr="00646254" w:rsidRDefault="001A5BCF" w:rsidP="00E96A1D">
            <w:pPr>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49,0</w:t>
            </w:r>
          </w:p>
        </w:tc>
        <w:tc>
          <w:tcPr>
            <w:tcW w:w="605" w:type="pct"/>
            <w:shd w:val="clear" w:color="auto" w:fill="auto"/>
            <w:vAlign w:val="center"/>
          </w:tcPr>
          <w:p w14:paraId="411A0868" w14:textId="77777777" w:rsidR="001A5BCF" w:rsidRPr="00646254" w:rsidRDefault="001A5BCF" w:rsidP="00E96A1D">
            <w:pPr>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48,4</w:t>
            </w:r>
          </w:p>
        </w:tc>
        <w:tc>
          <w:tcPr>
            <w:tcW w:w="556" w:type="pct"/>
            <w:shd w:val="clear" w:color="auto" w:fill="auto"/>
            <w:vAlign w:val="center"/>
          </w:tcPr>
          <w:p w14:paraId="1EC15D9E" w14:textId="77777777" w:rsidR="001A5BCF" w:rsidRPr="00646254" w:rsidRDefault="001A5BCF" w:rsidP="00E96A1D">
            <w:pPr>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45,3</w:t>
            </w:r>
          </w:p>
        </w:tc>
        <w:tc>
          <w:tcPr>
            <w:tcW w:w="556" w:type="pct"/>
            <w:shd w:val="clear" w:color="auto" w:fill="auto"/>
            <w:vAlign w:val="center"/>
          </w:tcPr>
          <w:p w14:paraId="7B313616" w14:textId="17A06775" w:rsidR="001A5BCF" w:rsidRPr="00646254" w:rsidRDefault="001010AA" w:rsidP="00E96A1D">
            <w:pPr>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42,9</w:t>
            </w:r>
          </w:p>
        </w:tc>
        <w:tc>
          <w:tcPr>
            <w:tcW w:w="556" w:type="pct"/>
            <w:shd w:val="clear" w:color="auto" w:fill="auto"/>
            <w:vAlign w:val="center"/>
          </w:tcPr>
          <w:p w14:paraId="29F4D2F8" w14:textId="77777777" w:rsidR="001A5BCF" w:rsidRPr="00646254" w:rsidRDefault="001A5BCF" w:rsidP="00E96A1D">
            <w:pPr>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42,1</w:t>
            </w:r>
          </w:p>
        </w:tc>
      </w:tr>
      <w:tr w:rsidR="001A5BCF" w:rsidRPr="00646254" w14:paraId="28E60F5C" w14:textId="77777777" w:rsidTr="00E96A1D">
        <w:trPr>
          <w:trHeight w:val="253"/>
        </w:trPr>
        <w:tc>
          <w:tcPr>
            <w:tcW w:w="2121" w:type="pct"/>
            <w:shd w:val="clear" w:color="auto" w:fill="auto"/>
            <w:vAlign w:val="center"/>
          </w:tcPr>
          <w:p w14:paraId="4413FDE6" w14:textId="77777777" w:rsidR="001A5BCF" w:rsidRPr="00646254" w:rsidRDefault="001A5BCF" w:rsidP="00E96A1D">
            <w:pPr>
              <w:spacing w:line="276" w:lineRule="auto"/>
              <w:rPr>
                <w:rFonts w:asciiTheme="minorHAnsi" w:hAnsiTheme="minorHAnsi" w:cstheme="minorHAnsi"/>
                <w:color w:val="002060"/>
                <w:sz w:val="18"/>
                <w:szCs w:val="18"/>
                <w:lang w:val="sr-Cyrl-CS"/>
              </w:rPr>
            </w:pPr>
          </w:p>
        </w:tc>
        <w:tc>
          <w:tcPr>
            <w:tcW w:w="605" w:type="pct"/>
            <w:shd w:val="clear" w:color="auto" w:fill="auto"/>
            <w:vAlign w:val="center"/>
          </w:tcPr>
          <w:p w14:paraId="4E00299C" w14:textId="77777777" w:rsidR="001A5BCF" w:rsidRPr="00646254" w:rsidRDefault="001A5BCF" w:rsidP="00E96A1D">
            <w:pPr>
              <w:spacing w:line="276" w:lineRule="auto"/>
              <w:jc w:val="right"/>
              <w:rPr>
                <w:rFonts w:asciiTheme="minorHAnsi" w:hAnsiTheme="minorHAnsi" w:cstheme="minorHAnsi"/>
                <w:color w:val="002060"/>
                <w:sz w:val="18"/>
                <w:szCs w:val="18"/>
                <w:lang w:val="sr-Cyrl-CS"/>
              </w:rPr>
            </w:pPr>
          </w:p>
        </w:tc>
        <w:tc>
          <w:tcPr>
            <w:tcW w:w="605" w:type="pct"/>
            <w:shd w:val="clear" w:color="auto" w:fill="auto"/>
            <w:vAlign w:val="center"/>
          </w:tcPr>
          <w:p w14:paraId="77492354" w14:textId="77777777" w:rsidR="001A5BCF" w:rsidRPr="00646254" w:rsidRDefault="001A5BCF" w:rsidP="00E96A1D">
            <w:pPr>
              <w:spacing w:line="276" w:lineRule="auto"/>
              <w:jc w:val="right"/>
              <w:rPr>
                <w:rFonts w:asciiTheme="minorHAnsi" w:hAnsiTheme="minorHAnsi" w:cstheme="minorHAnsi"/>
                <w:color w:val="002060"/>
                <w:sz w:val="18"/>
                <w:szCs w:val="18"/>
                <w:lang w:val="sr-Cyrl-CS"/>
              </w:rPr>
            </w:pPr>
          </w:p>
        </w:tc>
        <w:tc>
          <w:tcPr>
            <w:tcW w:w="556" w:type="pct"/>
            <w:shd w:val="clear" w:color="auto" w:fill="auto"/>
            <w:vAlign w:val="center"/>
          </w:tcPr>
          <w:p w14:paraId="4BDD4FAA" w14:textId="77777777" w:rsidR="001A5BCF" w:rsidRPr="00646254" w:rsidRDefault="001A5BCF" w:rsidP="00E96A1D">
            <w:pPr>
              <w:spacing w:line="276" w:lineRule="auto"/>
              <w:jc w:val="right"/>
              <w:rPr>
                <w:rFonts w:asciiTheme="minorHAnsi" w:hAnsiTheme="minorHAnsi" w:cstheme="minorHAnsi"/>
                <w:color w:val="002060"/>
                <w:sz w:val="18"/>
                <w:szCs w:val="18"/>
                <w:lang w:val="sr-Cyrl-CS"/>
              </w:rPr>
            </w:pPr>
          </w:p>
        </w:tc>
        <w:tc>
          <w:tcPr>
            <w:tcW w:w="556" w:type="pct"/>
            <w:shd w:val="clear" w:color="auto" w:fill="auto"/>
            <w:vAlign w:val="center"/>
          </w:tcPr>
          <w:p w14:paraId="04461A3B" w14:textId="77777777" w:rsidR="001A5BCF" w:rsidRPr="00646254" w:rsidRDefault="001A5BCF" w:rsidP="00E96A1D">
            <w:pPr>
              <w:spacing w:line="276" w:lineRule="auto"/>
              <w:jc w:val="right"/>
              <w:rPr>
                <w:rFonts w:asciiTheme="minorHAnsi" w:hAnsiTheme="minorHAnsi" w:cstheme="minorHAnsi"/>
                <w:color w:val="002060"/>
                <w:sz w:val="18"/>
                <w:szCs w:val="18"/>
                <w:lang w:val="sr-Cyrl-CS"/>
              </w:rPr>
            </w:pPr>
          </w:p>
        </w:tc>
        <w:tc>
          <w:tcPr>
            <w:tcW w:w="556" w:type="pct"/>
            <w:shd w:val="clear" w:color="auto" w:fill="auto"/>
            <w:vAlign w:val="center"/>
          </w:tcPr>
          <w:p w14:paraId="10690B60" w14:textId="77777777" w:rsidR="001A5BCF" w:rsidRPr="00646254" w:rsidRDefault="001A5BCF" w:rsidP="00E96A1D">
            <w:pPr>
              <w:spacing w:line="276" w:lineRule="auto"/>
              <w:jc w:val="right"/>
              <w:rPr>
                <w:rFonts w:asciiTheme="minorHAnsi" w:hAnsiTheme="minorHAnsi" w:cstheme="minorHAnsi"/>
                <w:color w:val="002060"/>
                <w:sz w:val="18"/>
                <w:szCs w:val="18"/>
                <w:lang w:val="sr-Cyrl-CS"/>
              </w:rPr>
            </w:pPr>
          </w:p>
        </w:tc>
      </w:tr>
      <w:tr w:rsidR="001A5BCF" w:rsidRPr="00646254" w14:paraId="5780AA04" w14:textId="77777777" w:rsidTr="00E96A1D">
        <w:trPr>
          <w:cnfStyle w:val="000000100000" w:firstRow="0" w:lastRow="0" w:firstColumn="0" w:lastColumn="0" w:oddVBand="0" w:evenVBand="0" w:oddHBand="1" w:evenHBand="0" w:firstRowFirstColumn="0" w:firstRowLastColumn="0" w:lastRowFirstColumn="0" w:lastRowLastColumn="0"/>
          <w:trHeight w:val="253"/>
        </w:trPr>
        <w:tc>
          <w:tcPr>
            <w:tcW w:w="2121" w:type="pct"/>
            <w:shd w:val="clear" w:color="auto" w:fill="auto"/>
            <w:vAlign w:val="center"/>
          </w:tcPr>
          <w:p w14:paraId="1CE7F9B7" w14:textId="77777777" w:rsidR="001A5BCF" w:rsidRPr="00646254" w:rsidRDefault="001A5BCF" w:rsidP="00E96A1D">
            <w:pPr>
              <w:spacing w:line="276" w:lineRule="auto"/>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Консолидовани фискални резултат</w:t>
            </w:r>
          </w:p>
        </w:tc>
        <w:tc>
          <w:tcPr>
            <w:tcW w:w="605" w:type="pct"/>
            <w:shd w:val="clear" w:color="auto" w:fill="auto"/>
            <w:vAlign w:val="center"/>
          </w:tcPr>
          <w:p w14:paraId="0A63AB4A" w14:textId="77777777" w:rsidR="001A5BCF" w:rsidRPr="00646254" w:rsidRDefault="001A5BCF" w:rsidP="00E96A1D">
            <w:pPr>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-8,0</w:t>
            </w:r>
          </w:p>
        </w:tc>
        <w:tc>
          <w:tcPr>
            <w:tcW w:w="605" w:type="pct"/>
            <w:shd w:val="clear" w:color="auto" w:fill="auto"/>
            <w:vAlign w:val="center"/>
          </w:tcPr>
          <w:p w14:paraId="2CAEE623" w14:textId="77777777" w:rsidR="001A5BCF" w:rsidRPr="00646254" w:rsidRDefault="001A5BCF" w:rsidP="00E96A1D">
            <w:pPr>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-4,9</w:t>
            </w:r>
          </w:p>
        </w:tc>
        <w:tc>
          <w:tcPr>
            <w:tcW w:w="556" w:type="pct"/>
            <w:shd w:val="clear" w:color="auto" w:fill="auto"/>
            <w:vAlign w:val="center"/>
          </w:tcPr>
          <w:p w14:paraId="4CBFA5A7" w14:textId="77777777" w:rsidR="001A5BCF" w:rsidRPr="00646254" w:rsidRDefault="001A5BCF" w:rsidP="00E96A1D">
            <w:pPr>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-3,0</w:t>
            </w:r>
          </w:p>
        </w:tc>
        <w:tc>
          <w:tcPr>
            <w:tcW w:w="556" w:type="pct"/>
            <w:shd w:val="clear" w:color="auto" w:fill="auto"/>
            <w:vAlign w:val="center"/>
          </w:tcPr>
          <w:p w14:paraId="6F42E8CF" w14:textId="77777777" w:rsidR="001A5BCF" w:rsidRPr="00646254" w:rsidRDefault="001A5BCF" w:rsidP="00E96A1D">
            <w:pPr>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-1,5</w:t>
            </w:r>
          </w:p>
        </w:tc>
        <w:tc>
          <w:tcPr>
            <w:tcW w:w="556" w:type="pct"/>
            <w:shd w:val="clear" w:color="auto" w:fill="auto"/>
            <w:vAlign w:val="center"/>
          </w:tcPr>
          <w:p w14:paraId="74EA31AD" w14:textId="77777777" w:rsidR="001A5BCF" w:rsidRPr="00646254" w:rsidRDefault="001A5BCF" w:rsidP="00E96A1D">
            <w:pPr>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-1,0</w:t>
            </w:r>
          </w:p>
        </w:tc>
      </w:tr>
      <w:tr w:rsidR="001A5BCF" w:rsidRPr="00646254" w14:paraId="1BAFF64A" w14:textId="77777777" w:rsidTr="00E96A1D">
        <w:trPr>
          <w:trHeight w:val="253"/>
        </w:trPr>
        <w:tc>
          <w:tcPr>
            <w:tcW w:w="2121" w:type="pct"/>
            <w:shd w:val="clear" w:color="auto" w:fill="auto"/>
            <w:vAlign w:val="center"/>
          </w:tcPr>
          <w:p w14:paraId="7E073224" w14:textId="77777777" w:rsidR="001A5BCF" w:rsidRPr="00646254" w:rsidRDefault="001A5BCF" w:rsidP="00E96A1D">
            <w:pPr>
              <w:spacing w:line="276" w:lineRule="auto"/>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Примарни консолидовани резултат</w:t>
            </w:r>
          </w:p>
        </w:tc>
        <w:tc>
          <w:tcPr>
            <w:tcW w:w="605" w:type="pct"/>
            <w:shd w:val="clear" w:color="auto" w:fill="auto"/>
            <w:vAlign w:val="center"/>
          </w:tcPr>
          <w:p w14:paraId="751B9559" w14:textId="77777777" w:rsidR="001A5BCF" w:rsidRPr="00646254" w:rsidRDefault="001A5BCF" w:rsidP="00E96A1D">
            <w:pPr>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-6,0</w:t>
            </w:r>
          </w:p>
        </w:tc>
        <w:tc>
          <w:tcPr>
            <w:tcW w:w="605" w:type="pct"/>
            <w:shd w:val="clear" w:color="auto" w:fill="auto"/>
            <w:vAlign w:val="center"/>
          </w:tcPr>
          <w:p w14:paraId="3E3D645A" w14:textId="77777777" w:rsidR="001A5BCF" w:rsidRPr="00646254" w:rsidRDefault="001A5BCF" w:rsidP="00E96A1D">
            <w:pPr>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-3,1</w:t>
            </w:r>
          </w:p>
        </w:tc>
        <w:tc>
          <w:tcPr>
            <w:tcW w:w="556" w:type="pct"/>
            <w:shd w:val="clear" w:color="auto" w:fill="auto"/>
            <w:vAlign w:val="center"/>
          </w:tcPr>
          <w:p w14:paraId="543FB59F" w14:textId="77777777" w:rsidR="001A5BCF" w:rsidRPr="00646254" w:rsidRDefault="001A5BCF" w:rsidP="00E96A1D">
            <w:pPr>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-1,2</w:t>
            </w:r>
          </w:p>
        </w:tc>
        <w:tc>
          <w:tcPr>
            <w:tcW w:w="556" w:type="pct"/>
            <w:shd w:val="clear" w:color="auto" w:fill="auto"/>
            <w:vAlign w:val="center"/>
          </w:tcPr>
          <w:p w14:paraId="2B27884E" w14:textId="77777777" w:rsidR="001A5BCF" w:rsidRPr="00646254" w:rsidRDefault="001A5BCF" w:rsidP="00E96A1D">
            <w:pPr>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0,2</w:t>
            </w:r>
          </w:p>
        </w:tc>
        <w:tc>
          <w:tcPr>
            <w:tcW w:w="556" w:type="pct"/>
            <w:shd w:val="clear" w:color="auto" w:fill="auto"/>
            <w:vAlign w:val="center"/>
          </w:tcPr>
          <w:p w14:paraId="26A4CF43" w14:textId="77777777" w:rsidR="001A5BCF" w:rsidRPr="00646254" w:rsidRDefault="001A5BCF" w:rsidP="00E96A1D">
            <w:pPr>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0,7</w:t>
            </w:r>
          </w:p>
        </w:tc>
      </w:tr>
      <w:tr w:rsidR="001A5BCF" w:rsidRPr="00646254" w14:paraId="33A7BCF0" w14:textId="77777777" w:rsidTr="00E96A1D">
        <w:trPr>
          <w:cnfStyle w:val="000000100000" w:firstRow="0" w:lastRow="0" w:firstColumn="0" w:lastColumn="0" w:oddVBand="0" w:evenVBand="0" w:oddHBand="1" w:evenHBand="0" w:firstRowFirstColumn="0" w:firstRowLastColumn="0" w:lastRowFirstColumn="0" w:lastRowLastColumn="0"/>
          <w:trHeight w:val="253"/>
        </w:trPr>
        <w:tc>
          <w:tcPr>
            <w:tcW w:w="2121" w:type="pct"/>
            <w:shd w:val="clear" w:color="auto" w:fill="auto"/>
            <w:vAlign w:val="center"/>
          </w:tcPr>
          <w:p w14:paraId="48882A28" w14:textId="77777777" w:rsidR="001A5BCF" w:rsidRPr="00646254" w:rsidRDefault="001A5BCF" w:rsidP="00E96A1D">
            <w:pPr>
              <w:spacing w:line="276" w:lineRule="auto"/>
              <w:rPr>
                <w:rFonts w:asciiTheme="minorHAnsi" w:hAnsiTheme="minorHAnsi" w:cstheme="minorHAnsi"/>
                <w:color w:val="002060"/>
                <w:sz w:val="18"/>
                <w:szCs w:val="18"/>
                <w:lang w:val="sr-Cyrl-CS"/>
              </w:rPr>
            </w:pPr>
          </w:p>
        </w:tc>
        <w:tc>
          <w:tcPr>
            <w:tcW w:w="605" w:type="pct"/>
            <w:shd w:val="clear" w:color="auto" w:fill="auto"/>
            <w:vAlign w:val="center"/>
          </w:tcPr>
          <w:p w14:paraId="2AC61FFE" w14:textId="77777777" w:rsidR="001A5BCF" w:rsidRPr="00646254" w:rsidRDefault="001A5BCF" w:rsidP="00E96A1D">
            <w:pPr>
              <w:spacing w:line="276" w:lineRule="auto"/>
              <w:jc w:val="right"/>
              <w:rPr>
                <w:rFonts w:asciiTheme="minorHAnsi" w:hAnsiTheme="minorHAnsi" w:cstheme="minorHAnsi"/>
                <w:color w:val="002060"/>
                <w:sz w:val="18"/>
                <w:szCs w:val="18"/>
                <w:lang w:val="sr-Cyrl-CS"/>
              </w:rPr>
            </w:pPr>
          </w:p>
        </w:tc>
        <w:tc>
          <w:tcPr>
            <w:tcW w:w="605" w:type="pct"/>
            <w:shd w:val="clear" w:color="auto" w:fill="auto"/>
            <w:vAlign w:val="center"/>
          </w:tcPr>
          <w:p w14:paraId="0DC6167D" w14:textId="77777777" w:rsidR="001A5BCF" w:rsidRPr="00646254" w:rsidRDefault="001A5BCF" w:rsidP="00E96A1D">
            <w:pPr>
              <w:spacing w:line="276" w:lineRule="auto"/>
              <w:jc w:val="right"/>
              <w:rPr>
                <w:rFonts w:asciiTheme="minorHAnsi" w:hAnsiTheme="minorHAnsi" w:cstheme="minorHAnsi"/>
                <w:color w:val="002060"/>
                <w:sz w:val="18"/>
                <w:szCs w:val="18"/>
                <w:lang w:val="sr-Cyrl-CS"/>
              </w:rPr>
            </w:pPr>
          </w:p>
        </w:tc>
        <w:tc>
          <w:tcPr>
            <w:tcW w:w="556" w:type="pct"/>
            <w:shd w:val="clear" w:color="auto" w:fill="auto"/>
            <w:vAlign w:val="center"/>
          </w:tcPr>
          <w:p w14:paraId="03596A44" w14:textId="77777777" w:rsidR="001A5BCF" w:rsidRPr="00646254" w:rsidRDefault="001A5BCF" w:rsidP="00E96A1D">
            <w:pPr>
              <w:spacing w:line="276" w:lineRule="auto"/>
              <w:jc w:val="right"/>
              <w:rPr>
                <w:rFonts w:asciiTheme="minorHAnsi" w:hAnsiTheme="minorHAnsi" w:cstheme="minorHAnsi"/>
                <w:color w:val="002060"/>
                <w:sz w:val="18"/>
                <w:szCs w:val="18"/>
                <w:lang w:val="sr-Cyrl-CS"/>
              </w:rPr>
            </w:pPr>
          </w:p>
        </w:tc>
        <w:tc>
          <w:tcPr>
            <w:tcW w:w="556" w:type="pct"/>
            <w:shd w:val="clear" w:color="auto" w:fill="auto"/>
            <w:vAlign w:val="center"/>
          </w:tcPr>
          <w:p w14:paraId="184E76AA" w14:textId="77777777" w:rsidR="001A5BCF" w:rsidRPr="00646254" w:rsidRDefault="001A5BCF" w:rsidP="00E96A1D">
            <w:pPr>
              <w:spacing w:line="276" w:lineRule="auto"/>
              <w:jc w:val="right"/>
              <w:rPr>
                <w:rFonts w:asciiTheme="minorHAnsi" w:hAnsiTheme="minorHAnsi" w:cstheme="minorHAnsi"/>
                <w:color w:val="002060"/>
                <w:sz w:val="18"/>
                <w:szCs w:val="18"/>
                <w:lang w:val="sr-Cyrl-CS"/>
              </w:rPr>
            </w:pPr>
          </w:p>
        </w:tc>
        <w:tc>
          <w:tcPr>
            <w:tcW w:w="556" w:type="pct"/>
            <w:shd w:val="clear" w:color="auto" w:fill="auto"/>
            <w:vAlign w:val="center"/>
          </w:tcPr>
          <w:p w14:paraId="152B27EF" w14:textId="77777777" w:rsidR="001A5BCF" w:rsidRPr="00646254" w:rsidRDefault="001A5BCF" w:rsidP="00E96A1D">
            <w:pPr>
              <w:spacing w:line="276" w:lineRule="auto"/>
              <w:jc w:val="right"/>
              <w:rPr>
                <w:rFonts w:asciiTheme="minorHAnsi" w:hAnsiTheme="minorHAnsi" w:cstheme="minorHAnsi"/>
                <w:color w:val="002060"/>
                <w:sz w:val="18"/>
                <w:szCs w:val="18"/>
                <w:lang w:val="sr-Cyrl-CS"/>
              </w:rPr>
            </w:pPr>
          </w:p>
        </w:tc>
      </w:tr>
      <w:tr w:rsidR="001A5BCF" w:rsidRPr="00646254" w14:paraId="2E6F41BB" w14:textId="77777777" w:rsidTr="00E96A1D">
        <w:trPr>
          <w:trHeight w:val="253"/>
        </w:trPr>
        <w:tc>
          <w:tcPr>
            <w:tcW w:w="2121" w:type="pct"/>
            <w:shd w:val="clear" w:color="auto" w:fill="auto"/>
            <w:vAlign w:val="center"/>
          </w:tcPr>
          <w:p w14:paraId="4508171B" w14:textId="77777777" w:rsidR="001A5BCF" w:rsidRPr="00646254" w:rsidRDefault="001A5BCF" w:rsidP="00E96A1D">
            <w:pPr>
              <w:spacing w:line="276" w:lineRule="auto"/>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Дуг опште државе</w:t>
            </w:r>
          </w:p>
        </w:tc>
        <w:tc>
          <w:tcPr>
            <w:tcW w:w="605" w:type="pct"/>
            <w:shd w:val="clear" w:color="auto" w:fill="auto"/>
            <w:vAlign w:val="center"/>
          </w:tcPr>
          <w:p w14:paraId="626B516E" w14:textId="77777777" w:rsidR="001A5BCF" w:rsidRPr="00646254" w:rsidRDefault="001A5BCF" w:rsidP="00E96A1D">
            <w:pPr>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57,8</w:t>
            </w:r>
          </w:p>
        </w:tc>
        <w:tc>
          <w:tcPr>
            <w:tcW w:w="605" w:type="pct"/>
            <w:shd w:val="clear" w:color="auto" w:fill="auto"/>
            <w:vAlign w:val="center"/>
          </w:tcPr>
          <w:p w14:paraId="4A1FD502" w14:textId="77777777" w:rsidR="001A5BCF" w:rsidRPr="00646254" w:rsidRDefault="001A5BCF" w:rsidP="00E96A1D">
            <w:pPr>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58,2</w:t>
            </w:r>
          </w:p>
        </w:tc>
        <w:tc>
          <w:tcPr>
            <w:tcW w:w="556" w:type="pct"/>
            <w:shd w:val="clear" w:color="auto" w:fill="auto"/>
            <w:vAlign w:val="center"/>
          </w:tcPr>
          <w:p w14:paraId="423B84B8" w14:textId="77777777" w:rsidR="001A5BCF" w:rsidRPr="00646254" w:rsidRDefault="001A5BCF" w:rsidP="00E96A1D">
            <w:pPr>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56,5</w:t>
            </w:r>
          </w:p>
        </w:tc>
        <w:tc>
          <w:tcPr>
            <w:tcW w:w="556" w:type="pct"/>
            <w:shd w:val="clear" w:color="auto" w:fill="auto"/>
            <w:vAlign w:val="center"/>
          </w:tcPr>
          <w:p w14:paraId="005F5C44" w14:textId="77777777" w:rsidR="001A5BCF" w:rsidRPr="00646254" w:rsidRDefault="001A5BCF" w:rsidP="00E96A1D">
            <w:pPr>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55,3</w:t>
            </w:r>
          </w:p>
        </w:tc>
        <w:tc>
          <w:tcPr>
            <w:tcW w:w="556" w:type="pct"/>
            <w:shd w:val="clear" w:color="auto" w:fill="auto"/>
            <w:vAlign w:val="center"/>
          </w:tcPr>
          <w:p w14:paraId="656352E0" w14:textId="77777777" w:rsidR="001A5BCF" w:rsidRPr="00646254" w:rsidRDefault="001A5BCF" w:rsidP="00E96A1D">
            <w:pPr>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53,8</w:t>
            </w:r>
          </w:p>
        </w:tc>
      </w:tr>
      <w:tr w:rsidR="001A5BCF" w:rsidRPr="00646254" w14:paraId="08552363" w14:textId="77777777" w:rsidTr="00E96A1D">
        <w:trPr>
          <w:cnfStyle w:val="000000100000" w:firstRow="0" w:lastRow="0" w:firstColumn="0" w:lastColumn="0" w:oddVBand="0" w:evenVBand="0" w:oddHBand="1" w:evenHBand="0" w:firstRowFirstColumn="0" w:firstRowLastColumn="0" w:lastRowFirstColumn="0" w:lastRowLastColumn="0"/>
          <w:trHeight w:val="253"/>
        </w:trPr>
        <w:tc>
          <w:tcPr>
            <w:tcW w:w="2121" w:type="pct"/>
            <w:tcBorders>
              <w:bottom w:val="single" w:sz="4" w:space="0" w:color="002060"/>
            </w:tcBorders>
            <w:shd w:val="clear" w:color="auto" w:fill="auto"/>
            <w:vAlign w:val="center"/>
          </w:tcPr>
          <w:p w14:paraId="7D396970" w14:textId="77777777" w:rsidR="001A5BCF" w:rsidRPr="00646254" w:rsidRDefault="001A5BCF" w:rsidP="00E96A1D">
            <w:pPr>
              <w:spacing w:line="276" w:lineRule="auto"/>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Реална стопа раста БДП</w:t>
            </w:r>
          </w:p>
        </w:tc>
        <w:tc>
          <w:tcPr>
            <w:tcW w:w="605" w:type="pct"/>
            <w:tcBorders>
              <w:bottom w:val="single" w:sz="4" w:space="0" w:color="002060"/>
            </w:tcBorders>
            <w:shd w:val="clear" w:color="auto" w:fill="auto"/>
            <w:vAlign w:val="center"/>
          </w:tcPr>
          <w:p w14:paraId="1E8EEAF8" w14:textId="77777777" w:rsidR="001A5BCF" w:rsidRPr="00646254" w:rsidRDefault="001A5BCF" w:rsidP="00E96A1D">
            <w:pPr>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-0,9%</w:t>
            </w:r>
          </w:p>
        </w:tc>
        <w:tc>
          <w:tcPr>
            <w:tcW w:w="605" w:type="pct"/>
            <w:tcBorders>
              <w:bottom w:val="single" w:sz="4" w:space="0" w:color="002060"/>
            </w:tcBorders>
            <w:shd w:val="clear" w:color="auto" w:fill="auto"/>
            <w:vAlign w:val="center"/>
          </w:tcPr>
          <w:p w14:paraId="6BD8FA8B" w14:textId="77777777" w:rsidR="001A5BCF" w:rsidRPr="00646254" w:rsidRDefault="001A5BCF" w:rsidP="00E96A1D">
            <w:pPr>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7,0%</w:t>
            </w:r>
          </w:p>
        </w:tc>
        <w:tc>
          <w:tcPr>
            <w:tcW w:w="556" w:type="pct"/>
            <w:tcBorders>
              <w:bottom w:val="single" w:sz="4" w:space="0" w:color="002060"/>
            </w:tcBorders>
            <w:shd w:val="clear" w:color="auto" w:fill="auto"/>
            <w:vAlign w:val="center"/>
          </w:tcPr>
          <w:p w14:paraId="7E108726" w14:textId="77777777" w:rsidR="001A5BCF" w:rsidRPr="00646254" w:rsidRDefault="001A5BCF" w:rsidP="00E96A1D">
            <w:pPr>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4,5%</w:t>
            </w:r>
          </w:p>
        </w:tc>
        <w:tc>
          <w:tcPr>
            <w:tcW w:w="556" w:type="pct"/>
            <w:tcBorders>
              <w:bottom w:val="single" w:sz="4" w:space="0" w:color="002060"/>
            </w:tcBorders>
            <w:shd w:val="clear" w:color="auto" w:fill="auto"/>
            <w:vAlign w:val="center"/>
          </w:tcPr>
          <w:p w14:paraId="5B1DC94B" w14:textId="77777777" w:rsidR="001A5BCF" w:rsidRPr="00646254" w:rsidRDefault="001A5BCF" w:rsidP="00E96A1D">
            <w:pPr>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5,0%</w:t>
            </w:r>
          </w:p>
        </w:tc>
        <w:tc>
          <w:tcPr>
            <w:tcW w:w="556" w:type="pct"/>
            <w:tcBorders>
              <w:bottom w:val="single" w:sz="4" w:space="0" w:color="002060"/>
            </w:tcBorders>
            <w:shd w:val="clear" w:color="auto" w:fill="auto"/>
            <w:vAlign w:val="center"/>
          </w:tcPr>
          <w:p w14:paraId="20C03244" w14:textId="77777777" w:rsidR="001A5BCF" w:rsidRPr="00646254" w:rsidRDefault="001A5BCF" w:rsidP="00E96A1D">
            <w:pPr>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5,0%</w:t>
            </w:r>
          </w:p>
        </w:tc>
      </w:tr>
    </w:tbl>
    <w:p w14:paraId="453B47C9" w14:textId="77777777" w:rsidR="001A5BCF" w:rsidRPr="00646254" w:rsidRDefault="001A5BCF" w:rsidP="001A5BCF">
      <w:pPr>
        <w:spacing w:before="40" w:after="120" w:line="276" w:lineRule="auto"/>
        <w:rPr>
          <w:rFonts w:eastAsia="MS PGothic" w:cstheme="minorHAnsi"/>
          <w:color w:val="000000" w:themeColor="text1"/>
          <w:szCs w:val="20"/>
          <w:lang w:val="sr-Cyrl-CS" w:eastAsia="ja-JP"/>
        </w:rPr>
        <w:sectPr w:rsidR="001A5BCF" w:rsidRPr="00646254" w:rsidSect="00AE40EB">
          <w:type w:val="continuous"/>
          <w:pgSz w:w="12240" w:h="15840" w:code="1"/>
          <w:pgMar w:top="1440" w:right="1440" w:bottom="1440" w:left="1440" w:header="720" w:footer="720" w:gutter="0"/>
          <w:cols w:space="720"/>
          <w:docGrid w:linePitch="360"/>
        </w:sectPr>
      </w:pPr>
      <w:r w:rsidRPr="00646254">
        <w:rPr>
          <w:rFonts w:eastAsia="Calibri" w:cstheme="minorHAnsi"/>
          <w:bCs/>
          <w:sz w:val="16"/>
          <w:szCs w:val="20"/>
          <w:lang w:val="sr-Cyrl-CS" w:eastAsia="ja-JP"/>
        </w:rPr>
        <w:t xml:space="preserve">Извор: </w:t>
      </w:r>
      <w:r w:rsidRPr="00646254">
        <w:rPr>
          <w:rFonts w:cstheme="minorHAnsi"/>
          <w:sz w:val="16"/>
          <w:szCs w:val="20"/>
          <w:lang w:val="sr-Cyrl-CS"/>
        </w:rPr>
        <w:t>Министарство финансија</w:t>
      </w:r>
    </w:p>
    <w:p w14:paraId="0E3DB40D" w14:textId="77777777" w:rsidR="001A5BCF" w:rsidRPr="00646254" w:rsidRDefault="001A5BCF" w:rsidP="001A5BCF">
      <w:pPr>
        <w:rPr>
          <w:rFonts w:cstheme="minorHAnsi"/>
          <w:lang w:val="sr-Cyrl-CS"/>
        </w:rPr>
      </w:pPr>
      <w:r w:rsidRPr="00646254">
        <w:rPr>
          <w:rFonts w:eastAsia="MS PGothic" w:cstheme="minorHAnsi"/>
          <w:szCs w:val="20"/>
          <w:lang w:val="sr-Cyrl-CS" w:eastAsia="ja-JP"/>
        </w:rPr>
        <w:t>Циљеви фискалне политике у наредном средњорочном периоду биће стабилизација јавних финансија и повратак јавног дуга на опадајућу путању. Смањење</w:t>
      </w:r>
      <w:r w:rsidRPr="00646254">
        <w:rPr>
          <w:rFonts w:cstheme="minorHAnsi"/>
          <w:lang w:val="sr-Cyrl-CS"/>
        </w:rPr>
        <w:t xml:space="preserve"> учешћа дуга је уско везано за снижавање дефицита као главног фактора задуживања, тако да динамика спуштања дефицита опредељује и промену кретања дуга. Финансијске трансакције, као што је замена скупог дуга јефтинијим, као и боља позиција државе на међународном финансијском тржишту, допринеће додатном снижавању дуга.</w:t>
      </w:r>
    </w:p>
    <w:p w14:paraId="70311BE1" w14:textId="77777777" w:rsidR="001A5BCF" w:rsidRPr="00646254" w:rsidRDefault="001A5BCF" w:rsidP="001A5BCF">
      <w:pPr>
        <w:rPr>
          <w:rFonts w:cstheme="minorHAnsi"/>
          <w:b/>
          <w:color w:val="002060"/>
          <w:lang w:val="sr-Cyrl-CS"/>
        </w:rPr>
      </w:pPr>
      <w:r w:rsidRPr="00646254">
        <w:rPr>
          <w:rFonts w:cstheme="minorHAnsi"/>
          <w:b/>
          <w:color w:val="002060"/>
          <w:lang w:val="sr-Cyrl-CS"/>
        </w:rPr>
        <w:br w:type="column"/>
        <w:t>Фискални резултат и дуг опште државе, % БДП</w:t>
      </w:r>
    </w:p>
    <w:p w14:paraId="270779AE" w14:textId="77777777" w:rsidR="001A5BCF" w:rsidRPr="00646254" w:rsidRDefault="001A5BCF" w:rsidP="001A5BCF">
      <w:pPr>
        <w:spacing w:line="276" w:lineRule="auto"/>
        <w:rPr>
          <w:rFonts w:cstheme="minorHAnsi"/>
          <w:lang w:val="sr-Cyrl-CS"/>
        </w:rPr>
      </w:pPr>
      <w:r w:rsidRPr="00646254">
        <w:rPr>
          <w:noProof/>
        </w:rPr>
        <w:drawing>
          <wp:inline distT="0" distB="0" distL="0" distR="0" wp14:anchorId="377B1987" wp14:editId="088F1129">
            <wp:extent cx="2743200" cy="2124075"/>
            <wp:effectExtent l="0" t="0" r="0" b="0"/>
            <wp:docPr id="52" name="Chart 52"/>
            <wp:cNvGraphicFramePr/>
            <a:graphic xmlns:a="http://schemas.openxmlformats.org/drawingml/2006/main">
              <a:graphicData uri="http://schemas.openxmlformats.org/drawingml/2006/chart">
                <c:chart xmlns:c="http://schemas.openxmlformats.org/drawingml/2006/chart" xmlns:r="http://schemas.openxmlformats.org/officeDocument/2006/relationships" r:id="rId144"/>
              </a:graphicData>
            </a:graphic>
          </wp:inline>
        </w:drawing>
      </w:r>
    </w:p>
    <w:p w14:paraId="64D3D443" w14:textId="77777777" w:rsidR="001A5BCF" w:rsidRPr="00646254" w:rsidRDefault="001A5BCF" w:rsidP="001A5BCF">
      <w:pPr>
        <w:rPr>
          <w:rFonts w:eastAsia="Times New Roman" w:cstheme="minorHAnsi"/>
          <w:b/>
          <w:bCs/>
          <w:spacing w:val="-2"/>
          <w:szCs w:val="20"/>
          <w:lang w:val="sr-Cyrl-CS" w:eastAsia="ja-JP"/>
        </w:rPr>
      </w:pPr>
      <w:r w:rsidRPr="00646254">
        <w:rPr>
          <w:rFonts w:eastAsia="MS PGothic" w:cstheme="minorHAnsi"/>
          <w:spacing w:val="-2"/>
          <w:szCs w:val="20"/>
          <w:lang w:val="sr-Cyrl-CS" w:eastAsia="ja-JP"/>
        </w:rPr>
        <w:t xml:space="preserve">Експанзивна фискална политика током 2020. и 2021. године умањила је негативне економске последице пандемије. У наредном средњорочном периоду предвиђено је умерено смањење дефицита опште државе како би се путем фискалне политике обезбедила потребна флексибилност националне економије на евентуалне екстерне шокове. То се, </w:t>
      </w:r>
      <w:r w:rsidRPr="00646254">
        <w:rPr>
          <w:rFonts w:eastAsia="Calibri" w:cstheme="minorHAnsi"/>
          <w:spacing w:val="-2"/>
          <w:szCs w:val="20"/>
          <w:lang w:val="sr-Cyrl-CS" w:eastAsia="ja-JP"/>
        </w:rPr>
        <w:t>пре свега, односи на расходну страну, у виду повећања јавних инвестиција, као и додатног улагања у здравствени систем. На приходној страни приоритет ће остати даље смањење пореског оптерећења зарада и наставак борбе против пореске евазије и сиве економије.</w:t>
      </w:r>
    </w:p>
    <w:p w14:paraId="2D82F631" w14:textId="77777777" w:rsidR="001A5BCF" w:rsidRPr="00646254" w:rsidRDefault="001A5BCF" w:rsidP="001A5BCF">
      <w:pPr>
        <w:keepNext/>
        <w:rPr>
          <w:rFonts w:eastAsia="MS PGothic" w:cstheme="minorHAnsi"/>
          <w:szCs w:val="20"/>
          <w:lang w:val="sr-Cyrl-CS" w:eastAsia="ja-JP"/>
        </w:rPr>
      </w:pPr>
      <w:r w:rsidRPr="00646254">
        <w:rPr>
          <w:rFonts w:eastAsia="MS PGothic" w:cstheme="minorHAnsi"/>
          <w:szCs w:val="20"/>
          <w:lang w:val="sr-Cyrl-CS" w:eastAsia="ja-JP"/>
        </w:rPr>
        <w:t>Пројекција прихода у периоду од 2022. до 2024. године израђена је на основу:</w:t>
      </w:r>
    </w:p>
    <w:p w14:paraId="142B8634" w14:textId="77777777" w:rsidR="001A5BCF" w:rsidRPr="00646254" w:rsidRDefault="001A5BCF" w:rsidP="001A5BCF">
      <w:pPr>
        <w:numPr>
          <w:ilvl w:val="0"/>
          <w:numId w:val="3"/>
        </w:numPr>
        <w:ind w:left="181" w:hanging="181"/>
        <w:contextualSpacing/>
        <w:rPr>
          <w:rFonts w:eastAsia="Calibri" w:cstheme="minorHAnsi"/>
          <w:spacing w:val="-6"/>
          <w:lang w:val="sr-Cyrl-CS"/>
        </w:rPr>
      </w:pPr>
      <w:r w:rsidRPr="00646254">
        <w:rPr>
          <w:rFonts w:eastAsia="Calibri" w:cstheme="minorHAnsi"/>
          <w:spacing w:val="-6"/>
          <w:lang w:val="sr-Cyrl-CS"/>
        </w:rPr>
        <w:t>пројекције кретања најважнијих макроекономских показатеља: БДП и његових компоненти, инфлације, девизног курса, спољнотрговинске размене, запослености и зарада;</w:t>
      </w:r>
    </w:p>
    <w:p w14:paraId="64C8288B" w14:textId="77777777" w:rsidR="001A5BCF" w:rsidRPr="00646254" w:rsidRDefault="001A5BCF" w:rsidP="001A5BCF">
      <w:pPr>
        <w:numPr>
          <w:ilvl w:val="0"/>
          <w:numId w:val="3"/>
        </w:numPr>
        <w:ind w:left="181" w:hanging="181"/>
        <w:contextualSpacing/>
        <w:rPr>
          <w:rFonts w:eastAsia="Calibri" w:cstheme="minorHAnsi"/>
          <w:lang w:val="sr-Cyrl-CS"/>
        </w:rPr>
      </w:pPr>
      <w:r w:rsidRPr="00646254">
        <w:rPr>
          <w:rFonts w:eastAsia="Calibri" w:cstheme="minorHAnsi"/>
          <w:lang w:val="sr-Cyrl-CS"/>
        </w:rPr>
        <w:t>важеће и планиране измене пореске политике;</w:t>
      </w:r>
    </w:p>
    <w:p w14:paraId="6DC84A6A" w14:textId="77777777" w:rsidR="001A5BCF" w:rsidRPr="00646254" w:rsidRDefault="001A5BCF" w:rsidP="001A5BCF">
      <w:pPr>
        <w:numPr>
          <w:ilvl w:val="0"/>
          <w:numId w:val="3"/>
        </w:numPr>
        <w:ind w:left="181" w:hanging="181"/>
        <w:contextualSpacing/>
        <w:rPr>
          <w:rFonts w:eastAsia="Calibri" w:cstheme="minorHAnsi"/>
          <w:lang w:val="sr-Cyrl-CS"/>
        </w:rPr>
      </w:pPr>
      <w:r w:rsidRPr="00646254">
        <w:rPr>
          <w:rFonts w:eastAsia="Calibri" w:cstheme="minorHAnsi"/>
          <w:lang w:val="sr-Cyrl-CS"/>
        </w:rPr>
        <w:t>процењених ефеката фискалних и структурних мера у наредном периоду.</w:t>
      </w:r>
    </w:p>
    <w:p w14:paraId="37DBB041" w14:textId="77777777" w:rsidR="001A5BCF" w:rsidRPr="00646254" w:rsidRDefault="001A5BCF" w:rsidP="001A5BCF">
      <w:pPr>
        <w:spacing w:after="120" w:line="276" w:lineRule="auto"/>
        <w:ind w:left="180"/>
        <w:contextualSpacing/>
        <w:rPr>
          <w:rFonts w:eastAsia="Calibri" w:cstheme="minorHAnsi"/>
          <w:lang w:val="sr-Cyrl-CS"/>
        </w:rPr>
      </w:pPr>
    </w:p>
    <w:p w14:paraId="02058F40" w14:textId="77777777" w:rsidR="001A5BCF" w:rsidRPr="00646254" w:rsidRDefault="001A5BCF" w:rsidP="001A5BCF">
      <w:pPr>
        <w:spacing w:after="120" w:line="276" w:lineRule="auto"/>
        <w:rPr>
          <w:rFonts w:eastAsia="Calibri" w:cstheme="minorHAnsi"/>
          <w:lang w:val="sr-Cyrl-CS"/>
        </w:rPr>
        <w:sectPr w:rsidR="001A5BCF" w:rsidRPr="00646254" w:rsidSect="00AE40EB">
          <w:type w:val="continuous"/>
          <w:pgSz w:w="12240" w:h="15840" w:code="1"/>
          <w:pgMar w:top="1440" w:right="1440" w:bottom="1440" w:left="1440" w:header="720" w:footer="720" w:gutter="0"/>
          <w:cols w:num="2" w:space="720"/>
          <w:docGrid w:linePitch="360"/>
        </w:sectPr>
      </w:pPr>
    </w:p>
    <w:p w14:paraId="2A55315D" w14:textId="77777777" w:rsidR="001A5BCF" w:rsidRPr="00646254" w:rsidRDefault="001A5BCF" w:rsidP="001A5BCF">
      <w:pPr>
        <w:spacing w:before="240" w:after="120" w:line="276" w:lineRule="auto"/>
        <w:jc w:val="center"/>
        <w:rPr>
          <w:rFonts w:eastAsia="MS PGothic" w:cstheme="minorHAnsi"/>
          <w:b/>
          <w:color w:val="002060"/>
          <w:szCs w:val="20"/>
          <w:lang w:val="sr-Cyrl-CS" w:eastAsia="ja-JP"/>
        </w:rPr>
      </w:pPr>
      <w:r w:rsidRPr="00646254">
        <w:rPr>
          <w:rFonts w:eastAsia="MS PGothic" w:cstheme="minorHAnsi"/>
          <w:b/>
          <w:color w:val="002060"/>
          <w:szCs w:val="20"/>
          <w:lang w:val="sr-Cyrl-CS" w:eastAsia="ja-JP"/>
        </w:rPr>
        <w:t>Табела 11. Укупни приходи и донације у периоду 2020–2024. године, % БДП</w:t>
      </w:r>
    </w:p>
    <w:tbl>
      <w:tblPr>
        <w:tblStyle w:val="LightShading-Accent1211"/>
        <w:tblW w:w="5000" w:type="pct"/>
        <w:tblBorders>
          <w:top w:val="none" w:sz="0" w:space="0" w:color="auto"/>
          <w:bottom w:val="none" w:sz="0" w:space="0" w:color="auto"/>
        </w:tblBorders>
        <w:tblLook w:val="0420" w:firstRow="1" w:lastRow="0" w:firstColumn="0" w:lastColumn="0" w:noHBand="0" w:noVBand="1"/>
      </w:tblPr>
      <w:tblGrid>
        <w:gridCol w:w="3825"/>
        <w:gridCol w:w="1133"/>
        <w:gridCol w:w="1134"/>
        <w:gridCol w:w="1088"/>
        <w:gridCol w:w="1090"/>
        <w:gridCol w:w="1090"/>
      </w:tblGrid>
      <w:tr w:rsidR="001A5BCF" w:rsidRPr="00646254" w14:paraId="20A1C0E4" w14:textId="77777777" w:rsidTr="00E96A1D">
        <w:trPr>
          <w:cnfStyle w:val="100000000000" w:firstRow="1" w:lastRow="0" w:firstColumn="0" w:lastColumn="0" w:oddVBand="0" w:evenVBand="0" w:oddHBand="0" w:evenHBand="0" w:firstRowFirstColumn="0" w:firstRowLastColumn="0" w:lastRowFirstColumn="0" w:lastRowLastColumn="0"/>
          <w:trHeight w:val="253"/>
        </w:trPr>
        <w:tc>
          <w:tcPr>
            <w:tcW w:w="2044" w:type="pct"/>
            <w:tcBorders>
              <w:top w:val="single" w:sz="4" w:space="0" w:color="002060"/>
              <w:bottom w:val="single" w:sz="4" w:space="0" w:color="002060"/>
            </w:tcBorders>
            <w:noWrap/>
            <w:vAlign w:val="center"/>
          </w:tcPr>
          <w:p w14:paraId="21538F96" w14:textId="77777777" w:rsidR="001A5BCF" w:rsidRPr="00646254" w:rsidRDefault="001A5BCF" w:rsidP="00E96A1D">
            <w:pPr>
              <w:keepLines/>
              <w:widowControl w:val="0"/>
              <w:shd w:val="clear" w:color="auto" w:fill="FFFFFF" w:themeFill="background1"/>
              <w:spacing w:line="276" w:lineRule="auto"/>
              <w:rPr>
                <w:rFonts w:asciiTheme="minorHAnsi" w:eastAsia="Times New Roman" w:hAnsiTheme="minorHAnsi" w:cstheme="minorHAnsi"/>
                <w:b w:val="0"/>
                <w:color w:val="002060"/>
                <w:sz w:val="18"/>
                <w:szCs w:val="18"/>
                <w:lang w:val="sr-Cyrl-CS"/>
              </w:rPr>
            </w:pPr>
            <w:r w:rsidRPr="00646254">
              <w:rPr>
                <w:rFonts w:asciiTheme="minorHAnsi" w:hAnsiTheme="minorHAnsi" w:cstheme="minorHAnsi"/>
                <w:b w:val="0"/>
                <w:color w:val="002060"/>
                <w:sz w:val="18"/>
                <w:lang w:val="sr-Cyrl-CS"/>
              </w:rPr>
              <w:t>Опис</w:t>
            </w:r>
          </w:p>
        </w:tc>
        <w:tc>
          <w:tcPr>
            <w:tcW w:w="605" w:type="pct"/>
            <w:tcBorders>
              <w:top w:val="single" w:sz="4" w:space="0" w:color="002060"/>
              <w:bottom w:val="single" w:sz="4" w:space="0" w:color="002060"/>
            </w:tcBorders>
            <w:vAlign w:val="center"/>
          </w:tcPr>
          <w:p w14:paraId="1DB82CF5" w14:textId="77777777" w:rsidR="001A5BCF" w:rsidRPr="00646254" w:rsidRDefault="001A5BCF" w:rsidP="00E96A1D">
            <w:pPr>
              <w:keepNext/>
              <w:widowControl w:val="0"/>
              <w:shd w:val="clear" w:color="auto" w:fill="FFFFFF" w:themeFill="background1"/>
              <w:spacing w:line="276" w:lineRule="auto"/>
              <w:jc w:val="right"/>
              <w:rPr>
                <w:rFonts w:asciiTheme="minorHAnsi" w:eastAsia="Times New Roman" w:hAnsiTheme="minorHAnsi" w:cstheme="minorHAnsi"/>
                <w:b w:val="0"/>
                <w:color w:val="002060"/>
                <w:sz w:val="18"/>
                <w:szCs w:val="18"/>
                <w:lang w:val="sr-Cyrl-CS"/>
              </w:rPr>
            </w:pPr>
            <w:r w:rsidRPr="00646254">
              <w:rPr>
                <w:rFonts w:asciiTheme="minorHAnsi" w:hAnsiTheme="minorHAnsi" w:cstheme="minorHAnsi"/>
                <w:b w:val="0"/>
                <w:color w:val="002060"/>
                <w:sz w:val="18"/>
                <w:lang w:val="sr-Cyrl-CS"/>
              </w:rPr>
              <w:t>Извршење</w:t>
            </w:r>
          </w:p>
        </w:tc>
        <w:tc>
          <w:tcPr>
            <w:tcW w:w="606" w:type="pct"/>
            <w:tcBorders>
              <w:top w:val="single" w:sz="4" w:space="0" w:color="002060"/>
              <w:bottom w:val="single" w:sz="4" w:space="0" w:color="002060"/>
            </w:tcBorders>
            <w:vAlign w:val="center"/>
          </w:tcPr>
          <w:p w14:paraId="3DA18713" w14:textId="77777777" w:rsidR="001A5BCF" w:rsidRPr="00646254" w:rsidRDefault="001A5BCF" w:rsidP="00E96A1D">
            <w:pPr>
              <w:keepNext/>
              <w:widowControl w:val="0"/>
              <w:shd w:val="clear" w:color="auto" w:fill="FFFFFF" w:themeFill="background1"/>
              <w:spacing w:line="276" w:lineRule="auto"/>
              <w:jc w:val="right"/>
              <w:rPr>
                <w:rFonts w:asciiTheme="minorHAnsi" w:eastAsia="Times New Roman" w:hAnsiTheme="minorHAnsi" w:cstheme="minorHAnsi"/>
                <w:b w:val="0"/>
                <w:color w:val="002060"/>
                <w:sz w:val="18"/>
                <w:szCs w:val="18"/>
                <w:lang w:val="sr-Cyrl-CS"/>
              </w:rPr>
            </w:pPr>
            <w:r w:rsidRPr="00646254">
              <w:rPr>
                <w:rFonts w:asciiTheme="minorHAnsi" w:hAnsiTheme="minorHAnsi" w:cstheme="minorHAnsi"/>
                <w:b w:val="0"/>
                <w:color w:val="002060"/>
                <w:sz w:val="18"/>
                <w:lang w:val="sr-Cyrl-CS"/>
              </w:rPr>
              <w:t>Процена</w:t>
            </w:r>
          </w:p>
        </w:tc>
        <w:tc>
          <w:tcPr>
            <w:tcW w:w="1745" w:type="pct"/>
            <w:gridSpan w:val="3"/>
            <w:tcBorders>
              <w:top w:val="single" w:sz="4" w:space="0" w:color="002060"/>
              <w:bottom w:val="single" w:sz="4" w:space="0" w:color="002060"/>
            </w:tcBorders>
            <w:vAlign w:val="center"/>
          </w:tcPr>
          <w:p w14:paraId="78C7B618" w14:textId="77777777" w:rsidR="001A5BCF" w:rsidRPr="00646254" w:rsidRDefault="001A5BCF" w:rsidP="00E96A1D">
            <w:pPr>
              <w:keepNext/>
              <w:widowControl w:val="0"/>
              <w:shd w:val="clear" w:color="auto" w:fill="FFFFFF" w:themeFill="background1"/>
              <w:spacing w:line="276" w:lineRule="auto"/>
              <w:jc w:val="center"/>
              <w:rPr>
                <w:rFonts w:asciiTheme="minorHAnsi" w:eastAsia="Times New Roman" w:hAnsiTheme="minorHAnsi" w:cstheme="minorHAnsi"/>
                <w:b w:val="0"/>
                <w:color w:val="002060"/>
                <w:sz w:val="18"/>
                <w:szCs w:val="18"/>
                <w:lang w:val="sr-Cyrl-CS"/>
              </w:rPr>
            </w:pPr>
            <w:r w:rsidRPr="00646254">
              <w:rPr>
                <w:rFonts w:asciiTheme="minorHAnsi" w:hAnsiTheme="minorHAnsi" w:cstheme="minorHAnsi"/>
                <w:b w:val="0"/>
                <w:color w:val="002060"/>
                <w:sz w:val="18"/>
                <w:lang w:val="sr-Cyrl-CS"/>
              </w:rPr>
              <w:t>Пројекција</w:t>
            </w:r>
          </w:p>
        </w:tc>
      </w:tr>
      <w:tr w:rsidR="001A5BCF" w:rsidRPr="00646254" w14:paraId="3D0D8847" w14:textId="77777777" w:rsidTr="00E96A1D">
        <w:trPr>
          <w:cnfStyle w:val="000000100000" w:firstRow="0" w:lastRow="0" w:firstColumn="0" w:lastColumn="0" w:oddVBand="0" w:evenVBand="0" w:oddHBand="1" w:evenHBand="0" w:firstRowFirstColumn="0" w:firstRowLastColumn="0" w:lastRowFirstColumn="0" w:lastRowLastColumn="0"/>
          <w:trHeight w:val="253"/>
        </w:trPr>
        <w:tc>
          <w:tcPr>
            <w:tcW w:w="2044" w:type="pct"/>
            <w:tcBorders>
              <w:top w:val="single" w:sz="4" w:space="0" w:color="002060"/>
            </w:tcBorders>
            <w:shd w:val="clear" w:color="auto" w:fill="FFFFFF" w:themeFill="background1"/>
            <w:noWrap/>
          </w:tcPr>
          <w:p w14:paraId="78719C34" w14:textId="77777777" w:rsidR="001A5BCF" w:rsidRPr="00646254" w:rsidRDefault="001A5BCF" w:rsidP="00E96A1D">
            <w:pPr>
              <w:keepLines/>
              <w:widowControl w:val="0"/>
              <w:shd w:val="clear" w:color="auto" w:fill="FFFFFF" w:themeFill="background1"/>
              <w:spacing w:line="276" w:lineRule="auto"/>
              <w:rPr>
                <w:rFonts w:asciiTheme="minorHAnsi" w:eastAsia="Times New Roman" w:hAnsiTheme="minorHAnsi" w:cstheme="minorHAnsi"/>
                <w:bCs/>
                <w:color w:val="002060"/>
                <w:sz w:val="18"/>
                <w:szCs w:val="18"/>
                <w:lang w:val="sr-Cyrl-CS"/>
              </w:rPr>
            </w:pPr>
          </w:p>
        </w:tc>
        <w:tc>
          <w:tcPr>
            <w:tcW w:w="605" w:type="pct"/>
            <w:tcBorders>
              <w:top w:val="single" w:sz="4" w:space="0" w:color="002060"/>
              <w:bottom w:val="single" w:sz="4" w:space="0" w:color="002060"/>
            </w:tcBorders>
            <w:shd w:val="clear" w:color="auto" w:fill="FFFFFF" w:themeFill="background1"/>
          </w:tcPr>
          <w:p w14:paraId="39826BA1" w14:textId="77777777" w:rsidR="001A5BCF" w:rsidRPr="00646254" w:rsidRDefault="001A5BCF" w:rsidP="00E96A1D">
            <w:pPr>
              <w:keepNext/>
              <w:widowControl w:val="0"/>
              <w:shd w:val="clear" w:color="auto" w:fill="FFFFFF" w:themeFill="background1"/>
              <w:spacing w:line="276" w:lineRule="auto"/>
              <w:jc w:val="right"/>
              <w:rPr>
                <w:rFonts w:asciiTheme="minorHAnsi" w:eastAsia="Times New Roman" w:hAnsiTheme="minorHAnsi" w:cstheme="minorHAnsi"/>
                <w:bCs/>
                <w:color w:val="002060"/>
                <w:sz w:val="18"/>
                <w:szCs w:val="18"/>
                <w:lang w:val="sr-Cyrl-CS"/>
              </w:rPr>
            </w:pPr>
            <w:r w:rsidRPr="00646254">
              <w:rPr>
                <w:rFonts w:asciiTheme="minorHAnsi" w:eastAsia="Times New Roman" w:hAnsiTheme="minorHAnsi" w:cstheme="minorHAnsi"/>
                <w:bCs/>
                <w:color w:val="002060"/>
                <w:sz w:val="18"/>
                <w:szCs w:val="18"/>
                <w:lang w:val="sr-Cyrl-CS"/>
              </w:rPr>
              <w:t>2020</w:t>
            </w:r>
          </w:p>
        </w:tc>
        <w:tc>
          <w:tcPr>
            <w:tcW w:w="606" w:type="pct"/>
            <w:tcBorders>
              <w:top w:val="single" w:sz="4" w:space="0" w:color="002060"/>
              <w:bottom w:val="single" w:sz="4" w:space="0" w:color="002060"/>
            </w:tcBorders>
            <w:shd w:val="clear" w:color="auto" w:fill="FFFFFF" w:themeFill="background1"/>
          </w:tcPr>
          <w:p w14:paraId="5B67D953" w14:textId="77777777" w:rsidR="001A5BCF" w:rsidRPr="00646254" w:rsidRDefault="001A5BCF" w:rsidP="00E96A1D">
            <w:pPr>
              <w:keepNext/>
              <w:widowControl w:val="0"/>
              <w:shd w:val="clear" w:color="auto" w:fill="FFFFFF" w:themeFill="background1"/>
              <w:spacing w:line="276" w:lineRule="auto"/>
              <w:jc w:val="right"/>
              <w:rPr>
                <w:rFonts w:asciiTheme="minorHAnsi" w:eastAsia="Times New Roman" w:hAnsiTheme="minorHAnsi" w:cstheme="minorHAnsi"/>
                <w:bCs/>
                <w:color w:val="002060"/>
                <w:sz w:val="18"/>
                <w:szCs w:val="18"/>
                <w:lang w:val="sr-Cyrl-CS"/>
              </w:rPr>
            </w:pPr>
            <w:r w:rsidRPr="00646254">
              <w:rPr>
                <w:rFonts w:asciiTheme="minorHAnsi" w:eastAsia="Times New Roman" w:hAnsiTheme="minorHAnsi" w:cstheme="minorHAnsi"/>
                <w:bCs/>
                <w:color w:val="002060"/>
                <w:sz w:val="18"/>
                <w:szCs w:val="18"/>
                <w:lang w:val="sr-Cyrl-CS"/>
              </w:rPr>
              <w:t>2021</w:t>
            </w:r>
          </w:p>
        </w:tc>
        <w:tc>
          <w:tcPr>
            <w:tcW w:w="581" w:type="pct"/>
            <w:tcBorders>
              <w:top w:val="single" w:sz="4" w:space="0" w:color="002060"/>
              <w:bottom w:val="single" w:sz="4" w:space="0" w:color="002060"/>
            </w:tcBorders>
            <w:shd w:val="clear" w:color="auto" w:fill="FFFFFF" w:themeFill="background1"/>
          </w:tcPr>
          <w:p w14:paraId="3A093D30" w14:textId="77777777" w:rsidR="001A5BCF" w:rsidRPr="00646254" w:rsidRDefault="001A5BCF" w:rsidP="00E96A1D">
            <w:pPr>
              <w:keepNext/>
              <w:widowControl w:val="0"/>
              <w:shd w:val="clear" w:color="auto" w:fill="FFFFFF" w:themeFill="background1"/>
              <w:spacing w:line="276" w:lineRule="auto"/>
              <w:jc w:val="right"/>
              <w:rPr>
                <w:rFonts w:asciiTheme="minorHAnsi" w:eastAsia="Times New Roman" w:hAnsiTheme="minorHAnsi" w:cstheme="minorHAnsi"/>
                <w:bCs/>
                <w:color w:val="002060"/>
                <w:sz w:val="18"/>
                <w:szCs w:val="18"/>
                <w:lang w:val="sr-Cyrl-CS"/>
              </w:rPr>
            </w:pPr>
            <w:r w:rsidRPr="00646254">
              <w:rPr>
                <w:rFonts w:asciiTheme="minorHAnsi" w:eastAsia="Times New Roman" w:hAnsiTheme="minorHAnsi" w:cstheme="minorHAnsi"/>
                <w:bCs/>
                <w:color w:val="002060"/>
                <w:sz w:val="18"/>
                <w:szCs w:val="18"/>
                <w:lang w:val="sr-Cyrl-CS"/>
              </w:rPr>
              <w:t>2022</w:t>
            </w:r>
          </w:p>
        </w:tc>
        <w:tc>
          <w:tcPr>
            <w:tcW w:w="582" w:type="pct"/>
            <w:tcBorders>
              <w:top w:val="single" w:sz="4" w:space="0" w:color="002060"/>
              <w:bottom w:val="single" w:sz="4" w:space="0" w:color="002060"/>
            </w:tcBorders>
            <w:shd w:val="clear" w:color="auto" w:fill="FFFFFF" w:themeFill="background1"/>
          </w:tcPr>
          <w:p w14:paraId="0F7D33D5" w14:textId="77777777" w:rsidR="001A5BCF" w:rsidRPr="00646254" w:rsidRDefault="001A5BCF" w:rsidP="00E96A1D">
            <w:pPr>
              <w:keepNext/>
              <w:widowControl w:val="0"/>
              <w:shd w:val="clear" w:color="auto" w:fill="FFFFFF" w:themeFill="background1"/>
              <w:spacing w:line="276" w:lineRule="auto"/>
              <w:jc w:val="right"/>
              <w:rPr>
                <w:rFonts w:asciiTheme="minorHAnsi" w:eastAsia="Times New Roman" w:hAnsiTheme="minorHAnsi" w:cstheme="minorHAnsi"/>
                <w:bCs/>
                <w:color w:val="002060"/>
                <w:sz w:val="18"/>
                <w:szCs w:val="18"/>
                <w:lang w:val="sr-Cyrl-CS"/>
              </w:rPr>
            </w:pPr>
            <w:r w:rsidRPr="00646254">
              <w:rPr>
                <w:rFonts w:asciiTheme="minorHAnsi" w:eastAsia="Times New Roman" w:hAnsiTheme="minorHAnsi" w:cstheme="minorHAnsi"/>
                <w:bCs/>
                <w:color w:val="002060"/>
                <w:sz w:val="18"/>
                <w:szCs w:val="18"/>
                <w:lang w:val="sr-Cyrl-CS"/>
              </w:rPr>
              <w:t>2023</w:t>
            </w:r>
          </w:p>
        </w:tc>
        <w:tc>
          <w:tcPr>
            <w:tcW w:w="582" w:type="pct"/>
            <w:tcBorders>
              <w:top w:val="single" w:sz="4" w:space="0" w:color="002060"/>
              <w:bottom w:val="single" w:sz="4" w:space="0" w:color="002060"/>
            </w:tcBorders>
            <w:shd w:val="clear" w:color="auto" w:fill="FFFFFF" w:themeFill="background1"/>
          </w:tcPr>
          <w:p w14:paraId="513A1A3D" w14:textId="77777777" w:rsidR="001A5BCF" w:rsidRPr="00646254" w:rsidRDefault="001A5BCF" w:rsidP="00E96A1D">
            <w:pPr>
              <w:keepNext/>
              <w:widowControl w:val="0"/>
              <w:shd w:val="clear" w:color="auto" w:fill="FFFFFF" w:themeFill="background1"/>
              <w:spacing w:line="276" w:lineRule="auto"/>
              <w:jc w:val="right"/>
              <w:rPr>
                <w:rFonts w:asciiTheme="minorHAnsi" w:eastAsia="Times New Roman" w:hAnsiTheme="minorHAnsi" w:cstheme="minorHAnsi"/>
                <w:bCs/>
                <w:color w:val="002060"/>
                <w:sz w:val="18"/>
                <w:szCs w:val="18"/>
                <w:lang w:val="sr-Cyrl-CS"/>
              </w:rPr>
            </w:pPr>
            <w:r w:rsidRPr="00646254">
              <w:rPr>
                <w:rFonts w:asciiTheme="minorHAnsi" w:eastAsia="Times New Roman" w:hAnsiTheme="minorHAnsi" w:cstheme="minorHAnsi"/>
                <w:bCs/>
                <w:color w:val="002060"/>
                <w:sz w:val="18"/>
                <w:szCs w:val="18"/>
                <w:lang w:val="sr-Cyrl-CS"/>
              </w:rPr>
              <w:t>2024</w:t>
            </w:r>
          </w:p>
        </w:tc>
      </w:tr>
      <w:tr w:rsidR="001A5BCF" w:rsidRPr="00646254" w14:paraId="0171387F" w14:textId="77777777" w:rsidTr="00E96A1D">
        <w:trPr>
          <w:trHeight w:val="253"/>
        </w:trPr>
        <w:tc>
          <w:tcPr>
            <w:tcW w:w="2044" w:type="pct"/>
            <w:shd w:val="clear" w:color="auto" w:fill="FFFFFF" w:themeFill="background1"/>
          </w:tcPr>
          <w:p w14:paraId="4B31D7C5" w14:textId="77777777" w:rsidR="001A5BCF" w:rsidRPr="00646254" w:rsidRDefault="001A5BCF" w:rsidP="00E96A1D">
            <w:pPr>
              <w:keepLines/>
              <w:widowControl w:val="0"/>
              <w:shd w:val="clear" w:color="auto" w:fill="FFFFFF" w:themeFill="background1"/>
              <w:spacing w:line="276" w:lineRule="auto"/>
              <w:rPr>
                <w:rFonts w:asciiTheme="minorHAnsi" w:eastAsia="Times New Roman" w:hAnsiTheme="minorHAnsi" w:cstheme="minorHAnsi"/>
                <w:bCs/>
                <w:color w:val="002060"/>
                <w:sz w:val="18"/>
                <w:szCs w:val="18"/>
                <w:lang w:val="sr-Cyrl-CS"/>
              </w:rPr>
            </w:pPr>
            <w:r w:rsidRPr="00646254">
              <w:rPr>
                <w:rFonts w:asciiTheme="minorHAnsi" w:eastAsia="Times New Roman" w:hAnsiTheme="minorHAnsi" w:cstheme="minorHAnsi"/>
                <w:bCs/>
                <w:color w:val="002060"/>
                <w:sz w:val="18"/>
                <w:szCs w:val="18"/>
                <w:lang w:val="sr-Cyrl-CS"/>
              </w:rPr>
              <w:t>ЈАВНИ ПРИХОДИ</w:t>
            </w:r>
          </w:p>
        </w:tc>
        <w:tc>
          <w:tcPr>
            <w:tcW w:w="605" w:type="pct"/>
            <w:tcBorders>
              <w:top w:val="single" w:sz="4" w:space="0" w:color="002060"/>
            </w:tcBorders>
            <w:shd w:val="clear" w:color="auto" w:fill="FFFFFF" w:themeFill="background1"/>
          </w:tcPr>
          <w:p w14:paraId="522F8173" w14:textId="77777777" w:rsidR="001A5BCF" w:rsidRPr="00646254" w:rsidRDefault="001A5BCF" w:rsidP="00E96A1D">
            <w:pPr>
              <w:shd w:val="clear" w:color="auto" w:fill="FFFFFF" w:themeFill="background1"/>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41,0</w:t>
            </w:r>
          </w:p>
        </w:tc>
        <w:tc>
          <w:tcPr>
            <w:tcW w:w="606" w:type="pct"/>
            <w:tcBorders>
              <w:top w:val="single" w:sz="4" w:space="0" w:color="002060"/>
            </w:tcBorders>
            <w:shd w:val="clear" w:color="auto" w:fill="FFFFFF" w:themeFill="background1"/>
            <w:noWrap/>
          </w:tcPr>
          <w:p w14:paraId="0385ED4D" w14:textId="77777777" w:rsidR="001A5BCF" w:rsidRPr="00646254" w:rsidRDefault="001A5BCF" w:rsidP="00E96A1D">
            <w:pPr>
              <w:shd w:val="clear" w:color="auto" w:fill="FFFFFF" w:themeFill="background1"/>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43,5</w:t>
            </w:r>
          </w:p>
        </w:tc>
        <w:tc>
          <w:tcPr>
            <w:tcW w:w="581" w:type="pct"/>
            <w:tcBorders>
              <w:top w:val="single" w:sz="4" w:space="0" w:color="002060"/>
            </w:tcBorders>
            <w:shd w:val="clear" w:color="auto" w:fill="FFFFFF" w:themeFill="background1"/>
            <w:noWrap/>
          </w:tcPr>
          <w:p w14:paraId="43ED5241" w14:textId="77777777" w:rsidR="001A5BCF" w:rsidRPr="00646254" w:rsidRDefault="001A5BCF" w:rsidP="00E96A1D">
            <w:pPr>
              <w:shd w:val="clear" w:color="auto" w:fill="FFFFFF" w:themeFill="background1"/>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42,2</w:t>
            </w:r>
          </w:p>
        </w:tc>
        <w:tc>
          <w:tcPr>
            <w:tcW w:w="582" w:type="pct"/>
            <w:tcBorders>
              <w:top w:val="single" w:sz="4" w:space="0" w:color="002060"/>
            </w:tcBorders>
            <w:shd w:val="clear" w:color="auto" w:fill="FFFFFF" w:themeFill="background1"/>
            <w:noWrap/>
          </w:tcPr>
          <w:p w14:paraId="027952B2" w14:textId="77777777" w:rsidR="001A5BCF" w:rsidRPr="00646254" w:rsidRDefault="001A5BCF" w:rsidP="00E96A1D">
            <w:pPr>
              <w:shd w:val="clear" w:color="auto" w:fill="FFFFFF" w:themeFill="background1"/>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41.4</w:t>
            </w:r>
          </w:p>
        </w:tc>
        <w:tc>
          <w:tcPr>
            <w:tcW w:w="582" w:type="pct"/>
            <w:tcBorders>
              <w:top w:val="single" w:sz="4" w:space="0" w:color="002060"/>
            </w:tcBorders>
            <w:shd w:val="clear" w:color="auto" w:fill="FFFFFF" w:themeFill="background1"/>
            <w:noWrap/>
          </w:tcPr>
          <w:p w14:paraId="03662A4B" w14:textId="77777777" w:rsidR="001A5BCF" w:rsidRPr="00646254" w:rsidRDefault="001A5BCF" w:rsidP="00E96A1D">
            <w:pPr>
              <w:shd w:val="clear" w:color="auto" w:fill="FFFFFF" w:themeFill="background1"/>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41,1</w:t>
            </w:r>
          </w:p>
        </w:tc>
      </w:tr>
      <w:tr w:rsidR="001A5BCF" w:rsidRPr="00646254" w14:paraId="202CF1CF" w14:textId="77777777" w:rsidTr="00E96A1D">
        <w:trPr>
          <w:cnfStyle w:val="000000100000" w:firstRow="0" w:lastRow="0" w:firstColumn="0" w:lastColumn="0" w:oddVBand="0" w:evenVBand="0" w:oddHBand="1" w:evenHBand="0" w:firstRowFirstColumn="0" w:firstRowLastColumn="0" w:lastRowFirstColumn="0" w:lastRowLastColumn="0"/>
          <w:trHeight w:val="253"/>
        </w:trPr>
        <w:tc>
          <w:tcPr>
            <w:tcW w:w="2044" w:type="pct"/>
            <w:shd w:val="clear" w:color="auto" w:fill="FFFFFF" w:themeFill="background1"/>
          </w:tcPr>
          <w:p w14:paraId="6F9121E9" w14:textId="77777777" w:rsidR="001A5BCF" w:rsidRPr="00646254" w:rsidRDefault="001A5BCF" w:rsidP="00E96A1D">
            <w:pPr>
              <w:keepLines/>
              <w:widowControl w:val="0"/>
              <w:shd w:val="clear" w:color="auto" w:fill="FFFFFF" w:themeFill="background1"/>
              <w:spacing w:line="276" w:lineRule="auto"/>
              <w:rPr>
                <w:rFonts w:asciiTheme="minorHAnsi" w:eastAsia="Times New Roman" w:hAnsiTheme="minorHAnsi" w:cstheme="minorHAnsi"/>
                <w:bCs/>
                <w:color w:val="002060"/>
                <w:sz w:val="18"/>
                <w:szCs w:val="18"/>
                <w:lang w:val="sr-Cyrl-CS"/>
              </w:rPr>
            </w:pPr>
            <w:r w:rsidRPr="00646254">
              <w:rPr>
                <w:rFonts w:asciiTheme="minorHAnsi" w:eastAsia="Times New Roman" w:hAnsiTheme="minorHAnsi" w:cstheme="minorHAnsi"/>
                <w:bCs/>
                <w:color w:val="002060"/>
                <w:sz w:val="18"/>
                <w:szCs w:val="18"/>
                <w:lang w:val="sr-Cyrl-CS"/>
              </w:rPr>
              <w:t>Текући приходи</w:t>
            </w:r>
          </w:p>
        </w:tc>
        <w:tc>
          <w:tcPr>
            <w:tcW w:w="605" w:type="pct"/>
            <w:shd w:val="clear" w:color="auto" w:fill="FFFFFF" w:themeFill="background1"/>
          </w:tcPr>
          <w:p w14:paraId="2DCEEB06" w14:textId="77777777" w:rsidR="001A5BCF" w:rsidRPr="00646254" w:rsidRDefault="001A5BCF" w:rsidP="00E96A1D">
            <w:pPr>
              <w:shd w:val="clear" w:color="auto" w:fill="FFFFFF" w:themeFill="background1"/>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40,8</w:t>
            </w:r>
          </w:p>
        </w:tc>
        <w:tc>
          <w:tcPr>
            <w:tcW w:w="606" w:type="pct"/>
            <w:shd w:val="clear" w:color="auto" w:fill="FFFFFF" w:themeFill="background1"/>
            <w:noWrap/>
          </w:tcPr>
          <w:p w14:paraId="761B1B92" w14:textId="77777777" w:rsidR="001A5BCF" w:rsidRPr="00646254" w:rsidRDefault="001A5BCF" w:rsidP="00E96A1D">
            <w:pPr>
              <w:shd w:val="clear" w:color="auto" w:fill="FFFFFF" w:themeFill="background1"/>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43,1</w:t>
            </w:r>
          </w:p>
        </w:tc>
        <w:tc>
          <w:tcPr>
            <w:tcW w:w="581" w:type="pct"/>
            <w:shd w:val="clear" w:color="auto" w:fill="FFFFFF" w:themeFill="background1"/>
            <w:noWrap/>
          </w:tcPr>
          <w:p w14:paraId="08FD9A71" w14:textId="77777777" w:rsidR="001A5BCF" w:rsidRPr="00646254" w:rsidRDefault="001A5BCF" w:rsidP="00E96A1D">
            <w:pPr>
              <w:shd w:val="clear" w:color="auto" w:fill="FFFFFF" w:themeFill="background1"/>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41,8</w:t>
            </w:r>
          </w:p>
        </w:tc>
        <w:tc>
          <w:tcPr>
            <w:tcW w:w="582" w:type="pct"/>
            <w:shd w:val="clear" w:color="auto" w:fill="FFFFFF" w:themeFill="background1"/>
            <w:noWrap/>
          </w:tcPr>
          <w:p w14:paraId="041A91D5" w14:textId="77777777" w:rsidR="001A5BCF" w:rsidRPr="00646254" w:rsidRDefault="001A5BCF" w:rsidP="00E96A1D">
            <w:pPr>
              <w:shd w:val="clear" w:color="auto" w:fill="FFFFFF" w:themeFill="background1"/>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41,1</w:t>
            </w:r>
          </w:p>
        </w:tc>
        <w:tc>
          <w:tcPr>
            <w:tcW w:w="582" w:type="pct"/>
            <w:shd w:val="clear" w:color="auto" w:fill="FFFFFF" w:themeFill="background1"/>
            <w:noWrap/>
          </w:tcPr>
          <w:p w14:paraId="0A595560" w14:textId="77777777" w:rsidR="001A5BCF" w:rsidRPr="00646254" w:rsidRDefault="001A5BCF" w:rsidP="00E96A1D">
            <w:pPr>
              <w:shd w:val="clear" w:color="auto" w:fill="FFFFFF" w:themeFill="background1"/>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40,8</w:t>
            </w:r>
          </w:p>
        </w:tc>
      </w:tr>
      <w:tr w:rsidR="001A5BCF" w:rsidRPr="00646254" w14:paraId="490E18D9" w14:textId="77777777" w:rsidTr="00E96A1D">
        <w:trPr>
          <w:trHeight w:val="253"/>
        </w:trPr>
        <w:tc>
          <w:tcPr>
            <w:tcW w:w="2044" w:type="pct"/>
            <w:shd w:val="clear" w:color="auto" w:fill="FFFFFF" w:themeFill="background1"/>
          </w:tcPr>
          <w:p w14:paraId="774552EF" w14:textId="77777777" w:rsidR="001A5BCF" w:rsidRPr="00646254" w:rsidRDefault="001A5BCF" w:rsidP="00E96A1D">
            <w:pPr>
              <w:keepLines/>
              <w:widowControl w:val="0"/>
              <w:shd w:val="clear" w:color="auto" w:fill="FFFFFF" w:themeFill="background1"/>
              <w:spacing w:line="276" w:lineRule="auto"/>
              <w:rPr>
                <w:rFonts w:asciiTheme="minorHAnsi" w:eastAsia="Times New Roman" w:hAnsiTheme="minorHAnsi" w:cstheme="minorHAnsi"/>
                <w:bCs/>
                <w:color w:val="002060"/>
                <w:sz w:val="18"/>
                <w:szCs w:val="18"/>
                <w:lang w:val="sr-Cyrl-CS"/>
              </w:rPr>
            </w:pPr>
            <w:r w:rsidRPr="00646254">
              <w:rPr>
                <w:rFonts w:asciiTheme="minorHAnsi" w:eastAsia="Times New Roman" w:hAnsiTheme="minorHAnsi" w:cstheme="minorHAnsi"/>
                <w:bCs/>
                <w:color w:val="002060"/>
                <w:sz w:val="18"/>
                <w:szCs w:val="18"/>
                <w:lang w:val="sr-Cyrl-CS"/>
              </w:rPr>
              <w:t xml:space="preserve"> Порески приходи</w:t>
            </w:r>
          </w:p>
        </w:tc>
        <w:tc>
          <w:tcPr>
            <w:tcW w:w="605" w:type="pct"/>
            <w:shd w:val="clear" w:color="auto" w:fill="FFFFFF" w:themeFill="background1"/>
          </w:tcPr>
          <w:p w14:paraId="398B98A1" w14:textId="77777777" w:rsidR="001A5BCF" w:rsidRPr="00646254" w:rsidRDefault="001A5BCF" w:rsidP="00E96A1D">
            <w:pPr>
              <w:shd w:val="clear" w:color="auto" w:fill="FFFFFF" w:themeFill="background1"/>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36,2</w:t>
            </w:r>
          </w:p>
        </w:tc>
        <w:tc>
          <w:tcPr>
            <w:tcW w:w="606" w:type="pct"/>
            <w:shd w:val="clear" w:color="auto" w:fill="FFFFFF" w:themeFill="background1"/>
            <w:noWrap/>
          </w:tcPr>
          <w:p w14:paraId="3B6B316E" w14:textId="77777777" w:rsidR="001A5BCF" w:rsidRPr="00646254" w:rsidRDefault="001A5BCF" w:rsidP="00E96A1D">
            <w:pPr>
              <w:shd w:val="clear" w:color="auto" w:fill="FFFFFF" w:themeFill="background1"/>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38,9</w:t>
            </w:r>
          </w:p>
        </w:tc>
        <w:tc>
          <w:tcPr>
            <w:tcW w:w="581" w:type="pct"/>
            <w:shd w:val="clear" w:color="auto" w:fill="FFFFFF" w:themeFill="background1"/>
            <w:noWrap/>
          </w:tcPr>
          <w:p w14:paraId="1A5413BE" w14:textId="77777777" w:rsidR="001A5BCF" w:rsidRPr="00646254" w:rsidRDefault="001A5BCF" w:rsidP="00E96A1D">
            <w:pPr>
              <w:shd w:val="clear" w:color="auto" w:fill="FFFFFF" w:themeFill="background1"/>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38,1</w:t>
            </w:r>
          </w:p>
        </w:tc>
        <w:tc>
          <w:tcPr>
            <w:tcW w:w="582" w:type="pct"/>
            <w:shd w:val="clear" w:color="auto" w:fill="FFFFFF" w:themeFill="background1"/>
            <w:noWrap/>
          </w:tcPr>
          <w:p w14:paraId="26861E24" w14:textId="77777777" w:rsidR="001A5BCF" w:rsidRPr="00646254" w:rsidRDefault="001A5BCF" w:rsidP="00E96A1D">
            <w:pPr>
              <w:shd w:val="clear" w:color="auto" w:fill="FFFFFF" w:themeFill="background1"/>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37,4</w:t>
            </w:r>
          </w:p>
        </w:tc>
        <w:tc>
          <w:tcPr>
            <w:tcW w:w="582" w:type="pct"/>
            <w:shd w:val="clear" w:color="auto" w:fill="FFFFFF" w:themeFill="background1"/>
            <w:noWrap/>
          </w:tcPr>
          <w:p w14:paraId="023F14D0" w14:textId="77777777" w:rsidR="001A5BCF" w:rsidRPr="00646254" w:rsidRDefault="001A5BCF" w:rsidP="00E96A1D">
            <w:pPr>
              <w:shd w:val="clear" w:color="auto" w:fill="FFFFFF" w:themeFill="background1"/>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37,3</w:t>
            </w:r>
          </w:p>
        </w:tc>
      </w:tr>
      <w:tr w:rsidR="001A5BCF" w:rsidRPr="00646254" w14:paraId="22C455BF" w14:textId="77777777" w:rsidTr="00E96A1D">
        <w:trPr>
          <w:cnfStyle w:val="000000100000" w:firstRow="0" w:lastRow="0" w:firstColumn="0" w:lastColumn="0" w:oddVBand="0" w:evenVBand="0" w:oddHBand="1" w:evenHBand="0" w:firstRowFirstColumn="0" w:firstRowLastColumn="0" w:lastRowFirstColumn="0" w:lastRowLastColumn="0"/>
          <w:trHeight w:val="253"/>
        </w:trPr>
        <w:tc>
          <w:tcPr>
            <w:tcW w:w="2044" w:type="pct"/>
            <w:shd w:val="clear" w:color="auto" w:fill="FFFFFF" w:themeFill="background1"/>
          </w:tcPr>
          <w:p w14:paraId="3CDC19E5" w14:textId="77777777" w:rsidR="001A5BCF" w:rsidRPr="00646254" w:rsidRDefault="001A5BCF" w:rsidP="00E96A1D">
            <w:pPr>
              <w:keepLines/>
              <w:widowControl w:val="0"/>
              <w:shd w:val="clear" w:color="auto" w:fill="FFFFFF" w:themeFill="background1"/>
              <w:spacing w:line="276" w:lineRule="auto"/>
              <w:ind w:left="284"/>
              <w:rPr>
                <w:rFonts w:asciiTheme="minorHAnsi" w:eastAsia="Times New Roman" w:hAnsiTheme="minorHAnsi" w:cstheme="minorHAnsi"/>
                <w:bCs/>
                <w:color w:val="002060"/>
                <w:sz w:val="18"/>
                <w:szCs w:val="18"/>
                <w:lang w:val="sr-Cyrl-CS"/>
              </w:rPr>
            </w:pPr>
            <w:r w:rsidRPr="00646254">
              <w:rPr>
                <w:rFonts w:asciiTheme="minorHAnsi" w:eastAsia="Times New Roman" w:hAnsiTheme="minorHAnsi" w:cstheme="minorHAnsi"/>
                <w:bCs/>
                <w:color w:val="002060"/>
                <w:sz w:val="18"/>
                <w:szCs w:val="18"/>
                <w:lang w:val="sr-Cyrl-CS"/>
              </w:rPr>
              <w:t>Порез на доходак грађана</w:t>
            </w:r>
          </w:p>
        </w:tc>
        <w:tc>
          <w:tcPr>
            <w:tcW w:w="605" w:type="pct"/>
            <w:shd w:val="clear" w:color="auto" w:fill="FFFFFF" w:themeFill="background1"/>
          </w:tcPr>
          <w:p w14:paraId="62DA4799" w14:textId="77777777" w:rsidR="001A5BCF" w:rsidRPr="00646254" w:rsidRDefault="001A5BCF" w:rsidP="00E96A1D">
            <w:pPr>
              <w:shd w:val="clear" w:color="auto" w:fill="FFFFFF" w:themeFill="background1"/>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3,7</w:t>
            </w:r>
          </w:p>
        </w:tc>
        <w:tc>
          <w:tcPr>
            <w:tcW w:w="606" w:type="pct"/>
            <w:shd w:val="clear" w:color="auto" w:fill="FFFFFF" w:themeFill="background1"/>
            <w:noWrap/>
          </w:tcPr>
          <w:p w14:paraId="6AF99784" w14:textId="77777777" w:rsidR="001A5BCF" w:rsidRPr="00646254" w:rsidRDefault="001A5BCF" w:rsidP="00E96A1D">
            <w:pPr>
              <w:shd w:val="clear" w:color="auto" w:fill="FFFFFF" w:themeFill="background1"/>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4,1</w:t>
            </w:r>
          </w:p>
        </w:tc>
        <w:tc>
          <w:tcPr>
            <w:tcW w:w="581" w:type="pct"/>
            <w:shd w:val="clear" w:color="auto" w:fill="FFFFFF" w:themeFill="background1"/>
            <w:noWrap/>
          </w:tcPr>
          <w:p w14:paraId="0436821E" w14:textId="77777777" w:rsidR="001A5BCF" w:rsidRPr="00646254" w:rsidRDefault="001A5BCF" w:rsidP="00E96A1D">
            <w:pPr>
              <w:shd w:val="clear" w:color="auto" w:fill="FFFFFF" w:themeFill="background1"/>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4,1</w:t>
            </w:r>
          </w:p>
        </w:tc>
        <w:tc>
          <w:tcPr>
            <w:tcW w:w="582" w:type="pct"/>
            <w:shd w:val="clear" w:color="auto" w:fill="FFFFFF" w:themeFill="background1"/>
            <w:noWrap/>
          </w:tcPr>
          <w:p w14:paraId="3A2A6063" w14:textId="77777777" w:rsidR="001A5BCF" w:rsidRPr="00646254" w:rsidRDefault="001A5BCF" w:rsidP="00E96A1D">
            <w:pPr>
              <w:shd w:val="clear" w:color="auto" w:fill="FFFFFF" w:themeFill="background1"/>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4,1</w:t>
            </w:r>
          </w:p>
        </w:tc>
        <w:tc>
          <w:tcPr>
            <w:tcW w:w="582" w:type="pct"/>
            <w:shd w:val="clear" w:color="auto" w:fill="FFFFFF" w:themeFill="background1"/>
            <w:noWrap/>
          </w:tcPr>
          <w:p w14:paraId="06C0853E" w14:textId="77777777" w:rsidR="001A5BCF" w:rsidRPr="00646254" w:rsidRDefault="001A5BCF" w:rsidP="00E96A1D">
            <w:pPr>
              <w:shd w:val="clear" w:color="auto" w:fill="FFFFFF" w:themeFill="background1"/>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4,1</w:t>
            </w:r>
          </w:p>
        </w:tc>
      </w:tr>
      <w:tr w:rsidR="001A5BCF" w:rsidRPr="00646254" w14:paraId="2BEE737D" w14:textId="77777777" w:rsidTr="00E96A1D">
        <w:trPr>
          <w:trHeight w:val="253"/>
        </w:trPr>
        <w:tc>
          <w:tcPr>
            <w:tcW w:w="2044" w:type="pct"/>
            <w:shd w:val="clear" w:color="auto" w:fill="FFFFFF" w:themeFill="background1"/>
          </w:tcPr>
          <w:p w14:paraId="611A3908" w14:textId="77777777" w:rsidR="001A5BCF" w:rsidRPr="00646254" w:rsidRDefault="001A5BCF" w:rsidP="00E96A1D">
            <w:pPr>
              <w:keepLines/>
              <w:widowControl w:val="0"/>
              <w:shd w:val="clear" w:color="auto" w:fill="FFFFFF" w:themeFill="background1"/>
              <w:spacing w:line="276" w:lineRule="auto"/>
              <w:ind w:left="284"/>
              <w:rPr>
                <w:rFonts w:asciiTheme="minorHAnsi" w:eastAsia="Times New Roman" w:hAnsiTheme="minorHAnsi" w:cstheme="minorHAnsi"/>
                <w:bCs/>
                <w:color w:val="002060"/>
                <w:sz w:val="18"/>
                <w:szCs w:val="18"/>
                <w:lang w:val="sr-Cyrl-CS"/>
              </w:rPr>
            </w:pPr>
            <w:r w:rsidRPr="00646254">
              <w:rPr>
                <w:rFonts w:asciiTheme="minorHAnsi" w:eastAsia="Times New Roman" w:hAnsiTheme="minorHAnsi" w:cstheme="minorHAnsi"/>
                <w:bCs/>
                <w:color w:val="002060"/>
                <w:sz w:val="18"/>
                <w:szCs w:val="18"/>
                <w:lang w:val="sr-Cyrl-CS"/>
              </w:rPr>
              <w:t>Порез на добит правних лица</w:t>
            </w:r>
          </w:p>
        </w:tc>
        <w:tc>
          <w:tcPr>
            <w:tcW w:w="605" w:type="pct"/>
            <w:shd w:val="clear" w:color="auto" w:fill="FFFFFF" w:themeFill="background1"/>
          </w:tcPr>
          <w:p w14:paraId="460ACE09" w14:textId="77777777" w:rsidR="001A5BCF" w:rsidRPr="00646254" w:rsidRDefault="001A5BCF" w:rsidP="00E96A1D">
            <w:pPr>
              <w:shd w:val="clear" w:color="auto" w:fill="FFFFFF" w:themeFill="background1"/>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2,2</w:t>
            </w:r>
          </w:p>
        </w:tc>
        <w:tc>
          <w:tcPr>
            <w:tcW w:w="606" w:type="pct"/>
            <w:shd w:val="clear" w:color="auto" w:fill="FFFFFF" w:themeFill="background1"/>
            <w:noWrap/>
          </w:tcPr>
          <w:p w14:paraId="278EF8DA" w14:textId="77777777" w:rsidR="001A5BCF" w:rsidRPr="00646254" w:rsidRDefault="001A5BCF" w:rsidP="00E96A1D">
            <w:pPr>
              <w:shd w:val="clear" w:color="auto" w:fill="FFFFFF" w:themeFill="background1"/>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2,5</w:t>
            </w:r>
          </w:p>
        </w:tc>
        <w:tc>
          <w:tcPr>
            <w:tcW w:w="581" w:type="pct"/>
            <w:shd w:val="clear" w:color="auto" w:fill="FFFFFF" w:themeFill="background1"/>
            <w:noWrap/>
          </w:tcPr>
          <w:p w14:paraId="32ED84E9" w14:textId="77777777" w:rsidR="001A5BCF" w:rsidRPr="00646254" w:rsidRDefault="001A5BCF" w:rsidP="00E96A1D">
            <w:pPr>
              <w:shd w:val="clear" w:color="auto" w:fill="FFFFFF" w:themeFill="background1"/>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2,2</w:t>
            </w:r>
          </w:p>
        </w:tc>
        <w:tc>
          <w:tcPr>
            <w:tcW w:w="582" w:type="pct"/>
            <w:shd w:val="clear" w:color="auto" w:fill="FFFFFF" w:themeFill="background1"/>
            <w:noWrap/>
          </w:tcPr>
          <w:p w14:paraId="5D109D95" w14:textId="77777777" w:rsidR="001A5BCF" w:rsidRPr="00646254" w:rsidRDefault="001A5BCF" w:rsidP="00E96A1D">
            <w:pPr>
              <w:shd w:val="clear" w:color="auto" w:fill="FFFFFF" w:themeFill="background1"/>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2,2</w:t>
            </w:r>
          </w:p>
        </w:tc>
        <w:tc>
          <w:tcPr>
            <w:tcW w:w="582" w:type="pct"/>
            <w:shd w:val="clear" w:color="auto" w:fill="FFFFFF" w:themeFill="background1"/>
            <w:noWrap/>
          </w:tcPr>
          <w:p w14:paraId="617A4D25" w14:textId="77777777" w:rsidR="001A5BCF" w:rsidRPr="00646254" w:rsidRDefault="001A5BCF" w:rsidP="00E96A1D">
            <w:pPr>
              <w:shd w:val="clear" w:color="auto" w:fill="FFFFFF" w:themeFill="background1"/>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2,2</w:t>
            </w:r>
          </w:p>
        </w:tc>
      </w:tr>
      <w:tr w:rsidR="001A5BCF" w:rsidRPr="00646254" w14:paraId="2D369AD4" w14:textId="77777777" w:rsidTr="00E96A1D">
        <w:trPr>
          <w:cnfStyle w:val="000000100000" w:firstRow="0" w:lastRow="0" w:firstColumn="0" w:lastColumn="0" w:oddVBand="0" w:evenVBand="0" w:oddHBand="1" w:evenHBand="0" w:firstRowFirstColumn="0" w:firstRowLastColumn="0" w:lastRowFirstColumn="0" w:lastRowLastColumn="0"/>
          <w:trHeight w:val="253"/>
        </w:trPr>
        <w:tc>
          <w:tcPr>
            <w:tcW w:w="2044" w:type="pct"/>
            <w:shd w:val="clear" w:color="auto" w:fill="FFFFFF" w:themeFill="background1"/>
          </w:tcPr>
          <w:p w14:paraId="75D13D3A" w14:textId="77777777" w:rsidR="001A5BCF" w:rsidRPr="00646254" w:rsidRDefault="001A5BCF" w:rsidP="00E96A1D">
            <w:pPr>
              <w:keepLines/>
              <w:widowControl w:val="0"/>
              <w:shd w:val="clear" w:color="auto" w:fill="FFFFFF" w:themeFill="background1"/>
              <w:spacing w:line="276" w:lineRule="auto"/>
              <w:ind w:left="284"/>
              <w:rPr>
                <w:rFonts w:asciiTheme="minorHAnsi" w:eastAsia="Times New Roman" w:hAnsiTheme="minorHAnsi" w:cstheme="minorHAnsi"/>
                <w:bCs/>
                <w:color w:val="002060"/>
                <w:sz w:val="18"/>
                <w:szCs w:val="18"/>
                <w:lang w:val="sr-Cyrl-CS"/>
              </w:rPr>
            </w:pPr>
            <w:r w:rsidRPr="00646254">
              <w:rPr>
                <w:rFonts w:asciiTheme="minorHAnsi" w:eastAsia="Times New Roman" w:hAnsiTheme="minorHAnsi" w:cstheme="minorHAnsi"/>
                <w:bCs/>
                <w:color w:val="002060"/>
                <w:sz w:val="18"/>
                <w:szCs w:val="18"/>
                <w:lang w:val="sr-Cyrl-CS"/>
              </w:rPr>
              <w:t>ПДВ</w:t>
            </w:r>
          </w:p>
        </w:tc>
        <w:tc>
          <w:tcPr>
            <w:tcW w:w="605" w:type="pct"/>
            <w:shd w:val="clear" w:color="auto" w:fill="FFFFFF" w:themeFill="background1"/>
          </w:tcPr>
          <w:p w14:paraId="7726CA76" w14:textId="77777777" w:rsidR="001A5BCF" w:rsidRPr="00646254" w:rsidRDefault="001A5BCF" w:rsidP="00E96A1D">
            <w:pPr>
              <w:shd w:val="clear" w:color="auto" w:fill="FFFFFF" w:themeFill="background1"/>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10,0</w:t>
            </w:r>
          </w:p>
        </w:tc>
        <w:tc>
          <w:tcPr>
            <w:tcW w:w="606" w:type="pct"/>
            <w:shd w:val="clear" w:color="auto" w:fill="FFFFFF" w:themeFill="background1"/>
            <w:noWrap/>
          </w:tcPr>
          <w:p w14:paraId="2631FC64" w14:textId="77777777" w:rsidR="001A5BCF" w:rsidRPr="00646254" w:rsidRDefault="001A5BCF" w:rsidP="00E96A1D">
            <w:pPr>
              <w:shd w:val="clear" w:color="auto" w:fill="FFFFFF" w:themeFill="background1"/>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10,6</w:t>
            </w:r>
          </w:p>
        </w:tc>
        <w:tc>
          <w:tcPr>
            <w:tcW w:w="581" w:type="pct"/>
            <w:shd w:val="clear" w:color="auto" w:fill="FFFFFF" w:themeFill="background1"/>
            <w:noWrap/>
          </w:tcPr>
          <w:p w14:paraId="66AC54FA" w14:textId="77777777" w:rsidR="001A5BCF" w:rsidRPr="00646254" w:rsidRDefault="001A5BCF" w:rsidP="00E96A1D">
            <w:pPr>
              <w:shd w:val="clear" w:color="auto" w:fill="FFFFFF" w:themeFill="background1"/>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10,3</w:t>
            </w:r>
          </w:p>
        </w:tc>
        <w:tc>
          <w:tcPr>
            <w:tcW w:w="582" w:type="pct"/>
            <w:shd w:val="clear" w:color="auto" w:fill="FFFFFF" w:themeFill="background1"/>
            <w:noWrap/>
          </w:tcPr>
          <w:p w14:paraId="7C44F40D" w14:textId="77777777" w:rsidR="001A5BCF" w:rsidRPr="00646254" w:rsidRDefault="001A5BCF" w:rsidP="00E96A1D">
            <w:pPr>
              <w:shd w:val="clear" w:color="auto" w:fill="FFFFFF" w:themeFill="background1"/>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10,2</w:t>
            </w:r>
          </w:p>
        </w:tc>
        <w:tc>
          <w:tcPr>
            <w:tcW w:w="582" w:type="pct"/>
            <w:shd w:val="clear" w:color="auto" w:fill="FFFFFF" w:themeFill="background1"/>
            <w:noWrap/>
          </w:tcPr>
          <w:p w14:paraId="7C5392E0" w14:textId="77777777" w:rsidR="001A5BCF" w:rsidRPr="00646254" w:rsidRDefault="001A5BCF" w:rsidP="00E96A1D">
            <w:pPr>
              <w:shd w:val="clear" w:color="auto" w:fill="FFFFFF" w:themeFill="background1"/>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10,2</w:t>
            </w:r>
          </w:p>
        </w:tc>
      </w:tr>
      <w:tr w:rsidR="001A5BCF" w:rsidRPr="00646254" w14:paraId="73E59B78" w14:textId="77777777" w:rsidTr="00E96A1D">
        <w:trPr>
          <w:trHeight w:val="253"/>
        </w:trPr>
        <w:tc>
          <w:tcPr>
            <w:tcW w:w="2044" w:type="pct"/>
            <w:shd w:val="clear" w:color="auto" w:fill="FFFFFF" w:themeFill="background1"/>
          </w:tcPr>
          <w:p w14:paraId="22DE8FCF" w14:textId="77777777" w:rsidR="001A5BCF" w:rsidRPr="00646254" w:rsidRDefault="001A5BCF" w:rsidP="00E96A1D">
            <w:pPr>
              <w:keepLines/>
              <w:widowControl w:val="0"/>
              <w:shd w:val="clear" w:color="auto" w:fill="FFFFFF" w:themeFill="background1"/>
              <w:spacing w:line="276" w:lineRule="auto"/>
              <w:ind w:left="284"/>
              <w:rPr>
                <w:rFonts w:asciiTheme="minorHAnsi" w:eastAsia="Times New Roman" w:hAnsiTheme="minorHAnsi" w:cstheme="minorHAnsi"/>
                <w:bCs/>
                <w:color w:val="002060"/>
                <w:sz w:val="18"/>
                <w:szCs w:val="18"/>
                <w:lang w:val="sr-Cyrl-CS"/>
              </w:rPr>
            </w:pPr>
            <w:r w:rsidRPr="00646254">
              <w:rPr>
                <w:rFonts w:asciiTheme="minorHAnsi" w:eastAsia="Times New Roman" w:hAnsiTheme="minorHAnsi" w:cstheme="minorHAnsi"/>
                <w:bCs/>
                <w:color w:val="002060"/>
                <w:sz w:val="18"/>
                <w:szCs w:val="18"/>
                <w:lang w:val="sr-Cyrl-CS"/>
              </w:rPr>
              <w:t>Акцизе</w:t>
            </w:r>
          </w:p>
        </w:tc>
        <w:tc>
          <w:tcPr>
            <w:tcW w:w="605" w:type="pct"/>
            <w:shd w:val="clear" w:color="auto" w:fill="FFFFFF" w:themeFill="background1"/>
          </w:tcPr>
          <w:p w14:paraId="4F3FB50A" w14:textId="77777777" w:rsidR="001A5BCF" w:rsidRPr="00646254" w:rsidRDefault="001A5BCF" w:rsidP="00E96A1D">
            <w:pPr>
              <w:shd w:val="clear" w:color="auto" w:fill="FFFFFF" w:themeFill="background1"/>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5,6</w:t>
            </w:r>
          </w:p>
        </w:tc>
        <w:tc>
          <w:tcPr>
            <w:tcW w:w="606" w:type="pct"/>
            <w:shd w:val="clear" w:color="auto" w:fill="FFFFFF" w:themeFill="background1"/>
            <w:noWrap/>
          </w:tcPr>
          <w:p w14:paraId="5A112D5A" w14:textId="77777777" w:rsidR="001A5BCF" w:rsidRPr="00646254" w:rsidRDefault="001A5BCF" w:rsidP="00E96A1D">
            <w:pPr>
              <w:shd w:val="clear" w:color="auto" w:fill="FFFFFF" w:themeFill="background1"/>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5,3</w:t>
            </w:r>
          </w:p>
        </w:tc>
        <w:tc>
          <w:tcPr>
            <w:tcW w:w="581" w:type="pct"/>
            <w:shd w:val="clear" w:color="auto" w:fill="FFFFFF" w:themeFill="background1"/>
            <w:noWrap/>
          </w:tcPr>
          <w:p w14:paraId="6005C50A" w14:textId="77777777" w:rsidR="001A5BCF" w:rsidRPr="00646254" w:rsidRDefault="001A5BCF" w:rsidP="00E96A1D">
            <w:pPr>
              <w:shd w:val="clear" w:color="auto" w:fill="FFFFFF" w:themeFill="background1"/>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5,1</w:t>
            </w:r>
          </w:p>
        </w:tc>
        <w:tc>
          <w:tcPr>
            <w:tcW w:w="582" w:type="pct"/>
            <w:shd w:val="clear" w:color="auto" w:fill="FFFFFF" w:themeFill="background1"/>
            <w:noWrap/>
          </w:tcPr>
          <w:p w14:paraId="5864E753" w14:textId="77777777" w:rsidR="001A5BCF" w:rsidRPr="00646254" w:rsidRDefault="001A5BCF" w:rsidP="00E96A1D">
            <w:pPr>
              <w:shd w:val="clear" w:color="auto" w:fill="FFFFFF" w:themeFill="background1"/>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4,9</w:t>
            </w:r>
          </w:p>
        </w:tc>
        <w:tc>
          <w:tcPr>
            <w:tcW w:w="582" w:type="pct"/>
            <w:shd w:val="clear" w:color="auto" w:fill="FFFFFF" w:themeFill="background1"/>
            <w:noWrap/>
          </w:tcPr>
          <w:p w14:paraId="320B3B10" w14:textId="77777777" w:rsidR="001A5BCF" w:rsidRPr="00646254" w:rsidRDefault="001A5BCF" w:rsidP="00E96A1D">
            <w:pPr>
              <w:shd w:val="clear" w:color="auto" w:fill="FFFFFF" w:themeFill="background1"/>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4,7</w:t>
            </w:r>
          </w:p>
        </w:tc>
      </w:tr>
      <w:tr w:rsidR="001A5BCF" w:rsidRPr="00646254" w14:paraId="504CA39A" w14:textId="77777777" w:rsidTr="00E96A1D">
        <w:trPr>
          <w:cnfStyle w:val="000000100000" w:firstRow="0" w:lastRow="0" w:firstColumn="0" w:lastColumn="0" w:oddVBand="0" w:evenVBand="0" w:oddHBand="1" w:evenHBand="0" w:firstRowFirstColumn="0" w:firstRowLastColumn="0" w:lastRowFirstColumn="0" w:lastRowLastColumn="0"/>
          <w:trHeight w:val="253"/>
        </w:trPr>
        <w:tc>
          <w:tcPr>
            <w:tcW w:w="2044" w:type="pct"/>
            <w:shd w:val="clear" w:color="auto" w:fill="FFFFFF" w:themeFill="background1"/>
          </w:tcPr>
          <w:p w14:paraId="4A8A2F72" w14:textId="77777777" w:rsidR="001A5BCF" w:rsidRPr="00646254" w:rsidRDefault="001A5BCF" w:rsidP="00E96A1D">
            <w:pPr>
              <w:keepLines/>
              <w:widowControl w:val="0"/>
              <w:shd w:val="clear" w:color="auto" w:fill="FFFFFF" w:themeFill="background1"/>
              <w:spacing w:line="276" w:lineRule="auto"/>
              <w:ind w:left="284"/>
              <w:rPr>
                <w:rFonts w:asciiTheme="minorHAnsi" w:eastAsia="Times New Roman" w:hAnsiTheme="minorHAnsi" w:cstheme="minorHAnsi"/>
                <w:bCs/>
                <w:color w:val="002060"/>
                <w:sz w:val="18"/>
                <w:szCs w:val="18"/>
                <w:lang w:val="sr-Cyrl-CS"/>
              </w:rPr>
            </w:pPr>
            <w:r w:rsidRPr="00646254">
              <w:rPr>
                <w:rFonts w:asciiTheme="minorHAnsi" w:eastAsia="Times New Roman" w:hAnsiTheme="minorHAnsi" w:cstheme="minorHAnsi"/>
                <w:bCs/>
                <w:color w:val="002060"/>
                <w:sz w:val="18"/>
                <w:szCs w:val="18"/>
                <w:lang w:val="sr-Cyrl-CS"/>
              </w:rPr>
              <w:t>Царине</w:t>
            </w:r>
          </w:p>
        </w:tc>
        <w:tc>
          <w:tcPr>
            <w:tcW w:w="605" w:type="pct"/>
            <w:shd w:val="clear" w:color="auto" w:fill="FFFFFF" w:themeFill="background1"/>
          </w:tcPr>
          <w:p w14:paraId="324B1523" w14:textId="77777777" w:rsidR="001A5BCF" w:rsidRPr="00646254" w:rsidRDefault="001A5BCF" w:rsidP="00E96A1D">
            <w:pPr>
              <w:shd w:val="clear" w:color="auto" w:fill="FFFFFF" w:themeFill="background1"/>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0,9</w:t>
            </w:r>
          </w:p>
        </w:tc>
        <w:tc>
          <w:tcPr>
            <w:tcW w:w="606" w:type="pct"/>
            <w:shd w:val="clear" w:color="auto" w:fill="FFFFFF" w:themeFill="background1"/>
            <w:noWrap/>
          </w:tcPr>
          <w:p w14:paraId="0576A8B3" w14:textId="77777777" w:rsidR="001A5BCF" w:rsidRPr="00646254" w:rsidRDefault="001A5BCF" w:rsidP="00E96A1D">
            <w:pPr>
              <w:shd w:val="clear" w:color="auto" w:fill="FFFFFF" w:themeFill="background1"/>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1,0</w:t>
            </w:r>
          </w:p>
        </w:tc>
        <w:tc>
          <w:tcPr>
            <w:tcW w:w="581" w:type="pct"/>
            <w:shd w:val="clear" w:color="auto" w:fill="FFFFFF" w:themeFill="background1"/>
            <w:noWrap/>
          </w:tcPr>
          <w:p w14:paraId="34328B5B" w14:textId="77777777" w:rsidR="001A5BCF" w:rsidRPr="00646254" w:rsidRDefault="001A5BCF" w:rsidP="00E96A1D">
            <w:pPr>
              <w:shd w:val="clear" w:color="auto" w:fill="FFFFFF" w:themeFill="background1"/>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1,0</w:t>
            </w:r>
          </w:p>
        </w:tc>
        <w:tc>
          <w:tcPr>
            <w:tcW w:w="582" w:type="pct"/>
            <w:shd w:val="clear" w:color="auto" w:fill="FFFFFF" w:themeFill="background1"/>
            <w:noWrap/>
          </w:tcPr>
          <w:p w14:paraId="121901F8" w14:textId="77777777" w:rsidR="001A5BCF" w:rsidRPr="00646254" w:rsidRDefault="001A5BCF" w:rsidP="00E96A1D">
            <w:pPr>
              <w:shd w:val="clear" w:color="auto" w:fill="FFFFFF" w:themeFill="background1"/>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1,0</w:t>
            </w:r>
          </w:p>
        </w:tc>
        <w:tc>
          <w:tcPr>
            <w:tcW w:w="582" w:type="pct"/>
            <w:shd w:val="clear" w:color="auto" w:fill="FFFFFF" w:themeFill="background1"/>
            <w:noWrap/>
          </w:tcPr>
          <w:p w14:paraId="646D4DC0" w14:textId="77777777" w:rsidR="001A5BCF" w:rsidRPr="00646254" w:rsidRDefault="001A5BCF" w:rsidP="00E96A1D">
            <w:pPr>
              <w:shd w:val="clear" w:color="auto" w:fill="FFFFFF" w:themeFill="background1"/>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1,0</w:t>
            </w:r>
          </w:p>
        </w:tc>
      </w:tr>
      <w:tr w:rsidR="001A5BCF" w:rsidRPr="00646254" w14:paraId="045C6A46" w14:textId="77777777" w:rsidTr="00E96A1D">
        <w:trPr>
          <w:trHeight w:val="253"/>
        </w:trPr>
        <w:tc>
          <w:tcPr>
            <w:tcW w:w="2044" w:type="pct"/>
            <w:shd w:val="clear" w:color="auto" w:fill="FFFFFF" w:themeFill="background1"/>
          </w:tcPr>
          <w:p w14:paraId="272D3785" w14:textId="77777777" w:rsidR="001A5BCF" w:rsidRPr="00646254" w:rsidRDefault="001A5BCF" w:rsidP="00E96A1D">
            <w:pPr>
              <w:keepLines/>
              <w:widowControl w:val="0"/>
              <w:shd w:val="clear" w:color="auto" w:fill="FFFFFF" w:themeFill="background1"/>
              <w:spacing w:line="276" w:lineRule="auto"/>
              <w:ind w:left="284"/>
              <w:rPr>
                <w:rFonts w:asciiTheme="minorHAnsi" w:eastAsia="Times New Roman" w:hAnsiTheme="minorHAnsi" w:cstheme="minorHAnsi"/>
                <w:bCs/>
                <w:color w:val="002060"/>
                <w:sz w:val="18"/>
                <w:szCs w:val="18"/>
                <w:lang w:val="sr-Cyrl-CS"/>
              </w:rPr>
            </w:pPr>
            <w:r w:rsidRPr="00646254">
              <w:rPr>
                <w:rFonts w:asciiTheme="minorHAnsi" w:eastAsia="Times New Roman" w:hAnsiTheme="minorHAnsi" w:cstheme="minorHAnsi"/>
                <w:bCs/>
                <w:color w:val="002060"/>
                <w:sz w:val="18"/>
                <w:szCs w:val="18"/>
                <w:lang w:val="sr-Cyrl-CS"/>
              </w:rPr>
              <w:t>Остали порески приходи</w:t>
            </w:r>
          </w:p>
        </w:tc>
        <w:tc>
          <w:tcPr>
            <w:tcW w:w="605" w:type="pct"/>
            <w:shd w:val="clear" w:color="auto" w:fill="FFFFFF" w:themeFill="background1"/>
          </w:tcPr>
          <w:p w14:paraId="0CB7A45D" w14:textId="77777777" w:rsidR="001A5BCF" w:rsidRPr="00646254" w:rsidRDefault="001A5BCF" w:rsidP="00E96A1D">
            <w:pPr>
              <w:shd w:val="clear" w:color="auto" w:fill="FFFFFF" w:themeFill="background1"/>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1,5</w:t>
            </w:r>
          </w:p>
        </w:tc>
        <w:tc>
          <w:tcPr>
            <w:tcW w:w="606" w:type="pct"/>
            <w:shd w:val="clear" w:color="auto" w:fill="FFFFFF" w:themeFill="background1"/>
            <w:noWrap/>
          </w:tcPr>
          <w:p w14:paraId="7C293C5A" w14:textId="77777777" w:rsidR="001A5BCF" w:rsidRPr="00646254" w:rsidRDefault="001A5BCF" w:rsidP="00E96A1D">
            <w:pPr>
              <w:shd w:val="clear" w:color="auto" w:fill="FFFFFF" w:themeFill="background1"/>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1,5</w:t>
            </w:r>
          </w:p>
        </w:tc>
        <w:tc>
          <w:tcPr>
            <w:tcW w:w="581" w:type="pct"/>
            <w:shd w:val="clear" w:color="auto" w:fill="FFFFFF" w:themeFill="background1"/>
            <w:noWrap/>
          </w:tcPr>
          <w:p w14:paraId="54FD4E37" w14:textId="77777777" w:rsidR="001A5BCF" w:rsidRPr="00646254" w:rsidRDefault="001A5BCF" w:rsidP="00E96A1D">
            <w:pPr>
              <w:shd w:val="clear" w:color="auto" w:fill="FFFFFF" w:themeFill="background1"/>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1,5</w:t>
            </w:r>
          </w:p>
        </w:tc>
        <w:tc>
          <w:tcPr>
            <w:tcW w:w="582" w:type="pct"/>
            <w:shd w:val="clear" w:color="auto" w:fill="FFFFFF" w:themeFill="background1"/>
            <w:noWrap/>
          </w:tcPr>
          <w:p w14:paraId="14AE8832" w14:textId="77777777" w:rsidR="001A5BCF" w:rsidRPr="00646254" w:rsidRDefault="001A5BCF" w:rsidP="00E96A1D">
            <w:pPr>
              <w:shd w:val="clear" w:color="auto" w:fill="FFFFFF" w:themeFill="background1"/>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1,5</w:t>
            </w:r>
          </w:p>
        </w:tc>
        <w:tc>
          <w:tcPr>
            <w:tcW w:w="582" w:type="pct"/>
            <w:shd w:val="clear" w:color="auto" w:fill="FFFFFF" w:themeFill="background1"/>
            <w:noWrap/>
          </w:tcPr>
          <w:p w14:paraId="06ABB571" w14:textId="77777777" w:rsidR="001A5BCF" w:rsidRPr="00646254" w:rsidRDefault="001A5BCF" w:rsidP="00E96A1D">
            <w:pPr>
              <w:shd w:val="clear" w:color="auto" w:fill="FFFFFF" w:themeFill="background1"/>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1,4</w:t>
            </w:r>
          </w:p>
        </w:tc>
      </w:tr>
      <w:tr w:rsidR="001A5BCF" w:rsidRPr="00646254" w14:paraId="7E3DCB8E" w14:textId="77777777" w:rsidTr="00E96A1D">
        <w:trPr>
          <w:cnfStyle w:val="000000100000" w:firstRow="0" w:lastRow="0" w:firstColumn="0" w:lastColumn="0" w:oddVBand="0" w:evenVBand="0" w:oddHBand="1" w:evenHBand="0" w:firstRowFirstColumn="0" w:firstRowLastColumn="0" w:lastRowFirstColumn="0" w:lastRowLastColumn="0"/>
          <w:trHeight w:val="253"/>
        </w:trPr>
        <w:tc>
          <w:tcPr>
            <w:tcW w:w="2044" w:type="pct"/>
            <w:shd w:val="clear" w:color="auto" w:fill="FFFFFF" w:themeFill="background1"/>
          </w:tcPr>
          <w:p w14:paraId="6865B813" w14:textId="77777777" w:rsidR="001A5BCF" w:rsidRPr="00646254" w:rsidRDefault="001A5BCF" w:rsidP="00E96A1D">
            <w:pPr>
              <w:keepLines/>
              <w:widowControl w:val="0"/>
              <w:shd w:val="clear" w:color="auto" w:fill="FFFFFF" w:themeFill="background1"/>
              <w:spacing w:line="276" w:lineRule="auto"/>
              <w:ind w:left="284"/>
              <w:rPr>
                <w:rFonts w:asciiTheme="minorHAnsi" w:eastAsia="Times New Roman" w:hAnsiTheme="minorHAnsi" w:cstheme="minorHAnsi"/>
                <w:bCs/>
                <w:color w:val="002060"/>
                <w:sz w:val="18"/>
                <w:szCs w:val="18"/>
                <w:lang w:val="sr-Cyrl-CS"/>
              </w:rPr>
            </w:pPr>
            <w:r w:rsidRPr="00646254">
              <w:rPr>
                <w:rFonts w:asciiTheme="minorHAnsi" w:eastAsia="Times New Roman" w:hAnsiTheme="minorHAnsi" w:cstheme="minorHAnsi"/>
                <w:bCs/>
                <w:color w:val="002060"/>
                <w:sz w:val="18"/>
                <w:szCs w:val="18"/>
                <w:lang w:val="sr-Cyrl-CS"/>
              </w:rPr>
              <w:t>Доприноси</w:t>
            </w:r>
          </w:p>
        </w:tc>
        <w:tc>
          <w:tcPr>
            <w:tcW w:w="605" w:type="pct"/>
            <w:shd w:val="clear" w:color="auto" w:fill="FFFFFF" w:themeFill="background1"/>
          </w:tcPr>
          <w:p w14:paraId="21539708" w14:textId="77777777" w:rsidR="001A5BCF" w:rsidRPr="00646254" w:rsidRDefault="001A5BCF" w:rsidP="00E96A1D">
            <w:pPr>
              <w:shd w:val="clear" w:color="auto" w:fill="FFFFFF" w:themeFill="background1"/>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12,2</w:t>
            </w:r>
          </w:p>
        </w:tc>
        <w:tc>
          <w:tcPr>
            <w:tcW w:w="606" w:type="pct"/>
            <w:shd w:val="clear" w:color="auto" w:fill="FFFFFF" w:themeFill="background1"/>
            <w:noWrap/>
          </w:tcPr>
          <w:p w14:paraId="1ED5D77D" w14:textId="77777777" w:rsidR="001A5BCF" w:rsidRPr="00646254" w:rsidRDefault="001A5BCF" w:rsidP="00E96A1D">
            <w:pPr>
              <w:shd w:val="clear" w:color="auto" w:fill="FFFFFF" w:themeFill="background1"/>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13,9</w:t>
            </w:r>
          </w:p>
        </w:tc>
        <w:tc>
          <w:tcPr>
            <w:tcW w:w="581" w:type="pct"/>
            <w:shd w:val="clear" w:color="auto" w:fill="FFFFFF" w:themeFill="background1"/>
            <w:noWrap/>
          </w:tcPr>
          <w:p w14:paraId="0CB89820" w14:textId="77777777" w:rsidR="001A5BCF" w:rsidRPr="00646254" w:rsidRDefault="001A5BCF" w:rsidP="00E96A1D">
            <w:pPr>
              <w:shd w:val="clear" w:color="auto" w:fill="FFFFFF" w:themeFill="background1"/>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13,9</w:t>
            </w:r>
          </w:p>
        </w:tc>
        <w:tc>
          <w:tcPr>
            <w:tcW w:w="582" w:type="pct"/>
            <w:shd w:val="clear" w:color="auto" w:fill="FFFFFF" w:themeFill="background1"/>
            <w:noWrap/>
          </w:tcPr>
          <w:p w14:paraId="20B0C291" w14:textId="77777777" w:rsidR="001A5BCF" w:rsidRPr="00646254" w:rsidRDefault="001A5BCF" w:rsidP="00E96A1D">
            <w:pPr>
              <w:shd w:val="clear" w:color="auto" w:fill="FFFFFF" w:themeFill="background1"/>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13,6</w:t>
            </w:r>
          </w:p>
        </w:tc>
        <w:tc>
          <w:tcPr>
            <w:tcW w:w="582" w:type="pct"/>
            <w:shd w:val="clear" w:color="auto" w:fill="FFFFFF" w:themeFill="background1"/>
            <w:noWrap/>
          </w:tcPr>
          <w:p w14:paraId="3824FE55" w14:textId="77777777" w:rsidR="001A5BCF" w:rsidRPr="00646254" w:rsidRDefault="001A5BCF" w:rsidP="00E96A1D">
            <w:pPr>
              <w:shd w:val="clear" w:color="auto" w:fill="FFFFFF" w:themeFill="background1"/>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13,7</w:t>
            </w:r>
          </w:p>
        </w:tc>
      </w:tr>
      <w:tr w:rsidR="001A5BCF" w:rsidRPr="00646254" w14:paraId="4380A404" w14:textId="77777777" w:rsidTr="00E96A1D">
        <w:trPr>
          <w:trHeight w:val="253"/>
        </w:trPr>
        <w:tc>
          <w:tcPr>
            <w:tcW w:w="2044" w:type="pct"/>
            <w:shd w:val="clear" w:color="auto" w:fill="FFFFFF" w:themeFill="background1"/>
          </w:tcPr>
          <w:p w14:paraId="23B70E22" w14:textId="77777777" w:rsidR="001A5BCF" w:rsidRPr="00646254" w:rsidRDefault="001A5BCF" w:rsidP="00E96A1D">
            <w:pPr>
              <w:keepLines/>
              <w:widowControl w:val="0"/>
              <w:shd w:val="clear" w:color="auto" w:fill="FFFFFF" w:themeFill="background1"/>
              <w:spacing w:line="276" w:lineRule="auto"/>
              <w:rPr>
                <w:rFonts w:asciiTheme="minorHAnsi" w:eastAsia="Times New Roman" w:hAnsiTheme="minorHAnsi" w:cstheme="minorHAnsi"/>
                <w:bCs/>
                <w:color w:val="002060"/>
                <w:sz w:val="18"/>
                <w:szCs w:val="18"/>
                <w:lang w:val="sr-Cyrl-CS"/>
              </w:rPr>
            </w:pPr>
            <w:r w:rsidRPr="00646254">
              <w:rPr>
                <w:rFonts w:asciiTheme="minorHAnsi" w:eastAsia="Times New Roman" w:hAnsiTheme="minorHAnsi" w:cstheme="minorHAnsi"/>
                <w:bCs/>
                <w:color w:val="002060"/>
                <w:sz w:val="18"/>
                <w:szCs w:val="18"/>
                <w:lang w:val="sr-Cyrl-CS"/>
              </w:rPr>
              <w:t xml:space="preserve"> Непорески приходи</w:t>
            </w:r>
          </w:p>
        </w:tc>
        <w:tc>
          <w:tcPr>
            <w:tcW w:w="605" w:type="pct"/>
            <w:shd w:val="clear" w:color="auto" w:fill="FFFFFF" w:themeFill="background1"/>
          </w:tcPr>
          <w:p w14:paraId="40A5F875" w14:textId="77777777" w:rsidR="001A5BCF" w:rsidRPr="00646254" w:rsidRDefault="001A5BCF" w:rsidP="00E96A1D">
            <w:pPr>
              <w:shd w:val="clear" w:color="auto" w:fill="FFFFFF" w:themeFill="background1"/>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4,6</w:t>
            </w:r>
          </w:p>
        </w:tc>
        <w:tc>
          <w:tcPr>
            <w:tcW w:w="606" w:type="pct"/>
            <w:shd w:val="clear" w:color="auto" w:fill="FFFFFF" w:themeFill="background1"/>
            <w:noWrap/>
          </w:tcPr>
          <w:p w14:paraId="3A396CA2" w14:textId="77777777" w:rsidR="001A5BCF" w:rsidRPr="00646254" w:rsidRDefault="001A5BCF" w:rsidP="00E96A1D">
            <w:pPr>
              <w:shd w:val="clear" w:color="auto" w:fill="FFFFFF" w:themeFill="background1"/>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4,2</w:t>
            </w:r>
          </w:p>
        </w:tc>
        <w:tc>
          <w:tcPr>
            <w:tcW w:w="581" w:type="pct"/>
            <w:shd w:val="clear" w:color="auto" w:fill="FFFFFF" w:themeFill="background1"/>
            <w:noWrap/>
          </w:tcPr>
          <w:p w14:paraId="48094B4F" w14:textId="77777777" w:rsidR="001A5BCF" w:rsidRPr="00646254" w:rsidRDefault="001A5BCF" w:rsidP="00E96A1D">
            <w:pPr>
              <w:shd w:val="clear" w:color="auto" w:fill="FFFFFF" w:themeFill="background1"/>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3,8</w:t>
            </w:r>
          </w:p>
        </w:tc>
        <w:tc>
          <w:tcPr>
            <w:tcW w:w="582" w:type="pct"/>
            <w:shd w:val="clear" w:color="auto" w:fill="FFFFFF" w:themeFill="background1"/>
            <w:noWrap/>
          </w:tcPr>
          <w:p w14:paraId="279AE1FA" w14:textId="77777777" w:rsidR="001A5BCF" w:rsidRPr="00646254" w:rsidRDefault="001A5BCF" w:rsidP="00E96A1D">
            <w:pPr>
              <w:shd w:val="clear" w:color="auto" w:fill="FFFFFF" w:themeFill="background1"/>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3,7</w:t>
            </w:r>
          </w:p>
        </w:tc>
        <w:tc>
          <w:tcPr>
            <w:tcW w:w="582" w:type="pct"/>
            <w:shd w:val="clear" w:color="auto" w:fill="FFFFFF" w:themeFill="background1"/>
            <w:noWrap/>
          </w:tcPr>
          <w:p w14:paraId="7BDC0A36" w14:textId="77777777" w:rsidR="001A5BCF" w:rsidRPr="00646254" w:rsidRDefault="001A5BCF" w:rsidP="00E96A1D">
            <w:pPr>
              <w:shd w:val="clear" w:color="auto" w:fill="FFFFFF" w:themeFill="background1"/>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3,5</w:t>
            </w:r>
          </w:p>
        </w:tc>
      </w:tr>
      <w:tr w:rsidR="001A5BCF" w:rsidRPr="00646254" w14:paraId="5505A902" w14:textId="77777777" w:rsidTr="00E96A1D">
        <w:trPr>
          <w:cnfStyle w:val="000000100000" w:firstRow="0" w:lastRow="0" w:firstColumn="0" w:lastColumn="0" w:oddVBand="0" w:evenVBand="0" w:oddHBand="1" w:evenHBand="0" w:firstRowFirstColumn="0" w:firstRowLastColumn="0" w:lastRowFirstColumn="0" w:lastRowLastColumn="0"/>
          <w:trHeight w:val="253"/>
        </w:trPr>
        <w:tc>
          <w:tcPr>
            <w:tcW w:w="2044" w:type="pct"/>
            <w:tcBorders>
              <w:bottom w:val="single" w:sz="4" w:space="0" w:color="002060"/>
            </w:tcBorders>
            <w:shd w:val="clear" w:color="auto" w:fill="FFFFFF" w:themeFill="background1"/>
          </w:tcPr>
          <w:p w14:paraId="39210498" w14:textId="77777777" w:rsidR="001A5BCF" w:rsidRPr="00646254" w:rsidRDefault="001A5BCF" w:rsidP="00E96A1D">
            <w:pPr>
              <w:keepLines/>
              <w:widowControl w:val="0"/>
              <w:shd w:val="clear" w:color="auto" w:fill="FFFFFF" w:themeFill="background1"/>
              <w:spacing w:line="276" w:lineRule="auto"/>
              <w:rPr>
                <w:rFonts w:asciiTheme="minorHAnsi" w:eastAsia="Times New Roman" w:hAnsiTheme="minorHAnsi" w:cstheme="minorHAnsi"/>
                <w:bCs/>
                <w:color w:val="002060"/>
                <w:sz w:val="18"/>
                <w:szCs w:val="18"/>
                <w:lang w:val="sr-Cyrl-CS"/>
              </w:rPr>
            </w:pPr>
            <w:r w:rsidRPr="00646254">
              <w:rPr>
                <w:rFonts w:asciiTheme="minorHAnsi" w:eastAsia="Times New Roman" w:hAnsiTheme="minorHAnsi" w:cstheme="minorHAnsi"/>
                <w:bCs/>
                <w:color w:val="002060"/>
                <w:sz w:val="18"/>
                <w:szCs w:val="18"/>
                <w:lang w:val="sr-Cyrl-CS"/>
              </w:rPr>
              <w:t>Донације</w:t>
            </w:r>
          </w:p>
        </w:tc>
        <w:tc>
          <w:tcPr>
            <w:tcW w:w="605" w:type="pct"/>
            <w:tcBorders>
              <w:bottom w:val="single" w:sz="4" w:space="0" w:color="002060"/>
            </w:tcBorders>
            <w:shd w:val="clear" w:color="auto" w:fill="FFFFFF" w:themeFill="background1"/>
          </w:tcPr>
          <w:p w14:paraId="42BA1E93" w14:textId="77777777" w:rsidR="001A5BCF" w:rsidRPr="00646254" w:rsidRDefault="001A5BCF" w:rsidP="00E96A1D">
            <w:pPr>
              <w:shd w:val="clear" w:color="auto" w:fill="FFFFFF" w:themeFill="background1"/>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0,2</w:t>
            </w:r>
          </w:p>
        </w:tc>
        <w:tc>
          <w:tcPr>
            <w:tcW w:w="606" w:type="pct"/>
            <w:tcBorders>
              <w:bottom w:val="single" w:sz="4" w:space="0" w:color="002060"/>
            </w:tcBorders>
            <w:shd w:val="clear" w:color="auto" w:fill="FFFFFF" w:themeFill="background1"/>
            <w:noWrap/>
          </w:tcPr>
          <w:p w14:paraId="7933C1B2" w14:textId="77777777" w:rsidR="001A5BCF" w:rsidRPr="00646254" w:rsidRDefault="001A5BCF" w:rsidP="00E96A1D">
            <w:pPr>
              <w:shd w:val="clear" w:color="auto" w:fill="FFFFFF" w:themeFill="background1"/>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0,3</w:t>
            </w:r>
          </w:p>
        </w:tc>
        <w:tc>
          <w:tcPr>
            <w:tcW w:w="581" w:type="pct"/>
            <w:tcBorders>
              <w:bottom w:val="single" w:sz="4" w:space="0" w:color="002060"/>
            </w:tcBorders>
            <w:shd w:val="clear" w:color="auto" w:fill="FFFFFF" w:themeFill="background1"/>
            <w:noWrap/>
          </w:tcPr>
          <w:p w14:paraId="519AB0C4" w14:textId="77777777" w:rsidR="001A5BCF" w:rsidRPr="00646254" w:rsidRDefault="001A5BCF" w:rsidP="00E96A1D">
            <w:pPr>
              <w:shd w:val="clear" w:color="auto" w:fill="FFFFFF" w:themeFill="background1"/>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0,4</w:t>
            </w:r>
          </w:p>
        </w:tc>
        <w:tc>
          <w:tcPr>
            <w:tcW w:w="582" w:type="pct"/>
            <w:tcBorders>
              <w:bottom w:val="single" w:sz="4" w:space="0" w:color="002060"/>
            </w:tcBorders>
            <w:shd w:val="clear" w:color="auto" w:fill="FFFFFF" w:themeFill="background1"/>
            <w:noWrap/>
          </w:tcPr>
          <w:p w14:paraId="367C26A5" w14:textId="77777777" w:rsidR="001A5BCF" w:rsidRPr="00646254" w:rsidRDefault="001A5BCF" w:rsidP="00E96A1D">
            <w:pPr>
              <w:shd w:val="clear" w:color="auto" w:fill="FFFFFF" w:themeFill="background1"/>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0,4</w:t>
            </w:r>
          </w:p>
        </w:tc>
        <w:tc>
          <w:tcPr>
            <w:tcW w:w="582" w:type="pct"/>
            <w:tcBorders>
              <w:bottom w:val="single" w:sz="4" w:space="0" w:color="002060"/>
            </w:tcBorders>
            <w:shd w:val="clear" w:color="auto" w:fill="FFFFFF" w:themeFill="background1"/>
            <w:noWrap/>
          </w:tcPr>
          <w:p w14:paraId="53E360CE" w14:textId="77777777" w:rsidR="001A5BCF" w:rsidRPr="00646254" w:rsidRDefault="001A5BCF" w:rsidP="00E96A1D">
            <w:pPr>
              <w:shd w:val="clear" w:color="auto" w:fill="FFFFFF" w:themeFill="background1"/>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0,3</w:t>
            </w:r>
          </w:p>
        </w:tc>
      </w:tr>
    </w:tbl>
    <w:p w14:paraId="55319A53" w14:textId="77777777" w:rsidR="001A5BCF" w:rsidRPr="00646254" w:rsidRDefault="001A5BCF" w:rsidP="001A5BCF">
      <w:pPr>
        <w:spacing w:before="40" w:after="120" w:line="276" w:lineRule="auto"/>
        <w:jc w:val="left"/>
        <w:rPr>
          <w:rFonts w:eastAsia="MS PGothic" w:cstheme="minorHAnsi"/>
          <w:szCs w:val="20"/>
          <w:lang w:val="sr-Cyrl-CS" w:eastAsia="ja-JP"/>
        </w:rPr>
        <w:sectPr w:rsidR="001A5BCF" w:rsidRPr="00646254" w:rsidSect="00AE40EB">
          <w:type w:val="continuous"/>
          <w:pgSz w:w="12240" w:h="15840" w:code="1"/>
          <w:pgMar w:top="1440" w:right="1440" w:bottom="1440" w:left="1440" w:header="720" w:footer="720" w:gutter="0"/>
          <w:cols w:space="720"/>
          <w:docGrid w:linePitch="360"/>
        </w:sectPr>
      </w:pPr>
      <w:r w:rsidRPr="00646254">
        <w:rPr>
          <w:rFonts w:eastAsia="Calibri" w:cstheme="minorHAnsi"/>
          <w:bCs/>
          <w:sz w:val="16"/>
          <w:szCs w:val="20"/>
          <w:lang w:val="sr-Cyrl-CS" w:eastAsia="ja-JP"/>
        </w:rPr>
        <w:t xml:space="preserve">Извор: </w:t>
      </w:r>
      <w:r w:rsidRPr="00646254">
        <w:rPr>
          <w:rFonts w:cstheme="minorHAnsi"/>
          <w:sz w:val="16"/>
          <w:szCs w:val="20"/>
          <w:lang w:val="sr-Cyrl-CS"/>
        </w:rPr>
        <w:t>Министарство финансија</w:t>
      </w:r>
    </w:p>
    <w:p w14:paraId="6AFA51DE" w14:textId="77777777" w:rsidR="001A5BCF" w:rsidRPr="00646254" w:rsidRDefault="001A5BCF" w:rsidP="001A5BCF">
      <w:pPr>
        <w:rPr>
          <w:rFonts w:eastAsia="MS PGothic" w:cstheme="minorHAnsi"/>
          <w:szCs w:val="20"/>
          <w:lang w:val="sr-Cyrl-CS" w:eastAsia="ja-JP"/>
        </w:rPr>
      </w:pPr>
      <w:r w:rsidRPr="00646254">
        <w:rPr>
          <w:rFonts w:eastAsia="MS PGothic" w:cstheme="minorHAnsi"/>
          <w:szCs w:val="20"/>
          <w:lang w:val="sr-Cyrl-CS" w:eastAsia="ja-JP"/>
        </w:rPr>
        <w:t>Опадајући тренд прихода у смислу учешћа у БДП је очекиван с обзиром на пројектовану структуру средњорочног раста српске привреде. Наплата одложених обавеза из 2020. године ће повећати ниво прихода изнад трендног и у 2022. години, али ће појачати ефекат пада учешћа прихода у БДП у 2023. години. Пројекција пореских прихода подразумева одржавање постојећег степена наплате.</w:t>
      </w:r>
    </w:p>
    <w:p w14:paraId="2023AB2F" w14:textId="216CCE21" w:rsidR="001A5BCF" w:rsidRPr="00646254" w:rsidRDefault="001A5BCF" w:rsidP="001A5BCF">
      <w:pPr>
        <w:rPr>
          <w:rFonts w:eastAsia="MS PGothic" w:cstheme="minorHAnsi"/>
          <w:szCs w:val="20"/>
          <w:lang w:val="sr-Cyrl-CS" w:eastAsia="ja-JP"/>
        </w:rPr>
      </w:pPr>
      <w:r w:rsidRPr="00646254">
        <w:rPr>
          <w:rFonts w:eastAsia="MS PGothic" w:cstheme="minorHAnsi"/>
          <w:szCs w:val="20"/>
          <w:lang w:val="sr-Cyrl-CS" w:eastAsia="ja-JP"/>
        </w:rPr>
        <w:t>Најважнија мера пореске политике у 2022. години је пов</w:t>
      </w:r>
      <w:r w:rsidR="0046307E" w:rsidRPr="00646254">
        <w:rPr>
          <w:rFonts w:eastAsia="MS PGothic" w:cstheme="minorHAnsi"/>
          <w:szCs w:val="20"/>
          <w:lang w:val="sr-Cyrl-CS" w:eastAsia="ja-JP"/>
        </w:rPr>
        <w:t>ећање неопорезивог цензуса са 18.300 динара на 19</w:t>
      </w:r>
      <w:r w:rsidRPr="00646254">
        <w:rPr>
          <w:rFonts w:eastAsia="MS PGothic" w:cstheme="minorHAnsi"/>
          <w:szCs w:val="20"/>
          <w:lang w:val="sr-Cyrl-CS" w:eastAsia="ja-JP"/>
        </w:rPr>
        <w:t>.300 динара уз умањење доприноса за пензијско и инвалидско осигурање на терет послодавца за 0,5 процентних поена. Губитак прихода по овом основу износи 17,2 млрд динара, од чега се 14,2 млрд динара односи на доприносе и 3 млрд на порез на зараде. На расходној страни доћи ће до мањих расхода за зараде у износу од 3,5 млрд динара с обзиром да се смањује износ бруто зараде. Укупан ефекат ове мере на резултат опште државе износи 13,7 млрд динара.</w:t>
      </w:r>
    </w:p>
    <w:p w14:paraId="136AF588" w14:textId="77777777" w:rsidR="001A5BCF" w:rsidRPr="00646254" w:rsidRDefault="001A5BCF" w:rsidP="001A5BCF">
      <w:pPr>
        <w:rPr>
          <w:rFonts w:eastAsia="MS PGothic" w:cstheme="minorHAnsi"/>
          <w:szCs w:val="20"/>
          <w:lang w:val="sr-Cyrl-CS" w:eastAsia="ja-JP"/>
        </w:rPr>
      </w:pPr>
      <w:r w:rsidRPr="00646254">
        <w:rPr>
          <w:rFonts w:eastAsia="MS PGothic" w:cstheme="minorHAnsi"/>
          <w:szCs w:val="20"/>
          <w:lang w:val="sr-Cyrl-CS" w:eastAsia="ja-JP"/>
        </w:rPr>
        <w:t>Преовлађујући облик пореза на доходак је порез на зараде, тако да су кретање масе зарада и запослености главни фактори који утичу на кретање овог пореског облика. Ове приходе ће у 2022. години (као и у текућој) увећати наплата дела одложеног пореза на зараде из 2020. године у склопу пакета мера у борби против пандемије у износу од око 6 млрд динара, а смањиће ванредно повећање неопорезивог цензуса. У наредном периоду очекује се да маса зарада расте брже од номиналног БДП као резултат наставка повољних кретања на тржишту рада, те ће и приход по основу пореза на зараде расти у смислу учешћа у БДП. Очекивано повећање минималне зараде ће, такође, утицати на раст укупне масе зарада у привреди, а самим тим и на ову пореску категорију.</w:t>
      </w:r>
    </w:p>
    <w:p w14:paraId="095A1284" w14:textId="77777777" w:rsidR="001A5BCF" w:rsidRPr="00646254" w:rsidRDefault="001A5BCF" w:rsidP="001A5BCF">
      <w:pPr>
        <w:rPr>
          <w:rFonts w:eastAsia="MS PGothic" w:cstheme="minorHAnsi"/>
          <w:szCs w:val="20"/>
          <w:lang w:val="sr-Cyrl-CS" w:eastAsia="ja-JP"/>
        </w:rPr>
      </w:pPr>
      <w:r w:rsidRPr="00646254">
        <w:rPr>
          <w:rFonts w:eastAsia="MS PGothic" w:cstheme="minorHAnsi"/>
          <w:szCs w:val="20"/>
          <w:lang w:val="sr-Cyrl-CS" w:eastAsia="ja-JP"/>
        </w:rPr>
        <w:t>Остали облици пореза на доходак (порез на дивиденде, порез на приходе од камата, годишњи порез на доходак, итд.) ће расти спорије, то јест у складу са кретањем опште економске активности, тако да се очекује стабилан ниво прихода по основу укупног пореза на доходак, у смислу учешћа у БДП. Код пореза на зараде кључна је борба против сиве економије, с обзиром на знатан број непријављених радника и исплате зарада „на руке”. У последњим годинама интензивиране су контроле и појачане санкције што је дало резултате у сузбијању сиве економије у области рада и запошљавања, али је значајно да се на овом пољу настави са континуираним ангажманом и у наредном периоду.</w:t>
      </w:r>
    </w:p>
    <w:p w14:paraId="5F84F697" w14:textId="77777777" w:rsidR="001A5BCF" w:rsidRPr="00646254" w:rsidRDefault="001A5BCF" w:rsidP="001A5BCF">
      <w:pPr>
        <w:rPr>
          <w:rFonts w:eastAsia="MS PGothic" w:cstheme="minorHAnsi"/>
          <w:szCs w:val="20"/>
          <w:lang w:val="sr-Cyrl-CS" w:eastAsia="ja-JP"/>
        </w:rPr>
      </w:pPr>
      <w:r w:rsidRPr="00646254">
        <w:rPr>
          <w:rFonts w:eastAsia="MS PGothic" w:cstheme="minorHAnsi"/>
          <w:szCs w:val="20"/>
          <w:lang w:val="sr-Cyrl-CS" w:eastAsia="ja-JP"/>
        </w:rPr>
        <w:t>Кретање учешћа доприноса у БДП има сличну путању као и кретање учешћа пореза на зараде, с обзиром да су за њихову пројекцију коришћене исте претпоставке о кретању зарада и запослености. Део прихода ће се прикупити од наплате одложених доприноса из 2020. године у износу од по 30 млрд динара, и у 2022. години, док ће смањење стопа доприноса за пензијско и инвалидско осигурање на терет послодавца негативно утицати на приходе. Доприноси су пореска категорија код које је најизраженија пореска недисциплина и регистрован највећи дуг пореских обвезника, те су последице евентуалног повећања фискалне недисциплине највидљивије код овог пореског облика.</w:t>
      </w:r>
    </w:p>
    <w:p w14:paraId="0AF4F83E" w14:textId="77777777" w:rsidR="001A5BCF" w:rsidRPr="00646254" w:rsidRDefault="001A5BCF" w:rsidP="001A5BCF">
      <w:pPr>
        <w:rPr>
          <w:rFonts w:eastAsia="MS PGothic" w:cstheme="minorHAnsi"/>
          <w:szCs w:val="20"/>
          <w:lang w:val="sr-Cyrl-CS" w:eastAsia="ja-JP"/>
        </w:rPr>
      </w:pPr>
      <w:r w:rsidRPr="00646254">
        <w:rPr>
          <w:rFonts w:eastAsia="MS PGothic" w:cstheme="minorHAnsi"/>
          <w:szCs w:val="20"/>
          <w:lang w:val="sr-Cyrl-CS" w:eastAsia="ja-JP"/>
        </w:rPr>
        <w:t>Приходи од пореза на добит правних лица у периоду 2022 – 2024. године зависиће од путање привредног раста, релативне стабилности курса динара и опште профитабилности привреде. Процена прихода по овом основу може бити неизвесна како због економских фактора, тако и због могућности коришћења пореског кредита или повраћаја, као и разлика у рачуноводственим и пореским билансима. Раст профитабилности привреде у 2020. години, и поред успоравања макроекономских активности, допринео је значајном скоку прихода од пореза на добит у 2021. години. С обзиром да се део ових прихода у 2021. години односи на пренете обавезе из 2020. године. Очекује се да се у периоду 2022-2024. године наплата пореза на добит стабилизује у складу са кретањем БДП.</w:t>
      </w:r>
    </w:p>
    <w:p w14:paraId="72E41FE3" w14:textId="77777777" w:rsidR="001A5BCF" w:rsidRPr="00646254" w:rsidRDefault="001A5BCF" w:rsidP="001A5BCF">
      <w:pPr>
        <w:rPr>
          <w:rFonts w:eastAsia="MS PGothic" w:cstheme="minorHAnsi"/>
          <w:szCs w:val="20"/>
          <w:lang w:val="sr-Cyrl-CS" w:eastAsia="ja-JP"/>
        </w:rPr>
      </w:pPr>
      <w:r w:rsidRPr="00646254">
        <w:rPr>
          <w:rFonts w:eastAsia="MS PGothic" w:cstheme="minorHAnsi"/>
          <w:szCs w:val="20"/>
          <w:lang w:val="sr-Cyrl-CS" w:eastAsia="ja-JP"/>
        </w:rPr>
        <w:t>Главна детерминанта кретања ПДВ је домаћа тражња вођена расположивим дохотком становништва. Расположиви доходак као највећа детерминанта потрошње зависи од кретања зарада у јавном сектору, пензија, социјалне помоћи, кретања масе зарада у приватном сектору и осталих облика доходака, укључујући и дознаке, као и од динамике кредитне активности банака према становништву.</w:t>
      </w:r>
    </w:p>
    <w:p w14:paraId="34A83E9A" w14:textId="77777777" w:rsidR="001A5BCF" w:rsidRPr="00646254" w:rsidRDefault="001A5BCF" w:rsidP="001A5BCF">
      <w:pPr>
        <w:rPr>
          <w:rFonts w:eastAsia="MS PGothic" w:cstheme="minorHAnsi"/>
          <w:szCs w:val="20"/>
          <w:lang w:val="sr-Cyrl-CS" w:eastAsia="ja-JP"/>
        </w:rPr>
      </w:pPr>
      <w:r w:rsidRPr="00646254">
        <w:rPr>
          <w:rFonts w:eastAsia="MS PGothic" w:cstheme="minorHAnsi"/>
          <w:szCs w:val="20"/>
          <w:lang w:val="sr-Cyrl-CS" w:eastAsia="ja-JP"/>
        </w:rPr>
        <w:t>У 2021. години неколико фактора је утицало на снажнији раст личне потрошње од очекиваног што је допринело ванредном повећању прихода од ПДВ, као што су стимулативне мере државе, одложена потрошња из претходне године и добар биланс у сектору туризма и других услужних делатности.</w:t>
      </w:r>
    </w:p>
    <w:p w14:paraId="35766C98" w14:textId="77777777" w:rsidR="001A5BCF" w:rsidRPr="00646254" w:rsidRDefault="001A5BCF" w:rsidP="001A5BCF">
      <w:pPr>
        <w:rPr>
          <w:rFonts w:eastAsia="MS PGothic" w:cstheme="minorHAnsi"/>
          <w:szCs w:val="20"/>
          <w:lang w:val="sr-Cyrl-CS" w:eastAsia="ja-JP"/>
        </w:rPr>
      </w:pPr>
      <w:r w:rsidRPr="00646254">
        <w:rPr>
          <w:rFonts w:eastAsia="MS PGothic" w:cstheme="minorHAnsi"/>
          <w:szCs w:val="20"/>
          <w:lang w:val="sr-Cyrl-CS" w:eastAsia="ja-JP"/>
        </w:rPr>
        <w:t xml:space="preserve"> Као и код пореза на доходак грађана, ризици за остварење пројекције ПДВ у наредном периоду, поред неизвесности у вези пандемије, односе се на кретање зарада у приватном сектору, раст привредне активности, као и на степен сиве економије, односно ефикасност у њеном смањењу.</w:t>
      </w:r>
    </w:p>
    <w:p w14:paraId="1B30C41C" w14:textId="77777777" w:rsidR="001A5BCF" w:rsidRPr="00646254" w:rsidRDefault="001A5BCF" w:rsidP="001A5BCF">
      <w:pPr>
        <w:rPr>
          <w:rFonts w:eastAsia="MS PGothic" w:cstheme="minorHAnsi"/>
          <w:szCs w:val="20"/>
          <w:lang w:val="sr-Cyrl-CS" w:eastAsia="ja-JP"/>
        </w:rPr>
      </w:pPr>
      <w:r w:rsidRPr="00646254">
        <w:rPr>
          <w:rFonts w:eastAsia="MS PGothic" w:cstheme="minorHAnsi"/>
          <w:szCs w:val="20"/>
          <w:lang w:val="sr-Cyrl-CS" w:eastAsia="ja-JP"/>
        </w:rPr>
        <w:t>Резултати ефикасније наплате и контроле пореских обвезника су били евидентни у претходном периоду и очекује се да ће тај тренд бити настављен и даље, с тим што ефекти борбе против сиве економије нису експлицитно укључени у средњорочну пројекцију јавних прихода. Повећање степена ПДВ наплате у смислу спровођења независних антиевазионих мера у области ПДВ дало је резултате у протеклом периоду. У овом сегменту постоји простор за даља побољшања, кроз јачање и модернизацију пореске администрације.</w:t>
      </w:r>
    </w:p>
    <w:p w14:paraId="38E02530" w14:textId="137A3872" w:rsidR="001A5BCF" w:rsidRPr="00646254" w:rsidRDefault="001A5BCF" w:rsidP="001A5BCF">
      <w:pPr>
        <w:rPr>
          <w:rFonts w:eastAsia="MS PGothic" w:cstheme="minorHAnsi"/>
          <w:szCs w:val="20"/>
          <w:lang w:val="sr-Cyrl-CS" w:eastAsia="ja-JP"/>
        </w:rPr>
      </w:pPr>
      <w:r w:rsidRPr="00646254">
        <w:rPr>
          <w:rFonts w:eastAsia="MS PGothic" w:cstheme="minorHAnsi"/>
          <w:szCs w:val="20"/>
          <w:lang w:val="sr-Cyrl-CS" w:eastAsia="ja-JP"/>
        </w:rPr>
        <w:t>Пројекција прихода од акциза сачињена је на основу важеће акцизне политике и пројектоване потрошње акцизних производа. У оквиру акцизне политике код дуванских производа очекује се даље постепено усклађивање са директивама ЕУ у складу са средњорочним планом поступног повећавања акцизног оптерећења. Код цигарета оно ће бити усмерено кроз постепено повећање акциза, како би се у прихватљивом временском року достигао ЕУ минимум од 1,8 евра по паклици</w:t>
      </w:r>
      <w:r w:rsidRPr="00646254">
        <w:rPr>
          <w:lang w:val="sr-Cyrl-CS"/>
        </w:rPr>
        <w:t xml:space="preserve"> </w:t>
      </w:r>
      <w:r w:rsidRPr="00646254">
        <w:rPr>
          <w:rFonts w:eastAsia="MS PGothic" w:cstheme="minorHAnsi"/>
          <w:szCs w:val="20"/>
          <w:lang w:val="sr-Cyrl-CS" w:eastAsia="ja-JP"/>
        </w:rPr>
        <w:t>у динарској противвредности прерачунато по званичном средњем курсу НБС. У наредном периоду је за потребе пројекције прихода од акциза, услед опрезности, предвиђен даљи природан пад тржишта дуванских производа, у просеку од око 3% годишње. За разлику од дуванских произво</w:t>
      </w:r>
      <w:r w:rsidR="001117F3" w:rsidRPr="00646254">
        <w:rPr>
          <w:rFonts w:eastAsia="MS PGothic" w:cstheme="minorHAnsi"/>
          <w:szCs w:val="20"/>
          <w:lang w:val="sr-Cyrl-CS" w:eastAsia="ja-JP"/>
        </w:rPr>
        <w:t xml:space="preserve">да ситуација на тржишту </w:t>
      </w:r>
      <w:r w:rsidRPr="00646254">
        <w:rPr>
          <w:rFonts w:eastAsia="MS PGothic" w:cstheme="minorHAnsi"/>
          <w:szCs w:val="20"/>
          <w:lang w:val="sr-Cyrl-CS" w:eastAsia="ja-JP"/>
        </w:rPr>
        <w:t>деривата</w:t>
      </w:r>
      <w:r w:rsidR="001117F3" w:rsidRPr="00646254">
        <w:rPr>
          <w:rFonts w:eastAsia="MS PGothic" w:cstheme="minorHAnsi"/>
          <w:szCs w:val="20"/>
          <w:lang w:val="sr-Cyrl-CS" w:eastAsia="ja-JP"/>
        </w:rPr>
        <w:t xml:space="preserve"> нафте</w:t>
      </w:r>
      <w:r w:rsidRPr="00646254">
        <w:rPr>
          <w:rFonts w:eastAsia="MS PGothic" w:cstheme="minorHAnsi"/>
          <w:szCs w:val="20"/>
          <w:lang w:val="sr-Cyrl-CS" w:eastAsia="ja-JP"/>
        </w:rPr>
        <w:t xml:space="preserve"> је знатно мање волатилна. Боља конт</w:t>
      </w:r>
      <w:r w:rsidR="001117F3" w:rsidRPr="00646254">
        <w:rPr>
          <w:rFonts w:eastAsia="MS PGothic" w:cstheme="minorHAnsi"/>
          <w:szCs w:val="20"/>
          <w:lang w:val="sr-Cyrl-CS" w:eastAsia="ja-JP"/>
        </w:rPr>
        <w:t xml:space="preserve">рола и ефекти маркирања </w:t>
      </w:r>
      <w:r w:rsidRPr="00646254">
        <w:rPr>
          <w:rFonts w:eastAsia="MS PGothic" w:cstheme="minorHAnsi"/>
          <w:szCs w:val="20"/>
          <w:lang w:val="sr-Cyrl-CS" w:eastAsia="ja-JP"/>
        </w:rPr>
        <w:t>деривата</w:t>
      </w:r>
      <w:r w:rsidR="001117F3" w:rsidRPr="00646254">
        <w:rPr>
          <w:rFonts w:eastAsia="MS PGothic" w:cstheme="minorHAnsi"/>
          <w:szCs w:val="20"/>
          <w:lang w:val="sr-Cyrl-CS" w:eastAsia="ja-JP"/>
        </w:rPr>
        <w:t xml:space="preserve"> нафте</w:t>
      </w:r>
      <w:r w:rsidRPr="00646254">
        <w:rPr>
          <w:rFonts w:eastAsia="MS PGothic" w:cstheme="minorHAnsi"/>
          <w:szCs w:val="20"/>
          <w:lang w:val="sr-Cyrl-CS" w:eastAsia="ja-JP"/>
        </w:rPr>
        <w:t xml:space="preserve"> смањили су могућност и исплативост нелегалних активности. У наредним годинама, услед опрезности, није претпостављен наставак раста п</w:t>
      </w:r>
      <w:r w:rsidR="001117F3" w:rsidRPr="00646254">
        <w:rPr>
          <w:rFonts w:eastAsia="MS PGothic" w:cstheme="minorHAnsi"/>
          <w:szCs w:val="20"/>
          <w:lang w:val="sr-Cyrl-CS" w:eastAsia="ja-JP"/>
        </w:rPr>
        <w:t xml:space="preserve">отрошње </w:t>
      </w:r>
      <w:r w:rsidRPr="00646254">
        <w:rPr>
          <w:rFonts w:eastAsia="MS PGothic" w:cstheme="minorHAnsi"/>
          <w:szCs w:val="20"/>
          <w:lang w:val="sr-Cyrl-CS" w:eastAsia="ja-JP"/>
        </w:rPr>
        <w:t>деривата</w:t>
      </w:r>
      <w:r w:rsidR="001117F3" w:rsidRPr="00646254">
        <w:rPr>
          <w:rFonts w:eastAsia="MS PGothic" w:cstheme="minorHAnsi"/>
          <w:szCs w:val="20"/>
          <w:lang w:val="sr-Cyrl-CS" w:eastAsia="ja-JP"/>
        </w:rPr>
        <w:t xml:space="preserve"> нафте</w:t>
      </w:r>
      <w:r w:rsidRPr="00646254">
        <w:rPr>
          <w:rFonts w:eastAsia="MS PGothic" w:cstheme="minorHAnsi"/>
          <w:szCs w:val="20"/>
          <w:lang w:val="sr-Cyrl-CS" w:eastAsia="ja-JP"/>
        </w:rPr>
        <w:t xml:space="preserve"> иако се може очекивати да ће убрзање економске активности допринети расту потрошње. Приходи од акциза на алкохолна пића, кафу и електричну енергију су пројектовани у складу са постојећом структуром потрошње. Тренутни номинални износи акциза на алкохолна пића и кафу усклађени су са очекиваним износима стопе инфлације у средњорочном периоду. Усклађивање акциза на алкохолна пића у складу са директивом ЕУ неће имати значајне фискалне ефекте.</w:t>
      </w:r>
    </w:p>
    <w:p w14:paraId="09FF7310" w14:textId="77777777" w:rsidR="001A5BCF" w:rsidRPr="00646254" w:rsidRDefault="001A5BCF" w:rsidP="001A5BCF">
      <w:pPr>
        <w:rPr>
          <w:rFonts w:eastAsia="MS PGothic" w:cstheme="minorHAnsi"/>
          <w:szCs w:val="20"/>
          <w:lang w:val="sr-Cyrl-CS" w:eastAsia="ja-JP"/>
        </w:rPr>
      </w:pPr>
      <w:r w:rsidRPr="00646254">
        <w:rPr>
          <w:rFonts w:eastAsia="MS PGothic" w:cstheme="minorHAnsi"/>
          <w:szCs w:val="20"/>
          <w:lang w:val="sr-Cyrl-CS" w:eastAsia="ja-JP"/>
        </w:rPr>
        <w:t>Приходи од царина ће се стабилизовати на нивоу од 1,0% БДП у наредном периоду. Пројекција наплате прихода од царина рађена је на бази пројектованог кретања увоза, девизног курса и потрошње.</w:t>
      </w:r>
    </w:p>
    <w:p w14:paraId="27EDF160" w14:textId="77777777" w:rsidR="001A5BCF" w:rsidRPr="00646254" w:rsidRDefault="001A5BCF" w:rsidP="001A5BCF">
      <w:pPr>
        <w:rPr>
          <w:rFonts w:eastAsia="MS PGothic" w:cstheme="minorHAnsi"/>
          <w:szCs w:val="20"/>
          <w:lang w:val="sr-Cyrl-CS" w:eastAsia="ja-JP"/>
        </w:rPr>
      </w:pPr>
      <w:r w:rsidRPr="00646254">
        <w:rPr>
          <w:rFonts w:eastAsia="MS PGothic" w:cstheme="minorHAnsi"/>
          <w:szCs w:val="20"/>
          <w:lang w:val="sr-Cyrl-CS" w:eastAsia="ja-JP"/>
        </w:rPr>
        <w:t>Пројектује се стабилизација учешћа у БДП осталих пореских прихода. Најзначајнији порески приход у овој категорији је порез на имовину чије учешће износи око 70%. Номинално повећање овог прихода може се очекивати по основу проширења основице. Повећање степена наплате, кроз повећање обухвата непокретности на које се порез плаћа (то јест по основу проширења пореске базе), није укључено у пројекције у средњем року и представља позитиван ризик. Поред пореза на имовину, у остале пореске приходе укључују се и порези на употребу, држање и ношење добара, те други облици пореза на локалном нивоу. Они су пројектовани у складу са кретањем инфлације, будући да је инфлаторна компонента уграђена у значајан део ових пореских облика.</w:t>
      </w:r>
    </w:p>
    <w:p w14:paraId="6E51AB11" w14:textId="77777777" w:rsidR="001A5BCF" w:rsidRPr="00646254" w:rsidRDefault="001A5BCF" w:rsidP="001A5BCF">
      <w:pPr>
        <w:rPr>
          <w:rFonts w:eastAsia="MS PGothic" w:cstheme="minorHAnsi"/>
          <w:szCs w:val="20"/>
          <w:lang w:val="sr-Cyrl-CS" w:eastAsia="ja-JP"/>
        </w:rPr>
      </w:pPr>
      <w:r w:rsidRPr="00646254">
        <w:rPr>
          <w:rFonts w:eastAsia="MS PGothic" w:cstheme="minorHAnsi"/>
          <w:szCs w:val="20"/>
          <w:lang w:val="sr-Cyrl-CS" w:eastAsia="ja-JP"/>
        </w:rPr>
        <w:t>Предвиђено је смањење учешћа непореских прихода у БДП, са 4,6% колико је приходовано у 2020. години на 3,5% колико се очекује да ће износити у 2024. години. Разлог за смањење пројектованог учешћа непореских прихода у БДП је искључивање из базне 2020. године свих оних прихода који се не сматрају структурним тј. трајним, а првенствено се то односи на ванредне категорије непореских прихода. Ванредни непорески приходи су углавном једнократни, у одређеној мери неизвесни, како по питању износа, тако и по питању тренутка уплате. Највећи део ових прихода представљају ванредне уплате добити јавних предузећа и агенција, дивиденде буџета, приходи по основу наплаћених потраживања АОД, емисионе премије, итд. Редовни непорески приходи обухватају различите таксе, накнаде, казне, приходе органа и организација и све остале приходе који се остварују устаљеном динамиком током године. Ови непорески приходи индексирају се са оствареном инфлацијом у претходној години, или пак прате промену у вредности основе на које се примењују и услед тога се коригују пројектованом инфлацијом.</w:t>
      </w:r>
    </w:p>
    <w:p w14:paraId="4E1C980C" w14:textId="77777777" w:rsidR="001A5BCF" w:rsidRPr="00646254" w:rsidRDefault="001A5BCF" w:rsidP="001A5BCF">
      <w:pPr>
        <w:rPr>
          <w:rFonts w:eastAsia="MS PGothic" w:cstheme="minorHAnsi"/>
          <w:szCs w:val="20"/>
          <w:lang w:val="sr-Cyrl-CS" w:eastAsia="ja-JP"/>
        </w:rPr>
      </w:pPr>
      <w:r w:rsidRPr="00646254">
        <w:rPr>
          <w:rFonts w:eastAsia="MS PGothic" w:cstheme="minorHAnsi"/>
          <w:szCs w:val="20"/>
          <w:lang w:val="sr-Cyrl-CS" w:eastAsia="ja-JP"/>
        </w:rPr>
        <w:t>Процесом приближавања државе чланству у ЕУ повећавају се расположива средства из ИПА и ИПАРД фондова која чине преовлађујући део прихода од донација. У пројектоване износе по основу донација укључена су и средства по основу секторске буџетске подршке ЕУ. Приходи по основу донација су неутрални у односу на резултат, с обзиром да су једнаки расходима по овом основу.</w:t>
      </w:r>
    </w:p>
    <w:p w14:paraId="3A01DB5A" w14:textId="77777777" w:rsidR="001A5BCF" w:rsidRPr="00646254" w:rsidRDefault="001A5BCF" w:rsidP="001A5BCF">
      <w:pPr>
        <w:rPr>
          <w:rFonts w:eastAsia="MS PGothic" w:cstheme="minorHAnsi"/>
          <w:szCs w:val="20"/>
          <w:lang w:val="sr-Cyrl-CS" w:eastAsia="ja-JP"/>
        </w:rPr>
      </w:pPr>
      <w:r w:rsidRPr="00646254">
        <w:rPr>
          <w:rFonts w:eastAsia="MS PGothic" w:cstheme="minorHAnsi"/>
          <w:szCs w:val="20"/>
          <w:lang w:val="sr-Cyrl-CS" w:eastAsia="ja-JP"/>
        </w:rPr>
        <w:t>Одговорном фискалном политиком у комбинацији са добрим макроекономским перформансама у протеклом периоду обезбеђено је релаксирање политике плата и пензија и значајно повећање капиталних инвестиција као битне компоненте развоја привреде. Посебна пажња је посвећена унапређењу ефикасности реализације капиталних инвестиција државе. Социјална компонента буџета је побољшана бољим таргетирањем програма социјалне помоћи и већим издвајањем за функције здравства и образовања. Дефинисан је и начин индексације пензија. Плате и пензије заједно чине преко 40% расхода на нивоу опште државе и њихова стабилизација је од пресудног значаја за одрживост јавних финансија.</w:t>
      </w:r>
    </w:p>
    <w:p w14:paraId="7448E11C" w14:textId="77777777" w:rsidR="001A5BCF" w:rsidRPr="00646254" w:rsidRDefault="001A5BCF" w:rsidP="001A5BCF">
      <w:pPr>
        <w:rPr>
          <w:rFonts w:eastAsia="MS PGothic" w:cstheme="minorHAnsi"/>
          <w:szCs w:val="20"/>
          <w:lang w:val="sr-Cyrl-CS" w:eastAsia="ja-JP"/>
        </w:rPr>
        <w:sectPr w:rsidR="001A5BCF" w:rsidRPr="00646254" w:rsidSect="00AE40EB">
          <w:type w:val="continuous"/>
          <w:pgSz w:w="12240" w:h="15840" w:code="1"/>
          <w:pgMar w:top="1440" w:right="1440" w:bottom="1440" w:left="1440" w:header="720" w:footer="720" w:gutter="0"/>
          <w:cols w:num="2" w:space="720"/>
          <w:docGrid w:linePitch="360"/>
        </w:sectPr>
      </w:pPr>
    </w:p>
    <w:p w14:paraId="2AF0F213" w14:textId="77777777" w:rsidR="001A5BCF" w:rsidRPr="00646254" w:rsidRDefault="001A5BCF" w:rsidP="001A5BCF">
      <w:pPr>
        <w:keepNext/>
        <w:spacing w:after="120" w:line="276" w:lineRule="auto"/>
        <w:jc w:val="center"/>
        <w:rPr>
          <w:rFonts w:eastAsia="MS PGothic" w:cstheme="minorHAnsi"/>
          <w:b/>
          <w:color w:val="002060"/>
          <w:szCs w:val="20"/>
          <w:lang w:val="sr-Cyrl-CS" w:eastAsia="ja-JP"/>
        </w:rPr>
      </w:pPr>
      <w:r w:rsidRPr="00646254">
        <w:rPr>
          <w:rFonts w:eastAsia="MS PGothic" w:cstheme="minorHAnsi"/>
          <w:b/>
          <w:color w:val="002060"/>
          <w:szCs w:val="20"/>
          <w:lang w:val="sr-Cyrl-CS" w:eastAsia="ja-JP"/>
        </w:rPr>
        <w:t>Табела 12. Укупни расходи у периоду 2020–2024. године, % БДП</w:t>
      </w:r>
    </w:p>
    <w:tbl>
      <w:tblPr>
        <w:tblStyle w:val="LightShading-Accent1221"/>
        <w:tblW w:w="4952" w:type="pct"/>
        <w:tblLook w:val="0420" w:firstRow="1" w:lastRow="0" w:firstColumn="0" w:lastColumn="0" w:noHBand="0" w:noVBand="1"/>
      </w:tblPr>
      <w:tblGrid>
        <w:gridCol w:w="3647"/>
        <w:gridCol w:w="1194"/>
        <w:gridCol w:w="1194"/>
        <w:gridCol w:w="1077"/>
        <w:gridCol w:w="1077"/>
        <w:gridCol w:w="1081"/>
      </w:tblGrid>
      <w:tr w:rsidR="001A5BCF" w:rsidRPr="00646254" w14:paraId="330324AA" w14:textId="77777777" w:rsidTr="00E96A1D">
        <w:trPr>
          <w:cnfStyle w:val="100000000000" w:firstRow="1" w:lastRow="0" w:firstColumn="0" w:lastColumn="0" w:oddVBand="0" w:evenVBand="0" w:oddHBand="0" w:evenHBand="0" w:firstRowFirstColumn="0" w:firstRowLastColumn="0" w:lastRowFirstColumn="0" w:lastRowLastColumn="0"/>
          <w:trHeight w:val="49"/>
        </w:trPr>
        <w:tc>
          <w:tcPr>
            <w:tcW w:w="1967" w:type="pct"/>
            <w:tcBorders>
              <w:top w:val="single" w:sz="4" w:space="0" w:color="002060"/>
              <w:bottom w:val="single" w:sz="4" w:space="0" w:color="002060"/>
            </w:tcBorders>
            <w:noWrap/>
            <w:vAlign w:val="center"/>
          </w:tcPr>
          <w:p w14:paraId="788382F7" w14:textId="77777777" w:rsidR="001A5BCF" w:rsidRPr="00646254" w:rsidRDefault="001A5BCF" w:rsidP="00E96A1D">
            <w:pPr>
              <w:keepNext/>
              <w:widowControl w:val="0"/>
              <w:shd w:val="clear" w:color="auto" w:fill="FFFFFF" w:themeFill="background1"/>
              <w:spacing w:line="276" w:lineRule="auto"/>
              <w:rPr>
                <w:rFonts w:asciiTheme="minorHAnsi" w:eastAsia="Times New Roman" w:hAnsiTheme="minorHAnsi" w:cstheme="minorHAnsi"/>
                <w:b w:val="0"/>
                <w:color w:val="002060"/>
                <w:sz w:val="18"/>
                <w:szCs w:val="18"/>
                <w:lang w:val="sr-Cyrl-CS"/>
              </w:rPr>
            </w:pPr>
            <w:r w:rsidRPr="00646254">
              <w:rPr>
                <w:rFonts w:asciiTheme="minorHAnsi" w:hAnsiTheme="minorHAnsi" w:cstheme="minorHAnsi"/>
                <w:b w:val="0"/>
                <w:color w:val="002060"/>
                <w:sz w:val="18"/>
                <w:lang w:val="sr-Cyrl-CS"/>
              </w:rPr>
              <w:t>Опис</w:t>
            </w:r>
          </w:p>
        </w:tc>
        <w:tc>
          <w:tcPr>
            <w:tcW w:w="644" w:type="pct"/>
            <w:tcBorders>
              <w:top w:val="single" w:sz="4" w:space="0" w:color="002060"/>
              <w:bottom w:val="single" w:sz="4" w:space="0" w:color="002060"/>
            </w:tcBorders>
            <w:vAlign w:val="center"/>
          </w:tcPr>
          <w:p w14:paraId="6844232E" w14:textId="77777777" w:rsidR="001A5BCF" w:rsidRPr="00646254" w:rsidRDefault="001A5BCF" w:rsidP="00E96A1D">
            <w:pPr>
              <w:keepNext/>
              <w:widowControl w:val="0"/>
              <w:shd w:val="clear" w:color="auto" w:fill="FFFFFF" w:themeFill="background1"/>
              <w:spacing w:line="276" w:lineRule="auto"/>
              <w:jc w:val="right"/>
              <w:rPr>
                <w:rFonts w:asciiTheme="minorHAnsi" w:eastAsia="Times New Roman" w:hAnsiTheme="minorHAnsi" w:cstheme="minorHAnsi"/>
                <w:b w:val="0"/>
                <w:color w:val="002060"/>
                <w:sz w:val="18"/>
                <w:szCs w:val="18"/>
                <w:lang w:val="sr-Cyrl-CS"/>
              </w:rPr>
            </w:pPr>
            <w:r w:rsidRPr="00646254">
              <w:rPr>
                <w:rFonts w:asciiTheme="minorHAnsi" w:hAnsiTheme="minorHAnsi" w:cstheme="minorHAnsi"/>
                <w:b w:val="0"/>
                <w:color w:val="002060"/>
                <w:sz w:val="18"/>
                <w:lang w:val="sr-Cyrl-CS"/>
              </w:rPr>
              <w:t>Извршење</w:t>
            </w:r>
          </w:p>
        </w:tc>
        <w:tc>
          <w:tcPr>
            <w:tcW w:w="644" w:type="pct"/>
            <w:tcBorders>
              <w:top w:val="single" w:sz="4" w:space="0" w:color="002060"/>
              <w:bottom w:val="single" w:sz="4" w:space="0" w:color="002060"/>
            </w:tcBorders>
            <w:vAlign w:val="center"/>
          </w:tcPr>
          <w:p w14:paraId="190699D1" w14:textId="77777777" w:rsidR="001A5BCF" w:rsidRPr="00646254" w:rsidRDefault="001A5BCF" w:rsidP="00E96A1D">
            <w:pPr>
              <w:keepNext/>
              <w:widowControl w:val="0"/>
              <w:shd w:val="clear" w:color="auto" w:fill="FFFFFF" w:themeFill="background1"/>
              <w:spacing w:line="276" w:lineRule="auto"/>
              <w:jc w:val="right"/>
              <w:rPr>
                <w:rFonts w:asciiTheme="minorHAnsi" w:eastAsia="Times New Roman" w:hAnsiTheme="minorHAnsi" w:cstheme="minorHAnsi"/>
                <w:b w:val="0"/>
                <w:color w:val="002060"/>
                <w:sz w:val="18"/>
                <w:szCs w:val="18"/>
                <w:lang w:val="sr-Cyrl-CS"/>
              </w:rPr>
            </w:pPr>
            <w:r w:rsidRPr="00646254">
              <w:rPr>
                <w:rFonts w:asciiTheme="minorHAnsi" w:hAnsiTheme="minorHAnsi" w:cstheme="minorHAnsi"/>
                <w:b w:val="0"/>
                <w:color w:val="002060"/>
                <w:sz w:val="18"/>
                <w:lang w:val="sr-Cyrl-CS"/>
              </w:rPr>
              <w:t>Процена</w:t>
            </w:r>
          </w:p>
        </w:tc>
        <w:tc>
          <w:tcPr>
            <w:tcW w:w="1745" w:type="pct"/>
            <w:gridSpan w:val="3"/>
            <w:tcBorders>
              <w:top w:val="single" w:sz="4" w:space="0" w:color="002060"/>
              <w:bottom w:val="single" w:sz="4" w:space="0" w:color="002060"/>
            </w:tcBorders>
            <w:vAlign w:val="center"/>
          </w:tcPr>
          <w:p w14:paraId="2D47B54D" w14:textId="77777777" w:rsidR="001A5BCF" w:rsidRPr="00646254" w:rsidRDefault="001A5BCF" w:rsidP="00E96A1D">
            <w:pPr>
              <w:keepNext/>
              <w:widowControl w:val="0"/>
              <w:shd w:val="clear" w:color="auto" w:fill="FFFFFF" w:themeFill="background1"/>
              <w:spacing w:line="276" w:lineRule="auto"/>
              <w:jc w:val="center"/>
              <w:rPr>
                <w:rFonts w:asciiTheme="minorHAnsi" w:eastAsia="Times New Roman" w:hAnsiTheme="minorHAnsi" w:cstheme="minorHAnsi"/>
                <w:b w:val="0"/>
                <w:color w:val="002060"/>
                <w:sz w:val="18"/>
                <w:szCs w:val="18"/>
                <w:lang w:val="sr-Cyrl-CS"/>
              </w:rPr>
            </w:pPr>
            <w:r w:rsidRPr="00646254">
              <w:rPr>
                <w:rFonts w:asciiTheme="minorHAnsi" w:hAnsiTheme="minorHAnsi" w:cstheme="minorHAnsi"/>
                <w:b w:val="0"/>
                <w:color w:val="002060"/>
                <w:sz w:val="18"/>
                <w:lang w:val="sr-Cyrl-CS"/>
              </w:rPr>
              <w:t>Пројекција</w:t>
            </w:r>
          </w:p>
        </w:tc>
      </w:tr>
      <w:tr w:rsidR="001A5BCF" w:rsidRPr="00646254" w14:paraId="236F08A0" w14:textId="77777777" w:rsidTr="00E96A1D">
        <w:trPr>
          <w:cnfStyle w:val="000000100000" w:firstRow="0" w:lastRow="0" w:firstColumn="0" w:lastColumn="0" w:oddVBand="0" w:evenVBand="0" w:oddHBand="1" w:evenHBand="0" w:firstRowFirstColumn="0" w:firstRowLastColumn="0" w:lastRowFirstColumn="0" w:lastRowLastColumn="0"/>
          <w:trHeight w:val="49"/>
        </w:trPr>
        <w:tc>
          <w:tcPr>
            <w:tcW w:w="1967" w:type="pct"/>
            <w:tcBorders>
              <w:top w:val="single" w:sz="4" w:space="0" w:color="002060"/>
              <w:bottom w:val="nil"/>
            </w:tcBorders>
            <w:shd w:val="clear" w:color="auto" w:fill="FFFFFF" w:themeFill="background1"/>
            <w:noWrap/>
          </w:tcPr>
          <w:p w14:paraId="1AA2517F" w14:textId="77777777" w:rsidR="001A5BCF" w:rsidRPr="00646254" w:rsidRDefault="001A5BCF" w:rsidP="00E96A1D">
            <w:pPr>
              <w:keepNext/>
              <w:widowControl w:val="0"/>
              <w:shd w:val="clear" w:color="auto" w:fill="FFFFFF" w:themeFill="background1"/>
              <w:spacing w:line="276" w:lineRule="auto"/>
              <w:rPr>
                <w:rFonts w:asciiTheme="minorHAnsi" w:eastAsia="Times New Roman" w:hAnsiTheme="minorHAnsi" w:cstheme="minorHAnsi"/>
                <w:bCs/>
                <w:color w:val="002060"/>
                <w:sz w:val="18"/>
                <w:szCs w:val="18"/>
                <w:lang w:val="sr-Cyrl-CS"/>
              </w:rPr>
            </w:pPr>
          </w:p>
        </w:tc>
        <w:tc>
          <w:tcPr>
            <w:tcW w:w="644" w:type="pct"/>
            <w:tcBorders>
              <w:top w:val="single" w:sz="4" w:space="0" w:color="002060"/>
              <w:bottom w:val="single" w:sz="4" w:space="0" w:color="002060"/>
            </w:tcBorders>
            <w:shd w:val="clear" w:color="auto" w:fill="FFFFFF" w:themeFill="background1"/>
          </w:tcPr>
          <w:p w14:paraId="601D3067" w14:textId="77777777" w:rsidR="001A5BCF" w:rsidRPr="00646254" w:rsidRDefault="001A5BCF" w:rsidP="00E96A1D">
            <w:pPr>
              <w:keepNext/>
              <w:widowControl w:val="0"/>
              <w:shd w:val="clear" w:color="auto" w:fill="FFFFFF" w:themeFill="background1"/>
              <w:spacing w:line="276" w:lineRule="auto"/>
              <w:jc w:val="right"/>
              <w:rPr>
                <w:rFonts w:asciiTheme="minorHAnsi" w:eastAsia="Times New Roman" w:hAnsiTheme="minorHAnsi" w:cstheme="minorHAnsi"/>
                <w:bCs/>
                <w:color w:val="002060"/>
                <w:sz w:val="18"/>
                <w:szCs w:val="18"/>
                <w:lang w:val="sr-Cyrl-CS"/>
              </w:rPr>
            </w:pPr>
            <w:r w:rsidRPr="00646254">
              <w:rPr>
                <w:rFonts w:asciiTheme="minorHAnsi" w:eastAsia="Times New Roman" w:hAnsiTheme="minorHAnsi" w:cstheme="minorHAnsi"/>
                <w:bCs/>
                <w:color w:val="002060"/>
                <w:sz w:val="18"/>
                <w:szCs w:val="18"/>
                <w:lang w:val="sr-Cyrl-CS"/>
              </w:rPr>
              <w:t>2020</w:t>
            </w:r>
          </w:p>
        </w:tc>
        <w:tc>
          <w:tcPr>
            <w:tcW w:w="644" w:type="pct"/>
            <w:tcBorders>
              <w:top w:val="single" w:sz="4" w:space="0" w:color="002060"/>
              <w:bottom w:val="single" w:sz="4" w:space="0" w:color="002060"/>
            </w:tcBorders>
            <w:shd w:val="clear" w:color="auto" w:fill="FFFFFF" w:themeFill="background1"/>
          </w:tcPr>
          <w:p w14:paraId="5AD6D341" w14:textId="77777777" w:rsidR="001A5BCF" w:rsidRPr="00646254" w:rsidRDefault="001A5BCF" w:rsidP="00E96A1D">
            <w:pPr>
              <w:keepNext/>
              <w:widowControl w:val="0"/>
              <w:shd w:val="clear" w:color="auto" w:fill="FFFFFF" w:themeFill="background1"/>
              <w:spacing w:line="276" w:lineRule="auto"/>
              <w:jc w:val="right"/>
              <w:rPr>
                <w:rFonts w:asciiTheme="minorHAnsi" w:eastAsia="Times New Roman" w:hAnsiTheme="minorHAnsi" w:cstheme="minorHAnsi"/>
                <w:bCs/>
                <w:color w:val="002060"/>
                <w:sz w:val="18"/>
                <w:szCs w:val="18"/>
                <w:lang w:val="sr-Cyrl-CS"/>
              </w:rPr>
            </w:pPr>
            <w:r w:rsidRPr="00646254">
              <w:rPr>
                <w:rFonts w:asciiTheme="minorHAnsi" w:eastAsia="Times New Roman" w:hAnsiTheme="minorHAnsi" w:cstheme="minorHAnsi"/>
                <w:bCs/>
                <w:color w:val="002060"/>
                <w:sz w:val="18"/>
                <w:szCs w:val="18"/>
                <w:lang w:val="sr-Cyrl-CS"/>
              </w:rPr>
              <w:t>2021</w:t>
            </w:r>
          </w:p>
        </w:tc>
        <w:tc>
          <w:tcPr>
            <w:tcW w:w="581" w:type="pct"/>
            <w:tcBorders>
              <w:top w:val="single" w:sz="4" w:space="0" w:color="002060"/>
              <w:bottom w:val="single" w:sz="4" w:space="0" w:color="002060"/>
            </w:tcBorders>
            <w:shd w:val="clear" w:color="auto" w:fill="FFFFFF" w:themeFill="background1"/>
          </w:tcPr>
          <w:p w14:paraId="7E735DC5" w14:textId="77777777" w:rsidR="001A5BCF" w:rsidRPr="00646254" w:rsidRDefault="001A5BCF" w:rsidP="00E96A1D">
            <w:pPr>
              <w:keepNext/>
              <w:widowControl w:val="0"/>
              <w:shd w:val="clear" w:color="auto" w:fill="FFFFFF" w:themeFill="background1"/>
              <w:spacing w:line="276" w:lineRule="auto"/>
              <w:jc w:val="right"/>
              <w:rPr>
                <w:rFonts w:asciiTheme="minorHAnsi" w:eastAsia="Times New Roman" w:hAnsiTheme="minorHAnsi" w:cstheme="minorHAnsi"/>
                <w:bCs/>
                <w:color w:val="002060"/>
                <w:sz w:val="18"/>
                <w:szCs w:val="18"/>
                <w:lang w:val="sr-Cyrl-CS"/>
              </w:rPr>
            </w:pPr>
            <w:r w:rsidRPr="00646254">
              <w:rPr>
                <w:rFonts w:asciiTheme="minorHAnsi" w:eastAsia="Times New Roman" w:hAnsiTheme="minorHAnsi" w:cstheme="minorHAnsi"/>
                <w:bCs/>
                <w:color w:val="002060"/>
                <w:sz w:val="18"/>
                <w:szCs w:val="18"/>
                <w:lang w:val="sr-Cyrl-CS"/>
              </w:rPr>
              <w:t>2022</w:t>
            </w:r>
          </w:p>
        </w:tc>
        <w:tc>
          <w:tcPr>
            <w:tcW w:w="581" w:type="pct"/>
            <w:tcBorders>
              <w:top w:val="single" w:sz="4" w:space="0" w:color="002060"/>
              <w:bottom w:val="single" w:sz="4" w:space="0" w:color="002060"/>
            </w:tcBorders>
            <w:shd w:val="clear" w:color="auto" w:fill="FFFFFF" w:themeFill="background1"/>
          </w:tcPr>
          <w:p w14:paraId="2AE143C2" w14:textId="77777777" w:rsidR="001A5BCF" w:rsidRPr="00646254" w:rsidRDefault="001A5BCF" w:rsidP="00E96A1D">
            <w:pPr>
              <w:keepNext/>
              <w:widowControl w:val="0"/>
              <w:shd w:val="clear" w:color="auto" w:fill="FFFFFF" w:themeFill="background1"/>
              <w:spacing w:line="276" w:lineRule="auto"/>
              <w:jc w:val="right"/>
              <w:rPr>
                <w:rFonts w:asciiTheme="minorHAnsi" w:eastAsia="Times New Roman" w:hAnsiTheme="minorHAnsi" w:cstheme="minorHAnsi"/>
                <w:bCs/>
                <w:color w:val="002060"/>
                <w:sz w:val="18"/>
                <w:szCs w:val="18"/>
                <w:lang w:val="sr-Cyrl-CS"/>
              </w:rPr>
            </w:pPr>
            <w:r w:rsidRPr="00646254">
              <w:rPr>
                <w:rFonts w:asciiTheme="minorHAnsi" w:eastAsia="Times New Roman" w:hAnsiTheme="minorHAnsi" w:cstheme="minorHAnsi"/>
                <w:bCs/>
                <w:color w:val="002060"/>
                <w:sz w:val="18"/>
                <w:szCs w:val="18"/>
                <w:lang w:val="sr-Cyrl-CS"/>
              </w:rPr>
              <w:t>2023</w:t>
            </w:r>
          </w:p>
        </w:tc>
        <w:tc>
          <w:tcPr>
            <w:tcW w:w="583" w:type="pct"/>
            <w:tcBorders>
              <w:top w:val="single" w:sz="4" w:space="0" w:color="002060"/>
              <w:bottom w:val="single" w:sz="4" w:space="0" w:color="002060"/>
            </w:tcBorders>
            <w:shd w:val="clear" w:color="auto" w:fill="FFFFFF" w:themeFill="background1"/>
          </w:tcPr>
          <w:p w14:paraId="1EF12040" w14:textId="77777777" w:rsidR="001A5BCF" w:rsidRPr="00646254" w:rsidRDefault="001A5BCF" w:rsidP="00E96A1D">
            <w:pPr>
              <w:keepNext/>
              <w:widowControl w:val="0"/>
              <w:shd w:val="clear" w:color="auto" w:fill="FFFFFF" w:themeFill="background1"/>
              <w:spacing w:line="276" w:lineRule="auto"/>
              <w:jc w:val="right"/>
              <w:rPr>
                <w:rFonts w:asciiTheme="minorHAnsi" w:eastAsia="Times New Roman" w:hAnsiTheme="minorHAnsi" w:cstheme="minorHAnsi"/>
                <w:bCs/>
                <w:color w:val="002060"/>
                <w:sz w:val="18"/>
                <w:szCs w:val="18"/>
                <w:lang w:val="sr-Cyrl-CS"/>
              </w:rPr>
            </w:pPr>
            <w:r w:rsidRPr="00646254">
              <w:rPr>
                <w:rFonts w:asciiTheme="minorHAnsi" w:eastAsia="Times New Roman" w:hAnsiTheme="minorHAnsi" w:cstheme="minorHAnsi"/>
                <w:bCs/>
                <w:color w:val="002060"/>
                <w:sz w:val="18"/>
                <w:szCs w:val="18"/>
                <w:lang w:val="sr-Cyrl-CS"/>
              </w:rPr>
              <w:t>2024</w:t>
            </w:r>
          </w:p>
        </w:tc>
      </w:tr>
      <w:tr w:rsidR="001A5BCF" w:rsidRPr="00646254" w14:paraId="2459D148" w14:textId="77777777" w:rsidTr="00E96A1D">
        <w:trPr>
          <w:trHeight w:val="49"/>
        </w:trPr>
        <w:tc>
          <w:tcPr>
            <w:tcW w:w="1967" w:type="pct"/>
            <w:tcBorders>
              <w:top w:val="nil"/>
            </w:tcBorders>
            <w:shd w:val="clear" w:color="auto" w:fill="FFFFFF" w:themeFill="background1"/>
          </w:tcPr>
          <w:p w14:paraId="75AA9FA3" w14:textId="77777777" w:rsidR="001A5BCF" w:rsidRPr="00646254" w:rsidRDefault="001A5BCF" w:rsidP="00E96A1D">
            <w:pPr>
              <w:keepNext/>
              <w:widowControl w:val="0"/>
              <w:shd w:val="clear" w:color="auto" w:fill="FFFFFF" w:themeFill="background1"/>
              <w:spacing w:line="276" w:lineRule="auto"/>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ЈАВНИ РАСХОДИ</w:t>
            </w:r>
          </w:p>
        </w:tc>
        <w:tc>
          <w:tcPr>
            <w:tcW w:w="644" w:type="pct"/>
            <w:tcBorders>
              <w:top w:val="single" w:sz="4" w:space="0" w:color="002060"/>
            </w:tcBorders>
            <w:shd w:val="clear" w:color="auto" w:fill="FFFFFF" w:themeFill="background1"/>
          </w:tcPr>
          <w:p w14:paraId="2DBB354A" w14:textId="77777777" w:rsidR="001A5BCF" w:rsidRPr="00646254" w:rsidRDefault="001A5BCF" w:rsidP="00E96A1D">
            <w:pPr>
              <w:shd w:val="clear" w:color="auto" w:fill="FFFFFF" w:themeFill="background1"/>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49,0</w:t>
            </w:r>
          </w:p>
        </w:tc>
        <w:tc>
          <w:tcPr>
            <w:tcW w:w="644" w:type="pct"/>
            <w:tcBorders>
              <w:top w:val="single" w:sz="4" w:space="0" w:color="002060"/>
            </w:tcBorders>
            <w:shd w:val="clear" w:color="auto" w:fill="FFFFFF" w:themeFill="background1"/>
            <w:noWrap/>
          </w:tcPr>
          <w:p w14:paraId="01F82224" w14:textId="77777777" w:rsidR="001A5BCF" w:rsidRPr="00646254" w:rsidRDefault="001A5BCF" w:rsidP="00E96A1D">
            <w:pPr>
              <w:shd w:val="clear" w:color="auto" w:fill="FFFFFF" w:themeFill="background1"/>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48,4</w:t>
            </w:r>
          </w:p>
        </w:tc>
        <w:tc>
          <w:tcPr>
            <w:tcW w:w="581" w:type="pct"/>
            <w:tcBorders>
              <w:top w:val="single" w:sz="4" w:space="0" w:color="002060"/>
            </w:tcBorders>
            <w:shd w:val="clear" w:color="auto" w:fill="FFFFFF" w:themeFill="background1"/>
            <w:noWrap/>
          </w:tcPr>
          <w:p w14:paraId="274272C8" w14:textId="77777777" w:rsidR="001A5BCF" w:rsidRPr="00646254" w:rsidRDefault="001A5BCF" w:rsidP="00E96A1D">
            <w:pPr>
              <w:shd w:val="clear" w:color="auto" w:fill="FFFFFF" w:themeFill="background1"/>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45,3</w:t>
            </w:r>
          </w:p>
        </w:tc>
        <w:tc>
          <w:tcPr>
            <w:tcW w:w="581" w:type="pct"/>
            <w:tcBorders>
              <w:top w:val="single" w:sz="4" w:space="0" w:color="002060"/>
            </w:tcBorders>
            <w:shd w:val="clear" w:color="auto" w:fill="FFFFFF" w:themeFill="background1"/>
            <w:noWrap/>
          </w:tcPr>
          <w:p w14:paraId="3B3A22DF" w14:textId="4515F2AF" w:rsidR="001A5BCF" w:rsidRPr="00646254" w:rsidRDefault="001010AA" w:rsidP="00E96A1D">
            <w:pPr>
              <w:shd w:val="clear" w:color="auto" w:fill="FFFFFF" w:themeFill="background1"/>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42,9</w:t>
            </w:r>
          </w:p>
        </w:tc>
        <w:tc>
          <w:tcPr>
            <w:tcW w:w="583" w:type="pct"/>
            <w:tcBorders>
              <w:top w:val="single" w:sz="4" w:space="0" w:color="002060"/>
            </w:tcBorders>
            <w:shd w:val="clear" w:color="auto" w:fill="FFFFFF" w:themeFill="background1"/>
            <w:noWrap/>
          </w:tcPr>
          <w:p w14:paraId="4058A90B" w14:textId="77777777" w:rsidR="001A5BCF" w:rsidRPr="00646254" w:rsidRDefault="001A5BCF" w:rsidP="00E96A1D">
            <w:pPr>
              <w:shd w:val="clear" w:color="auto" w:fill="FFFFFF" w:themeFill="background1"/>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42,1</w:t>
            </w:r>
          </w:p>
        </w:tc>
      </w:tr>
      <w:tr w:rsidR="001A5BCF" w:rsidRPr="00646254" w14:paraId="3CF2B008" w14:textId="77777777" w:rsidTr="00E96A1D">
        <w:trPr>
          <w:cnfStyle w:val="000000100000" w:firstRow="0" w:lastRow="0" w:firstColumn="0" w:lastColumn="0" w:oddVBand="0" w:evenVBand="0" w:oddHBand="1" w:evenHBand="0" w:firstRowFirstColumn="0" w:firstRowLastColumn="0" w:lastRowFirstColumn="0" w:lastRowLastColumn="0"/>
          <w:trHeight w:val="49"/>
        </w:trPr>
        <w:tc>
          <w:tcPr>
            <w:tcW w:w="1967" w:type="pct"/>
            <w:shd w:val="clear" w:color="auto" w:fill="FFFFFF" w:themeFill="background1"/>
          </w:tcPr>
          <w:p w14:paraId="24BE792C" w14:textId="77777777" w:rsidR="001A5BCF" w:rsidRPr="00646254" w:rsidRDefault="001A5BCF" w:rsidP="00E96A1D">
            <w:pPr>
              <w:keepNext/>
              <w:widowControl w:val="0"/>
              <w:shd w:val="clear" w:color="auto" w:fill="FFFFFF" w:themeFill="background1"/>
              <w:spacing w:line="276" w:lineRule="auto"/>
              <w:rPr>
                <w:rFonts w:asciiTheme="minorHAnsi" w:eastAsia="Times New Roman" w:hAnsiTheme="minorHAnsi" w:cstheme="minorHAnsi"/>
                <w:bCs/>
                <w:color w:val="002060"/>
                <w:sz w:val="18"/>
                <w:szCs w:val="18"/>
                <w:lang w:val="sr-Cyrl-CS"/>
              </w:rPr>
            </w:pPr>
            <w:r w:rsidRPr="00646254">
              <w:rPr>
                <w:rFonts w:asciiTheme="minorHAnsi" w:eastAsia="Times New Roman" w:hAnsiTheme="minorHAnsi" w:cstheme="minorHAnsi"/>
                <w:bCs/>
                <w:color w:val="002060"/>
                <w:sz w:val="18"/>
                <w:szCs w:val="18"/>
                <w:lang w:val="sr-Cyrl-CS"/>
              </w:rPr>
              <w:t xml:space="preserve"> Текући расходи</w:t>
            </w:r>
          </w:p>
        </w:tc>
        <w:tc>
          <w:tcPr>
            <w:tcW w:w="644" w:type="pct"/>
            <w:shd w:val="clear" w:color="auto" w:fill="FFFFFF" w:themeFill="background1"/>
          </w:tcPr>
          <w:p w14:paraId="3A3B416F" w14:textId="77777777" w:rsidR="001A5BCF" w:rsidRPr="00646254" w:rsidRDefault="001A5BCF" w:rsidP="00E96A1D">
            <w:pPr>
              <w:shd w:val="clear" w:color="auto" w:fill="FFFFFF" w:themeFill="background1"/>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42,8</w:t>
            </w:r>
          </w:p>
        </w:tc>
        <w:tc>
          <w:tcPr>
            <w:tcW w:w="644" w:type="pct"/>
            <w:shd w:val="clear" w:color="auto" w:fill="FFFFFF" w:themeFill="background1"/>
            <w:noWrap/>
          </w:tcPr>
          <w:p w14:paraId="0E4A1EDC" w14:textId="77777777" w:rsidR="001A5BCF" w:rsidRPr="00646254" w:rsidRDefault="001A5BCF" w:rsidP="00E96A1D">
            <w:pPr>
              <w:shd w:val="clear" w:color="auto" w:fill="FFFFFF" w:themeFill="background1"/>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40,1</w:t>
            </w:r>
          </w:p>
        </w:tc>
        <w:tc>
          <w:tcPr>
            <w:tcW w:w="581" w:type="pct"/>
            <w:shd w:val="clear" w:color="auto" w:fill="FFFFFF" w:themeFill="background1"/>
            <w:noWrap/>
          </w:tcPr>
          <w:p w14:paraId="4C8EA81A" w14:textId="04C4B75E" w:rsidR="001A5BCF" w:rsidRPr="00646254" w:rsidRDefault="001010AA" w:rsidP="00E96A1D">
            <w:pPr>
              <w:shd w:val="clear" w:color="auto" w:fill="FFFFFF" w:themeFill="background1"/>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37,5</w:t>
            </w:r>
          </w:p>
        </w:tc>
        <w:tc>
          <w:tcPr>
            <w:tcW w:w="581" w:type="pct"/>
            <w:shd w:val="clear" w:color="auto" w:fill="FFFFFF" w:themeFill="background1"/>
            <w:noWrap/>
          </w:tcPr>
          <w:p w14:paraId="17D3C08B" w14:textId="77777777" w:rsidR="001A5BCF" w:rsidRPr="00646254" w:rsidRDefault="001A5BCF" w:rsidP="00E96A1D">
            <w:pPr>
              <w:shd w:val="clear" w:color="auto" w:fill="FFFFFF" w:themeFill="background1"/>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35,7</w:t>
            </w:r>
          </w:p>
        </w:tc>
        <w:tc>
          <w:tcPr>
            <w:tcW w:w="583" w:type="pct"/>
            <w:shd w:val="clear" w:color="auto" w:fill="FFFFFF" w:themeFill="background1"/>
            <w:noWrap/>
          </w:tcPr>
          <w:p w14:paraId="318E58D5" w14:textId="77777777" w:rsidR="001A5BCF" w:rsidRPr="00646254" w:rsidRDefault="001A5BCF" w:rsidP="00E96A1D">
            <w:pPr>
              <w:shd w:val="clear" w:color="auto" w:fill="FFFFFF" w:themeFill="background1"/>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34,9</w:t>
            </w:r>
          </w:p>
        </w:tc>
      </w:tr>
      <w:tr w:rsidR="001A5BCF" w:rsidRPr="00646254" w14:paraId="29BD8DED" w14:textId="77777777" w:rsidTr="00E96A1D">
        <w:trPr>
          <w:trHeight w:val="49"/>
        </w:trPr>
        <w:tc>
          <w:tcPr>
            <w:tcW w:w="1967" w:type="pct"/>
            <w:shd w:val="clear" w:color="auto" w:fill="FFFFFF" w:themeFill="background1"/>
          </w:tcPr>
          <w:p w14:paraId="4557F5C7" w14:textId="77777777" w:rsidR="001A5BCF" w:rsidRPr="00646254" w:rsidRDefault="001A5BCF" w:rsidP="00E96A1D">
            <w:pPr>
              <w:keepNext/>
              <w:widowControl w:val="0"/>
              <w:shd w:val="clear" w:color="auto" w:fill="FFFFFF" w:themeFill="background1"/>
              <w:spacing w:line="276" w:lineRule="auto"/>
              <w:ind w:left="284"/>
              <w:rPr>
                <w:rFonts w:asciiTheme="minorHAnsi" w:eastAsia="Times New Roman" w:hAnsiTheme="minorHAnsi" w:cstheme="minorHAnsi"/>
                <w:bCs/>
                <w:color w:val="002060"/>
                <w:sz w:val="18"/>
                <w:szCs w:val="18"/>
                <w:lang w:val="sr-Cyrl-CS"/>
              </w:rPr>
            </w:pPr>
            <w:r w:rsidRPr="00646254">
              <w:rPr>
                <w:rFonts w:asciiTheme="minorHAnsi" w:eastAsia="Times New Roman" w:hAnsiTheme="minorHAnsi" w:cstheme="minorHAnsi"/>
                <w:bCs/>
                <w:color w:val="002060"/>
                <w:sz w:val="18"/>
                <w:szCs w:val="18"/>
                <w:lang w:val="sr-Cyrl-CS"/>
              </w:rPr>
              <w:t>Расходи за запослене</w:t>
            </w:r>
          </w:p>
        </w:tc>
        <w:tc>
          <w:tcPr>
            <w:tcW w:w="644" w:type="pct"/>
            <w:shd w:val="clear" w:color="auto" w:fill="FFFFFF" w:themeFill="background1"/>
          </w:tcPr>
          <w:p w14:paraId="5A7CA916" w14:textId="77777777" w:rsidR="001A5BCF" w:rsidRPr="00646254" w:rsidRDefault="001A5BCF" w:rsidP="00E96A1D">
            <w:pPr>
              <w:shd w:val="clear" w:color="auto" w:fill="FFFFFF" w:themeFill="background1"/>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10,5</w:t>
            </w:r>
          </w:p>
        </w:tc>
        <w:tc>
          <w:tcPr>
            <w:tcW w:w="644" w:type="pct"/>
            <w:shd w:val="clear" w:color="auto" w:fill="FFFFFF" w:themeFill="background1"/>
            <w:noWrap/>
          </w:tcPr>
          <w:p w14:paraId="7B6F8A01" w14:textId="77777777" w:rsidR="001A5BCF" w:rsidRPr="00646254" w:rsidRDefault="001A5BCF" w:rsidP="00E96A1D">
            <w:pPr>
              <w:shd w:val="clear" w:color="auto" w:fill="FFFFFF" w:themeFill="background1"/>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10,2</w:t>
            </w:r>
          </w:p>
        </w:tc>
        <w:tc>
          <w:tcPr>
            <w:tcW w:w="581" w:type="pct"/>
            <w:shd w:val="clear" w:color="auto" w:fill="FFFFFF" w:themeFill="background1"/>
            <w:noWrap/>
          </w:tcPr>
          <w:p w14:paraId="010E407A" w14:textId="77777777" w:rsidR="001A5BCF" w:rsidRPr="00646254" w:rsidRDefault="001A5BCF" w:rsidP="00E96A1D">
            <w:pPr>
              <w:shd w:val="clear" w:color="auto" w:fill="FFFFFF" w:themeFill="background1"/>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10,1</w:t>
            </w:r>
          </w:p>
        </w:tc>
        <w:tc>
          <w:tcPr>
            <w:tcW w:w="581" w:type="pct"/>
            <w:shd w:val="clear" w:color="auto" w:fill="FFFFFF" w:themeFill="background1"/>
            <w:noWrap/>
          </w:tcPr>
          <w:p w14:paraId="1ACC4264" w14:textId="77777777" w:rsidR="001A5BCF" w:rsidRPr="00646254" w:rsidRDefault="001A5BCF" w:rsidP="00E96A1D">
            <w:pPr>
              <w:shd w:val="clear" w:color="auto" w:fill="FFFFFF" w:themeFill="background1"/>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10,1</w:t>
            </w:r>
          </w:p>
        </w:tc>
        <w:tc>
          <w:tcPr>
            <w:tcW w:w="583" w:type="pct"/>
            <w:shd w:val="clear" w:color="auto" w:fill="FFFFFF" w:themeFill="background1"/>
            <w:noWrap/>
          </w:tcPr>
          <w:p w14:paraId="291BC767" w14:textId="77777777" w:rsidR="001A5BCF" w:rsidRPr="00646254" w:rsidRDefault="001A5BCF" w:rsidP="00E96A1D">
            <w:pPr>
              <w:shd w:val="clear" w:color="auto" w:fill="FFFFFF" w:themeFill="background1"/>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10,0</w:t>
            </w:r>
          </w:p>
        </w:tc>
      </w:tr>
      <w:tr w:rsidR="001A5BCF" w:rsidRPr="00646254" w14:paraId="76E18C80" w14:textId="77777777" w:rsidTr="00E96A1D">
        <w:trPr>
          <w:cnfStyle w:val="000000100000" w:firstRow="0" w:lastRow="0" w:firstColumn="0" w:lastColumn="0" w:oddVBand="0" w:evenVBand="0" w:oddHBand="1" w:evenHBand="0" w:firstRowFirstColumn="0" w:firstRowLastColumn="0" w:lastRowFirstColumn="0" w:lastRowLastColumn="0"/>
          <w:trHeight w:val="49"/>
        </w:trPr>
        <w:tc>
          <w:tcPr>
            <w:tcW w:w="1967" w:type="pct"/>
            <w:shd w:val="clear" w:color="auto" w:fill="FFFFFF" w:themeFill="background1"/>
          </w:tcPr>
          <w:p w14:paraId="67FA9493" w14:textId="77777777" w:rsidR="001A5BCF" w:rsidRPr="00646254" w:rsidRDefault="001A5BCF" w:rsidP="00E96A1D">
            <w:pPr>
              <w:keepNext/>
              <w:widowControl w:val="0"/>
              <w:shd w:val="clear" w:color="auto" w:fill="FFFFFF" w:themeFill="background1"/>
              <w:spacing w:line="276" w:lineRule="auto"/>
              <w:ind w:left="284"/>
              <w:rPr>
                <w:rFonts w:asciiTheme="minorHAnsi" w:eastAsia="Times New Roman" w:hAnsiTheme="minorHAnsi" w:cstheme="minorHAnsi"/>
                <w:bCs/>
                <w:color w:val="002060"/>
                <w:sz w:val="18"/>
                <w:szCs w:val="18"/>
                <w:lang w:val="sr-Cyrl-CS"/>
              </w:rPr>
            </w:pPr>
            <w:r w:rsidRPr="00646254">
              <w:rPr>
                <w:rFonts w:asciiTheme="minorHAnsi" w:eastAsia="Times New Roman" w:hAnsiTheme="minorHAnsi" w:cstheme="minorHAnsi"/>
                <w:bCs/>
                <w:color w:val="002060"/>
                <w:sz w:val="18"/>
                <w:szCs w:val="18"/>
                <w:lang w:val="sr-Cyrl-CS"/>
              </w:rPr>
              <w:t>Куповина робе и услуга</w:t>
            </w:r>
          </w:p>
        </w:tc>
        <w:tc>
          <w:tcPr>
            <w:tcW w:w="644" w:type="pct"/>
            <w:shd w:val="clear" w:color="auto" w:fill="FFFFFF" w:themeFill="background1"/>
          </w:tcPr>
          <w:p w14:paraId="1322BAF0" w14:textId="77777777" w:rsidR="001A5BCF" w:rsidRPr="00646254" w:rsidRDefault="001A5BCF" w:rsidP="00E96A1D">
            <w:pPr>
              <w:shd w:val="clear" w:color="auto" w:fill="FFFFFF" w:themeFill="background1"/>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8,0</w:t>
            </w:r>
          </w:p>
        </w:tc>
        <w:tc>
          <w:tcPr>
            <w:tcW w:w="644" w:type="pct"/>
            <w:shd w:val="clear" w:color="auto" w:fill="FFFFFF" w:themeFill="background1"/>
            <w:noWrap/>
          </w:tcPr>
          <w:p w14:paraId="366A37CB" w14:textId="77777777" w:rsidR="001A5BCF" w:rsidRPr="00646254" w:rsidRDefault="001A5BCF" w:rsidP="00E96A1D">
            <w:pPr>
              <w:shd w:val="clear" w:color="auto" w:fill="FFFFFF" w:themeFill="background1"/>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8,0</w:t>
            </w:r>
          </w:p>
        </w:tc>
        <w:tc>
          <w:tcPr>
            <w:tcW w:w="581" w:type="pct"/>
            <w:shd w:val="clear" w:color="auto" w:fill="FFFFFF" w:themeFill="background1"/>
            <w:noWrap/>
          </w:tcPr>
          <w:p w14:paraId="23EB3FD6" w14:textId="77777777" w:rsidR="001A5BCF" w:rsidRPr="00646254" w:rsidRDefault="001A5BCF" w:rsidP="00E96A1D">
            <w:pPr>
              <w:shd w:val="clear" w:color="auto" w:fill="FFFFFF" w:themeFill="background1"/>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7,7</w:t>
            </w:r>
          </w:p>
        </w:tc>
        <w:tc>
          <w:tcPr>
            <w:tcW w:w="581" w:type="pct"/>
            <w:shd w:val="clear" w:color="auto" w:fill="FFFFFF" w:themeFill="background1"/>
            <w:noWrap/>
          </w:tcPr>
          <w:p w14:paraId="12FCCD76" w14:textId="77777777" w:rsidR="001A5BCF" w:rsidRPr="00646254" w:rsidRDefault="001A5BCF" w:rsidP="00E96A1D">
            <w:pPr>
              <w:shd w:val="clear" w:color="auto" w:fill="FFFFFF" w:themeFill="background1"/>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7,4</w:t>
            </w:r>
          </w:p>
        </w:tc>
        <w:tc>
          <w:tcPr>
            <w:tcW w:w="583" w:type="pct"/>
            <w:shd w:val="clear" w:color="auto" w:fill="FFFFFF" w:themeFill="background1"/>
            <w:noWrap/>
          </w:tcPr>
          <w:p w14:paraId="0762DDBF" w14:textId="77777777" w:rsidR="001A5BCF" w:rsidRPr="00646254" w:rsidRDefault="001A5BCF" w:rsidP="00E96A1D">
            <w:pPr>
              <w:shd w:val="clear" w:color="auto" w:fill="FFFFFF" w:themeFill="background1"/>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7,1</w:t>
            </w:r>
          </w:p>
        </w:tc>
      </w:tr>
      <w:tr w:rsidR="001A5BCF" w:rsidRPr="00646254" w14:paraId="39E3F335" w14:textId="77777777" w:rsidTr="00E96A1D">
        <w:trPr>
          <w:trHeight w:val="49"/>
        </w:trPr>
        <w:tc>
          <w:tcPr>
            <w:tcW w:w="1967" w:type="pct"/>
            <w:shd w:val="clear" w:color="auto" w:fill="FFFFFF" w:themeFill="background1"/>
          </w:tcPr>
          <w:p w14:paraId="45D7F978" w14:textId="77777777" w:rsidR="001A5BCF" w:rsidRPr="00646254" w:rsidRDefault="001A5BCF" w:rsidP="00E96A1D">
            <w:pPr>
              <w:keepNext/>
              <w:widowControl w:val="0"/>
              <w:shd w:val="clear" w:color="auto" w:fill="FFFFFF" w:themeFill="background1"/>
              <w:spacing w:line="276" w:lineRule="auto"/>
              <w:ind w:left="284"/>
              <w:rPr>
                <w:rFonts w:asciiTheme="minorHAnsi" w:eastAsia="Times New Roman" w:hAnsiTheme="minorHAnsi" w:cstheme="minorHAnsi"/>
                <w:bCs/>
                <w:color w:val="002060"/>
                <w:sz w:val="18"/>
                <w:szCs w:val="18"/>
                <w:lang w:val="sr-Cyrl-CS"/>
              </w:rPr>
            </w:pPr>
            <w:r w:rsidRPr="00646254">
              <w:rPr>
                <w:rFonts w:asciiTheme="minorHAnsi" w:eastAsia="Times New Roman" w:hAnsiTheme="minorHAnsi" w:cstheme="minorHAnsi"/>
                <w:bCs/>
                <w:color w:val="002060"/>
                <w:sz w:val="18"/>
                <w:szCs w:val="18"/>
                <w:lang w:val="sr-Cyrl-CS"/>
              </w:rPr>
              <w:t>Отплата камата</w:t>
            </w:r>
          </w:p>
        </w:tc>
        <w:tc>
          <w:tcPr>
            <w:tcW w:w="644" w:type="pct"/>
            <w:shd w:val="clear" w:color="auto" w:fill="FFFFFF" w:themeFill="background1"/>
          </w:tcPr>
          <w:p w14:paraId="098A4AE3" w14:textId="77777777" w:rsidR="001A5BCF" w:rsidRPr="00646254" w:rsidRDefault="001A5BCF" w:rsidP="00E96A1D">
            <w:pPr>
              <w:shd w:val="clear" w:color="auto" w:fill="FFFFFF" w:themeFill="background1"/>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2,0</w:t>
            </w:r>
          </w:p>
        </w:tc>
        <w:tc>
          <w:tcPr>
            <w:tcW w:w="644" w:type="pct"/>
            <w:shd w:val="clear" w:color="auto" w:fill="FFFFFF" w:themeFill="background1"/>
            <w:noWrap/>
          </w:tcPr>
          <w:p w14:paraId="19679539" w14:textId="77777777" w:rsidR="001A5BCF" w:rsidRPr="00646254" w:rsidRDefault="001A5BCF" w:rsidP="00E96A1D">
            <w:pPr>
              <w:shd w:val="clear" w:color="auto" w:fill="FFFFFF" w:themeFill="background1"/>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1,8</w:t>
            </w:r>
          </w:p>
        </w:tc>
        <w:tc>
          <w:tcPr>
            <w:tcW w:w="581" w:type="pct"/>
            <w:shd w:val="clear" w:color="auto" w:fill="FFFFFF" w:themeFill="background1"/>
            <w:noWrap/>
          </w:tcPr>
          <w:p w14:paraId="35D46C5F" w14:textId="77777777" w:rsidR="001A5BCF" w:rsidRPr="00646254" w:rsidRDefault="001A5BCF" w:rsidP="00E96A1D">
            <w:pPr>
              <w:shd w:val="clear" w:color="auto" w:fill="FFFFFF" w:themeFill="background1"/>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1,8</w:t>
            </w:r>
          </w:p>
        </w:tc>
        <w:tc>
          <w:tcPr>
            <w:tcW w:w="581" w:type="pct"/>
            <w:shd w:val="clear" w:color="auto" w:fill="FFFFFF" w:themeFill="background1"/>
            <w:noWrap/>
          </w:tcPr>
          <w:p w14:paraId="314E48FC" w14:textId="77777777" w:rsidR="001A5BCF" w:rsidRPr="00646254" w:rsidRDefault="001A5BCF" w:rsidP="00E96A1D">
            <w:pPr>
              <w:shd w:val="clear" w:color="auto" w:fill="FFFFFF" w:themeFill="background1"/>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1,8</w:t>
            </w:r>
          </w:p>
        </w:tc>
        <w:tc>
          <w:tcPr>
            <w:tcW w:w="583" w:type="pct"/>
            <w:shd w:val="clear" w:color="auto" w:fill="FFFFFF" w:themeFill="background1"/>
            <w:noWrap/>
          </w:tcPr>
          <w:p w14:paraId="2352C889" w14:textId="77777777" w:rsidR="001A5BCF" w:rsidRPr="00646254" w:rsidRDefault="001A5BCF" w:rsidP="00E96A1D">
            <w:pPr>
              <w:shd w:val="clear" w:color="auto" w:fill="FFFFFF" w:themeFill="background1"/>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1,7</w:t>
            </w:r>
          </w:p>
        </w:tc>
      </w:tr>
      <w:tr w:rsidR="001A5BCF" w:rsidRPr="00646254" w14:paraId="26480E0C" w14:textId="77777777" w:rsidTr="00E96A1D">
        <w:trPr>
          <w:cnfStyle w:val="000000100000" w:firstRow="0" w:lastRow="0" w:firstColumn="0" w:lastColumn="0" w:oddVBand="0" w:evenVBand="0" w:oddHBand="1" w:evenHBand="0" w:firstRowFirstColumn="0" w:firstRowLastColumn="0" w:lastRowFirstColumn="0" w:lastRowLastColumn="0"/>
          <w:trHeight w:val="49"/>
        </w:trPr>
        <w:tc>
          <w:tcPr>
            <w:tcW w:w="1967" w:type="pct"/>
            <w:shd w:val="clear" w:color="auto" w:fill="FFFFFF" w:themeFill="background1"/>
          </w:tcPr>
          <w:p w14:paraId="78F5FE02" w14:textId="77777777" w:rsidR="001A5BCF" w:rsidRPr="00646254" w:rsidRDefault="001A5BCF" w:rsidP="00E96A1D">
            <w:pPr>
              <w:keepNext/>
              <w:widowControl w:val="0"/>
              <w:shd w:val="clear" w:color="auto" w:fill="FFFFFF" w:themeFill="background1"/>
              <w:spacing w:line="276" w:lineRule="auto"/>
              <w:ind w:left="284"/>
              <w:rPr>
                <w:rFonts w:asciiTheme="minorHAnsi" w:eastAsia="Times New Roman" w:hAnsiTheme="minorHAnsi" w:cstheme="minorHAnsi"/>
                <w:bCs/>
                <w:color w:val="002060"/>
                <w:sz w:val="18"/>
                <w:szCs w:val="18"/>
                <w:lang w:val="sr-Cyrl-CS"/>
              </w:rPr>
            </w:pPr>
            <w:r w:rsidRPr="00646254">
              <w:rPr>
                <w:rFonts w:asciiTheme="minorHAnsi" w:eastAsia="Times New Roman" w:hAnsiTheme="minorHAnsi" w:cstheme="minorHAnsi"/>
                <w:bCs/>
                <w:color w:val="002060"/>
                <w:sz w:val="18"/>
                <w:szCs w:val="18"/>
                <w:lang w:val="sr-Cyrl-CS"/>
              </w:rPr>
              <w:t>Субвенције</w:t>
            </w:r>
          </w:p>
        </w:tc>
        <w:tc>
          <w:tcPr>
            <w:tcW w:w="644" w:type="pct"/>
            <w:shd w:val="clear" w:color="auto" w:fill="FFFFFF" w:themeFill="background1"/>
          </w:tcPr>
          <w:p w14:paraId="101E970E" w14:textId="77777777" w:rsidR="001A5BCF" w:rsidRPr="00646254" w:rsidRDefault="001A5BCF" w:rsidP="00E96A1D">
            <w:pPr>
              <w:shd w:val="clear" w:color="auto" w:fill="FFFFFF" w:themeFill="background1"/>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4,6</w:t>
            </w:r>
          </w:p>
        </w:tc>
        <w:tc>
          <w:tcPr>
            <w:tcW w:w="644" w:type="pct"/>
            <w:shd w:val="clear" w:color="auto" w:fill="FFFFFF" w:themeFill="background1"/>
            <w:noWrap/>
          </w:tcPr>
          <w:p w14:paraId="00959F2D" w14:textId="77777777" w:rsidR="001A5BCF" w:rsidRPr="00646254" w:rsidRDefault="001A5BCF" w:rsidP="00E96A1D">
            <w:pPr>
              <w:shd w:val="clear" w:color="auto" w:fill="FFFFFF" w:themeFill="background1"/>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3,5</w:t>
            </w:r>
          </w:p>
        </w:tc>
        <w:tc>
          <w:tcPr>
            <w:tcW w:w="581" w:type="pct"/>
            <w:shd w:val="clear" w:color="auto" w:fill="FFFFFF" w:themeFill="background1"/>
            <w:noWrap/>
          </w:tcPr>
          <w:p w14:paraId="07081F79" w14:textId="77777777" w:rsidR="001A5BCF" w:rsidRPr="00646254" w:rsidRDefault="001A5BCF" w:rsidP="00E96A1D">
            <w:pPr>
              <w:shd w:val="clear" w:color="auto" w:fill="FFFFFF" w:themeFill="background1"/>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2,5</w:t>
            </w:r>
          </w:p>
        </w:tc>
        <w:tc>
          <w:tcPr>
            <w:tcW w:w="581" w:type="pct"/>
            <w:shd w:val="clear" w:color="auto" w:fill="FFFFFF" w:themeFill="background1"/>
            <w:noWrap/>
          </w:tcPr>
          <w:p w14:paraId="5DAC192F" w14:textId="77777777" w:rsidR="001A5BCF" w:rsidRPr="00646254" w:rsidRDefault="001A5BCF" w:rsidP="00E96A1D">
            <w:pPr>
              <w:shd w:val="clear" w:color="auto" w:fill="FFFFFF" w:themeFill="background1"/>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2,1</w:t>
            </w:r>
          </w:p>
        </w:tc>
        <w:tc>
          <w:tcPr>
            <w:tcW w:w="583" w:type="pct"/>
            <w:shd w:val="clear" w:color="auto" w:fill="FFFFFF" w:themeFill="background1"/>
            <w:noWrap/>
          </w:tcPr>
          <w:p w14:paraId="2E4EF635" w14:textId="77777777" w:rsidR="001A5BCF" w:rsidRPr="00646254" w:rsidRDefault="001A5BCF" w:rsidP="00E96A1D">
            <w:pPr>
              <w:shd w:val="clear" w:color="auto" w:fill="FFFFFF" w:themeFill="background1"/>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1,9</w:t>
            </w:r>
          </w:p>
        </w:tc>
      </w:tr>
      <w:tr w:rsidR="001A5BCF" w:rsidRPr="00646254" w14:paraId="4D71FB01" w14:textId="77777777" w:rsidTr="00E96A1D">
        <w:trPr>
          <w:trHeight w:val="49"/>
        </w:trPr>
        <w:tc>
          <w:tcPr>
            <w:tcW w:w="1967" w:type="pct"/>
            <w:shd w:val="clear" w:color="auto" w:fill="FFFFFF" w:themeFill="background1"/>
          </w:tcPr>
          <w:p w14:paraId="354F9E14" w14:textId="77777777" w:rsidR="001A5BCF" w:rsidRPr="00646254" w:rsidRDefault="001A5BCF" w:rsidP="00E96A1D">
            <w:pPr>
              <w:keepNext/>
              <w:widowControl w:val="0"/>
              <w:shd w:val="clear" w:color="auto" w:fill="FFFFFF" w:themeFill="background1"/>
              <w:spacing w:line="276" w:lineRule="auto"/>
              <w:ind w:left="284"/>
              <w:rPr>
                <w:rFonts w:asciiTheme="minorHAnsi" w:eastAsia="Times New Roman" w:hAnsiTheme="minorHAnsi" w:cstheme="minorHAnsi"/>
                <w:bCs/>
                <w:color w:val="002060"/>
                <w:sz w:val="18"/>
                <w:szCs w:val="18"/>
                <w:lang w:val="sr-Cyrl-CS"/>
              </w:rPr>
            </w:pPr>
            <w:r w:rsidRPr="00646254">
              <w:rPr>
                <w:rFonts w:asciiTheme="minorHAnsi" w:eastAsia="Times New Roman" w:hAnsiTheme="minorHAnsi" w:cstheme="minorHAnsi"/>
                <w:bCs/>
                <w:color w:val="002060"/>
                <w:sz w:val="18"/>
                <w:szCs w:val="18"/>
                <w:lang w:val="sr-Cyrl-CS"/>
              </w:rPr>
              <w:t>Социјална помоћ и трансфери</w:t>
            </w:r>
          </w:p>
        </w:tc>
        <w:tc>
          <w:tcPr>
            <w:tcW w:w="644" w:type="pct"/>
            <w:shd w:val="clear" w:color="auto" w:fill="FFFFFF" w:themeFill="background1"/>
          </w:tcPr>
          <w:p w14:paraId="4A703630" w14:textId="77777777" w:rsidR="001A5BCF" w:rsidRPr="00646254" w:rsidRDefault="001A5BCF" w:rsidP="00E96A1D">
            <w:pPr>
              <w:shd w:val="clear" w:color="auto" w:fill="FFFFFF" w:themeFill="background1"/>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14,7</w:t>
            </w:r>
          </w:p>
        </w:tc>
        <w:tc>
          <w:tcPr>
            <w:tcW w:w="644" w:type="pct"/>
            <w:shd w:val="clear" w:color="auto" w:fill="FFFFFF" w:themeFill="background1"/>
            <w:noWrap/>
          </w:tcPr>
          <w:p w14:paraId="4DDBAFDF" w14:textId="77777777" w:rsidR="001A5BCF" w:rsidRPr="00646254" w:rsidRDefault="001A5BCF" w:rsidP="00E96A1D">
            <w:pPr>
              <w:shd w:val="clear" w:color="auto" w:fill="FFFFFF" w:themeFill="background1"/>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13,9</w:t>
            </w:r>
          </w:p>
        </w:tc>
        <w:tc>
          <w:tcPr>
            <w:tcW w:w="581" w:type="pct"/>
            <w:shd w:val="clear" w:color="auto" w:fill="FFFFFF" w:themeFill="background1"/>
            <w:noWrap/>
          </w:tcPr>
          <w:p w14:paraId="7FF6CF15" w14:textId="77777777" w:rsidR="001A5BCF" w:rsidRPr="00646254" w:rsidRDefault="001A5BCF" w:rsidP="00E96A1D">
            <w:pPr>
              <w:shd w:val="clear" w:color="auto" w:fill="FFFFFF" w:themeFill="background1"/>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13,8</w:t>
            </w:r>
          </w:p>
        </w:tc>
        <w:tc>
          <w:tcPr>
            <w:tcW w:w="581" w:type="pct"/>
            <w:shd w:val="clear" w:color="auto" w:fill="FFFFFF" w:themeFill="background1"/>
            <w:noWrap/>
          </w:tcPr>
          <w:p w14:paraId="3A734700" w14:textId="77777777" w:rsidR="001A5BCF" w:rsidRPr="00646254" w:rsidRDefault="001A5BCF" w:rsidP="00E96A1D">
            <w:pPr>
              <w:shd w:val="clear" w:color="auto" w:fill="FFFFFF" w:themeFill="background1"/>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12,9</w:t>
            </w:r>
          </w:p>
        </w:tc>
        <w:tc>
          <w:tcPr>
            <w:tcW w:w="583" w:type="pct"/>
            <w:shd w:val="clear" w:color="auto" w:fill="FFFFFF" w:themeFill="background1"/>
            <w:noWrap/>
          </w:tcPr>
          <w:p w14:paraId="737793E7" w14:textId="77777777" w:rsidR="001A5BCF" w:rsidRPr="00646254" w:rsidRDefault="001A5BCF" w:rsidP="00E96A1D">
            <w:pPr>
              <w:shd w:val="clear" w:color="auto" w:fill="FFFFFF" w:themeFill="background1"/>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12,6</w:t>
            </w:r>
          </w:p>
        </w:tc>
      </w:tr>
      <w:tr w:rsidR="001A5BCF" w:rsidRPr="00646254" w14:paraId="551AF97B" w14:textId="77777777" w:rsidTr="00E96A1D">
        <w:trPr>
          <w:cnfStyle w:val="000000100000" w:firstRow="0" w:lastRow="0" w:firstColumn="0" w:lastColumn="0" w:oddVBand="0" w:evenVBand="0" w:oddHBand="1" w:evenHBand="0" w:firstRowFirstColumn="0" w:firstRowLastColumn="0" w:lastRowFirstColumn="0" w:lastRowLastColumn="0"/>
          <w:trHeight w:val="104"/>
        </w:trPr>
        <w:tc>
          <w:tcPr>
            <w:tcW w:w="1967" w:type="pct"/>
            <w:shd w:val="clear" w:color="auto" w:fill="FFFFFF" w:themeFill="background1"/>
          </w:tcPr>
          <w:p w14:paraId="28B73965" w14:textId="77777777" w:rsidR="001A5BCF" w:rsidRPr="00646254" w:rsidRDefault="001A5BCF" w:rsidP="00E96A1D">
            <w:pPr>
              <w:keepNext/>
              <w:widowControl w:val="0"/>
              <w:shd w:val="clear" w:color="auto" w:fill="FFFFFF" w:themeFill="background1"/>
              <w:spacing w:line="276" w:lineRule="auto"/>
              <w:ind w:left="397"/>
              <w:rPr>
                <w:rFonts w:asciiTheme="minorHAnsi" w:eastAsia="Times New Roman" w:hAnsiTheme="minorHAnsi" w:cstheme="minorHAnsi"/>
                <w:bCs/>
                <w:i/>
                <w:color w:val="002060"/>
                <w:sz w:val="18"/>
                <w:szCs w:val="18"/>
                <w:lang w:val="sr-Cyrl-CS"/>
              </w:rPr>
            </w:pPr>
            <w:r w:rsidRPr="00646254">
              <w:rPr>
                <w:rFonts w:asciiTheme="minorHAnsi" w:eastAsia="Times New Roman" w:hAnsiTheme="minorHAnsi" w:cstheme="minorHAnsi"/>
                <w:bCs/>
                <w:i/>
                <w:color w:val="002060"/>
                <w:sz w:val="18"/>
                <w:szCs w:val="18"/>
                <w:lang w:val="sr-Cyrl-CS"/>
              </w:rPr>
              <w:t>од чега пензије</w:t>
            </w:r>
          </w:p>
        </w:tc>
        <w:tc>
          <w:tcPr>
            <w:tcW w:w="644" w:type="pct"/>
            <w:shd w:val="clear" w:color="auto" w:fill="FFFFFF" w:themeFill="background1"/>
          </w:tcPr>
          <w:p w14:paraId="18219DFA" w14:textId="77777777" w:rsidR="001A5BCF" w:rsidRPr="00646254" w:rsidRDefault="001A5BCF" w:rsidP="00E96A1D">
            <w:pPr>
              <w:shd w:val="clear" w:color="auto" w:fill="FFFFFF" w:themeFill="background1"/>
              <w:spacing w:line="276" w:lineRule="auto"/>
              <w:jc w:val="right"/>
              <w:rPr>
                <w:rFonts w:asciiTheme="minorHAnsi" w:hAnsiTheme="minorHAnsi" w:cstheme="minorHAnsi"/>
                <w:i/>
                <w:color w:val="002060"/>
                <w:sz w:val="18"/>
                <w:szCs w:val="18"/>
                <w:lang w:val="sr-Cyrl-CS"/>
              </w:rPr>
            </w:pPr>
            <w:r w:rsidRPr="00646254">
              <w:rPr>
                <w:rFonts w:asciiTheme="minorHAnsi" w:hAnsiTheme="minorHAnsi" w:cstheme="minorHAnsi"/>
                <w:i/>
                <w:color w:val="002060"/>
                <w:sz w:val="18"/>
                <w:szCs w:val="18"/>
                <w:lang w:val="sr-Cyrl-CS"/>
              </w:rPr>
              <w:t>10,6</w:t>
            </w:r>
          </w:p>
        </w:tc>
        <w:tc>
          <w:tcPr>
            <w:tcW w:w="644" w:type="pct"/>
            <w:shd w:val="clear" w:color="auto" w:fill="FFFFFF" w:themeFill="background1"/>
            <w:noWrap/>
          </w:tcPr>
          <w:p w14:paraId="5CB641D5" w14:textId="77777777" w:rsidR="001A5BCF" w:rsidRPr="00646254" w:rsidRDefault="001A5BCF" w:rsidP="00E96A1D">
            <w:pPr>
              <w:shd w:val="clear" w:color="auto" w:fill="FFFFFF" w:themeFill="background1"/>
              <w:spacing w:line="276" w:lineRule="auto"/>
              <w:jc w:val="right"/>
              <w:rPr>
                <w:rFonts w:asciiTheme="minorHAnsi" w:hAnsiTheme="minorHAnsi" w:cstheme="minorHAnsi"/>
                <w:i/>
                <w:color w:val="002060"/>
                <w:sz w:val="18"/>
                <w:szCs w:val="18"/>
                <w:lang w:val="sr-Cyrl-CS"/>
              </w:rPr>
            </w:pPr>
            <w:r w:rsidRPr="00646254">
              <w:rPr>
                <w:rFonts w:asciiTheme="minorHAnsi" w:hAnsiTheme="minorHAnsi" w:cstheme="minorHAnsi"/>
                <w:i/>
                <w:color w:val="002060"/>
                <w:sz w:val="18"/>
                <w:szCs w:val="18"/>
                <w:lang w:val="sr-Cyrl-CS"/>
              </w:rPr>
              <w:t>9,9</w:t>
            </w:r>
          </w:p>
        </w:tc>
        <w:tc>
          <w:tcPr>
            <w:tcW w:w="581" w:type="pct"/>
            <w:shd w:val="clear" w:color="auto" w:fill="FFFFFF" w:themeFill="background1"/>
            <w:noWrap/>
          </w:tcPr>
          <w:p w14:paraId="57086331" w14:textId="77777777" w:rsidR="001A5BCF" w:rsidRPr="00646254" w:rsidRDefault="001A5BCF" w:rsidP="00E96A1D">
            <w:pPr>
              <w:shd w:val="clear" w:color="auto" w:fill="FFFFFF" w:themeFill="background1"/>
              <w:spacing w:line="276" w:lineRule="auto"/>
              <w:jc w:val="right"/>
              <w:rPr>
                <w:rFonts w:asciiTheme="minorHAnsi" w:hAnsiTheme="minorHAnsi" w:cstheme="minorHAnsi"/>
                <w:i/>
                <w:color w:val="002060"/>
                <w:sz w:val="18"/>
                <w:szCs w:val="18"/>
                <w:lang w:val="sr-Cyrl-CS"/>
              </w:rPr>
            </w:pPr>
            <w:r w:rsidRPr="00646254">
              <w:rPr>
                <w:rFonts w:asciiTheme="minorHAnsi" w:hAnsiTheme="minorHAnsi" w:cstheme="minorHAnsi"/>
                <w:i/>
                <w:color w:val="002060"/>
                <w:sz w:val="18"/>
                <w:szCs w:val="18"/>
                <w:lang w:val="sr-Cyrl-CS"/>
              </w:rPr>
              <w:t>9,7</w:t>
            </w:r>
          </w:p>
        </w:tc>
        <w:tc>
          <w:tcPr>
            <w:tcW w:w="581" w:type="pct"/>
            <w:shd w:val="clear" w:color="auto" w:fill="FFFFFF" w:themeFill="background1"/>
            <w:noWrap/>
          </w:tcPr>
          <w:p w14:paraId="77D22E55" w14:textId="77777777" w:rsidR="001A5BCF" w:rsidRPr="00646254" w:rsidRDefault="001A5BCF" w:rsidP="00E96A1D">
            <w:pPr>
              <w:shd w:val="clear" w:color="auto" w:fill="FFFFFF" w:themeFill="background1"/>
              <w:spacing w:line="276" w:lineRule="auto"/>
              <w:jc w:val="right"/>
              <w:rPr>
                <w:rFonts w:asciiTheme="minorHAnsi" w:hAnsiTheme="minorHAnsi" w:cstheme="minorHAnsi"/>
                <w:i/>
                <w:color w:val="002060"/>
                <w:sz w:val="18"/>
                <w:szCs w:val="18"/>
                <w:lang w:val="sr-Cyrl-CS"/>
              </w:rPr>
            </w:pPr>
            <w:r w:rsidRPr="00646254">
              <w:rPr>
                <w:rFonts w:asciiTheme="minorHAnsi" w:hAnsiTheme="minorHAnsi" w:cstheme="minorHAnsi"/>
                <w:i/>
                <w:color w:val="002060"/>
                <w:sz w:val="18"/>
                <w:szCs w:val="18"/>
                <w:lang w:val="sr-Cyrl-CS"/>
              </w:rPr>
              <w:t>9,5</w:t>
            </w:r>
          </w:p>
        </w:tc>
        <w:tc>
          <w:tcPr>
            <w:tcW w:w="583" w:type="pct"/>
            <w:shd w:val="clear" w:color="auto" w:fill="FFFFFF" w:themeFill="background1"/>
            <w:noWrap/>
          </w:tcPr>
          <w:p w14:paraId="5548636C" w14:textId="77777777" w:rsidR="001A5BCF" w:rsidRPr="00646254" w:rsidRDefault="001A5BCF" w:rsidP="00E96A1D">
            <w:pPr>
              <w:shd w:val="clear" w:color="auto" w:fill="FFFFFF" w:themeFill="background1"/>
              <w:spacing w:line="276" w:lineRule="auto"/>
              <w:jc w:val="right"/>
              <w:rPr>
                <w:rFonts w:asciiTheme="minorHAnsi" w:hAnsiTheme="minorHAnsi" w:cstheme="minorHAnsi"/>
                <w:i/>
                <w:color w:val="002060"/>
                <w:sz w:val="18"/>
                <w:szCs w:val="18"/>
                <w:lang w:val="sr-Cyrl-CS"/>
              </w:rPr>
            </w:pPr>
            <w:r w:rsidRPr="00646254">
              <w:rPr>
                <w:rFonts w:asciiTheme="minorHAnsi" w:hAnsiTheme="minorHAnsi" w:cstheme="minorHAnsi"/>
                <w:i/>
                <w:color w:val="002060"/>
                <w:sz w:val="18"/>
                <w:szCs w:val="18"/>
                <w:lang w:val="sr-Cyrl-CS"/>
              </w:rPr>
              <w:t>9,3</w:t>
            </w:r>
          </w:p>
        </w:tc>
      </w:tr>
      <w:tr w:rsidR="001A5BCF" w:rsidRPr="00646254" w14:paraId="71499ACE" w14:textId="77777777" w:rsidTr="00E96A1D">
        <w:trPr>
          <w:trHeight w:val="49"/>
        </w:trPr>
        <w:tc>
          <w:tcPr>
            <w:tcW w:w="1967" w:type="pct"/>
            <w:shd w:val="clear" w:color="auto" w:fill="FFFFFF" w:themeFill="background1"/>
          </w:tcPr>
          <w:p w14:paraId="06E1B5F5" w14:textId="77777777" w:rsidR="001A5BCF" w:rsidRPr="00646254" w:rsidRDefault="001A5BCF" w:rsidP="00E96A1D">
            <w:pPr>
              <w:keepNext/>
              <w:widowControl w:val="0"/>
              <w:shd w:val="clear" w:color="auto" w:fill="FFFFFF" w:themeFill="background1"/>
              <w:spacing w:line="276" w:lineRule="auto"/>
              <w:ind w:left="284"/>
              <w:rPr>
                <w:rFonts w:asciiTheme="minorHAnsi" w:eastAsia="Times New Roman" w:hAnsiTheme="minorHAnsi" w:cstheme="minorHAnsi"/>
                <w:bCs/>
                <w:color w:val="002060"/>
                <w:sz w:val="18"/>
                <w:szCs w:val="18"/>
                <w:lang w:val="sr-Cyrl-CS"/>
              </w:rPr>
            </w:pPr>
            <w:r w:rsidRPr="00646254">
              <w:rPr>
                <w:rFonts w:asciiTheme="minorHAnsi" w:eastAsia="Times New Roman" w:hAnsiTheme="minorHAnsi" w:cstheme="minorHAnsi"/>
                <w:bCs/>
                <w:color w:val="002060"/>
                <w:sz w:val="18"/>
                <w:szCs w:val="18"/>
                <w:lang w:val="sr-Cyrl-CS"/>
              </w:rPr>
              <w:t>Остали текући расходи</w:t>
            </w:r>
          </w:p>
        </w:tc>
        <w:tc>
          <w:tcPr>
            <w:tcW w:w="644" w:type="pct"/>
            <w:shd w:val="clear" w:color="auto" w:fill="FFFFFF" w:themeFill="background1"/>
          </w:tcPr>
          <w:p w14:paraId="1C0E3C6A" w14:textId="77777777" w:rsidR="001A5BCF" w:rsidRPr="00646254" w:rsidRDefault="001A5BCF" w:rsidP="00E96A1D">
            <w:pPr>
              <w:shd w:val="clear" w:color="auto" w:fill="FFFFFF" w:themeFill="background1"/>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3,0</w:t>
            </w:r>
          </w:p>
        </w:tc>
        <w:tc>
          <w:tcPr>
            <w:tcW w:w="644" w:type="pct"/>
            <w:shd w:val="clear" w:color="auto" w:fill="FFFFFF" w:themeFill="background1"/>
            <w:noWrap/>
          </w:tcPr>
          <w:p w14:paraId="69308220" w14:textId="77777777" w:rsidR="001A5BCF" w:rsidRPr="00646254" w:rsidRDefault="001A5BCF" w:rsidP="00E96A1D">
            <w:pPr>
              <w:shd w:val="clear" w:color="auto" w:fill="FFFFFF" w:themeFill="background1"/>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2,7</w:t>
            </w:r>
          </w:p>
        </w:tc>
        <w:tc>
          <w:tcPr>
            <w:tcW w:w="581" w:type="pct"/>
            <w:shd w:val="clear" w:color="auto" w:fill="FFFFFF" w:themeFill="background1"/>
            <w:noWrap/>
          </w:tcPr>
          <w:p w14:paraId="04FCFABE" w14:textId="57C33E87" w:rsidR="001A5BCF" w:rsidRPr="00646254" w:rsidRDefault="001010AA" w:rsidP="00E96A1D">
            <w:pPr>
              <w:shd w:val="clear" w:color="auto" w:fill="FFFFFF" w:themeFill="background1"/>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1,6</w:t>
            </w:r>
          </w:p>
        </w:tc>
        <w:tc>
          <w:tcPr>
            <w:tcW w:w="581" w:type="pct"/>
            <w:shd w:val="clear" w:color="auto" w:fill="FFFFFF" w:themeFill="background1"/>
            <w:noWrap/>
          </w:tcPr>
          <w:p w14:paraId="782BFAD3" w14:textId="6F6AB3BD" w:rsidR="001A5BCF" w:rsidRPr="00646254" w:rsidRDefault="001010AA" w:rsidP="00E96A1D">
            <w:pPr>
              <w:shd w:val="clear" w:color="auto" w:fill="FFFFFF" w:themeFill="background1"/>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1,5</w:t>
            </w:r>
          </w:p>
        </w:tc>
        <w:tc>
          <w:tcPr>
            <w:tcW w:w="583" w:type="pct"/>
            <w:shd w:val="clear" w:color="auto" w:fill="FFFFFF" w:themeFill="background1"/>
            <w:noWrap/>
          </w:tcPr>
          <w:p w14:paraId="4A426C82" w14:textId="77777777" w:rsidR="001A5BCF" w:rsidRPr="00646254" w:rsidRDefault="001A5BCF" w:rsidP="00E96A1D">
            <w:pPr>
              <w:shd w:val="clear" w:color="auto" w:fill="FFFFFF" w:themeFill="background1"/>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1,5</w:t>
            </w:r>
          </w:p>
        </w:tc>
      </w:tr>
      <w:tr w:rsidR="001A5BCF" w:rsidRPr="00646254" w14:paraId="383322E1" w14:textId="77777777" w:rsidTr="00E96A1D">
        <w:trPr>
          <w:cnfStyle w:val="000000100000" w:firstRow="0" w:lastRow="0" w:firstColumn="0" w:lastColumn="0" w:oddVBand="0" w:evenVBand="0" w:oddHBand="1" w:evenHBand="0" w:firstRowFirstColumn="0" w:firstRowLastColumn="0" w:lastRowFirstColumn="0" w:lastRowLastColumn="0"/>
          <w:trHeight w:val="49"/>
        </w:trPr>
        <w:tc>
          <w:tcPr>
            <w:tcW w:w="1967" w:type="pct"/>
            <w:shd w:val="clear" w:color="auto" w:fill="FFFFFF" w:themeFill="background1"/>
          </w:tcPr>
          <w:p w14:paraId="2FC4BA09" w14:textId="77777777" w:rsidR="001A5BCF" w:rsidRPr="00646254" w:rsidRDefault="001A5BCF" w:rsidP="00E96A1D">
            <w:pPr>
              <w:keepNext/>
              <w:widowControl w:val="0"/>
              <w:shd w:val="clear" w:color="auto" w:fill="FFFFFF" w:themeFill="background1"/>
              <w:spacing w:line="276" w:lineRule="auto"/>
              <w:rPr>
                <w:rFonts w:asciiTheme="minorHAnsi" w:eastAsia="Times New Roman" w:hAnsiTheme="minorHAnsi" w:cstheme="minorHAnsi"/>
                <w:bCs/>
                <w:color w:val="002060"/>
                <w:sz w:val="18"/>
                <w:szCs w:val="18"/>
                <w:lang w:val="sr-Cyrl-CS"/>
              </w:rPr>
            </w:pPr>
            <w:r w:rsidRPr="00646254">
              <w:rPr>
                <w:rFonts w:asciiTheme="minorHAnsi" w:eastAsia="Times New Roman" w:hAnsiTheme="minorHAnsi" w:cstheme="minorHAnsi"/>
                <w:bCs/>
                <w:color w:val="002060"/>
                <w:sz w:val="18"/>
                <w:szCs w:val="18"/>
                <w:lang w:val="sr-Cyrl-CS"/>
              </w:rPr>
              <w:t xml:space="preserve"> Капитални расходи</w:t>
            </w:r>
          </w:p>
        </w:tc>
        <w:tc>
          <w:tcPr>
            <w:tcW w:w="644" w:type="pct"/>
            <w:shd w:val="clear" w:color="auto" w:fill="FFFFFF" w:themeFill="background1"/>
          </w:tcPr>
          <w:p w14:paraId="2921C602" w14:textId="77777777" w:rsidR="001A5BCF" w:rsidRPr="00646254" w:rsidRDefault="001A5BCF" w:rsidP="00E96A1D">
            <w:pPr>
              <w:shd w:val="clear" w:color="auto" w:fill="FFFFFF" w:themeFill="background1"/>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5,3</w:t>
            </w:r>
          </w:p>
        </w:tc>
        <w:tc>
          <w:tcPr>
            <w:tcW w:w="644" w:type="pct"/>
            <w:shd w:val="clear" w:color="auto" w:fill="FFFFFF" w:themeFill="background1"/>
            <w:noWrap/>
          </w:tcPr>
          <w:p w14:paraId="0FB6134C" w14:textId="77777777" w:rsidR="001A5BCF" w:rsidRPr="00646254" w:rsidRDefault="001A5BCF" w:rsidP="00E96A1D">
            <w:pPr>
              <w:shd w:val="clear" w:color="auto" w:fill="FFFFFF" w:themeFill="background1"/>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7,8</w:t>
            </w:r>
          </w:p>
        </w:tc>
        <w:tc>
          <w:tcPr>
            <w:tcW w:w="581" w:type="pct"/>
            <w:shd w:val="clear" w:color="auto" w:fill="FFFFFF" w:themeFill="background1"/>
            <w:noWrap/>
          </w:tcPr>
          <w:p w14:paraId="570EF28C" w14:textId="77777777" w:rsidR="001A5BCF" w:rsidRPr="00646254" w:rsidRDefault="001A5BCF" w:rsidP="00E96A1D">
            <w:pPr>
              <w:shd w:val="clear" w:color="auto" w:fill="FFFFFF" w:themeFill="background1"/>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7,3</w:t>
            </w:r>
          </w:p>
        </w:tc>
        <w:tc>
          <w:tcPr>
            <w:tcW w:w="581" w:type="pct"/>
            <w:shd w:val="clear" w:color="auto" w:fill="FFFFFF" w:themeFill="background1"/>
            <w:noWrap/>
          </w:tcPr>
          <w:p w14:paraId="737BB794" w14:textId="77777777" w:rsidR="001A5BCF" w:rsidRPr="00646254" w:rsidRDefault="001A5BCF" w:rsidP="00E96A1D">
            <w:pPr>
              <w:shd w:val="clear" w:color="auto" w:fill="FFFFFF" w:themeFill="background1"/>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6,9</w:t>
            </w:r>
          </w:p>
        </w:tc>
        <w:tc>
          <w:tcPr>
            <w:tcW w:w="583" w:type="pct"/>
            <w:shd w:val="clear" w:color="auto" w:fill="FFFFFF" w:themeFill="background1"/>
            <w:noWrap/>
          </w:tcPr>
          <w:p w14:paraId="6C3E96FC" w14:textId="77777777" w:rsidR="001A5BCF" w:rsidRPr="00646254" w:rsidRDefault="001A5BCF" w:rsidP="00E96A1D">
            <w:pPr>
              <w:shd w:val="clear" w:color="auto" w:fill="FFFFFF" w:themeFill="background1"/>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6,9</w:t>
            </w:r>
          </w:p>
        </w:tc>
      </w:tr>
      <w:tr w:rsidR="001A5BCF" w:rsidRPr="00646254" w14:paraId="15494625" w14:textId="77777777" w:rsidTr="00E96A1D">
        <w:trPr>
          <w:trHeight w:val="49"/>
        </w:trPr>
        <w:tc>
          <w:tcPr>
            <w:tcW w:w="1967" w:type="pct"/>
            <w:tcBorders>
              <w:bottom w:val="nil"/>
            </w:tcBorders>
            <w:shd w:val="clear" w:color="auto" w:fill="FFFFFF" w:themeFill="background1"/>
            <w:noWrap/>
          </w:tcPr>
          <w:p w14:paraId="1CCDE9C8" w14:textId="77777777" w:rsidR="001A5BCF" w:rsidRPr="00646254" w:rsidRDefault="001A5BCF" w:rsidP="00E96A1D">
            <w:pPr>
              <w:keepNext/>
              <w:widowControl w:val="0"/>
              <w:shd w:val="clear" w:color="auto" w:fill="FFFFFF" w:themeFill="background1"/>
              <w:spacing w:line="276" w:lineRule="auto"/>
              <w:rPr>
                <w:rFonts w:asciiTheme="minorHAnsi" w:eastAsia="Times New Roman" w:hAnsiTheme="minorHAnsi" w:cstheme="minorHAnsi"/>
                <w:bCs/>
                <w:color w:val="002060"/>
                <w:sz w:val="18"/>
                <w:szCs w:val="18"/>
                <w:lang w:val="sr-Cyrl-CS"/>
              </w:rPr>
            </w:pPr>
            <w:r w:rsidRPr="00646254">
              <w:rPr>
                <w:rFonts w:asciiTheme="minorHAnsi" w:eastAsia="Times New Roman" w:hAnsiTheme="minorHAnsi" w:cstheme="minorHAnsi"/>
                <w:bCs/>
                <w:color w:val="002060"/>
                <w:sz w:val="18"/>
                <w:szCs w:val="18"/>
                <w:lang w:val="sr-Cyrl-CS"/>
              </w:rPr>
              <w:t xml:space="preserve"> Нето буџетске позајмице</w:t>
            </w:r>
          </w:p>
        </w:tc>
        <w:tc>
          <w:tcPr>
            <w:tcW w:w="644" w:type="pct"/>
            <w:tcBorders>
              <w:bottom w:val="nil"/>
            </w:tcBorders>
            <w:shd w:val="clear" w:color="auto" w:fill="FFFFFF" w:themeFill="background1"/>
          </w:tcPr>
          <w:p w14:paraId="228E618B" w14:textId="77777777" w:rsidR="001A5BCF" w:rsidRPr="00646254" w:rsidRDefault="001A5BCF" w:rsidP="00E96A1D">
            <w:pPr>
              <w:shd w:val="clear" w:color="auto" w:fill="FFFFFF" w:themeFill="background1"/>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0,8</w:t>
            </w:r>
          </w:p>
        </w:tc>
        <w:tc>
          <w:tcPr>
            <w:tcW w:w="644" w:type="pct"/>
            <w:tcBorders>
              <w:bottom w:val="nil"/>
            </w:tcBorders>
            <w:shd w:val="clear" w:color="auto" w:fill="FFFFFF" w:themeFill="background1"/>
            <w:noWrap/>
          </w:tcPr>
          <w:p w14:paraId="4B40DAB3" w14:textId="77777777" w:rsidR="001A5BCF" w:rsidRPr="00646254" w:rsidRDefault="001A5BCF" w:rsidP="00E96A1D">
            <w:pPr>
              <w:shd w:val="clear" w:color="auto" w:fill="FFFFFF" w:themeFill="background1"/>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0,4</w:t>
            </w:r>
          </w:p>
        </w:tc>
        <w:tc>
          <w:tcPr>
            <w:tcW w:w="581" w:type="pct"/>
            <w:tcBorders>
              <w:bottom w:val="nil"/>
            </w:tcBorders>
            <w:shd w:val="clear" w:color="auto" w:fill="FFFFFF" w:themeFill="background1"/>
            <w:noWrap/>
          </w:tcPr>
          <w:p w14:paraId="1212F0A1" w14:textId="77777777" w:rsidR="001A5BCF" w:rsidRPr="00646254" w:rsidRDefault="001A5BCF" w:rsidP="00E96A1D">
            <w:pPr>
              <w:shd w:val="clear" w:color="auto" w:fill="FFFFFF" w:themeFill="background1"/>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0,2</w:t>
            </w:r>
          </w:p>
        </w:tc>
        <w:tc>
          <w:tcPr>
            <w:tcW w:w="581" w:type="pct"/>
            <w:tcBorders>
              <w:bottom w:val="nil"/>
            </w:tcBorders>
            <w:shd w:val="clear" w:color="auto" w:fill="FFFFFF" w:themeFill="background1"/>
            <w:noWrap/>
          </w:tcPr>
          <w:p w14:paraId="7BA5FDAB" w14:textId="77777777" w:rsidR="001A5BCF" w:rsidRPr="00646254" w:rsidRDefault="001A5BCF" w:rsidP="00E96A1D">
            <w:pPr>
              <w:shd w:val="clear" w:color="auto" w:fill="FFFFFF" w:themeFill="background1"/>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0,1</w:t>
            </w:r>
          </w:p>
        </w:tc>
        <w:tc>
          <w:tcPr>
            <w:tcW w:w="583" w:type="pct"/>
            <w:tcBorders>
              <w:bottom w:val="nil"/>
            </w:tcBorders>
            <w:shd w:val="clear" w:color="auto" w:fill="FFFFFF" w:themeFill="background1"/>
            <w:noWrap/>
          </w:tcPr>
          <w:p w14:paraId="2A017744" w14:textId="77777777" w:rsidR="001A5BCF" w:rsidRPr="00646254" w:rsidRDefault="001A5BCF" w:rsidP="00E96A1D">
            <w:pPr>
              <w:shd w:val="clear" w:color="auto" w:fill="FFFFFF" w:themeFill="background1"/>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0,1</w:t>
            </w:r>
          </w:p>
        </w:tc>
      </w:tr>
      <w:tr w:rsidR="001A5BCF" w:rsidRPr="00646254" w14:paraId="04AC9816" w14:textId="77777777" w:rsidTr="00E96A1D">
        <w:trPr>
          <w:cnfStyle w:val="000000100000" w:firstRow="0" w:lastRow="0" w:firstColumn="0" w:lastColumn="0" w:oddVBand="0" w:evenVBand="0" w:oddHBand="1" w:evenHBand="0" w:firstRowFirstColumn="0" w:firstRowLastColumn="0" w:lastRowFirstColumn="0" w:lastRowLastColumn="0"/>
          <w:trHeight w:val="95"/>
        </w:trPr>
        <w:tc>
          <w:tcPr>
            <w:tcW w:w="1967" w:type="pct"/>
            <w:tcBorders>
              <w:top w:val="nil"/>
              <w:bottom w:val="single" w:sz="4" w:space="0" w:color="002060"/>
            </w:tcBorders>
            <w:shd w:val="clear" w:color="auto" w:fill="FFFFFF" w:themeFill="background1"/>
            <w:noWrap/>
          </w:tcPr>
          <w:p w14:paraId="3714B622" w14:textId="77777777" w:rsidR="001A5BCF" w:rsidRPr="00646254" w:rsidRDefault="001A5BCF" w:rsidP="00E96A1D">
            <w:pPr>
              <w:keepNext/>
              <w:widowControl w:val="0"/>
              <w:shd w:val="clear" w:color="auto" w:fill="FFFFFF" w:themeFill="background1"/>
              <w:spacing w:line="276" w:lineRule="auto"/>
              <w:rPr>
                <w:rFonts w:asciiTheme="minorHAnsi" w:eastAsia="Times New Roman" w:hAnsiTheme="minorHAnsi" w:cstheme="minorHAnsi"/>
                <w:bCs/>
                <w:color w:val="002060"/>
                <w:sz w:val="18"/>
                <w:szCs w:val="18"/>
                <w:lang w:val="sr-Cyrl-CS"/>
              </w:rPr>
            </w:pPr>
            <w:r w:rsidRPr="00646254">
              <w:rPr>
                <w:rFonts w:asciiTheme="minorHAnsi" w:eastAsia="Times New Roman" w:hAnsiTheme="minorHAnsi" w:cstheme="minorHAnsi"/>
                <w:bCs/>
                <w:color w:val="002060"/>
                <w:sz w:val="18"/>
                <w:szCs w:val="18"/>
                <w:lang w:val="sr-Cyrl-CS"/>
              </w:rPr>
              <w:t xml:space="preserve"> Отплата по основу гаранција</w:t>
            </w:r>
          </w:p>
        </w:tc>
        <w:tc>
          <w:tcPr>
            <w:tcW w:w="644" w:type="pct"/>
            <w:tcBorders>
              <w:top w:val="nil"/>
              <w:bottom w:val="single" w:sz="4" w:space="0" w:color="002060"/>
            </w:tcBorders>
            <w:shd w:val="clear" w:color="auto" w:fill="FFFFFF" w:themeFill="background1"/>
          </w:tcPr>
          <w:p w14:paraId="309C1523" w14:textId="77777777" w:rsidR="001A5BCF" w:rsidRPr="00646254" w:rsidRDefault="001A5BCF" w:rsidP="00E96A1D">
            <w:pPr>
              <w:shd w:val="clear" w:color="auto" w:fill="FFFFFF" w:themeFill="background1"/>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0,1</w:t>
            </w:r>
          </w:p>
        </w:tc>
        <w:tc>
          <w:tcPr>
            <w:tcW w:w="644" w:type="pct"/>
            <w:tcBorders>
              <w:top w:val="nil"/>
              <w:bottom w:val="single" w:sz="4" w:space="0" w:color="002060"/>
            </w:tcBorders>
            <w:shd w:val="clear" w:color="auto" w:fill="FFFFFF" w:themeFill="background1"/>
            <w:noWrap/>
          </w:tcPr>
          <w:p w14:paraId="6EE3B0EF" w14:textId="77777777" w:rsidR="001A5BCF" w:rsidRPr="00646254" w:rsidRDefault="001A5BCF" w:rsidP="00E96A1D">
            <w:pPr>
              <w:shd w:val="clear" w:color="auto" w:fill="FFFFFF" w:themeFill="background1"/>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0,1</w:t>
            </w:r>
          </w:p>
        </w:tc>
        <w:tc>
          <w:tcPr>
            <w:tcW w:w="581" w:type="pct"/>
            <w:tcBorders>
              <w:top w:val="nil"/>
              <w:bottom w:val="single" w:sz="4" w:space="0" w:color="002060"/>
            </w:tcBorders>
            <w:shd w:val="clear" w:color="auto" w:fill="FFFFFF" w:themeFill="background1"/>
            <w:noWrap/>
          </w:tcPr>
          <w:p w14:paraId="3007BD22" w14:textId="77777777" w:rsidR="001A5BCF" w:rsidRPr="00646254" w:rsidRDefault="001A5BCF" w:rsidP="00E96A1D">
            <w:pPr>
              <w:shd w:val="clear" w:color="auto" w:fill="FFFFFF" w:themeFill="background1"/>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0,2</w:t>
            </w:r>
          </w:p>
        </w:tc>
        <w:tc>
          <w:tcPr>
            <w:tcW w:w="581" w:type="pct"/>
            <w:tcBorders>
              <w:top w:val="nil"/>
              <w:bottom w:val="single" w:sz="4" w:space="0" w:color="002060"/>
            </w:tcBorders>
            <w:shd w:val="clear" w:color="auto" w:fill="FFFFFF" w:themeFill="background1"/>
            <w:noWrap/>
          </w:tcPr>
          <w:p w14:paraId="33EF8204" w14:textId="77777777" w:rsidR="001A5BCF" w:rsidRPr="00646254" w:rsidRDefault="001A5BCF" w:rsidP="00E96A1D">
            <w:pPr>
              <w:shd w:val="clear" w:color="auto" w:fill="FFFFFF" w:themeFill="background1"/>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0,2</w:t>
            </w:r>
          </w:p>
        </w:tc>
        <w:tc>
          <w:tcPr>
            <w:tcW w:w="583" w:type="pct"/>
            <w:tcBorders>
              <w:top w:val="nil"/>
              <w:bottom w:val="single" w:sz="4" w:space="0" w:color="002060"/>
            </w:tcBorders>
            <w:shd w:val="clear" w:color="auto" w:fill="FFFFFF" w:themeFill="background1"/>
            <w:noWrap/>
          </w:tcPr>
          <w:p w14:paraId="065BA3EE" w14:textId="77777777" w:rsidR="001A5BCF" w:rsidRPr="00646254" w:rsidRDefault="001A5BCF" w:rsidP="00E96A1D">
            <w:pPr>
              <w:shd w:val="clear" w:color="auto" w:fill="FFFFFF" w:themeFill="background1"/>
              <w:spacing w:line="276" w:lineRule="auto"/>
              <w:jc w:val="right"/>
              <w:rPr>
                <w:rFonts w:asciiTheme="minorHAnsi" w:hAnsiTheme="minorHAnsi" w:cstheme="minorHAnsi"/>
                <w:color w:val="002060"/>
                <w:sz w:val="18"/>
                <w:szCs w:val="18"/>
                <w:lang w:val="sr-Cyrl-CS"/>
              </w:rPr>
            </w:pPr>
            <w:r w:rsidRPr="00646254">
              <w:rPr>
                <w:rFonts w:asciiTheme="minorHAnsi" w:hAnsiTheme="minorHAnsi" w:cstheme="minorHAnsi"/>
                <w:color w:val="002060"/>
                <w:sz w:val="18"/>
                <w:szCs w:val="18"/>
                <w:lang w:val="sr-Cyrl-CS"/>
              </w:rPr>
              <w:t>0,1</w:t>
            </w:r>
          </w:p>
        </w:tc>
      </w:tr>
    </w:tbl>
    <w:p w14:paraId="6C53476D" w14:textId="77777777" w:rsidR="001A5BCF" w:rsidRPr="00646254" w:rsidRDefault="001A5BCF" w:rsidP="001A5BCF">
      <w:pPr>
        <w:spacing w:before="40" w:after="120" w:line="276" w:lineRule="auto"/>
        <w:jc w:val="left"/>
        <w:rPr>
          <w:rFonts w:cstheme="minorHAnsi"/>
          <w:sz w:val="16"/>
          <w:szCs w:val="20"/>
          <w:lang w:val="sr-Cyrl-CS"/>
        </w:rPr>
      </w:pPr>
      <w:r w:rsidRPr="00646254">
        <w:rPr>
          <w:rFonts w:eastAsia="Calibri" w:cstheme="minorHAnsi"/>
          <w:bCs/>
          <w:sz w:val="16"/>
          <w:szCs w:val="20"/>
          <w:lang w:val="sr-Cyrl-CS" w:eastAsia="ja-JP"/>
        </w:rPr>
        <w:t xml:space="preserve">Извор: </w:t>
      </w:r>
      <w:r w:rsidRPr="00646254">
        <w:rPr>
          <w:rFonts w:cstheme="minorHAnsi"/>
          <w:sz w:val="16"/>
          <w:szCs w:val="20"/>
          <w:lang w:val="sr-Cyrl-CS"/>
        </w:rPr>
        <w:t>Министарство финансија</w:t>
      </w:r>
    </w:p>
    <w:p w14:paraId="51E80CB8" w14:textId="77777777" w:rsidR="001A5BCF" w:rsidRPr="00646254" w:rsidRDefault="001A5BCF" w:rsidP="001A5BCF">
      <w:pPr>
        <w:spacing w:before="40" w:after="120" w:line="276" w:lineRule="auto"/>
        <w:rPr>
          <w:rFonts w:eastAsia="Calibri" w:cstheme="minorHAnsi"/>
          <w:szCs w:val="20"/>
          <w:lang w:val="sr-Cyrl-CS" w:eastAsia="ja-JP"/>
        </w:rPr>
        <w:sectPr w:rsidR="001A5BCF" w:rsidRPr="00646254" w:rsidSect="00E96A1D">
          <w:footerReference w:type="even" r:id="rId145"/>
          <w:footerReference w:type="default" r:id="rId146"/>
          <w:headerReference w:type="first" r:id="rId147"/>
          <w:pgSz w:w="12240" w:h="15840" w:code="1"/>
          <w:pgMar w:top="1440" w:right="1440" w:bottom="1440" w:left="1440" w:header="720" w:footer="720" w:gutter="0"/>
          <w:cols w:space="720"/>
          <w:docGrid w:linePitch="360"/>
        </w:sectPr>
      </w:pPr>
    </w:p>
    <w:p w14:paraId="4E3CCCE1" w14:textId="77777777" w:rsidR="001A5BCF" w:rsidRPr="00646254" w:rsidRDefault="001A5BCF" w:rsidP="001A5BCF">
      <w:pPr>
        <w:spacing w:before="40" w:after="120" w:line="276" w:lineRule="auto"/>
        <w:rPr>
          <w:rFonts w:eastAsia="Calibri" w:cstheme="minorHAnsi"/>
          <w:szCs w:val="20"/>
          <w:lang w:val="sr-Cyrl-CS" w:eastAsia="ja-JP"/>
        </w:rPr>
      </w:pPr>
      <w:r w:rsidRPr="00646254">
        <w:rPr>
          <w:rFonts w:eastAsia="Calibri" w:cstheme="minorHAnsi"/>
          <w:szCs w:val="20"/>
          <w:lang w:val="sr-Cyrl-CS" w:eastAsia="ja-JP"/>
        </w:rPr>
        <w:t>У 2020. и 2021. години дошло је до промене тренда у јавним расходима с обзиром на размере кризе изазване пандемијом. Мере су биле значајне на расходној страни што је довело до једнократног повећања учешћа расходне стране буџета у БДП.</w:t>
      </w:r>
    </w:p>
    <w:p w14:paraId="0D8CAC02" w14:textId="77777777" w:rsidR="001A5BCF" w:rsidRPr="00646254" w:rsidRDefault="001A5BCF" w:rsidP="001A5BCF">
      <w:pPr>
        <w:spacing w:after="120" w:line="276" w:lineRule="auto"/>
        <w:rPr>
          <w:rFonts w:eastAsia="Calibri" w:cstheme="minorHAnsi"/>
          <w:szCs w:val="20"/>
          <w:lang w:val="sr-Cyrl-CS" w:eastAsia="ja-JP"/>
        </w:rPr>
      </w:pPr>
      <w:r w:rsidRPr="00646254">
        <w:rPr>
          <w:rFonts w:eastAsia="Calibri" w:cstheme="minorHAnsi"/>
          <w:szCs w:val="20"/>
          <w:lang w:val="sr-Cyrl-CS" w:eastAsia="ja-JP"/>
        </w:rPr>
        <w:t>На повећање расхода за запослене, чије учешће у БДП у 2020. години је износило 10,5% БДП, утицало је ванредно повећања зарада запослених у систему здравства, као и повећане исплате осталих облика дохотка као што су прековремени рад, награде и повећање броја запослених у овом сектору. С обзиром на ограничен фискални простор у наредном периоду зараде ће се повећавати умерено и уз контролу, водећи рачуна о њиховом учешћу у БДП.</w:t>
      </w:r>
    </w:p>
    <w:p w14:paraId="68AF7B27" w14:textId="170915B2" w:rsidR="001A5BCF" w:rsidRPr="00646254" w:rsidRDefault="001A5BCF" w:rsidP="001A5BCF">
      <w:pPr>
        <w:spacing w:after="120" w:line="276" w:lineRule="auto"/>
        <w:rPr>
          <w:rFonts w:eastAsia="Calibri" w:cstheme="minorHAnsi"/>
          <w:szCs w:val="20"/>
          <w:lang w:val="sr-Cyrl-CS" w:eastAsia="ja-JP"/>
        </w:rPr>
      </w:pPr>
      <w:r w:rsidRPr="00646254">
        <w:rPr>
          <w:rFonts w:eastAsia="Calibri" w:cstheme="minorHAnsi"/>
          <w:szCs w:val="20"/>
          <w:lang w:val="sr-Cyrl-CS" w:eastAsia="ja-JP"/>
        </w:rPr>
        <w:t>Законом о буџетском систему предвиђено је снижавање нивоа зарада без доприноса на терет послодавца до 7% БДП, међутим чини се да је тако таргетиран ниво зарада постављен доста ниско. Тренутно је учешће овако дефинисаних зарада у БДП око 8,7%. Просечан ниво зарада на нивоу опште државе у ЕУ је, пре пандемије, износио око 10% БДП, док је током 2020. године подигнут на 10,9%</w:t>
      </w:r>
      <w:r w:rsidR="005C2936" w:rsidRPr="00646254">
        <w:rPr>
          <w:rFonts w:eastAsia="Calibri" w:cstheme="minorHAnsi"/>
          <w:szCs w:val="20"/>
          <w:lang w:val="sr-Cyrl-CS" w:eastAsia="ja-JP"/>
        </w:rPr>
        <w:t xml:space="preserve"> </w:t>
      </w:r>
      <w:r w:rsidRPr="00646254">
        <w:rPr>
          <w:rFonts w:eastAsia="Calibri" w:cstheme="minorHAnsi"/>
          <w:szCs w:val="20"/>
          <w:lang w:val="sr-Cyrl-CS" w:eastAsia="ja-JP"/>
        </w:rPr>
        <w:t>БДП. Током 2020. године, у Србији, као и у свим земљама ЕУ, учешће расхода за запослене у БДП је повећано.</w:t>
      </w:r>
    </w:p>
    <w:p w14:paraId="2F146A60" w14:textId="77777777" w:rsidR="001A5BCF" w:rsidRPr="00646254" w:rsidRDefault="001A5BCF" w:rsidP="001A5BCF">
      <w:pPr>
        <w:spacing w:after="120" w:line="276" w:lineRule="auto"/>
        <w:rPr>
          <w:rFonts w:eastAsia="Calibri" w:cstheme="minorHAnsi"/>
          <w:color w:val="44546A"/>
          <w:szCs w:val="20"/>
          <w:lang w:val="sr-Cyrl-CS" w:eastAsia="ja-JP"/>
        </w:rPr>
      </w:pPr>
      <w:r w:rsidRPr="00646254">
        <w:rPr>
          <w:rFonts w:eastAsia="Calibri" w:cstheme="minorHAnsi"/>
          <w:szCs w:val="20"/>
          <w:lang w:val="sr-Cyrl-CS" w:eastAsia="ja-JP"/>
        </w:rPr>
        <w:t xml:space="preserve">У претходном периоду, започета је свеобухватна </w:t>
      </w:r>
      <w:r w:rsidRPr="00646254">
        <w:rPr>
          <w:rFonts w:eastAsia="Calibri" w:cstheme="minorHAnsi"/>
          <w:color w:val="44546A"/>
          <w:szCs w:val="20"/>
          <w:lang w:val="sr-Cyrl-CS" w:eastAsia="ja-JP"/>
        </w:rPr>
        <w:t>реформа система зарада у јавном сектору, која за циљ има обезбеђење правичности и смањење разлика између плата запослених у јавном сектору. С обзиром на ефекте пандемије на структуру запослених и нивое зараде у јавном сектору примена новог реформисаног система би требало да започне 2025. године.</w:t>
      </w:r>
    </w:p>
    <w:p w14:paraId="3D41AB3C" w14:textId="77777777" w:rsidR="001A5BCF" w:rsidRPr="00646254" w:rsidRDefault="001A5BCF" w:rsidP="001A5BCF">
      <w:pPr>
        <w:spacing w:after="120" w:line="276" w:lineRule="auto"/>
        <w:rPr>
          <w:rFonts w:eastAsia="Calibri" w:cstheme="minorHAnsi"/>
          <w:szCs w:val="20"/>
          <w:lang w:val="sr-Cyrl-CS" w:eastAsia="ja-JP"/>
        </w:rPr>
      </w:pPr>
      <w:r w:rsidRPr="00646254">
        <w:rPr>
          <w:rFonts w:eastAsia="Calibri" w:cstheme="minorHAnsi"/>
          <w:szCs w:val="20"/>
          <w:lang w:val="sr-Cyrl-CS" w:eastAsia="ja-JP"/>
        </w:rPr>
        <w:t>Током процеса консолидације на снази је била забрана запошљавања у јавном сектору. Са једне стране то је омогућавало контролу нивоа зарада, али се са друге стране повећао број уговора о раду на одређено време, као и недостатак кадрова у појединим деловима јавне управе. Сада је на снази флексибилнији начин контроле запошљавања, који је базиран на средњорочном планирању броја запослених у свим областима јавног сектора у складу са буџетским ограничењима.</w:t>
      </w:r>
    </w:p>
    <w:p w14:paraId="1B52E5C8" w14:textId="77777777" w:rsidR="001A5BCF" w:rsidRPr="00646254" w:rsidRDefault="001A5BCF" w:rsidP="001A5BCF">
      <w:pPr>
        <w:spacing w:after="120" w:line="276" w:lineRule="auto"/>
        <w:rPr>
          <w:rFonts w:eastAsia="Calibri" w:cstheme="minorHAnsi"/>
          <w:szCs w:val="20"/>
          <w:lang w:val="sr-Cyrl-CS" w:eastAsia="ja-JP"/>
        </w:rPr>
      </w:pPr>
      <w:r w:rsidRPr="00646254">
        <w:rPr>
          <w:rFonts w:eastAsia="Calibri" w:cstheme="minorHAnsi"/>
          <w:szCs w:val="20"/>
          <w:lang w:val="sr-Cyrl-CS" w:eastAsia="ja-JP"/>
        </w:rPr>
        <w:t>Издаци за робе и услуге ће се постепено смањивати у средњорочном периоду у смислу учешћа у БДП, с обзиром да је предвиђено да номинално расту спорије од раста номиналног БДП. Висок ниво у 2020. и 2021. години у највећој мери је резултат већих расхода у здравству.</w:t>
      </w:r>
    </w:p>
    <w:p w14:paraId="5645D9FC" w14:textId="77777777" w:rsidR="001A5BCF" w:rsidRPr="00646254" w:rsidRDefault="001A5BCF" w:rsidP="001A5BCF">
      <w:pPr>
        <w:spacing w:after="120" w:line="276" w:lineRule="auto"/>
        <w:rPr>
          <w:rFonts w:eastAsia="Calibri" w:cstheme="minorHAnsi"/>
          <w:szCs w:val="20"/>
          <w:lang w:val="sr-Cyrl-CS" w:eastAsia="ja-JP"/>
        </w:rPr>
      </w:pPr>
      <w:r w:rsidRPr="00646254">
        <w:rPr>
          <w:rFonts w:eastAsia="Calibri" w:cstheme="minorHAnsi"/>
          <w:szCs w:val="20"/>
          <w:lang w:val="sr-Cyrl-CS" w:eastAsia="ja-JP"/>
        </w:rPr>
        <w:t>Смањење расхода за камате један је од најбољих показатеља успешног вођене фискалне и монетарне политике, као и њихове пуне координације у претходном периоду. Добри фискални резултати у претходном периоду смањили су потребе за задуживањем, што је уз ублажавање монетарне политике довело до пада каматних стопа. У 2024. години ниво расхода за камате ће се смањити на 1,7% БДП.</w:t>
      </w:r>
    </w:p>
    <w:p w14:paraId="50C87874" w14:textId="77777777" w:rsidR="001A5BCF" w:rsidRPr="00646254" w:rsidRDefault="001A5BCF" w:rsidP="001A5BCF">
      <w:pPr>
        <w:spacing w:after="120" w:line="276" w:lineRule="auto"/>
        <w:rPr>
          <w:rFonts w:eastAsia="Calibri" w:cstheme="minorHAnsi"/>
          <w:szCs w:val="20"/>
          <w:lang w:val="sr-Cyrl-CS" w:eastAsia="ja-JP"/>
        </w:rPr>
      </w:pPr>
      <w:r w:rsidRPr="00646254">
        <w:rPr>
          <w:rFonts w:eastAsia="Calibri" w:cstheme="minorHAnsi"/>
          <w:szCs w:val="20"/>
          <w:lang w:val="sr-Cyrl-CS" w:eastAsia="ja-JP"/>
        </w:rPr>
        <w:t>Социјална помоћ и трансфери становништву представљају највећу расходну категорију буџета опште државе. Највећа појединачна ставка ове групе расхода, а уједно и највећа ставка свих расхода, су пензије, која је у 2020. години достигла ниво од 10,6% БДП. Од 2020. године пензије се усклађују са такозваном „швајцарском формулом”, како би се истовремено обезбедио раст животног стандарда пензионера и одрживост пензионог система и система јавних финансија. „Швајцарска формула” подразумева индексацију, односно увећање пензија једнако збиру половине стопе раста просечне зараде и половине стопе раста потрошачких цена. Процењује се да ће законска индексација пензија у наредном средњорочном периоду износити између 5 и 6%, у 2022. години ће износити 5,5%, а у 2021. години, конкретно, је износила 5,9%. Остали облици социјалних давања и трансфера становништву у наредном периоду усклађиваће се применом прописане индексације, текућих и планираних измена политика у овој области и са пројектованим бројем корисника. Учешће расхода за социјална давања у БДП опада са 14,7%, колико износи у 2020. години, на 12,6% у 2024. години. У 2022. години предвиђена је једнократна исплата свим пензионерима у износу од по 20.000 динара, односно око 34 млрд динара укупно, што ће се одразити и на учешће расхода за социјалну заштиту у БДП.</w:t>
      </w:r>
    </w:p>
    <w:p w14:paraId="35C1E72A" w14:textId="77777777" w:rsidR="001A5BCF" w:rsidRPr="00646254" w:rsidRDefault="001A5BCF" w:rsidP="001A5BCF">
      <w:pPr>
        <w:spacing w:after="120" w:line="276" w:lineRule="auto"/>
        <w:rPr>
          <w:rFonts w:eastAsia="Calibri" w:cstheme="minorHAnsi"/>
          <w:szCs w:val="20"/>
          <w:lang w:val="sr-Cyrl-CS" w:eastAsia="ja-JP"/>
        </w:rPr>
      </w:pPr>
      <w:r w:rsidRPr="00646254">
        <w:rPr>
          <w:rFonts w:eastAsia="Calibri" w:cstheme="minorHAnsi"/>
          <w:szCs w:val="20"/>
          <w:lang w:val="sr-Cyrl-CS" w:eastAsia="ja-JP"/>
        </w:rPr>
        <w:t>Смањење субвенција које служе као помоћ неефикасним сегментима јавног сектора омогућава повећање оног дела субвенција које представљају праве подстицаје привреди, пре свега пољопривреди и малим и средњим предузећима, и које доводе до убрзања привредне активности. Циљ је да се субвенционисана средства преусмере ка развојним програмима у привреди и пољопривреди. Раст субвенција у 2020. и 2021. години резултат је примене мера за превазилажење проблема изазваних пандемијском кризом.</w:t>
      </w:r>
    </w:p>
    <w:p w14:paraId="6ACDF4BF" w14:textId="77777777" w:rsidR="001A5BCF" w:rsidRPr="00646254" w:rsidRDefault="001A5BCF" w:rsidP="001A5BCF">
      <w:pPr>
        <w:spacing w:after="120" w:line="276" w:lineRule="auto"/>
        <w:rPr>
          <w:rFonts w:eastAsia="Calibri" w:cstheme="minorHAnsi"/>
          <w:szCs w:val="20"/>
          <w:lang w:val="sr-Cyrl-CS" w:eastAsia="ja-JP"/>
        </w:rPr>
      </w:pPr>
      <w:r w:rsidRPr="00646254">
        <w:rPr>
          <w:rFonts w:eastAsia="Calibri" w:cstheme="minorHAnsi"/>
          <w:szCs w:val="20"/>
          <w:lang w:val="sr-Cyrl-CS" w:eastAsia="ja-JP"/>
        </w:rPr>
        <w:t>Категорије осталих текућих расхода чине различити издаци, као што су дотације удружењима, политичким странкама, верским и спортским организацијама, казне, накнада штете итд. Као и код субвенција једнократни раст је узрокован фискалном реакцијом на кризу, а у наредном периоду се очекује смањење ових расхода у БДП.</w:t>
      </w:r>
    </w:p>
    <w:p w14:paraId="7A332FF4" w14:textId="77777777" w:rsidR="001A5BCF" w:rsidRPr="00646254" w:rsidRDefault="001A5BCF" w:rsidP="001A5BCF">
      <w:pPr>
        <w:spacing w:after="120" w:line="276" w:lineRule="auto"/>
        <w:rPr>
          <w:rFonts w:eastAsia="Calibri" w:cstheme="minorHAnsi"/>
          <w:szCs w:val="20"/>
          <w:lang w:val="sr-Cyrl-CS" w:eastAsia="ja-JP"/>
        </w:rPr>
      </w:pPr>
      <w:r w:rsidRPr="00646254">
        <w:rPr>
          <w:rFonts w:eastAsia="Calibri" w:cstheme="minorHAnsi"/>
          <w:szCs w:val="20"/>
          <w:lang w:val="sr-Cyrl-CS" w:eastAsia="ja-JP"/>
        </w:rPr>
        <w:t>Током претходне три године значајно је побољшана ефикасност извршења јавних инвестиција. Капитални расходи су повећани на 5,3% БДП у 2020. години захваљујући отпочињању новог циклуса инфраструктурних пројеката, а у 2021. години се очекује достизање нивоа од чак 7,8% БДП, упркос проблемима које је проузроковала пандемија. У наредном средњорочном периоду очекује се ниво улагања у јавну инфраструктуру који је знатно виши од оног у претходним годинама. Најзначајнији радови су на путној, железничкој, комуналној и водној инфраструктури који се углавном финансирају из међународних кредита. Поред саобраћајне инфраструктуре обезбеђена су средства за додатна капитална улагања у здравству, заштити животне средине, просвети, култури, одбрани и другим областима које представљају најважније функције државе. Ово је све део новог инвестиционог циклуса на националном нивоу који је омогућен стварањем фискалног простора и подржан повољним условима за задуживање на међународном финансијском тржишту.</w:t>
      </w:r>
    </w:p>
    <w:p w14:paraId="18C3AB7D" w14:textId="77777777" w:rsidR="001A5BCF" w:rsidRPr="00646254" w:rsidRDefault="001A5BCF" w:rsidP="001A5BCF">
      <w:pPr>
        <w:spacing w:after="120" w:line="276" w:lineRule="auto"/>
        <w:rPr>
          <w:rFonts w:eastAsia="Calibri" w:cstheme="minorHAnsi"/>
          <w:szCs w:val="20"/>
          <w:lang w:val="sr-Cyrl-CS" w:eastAsia="ja-JP"/>
        </w:rPr>
      </w:pPr>
      <w:r w:rsidRPr="00646254">
        <w:rPr>
          <w:rFonts w:eastAsia="Calibri" w:cstheme="minorHAnsi"/>
          <w:szCs w:val="20"/>
          <w:lang w:val="sr-Cyrl-CS" w:eastAsia="ja-JP"/>
        </w:rPr>
        <w:t>Опште опредељење фискалне политике у средњем року јесте повећање улагања у инфраструктуру на свим нивоима власти. Кад је реч о локалном нивоу власти то се пре свега односи на улагања у водоводну и канализациону инфраструктуру, управљању отпадом, локалну путну инфраструктуру и друго.</w:t>
      </w:r>
    </w:p>
    <w:p w14:paraId="25969A07" w14:textId="77777777" w:rsidR="001A5BCF" w:rsidRPr="00646254" w:rsidRDefault="001A5BCF" w:rsidP="001A5BCF">
      <w:pPr>
        <w:spacing w:after="120" w:line="276" w:lineRule="auto"/>
        <w:rPr>
          <w:rFonts w:eastAsia="Calibri" w:cstheme="minorHAnsi"/>
          <w:szCs w:val="20"/>
          <w:lang w:val="sr-Cyrl-CS" w:eastAsia="ja-JP"/>
        </w:rPr>
      </w:pPr>
      <w:r w:rsidRPr="00646254">
        <w:rPr>
          <w:rFonts w:eastAsia="Calibri" w:cstheme="minorHAnsi"/>
          <w:szCs w:val="20"/>
          <w:lang w:val="sr-Cyrl-CS" w:eastAsia="ja-JP"/>
        </w:rPr>
        <w:t>У средњорочном фискалном оквиру, до краја 2024. године, пројектована је избалансирана укупна фискална позиција локалне самоуправе. То значи да у збиру сви градови и општине имају приближно избалансиран буџет. Пројекција је рађена на основу кретања у претходном периоду, у коме су збирно ЈЛС најчешће биле у суфициту. Овакво стање на нивоу свих локалних самоуправа је последица раздуживања у претходном периоду. То не значи да појединачне ЈЛС не могу ићи у дефицит, што зависи од фискалне позиције сваке појединачне општине и града.</w:t>
      </w:r>
    </w:p>
    <w:p w14:paraId="1D9FBA30" w14:textId="77777777" w:rsidR="001A5BCF" w:rsidRPr="00646254" w:rsidRDefault="001A5BCF" w:rsidP="001A5BCF">
      <w:pPr>
        <w:spacing w:after="120" w:line="276" w:lineRule="auto"/>
        <w:rPr>
          <w:rFonts w:eastAsia="Calibri" w:cstheme="minorHAnsi"/>
          <w:szCs w:val="20"/>
          <w:lang w:val="sr-Cyrl-CS" w:eastAsia="ja-JP"/>
        </w:rPr>
      </w:pPr>
      <w:r w:rsidRPr="00646254">
        <w:rPr>
          <w:rFonts w:eastAsia="Calibri" w:cstheme="minorHAnsi"/>
          <w:szCs w:val="20"/>
          <w:lang w:val="sr-Cyrl-CS" w:eastAsia="ja-JP"/>
        </w:rPr>
        <w:t>Пројектовано је смањивање нивоа буџетских позајмица и отплате дуга по основу гаранција у наредном средњорочном периоду. Укупно учешће ове две категорије у БДП сведено је на 0,4% БДП у 2019. години уз привремени раст у 2020. и 2021. години. До краја 2024. године ови издаци ће бити минимални, са учешћем до 0,2% БДП.</w:t>
      </w:r>
    </w:p>
    <w:p w14:paraId="13B68D65" w14:textId="77777777" w:rsidR="001A5BCF" w:rsidRPr="00646254" w:rsidRDefault="001A5BCF" w:rsidP="001A5BCF">
      <w:pPr>
        <w:spacing w:after="120" w:line="276" w:lineRule="auto"/>
        <w:rPr>
          <w:rFonts w:eastAsia="Calibri" w:cstheme="minorHAnsi"/>
          <w:szCs w:val="20"/>
          <w:lang w:val="sr-Cyrl-CS" w:eastAsia="ja-JP"/>
        </w:rPr>
      </w:pPr>
      <w:r w:rsidRPr="00646254">
        <w:rPr>
          <w:rFonts w:eastAsia="Calibri" w:cstheme="minorHAnsi"/>
          <w:szCs w:val="20"/>
          <w:lang w:val="sr-Cyrl-CS" w:eastAsia="ja-JP"/>
        </w:rPr>
        <w:t>Отплата по основу издатих гаранција и плаћање гаранција по комерцијалним трансакцијама представљају обавезе по основу дуга јавних предузећа које је републички буџет преузео на себе, с обзиром да та предузећа нису могла самостално да их извршавају. Ови расходи су представљали велики терет за буџет с обзиром на дугогодишње неефикасно пословање великог броја државних предузећа и привредних друштава. У претходном периоду ови расходи су значајно смањени, а планом отплате предвиђено је да ће до 2024. године ови расходи бити на нивоу од 0,1% БДП.</w:t>
      </w:r>
    </w:p>
    <w:p w14:paraId="6E5A677B" w14:textId="77777777" w:rsidR="00E96A1D" w:rsidRPr="00646254" w:rsidRDefault="00E96A1D" w:rsidP="00BA4876">
      <w:pPr>
        <w:spacing w:after="120" w:line="276" w:lineRule="auto"/>
        <w:rPr>
          <w:rFonts w:eastAsia="Calibri" w:cstheme="minorHAnsi"/>
          <w:b/>
          <w:color w:val="2F5496" w:themeColor="accent1" w:themeShade="BF"/>
          <w:sz w:val="22"/>
          <w:szCs w:val="20"/>
          <w:lang w:val="sr-Cyrl-CS" w:eastAsia="ja-JP"/>
        </w:rPr>
      </w:pPr>
      <w:r w:rsidRPr="00646254">
        <w:rPr>
          <w:rFonts w:eastAsia="Calibri" w:cstheme="minorHAnsi"/>
          <w:b/>
          <w:color w:val="2F5496" w:themeColor="accent1" w:themeShade="BF"/>
          <w:sz w:val="22"/>
          <w:szCs w:val="20"/>
          <w:lang w:val="sr-Cyrl-CS" w:eastAsia="ja-JP"/>
        </w:rPr>
        <w:t>Структурне мере за унапређење стабилности и одрживости јавних финансија</w:t>
      </w:r>
      <w:r w:rsidRPr="00646254">
        <w:rPr>
          <w:rFonts w:eastAsia="Calibri" w:cstheme="minorHAnsi"/>
          <w:b/>
          <w:color w:val="2F5496" w:themeColor="accent1" w:themeShade="BF"/>
          <w:sz w:val="22"/>
          <w:szCs w:val="20"/>
          <w:vertAlign w:val="superscript"/>
          <w:lang w:val="sr-Cyrl-CS" w:eastAsia="ja-JP"/>
        </w:rPr>
        <w:footnoteReference w:id="5"/>
      </w:r>
    </w:p>
    <w:p w14:paraId="1D40CDC0" w14:textId="44B27200" w:rsidR="00E96A1D" w:rsidRPr="00646254" w:rsidRDefault="00E96A1D" w:rsidP="00E96A1D">
      <w:pPr>
        <w:spacing w:after="140" w:line="257" w:lineRule="auto"/>
        <w:rPr>
          <w:rFonts w:ascii="Calibri" w:eastAsia="Calibri" w:hAnsi="Calibri" w:cs="Calibri"/>
          <w:color w:val="44546A"/>
          <w:szCs w:val="20"/>
          <w:lang w:val="sr-Cyrl-CS" w:eastAsia="ja-JP"/>
        </w:rPr>
      </w:pPr>
      <w:r w:rsidRPr="00646254">
        <w:rPr>
          <w:rFonts w:ascii="Calibri" w:eastAsia="Calibri" w:hAnsi="Calibri" w:cs="Calibri"/>
          <w:color w:val="44546A"/>
          <w:szCs w:val="20"/>
          <w:lang w:val="sr-Cyrl-CS" w:eastAsia="ja-JP"/>
        </w:rPr>
        <w:t>У тренутку писања овог документа Република Србија се и даље налази у неизвесним условима проузрокованим пандемијом COVID-19, спроводећи трећи пакет мера подршке привреди и становништву, уз истовремену борбу за здравље и животе својих грађана, новоизграђене болничке капацитете и фабрике вакцина и обезбеђене довољне количине вакцина за све грађане, што би у догледно време требало да обезбеди повратак државе и друштва у нормалне токове. Након што је почетком године успешно окончан аранжман с ММФ – Република Србија је у јуну са овом институцијом склопила нови аранжман саветодавног карактера. Нови програм сарадње - Инструмент за координацију политика (</w:t>
      </w:r>
      <w:r w:rsidRPr="00646254">
        <w:rPr>
          <w:rFonts w:ascii="Calibri" w:eastAsia="Calibri" w:hAnsi="Calibri" w:cs="Calibri"/>
          <w:i/>
          <w:color w:val="44546A"/>
          <w:szCs w:val="20"/>
          <w:lang w:val="sr-Cyrl-CS" w:eastAsia="ja-JP"/>
        </w:rPr>
        <w:t>Policy Coordination Instrument</w:t>
      </w:r>
      <w:r w:rsidRPr="00646254">
        <w:rPr>
          <w:rFonts w:ascii="Calibri" w:eastAsia="Calibri" w:hAnsi="Calibri" w:cs="Calibri"/>
          <w:color w:val="44546A"/>
          <w:szCs w:val="20"/>
          <w:lang w:val="sr-Cyrl-CS" w:eastAsia="ja-JP"/>
        </w:rPr>
        <w:t xml:space="preserve"> – PCI) трајаће од јуна 2021. до краја 2023. године, односно 30 месеци.</w:t>
      </w:r>
    </w:p>
    <w:p w14:paraId="5A220029" w14:textId="77777777" w:rsidR="00E96A1D" w:rsidRPr="00646254" w:rsidRDefault="00E96A1D" w:rsidP="00E96A1D">
      <w:pPr>
        <w:spacing w:after="140" w:line="257" w:lineRule="auto"/>
        <w:rPr>
          <w:rFonts w:ascii="Calibri" w:eastAsia="Calibri" w:hAnsi="Calibri" w:cs="Calibri"/>
          <w:color w:val="44546A"/>
          <w:spacing w:val="-2"/>
          <w:szCs w:val="20"/>
          <w:lang w:val="sr-Cyrl-CS" w:eastAsia="ja-JP"/>
        </w:rPr>
      </w:pPr>
      <w:r w:rsidRPr="00646254">
        <w:rPr>
          <w:rFonts w:ascii="Calibri" w:eastAsia="Calibri" w:hAnsi="Calibri" w:cs="Calibri"/>
          <w:color w:val="44546A"/>
          <w:spacing w:val="-2"/>
          <w:szCs w:val="20"/>
          <w:lang w:val="sr-Cyrl-CS" w:eastAsia="ja-JP"/>
        </w:rPr>
        <w:t>Нови аранжман наставља да пружа подршку очувању макроекономске и фискалне стабилности, јачању финансијског сектора, уз даљи процес динаризације и развој тржишта капитала, што би требало да, заједно са институционалним и структурним реформама, обезбеди високе стопе зеленог, инклузивног и одрживог раста у средњем року.</w:t>
      </w:r>
    </w:p>
    <w:p w14:paraId="656D14B0" w14:textId="77777777" w:rsidR="00E96A1D" w:rsidRPr="00646254" w:rsidRDefault="00E96A1D" w:rsidP="00E96A1D">
      <w:pPr>
        <w:spacing w:after="140" w:line="257" w:lineRule="auto"/>
        <w:rPr>
          <w:rFonts w:ascii="Calibri" w:eastAsia="Calibri" w:hAnsi="Calibri" w:cs="Calibri"/>
          <w:color w:val="44546A"/>
          <w:spacing w:val="-2"/>
          <w:szCs w:val="20"/>
          <w:lang w:val="sr-Cyrl-CS" w:eastAsia="ja-JP"/>
        </w:rPr>
      </w:pPr>
      <w:r w:rsidRPr="00646254">
        <w:rPr>
          <w:rFonts w:ascii="Calibri" w:eastAsia="Calibri" w:hAnsi="Calibri" w:cs="Calibri"/>
          <w:color w:val="44546A"/>
          <w:spacing w:val="-2"/>
          <w:szCs w:val="20"/>
          <w:lang w:val="sr-Cyrl-CS" w:eastAsia="ja-JP"/>
        </w:rPr>
        <w:t>Како би се обезбедила стабилност и одрживост јавних финансија на дужи рок потребан је функционалан систем фискалних правила. Тренутно важећа фискална правила су уведена још 2010. године, али нису помогла у заустављању раста дефицита и јавног дуга. Због пандемије је одложено доношење новог сета фискалних правила. Од 2020. године поново је уведена индексација пензија, где се пензије усклађују коришћењем „швајцарске формуле”, уз поштовање лимита од 11% БДП за укупне расходе за пензије. Током идуће године очекује се усвајање фискалног правила које дефинише ниво дефицита и којим се обезбеђује да ниво јавног дуга буде постављен на силазну путању. Приликом дефинисања новог сета фискалних правила, осим Министарства финансија, активно учешће имаће ММФ и Фискални савет.</w:t>
      </w:r>
    </w:p>
    <w:p w14:paraId="24BF7E14" w14:textId="77777777" w:rsidR="00E96A1D" w:rsidRPr="00646254" w:rsidRDefault="00E96A1D" w:rsidP="00E96A1D">
      <w:pPr>
        <w:spacing w:after="140" w:line="257" w:lineRule="auto"/>
        <w:rPr>
          <w:rFonts w:ascii="Calibri" w:eastAsia="Calibri" w:hAnsi="Calibri" w:cs="Calibri"/>
          <w:color w:val="44546A"/>
          <w:szCs w:val="20"/>
          <w:lang w:val="sr-Cyrl-CS" w:eastAsia="ja-JP"/>
        </w:rPr>
      </w:pPr>
      <w:r w:rsidRPr="00646254">
        <w:rPr>
          <w:rFonts w:ascii="Calibri" w:eastAsia="Calibri" w:hAnsi="Calibri" w:cs="Calibri"/>
          <w:color w:val="44546A"/>
          <w:szCs w:val="20"/>
          <w:lang w:val="sr-Cyrl-CS" w:eastAsia="ja-JP"/>
        </w:rPr>
        <w:t>У наредном периоду очекује се наставак реформи у области запошљавања, управљања кадровима и система плата у сектору државе. Циљ фискалне политике у средњем року је задржавање расхода за запослене на одрживом нивоу, уз адекватну структуру запослених, како би се обезбедио већи квалитет пружених услуга. У наредном средњорочном периоду акценат је на структурним мерама, које би преко планирања броја запослених с једне стране и успостављања новог система плата у сектору државе, с друге стране, допринеле повећању ефикасности и квалитету пружених јавних услуга.</w:t>
      </w:r>
    </w:p>
    <w:p w14:paraId="61548C72" w14:textId="77777777" w:rsidR="00E96A1D" w:rsidRPr="00646254" w:rsidRDefault="00E96A1D" w:rsidP="00E96A1D">
      <w:pPr>
        <w:spacing w:after="140" w:line="257" w:lineRule="auto"/>
        <w:rPr>
          <w:rFonts w:ascii="Calibri" w:eastAsia="Calibri" w:hAnsi="Calibri" w:cs="Calibri"/>
          <w:szCs w:val="20"/>
          <w:lang w:val="sr-Cyrl-CS" w:eastAsia="ja-JP"/>
        </w:rPr>
      </w:pPr>
      <w:r w:rsidRPr="00646254">
        <w:rPr>
          <w:rFonts w:ascii="Calibri" w:eastAsia="Calibri" w:hAnsi="Calibri" w:cs="Calibri"/>
          <w:color w:val="44546A"/>
          <w:szCs w:val="20"/>
          <w:lang w:val="sr-Cyrl-CS" w:eastAsia="ja-JP"/>
        </w:rPr>
        <w:t xml:space="preserve">2016. године усвојен је Закон о систему плата у јавном сектору, а затим су усвојена и одговарајућа подзаконска акта, којима се на систематичан и транспарентан начин уређује ова област, с циљем да се у наредном периоду у целом јавном сектору обезбеди једнак ниво плата за исту врсту посла. </w:t>
      </w:r>
    </w:p>
    <w:p w14:paraId="039CE0B0" w14:textId="77777777" w:rsidR="00E96A1D" w:rsidRPr="00646254" w:rsidRDefault="00E96A1D" w:rsidP="00E96A1D">
      <w:pPr>
        <w:spacing w:after="140" w:line="257" w:lineRule="auto"/>
        <w:rPr>
          <w:rFonts w:ascii="Calibri" w:eastAsia="Calibri" w:hAnsi="Calibri" w:cs="Calibri"/>
          <w:color w:val="44546A"/>
          <w:szCs w:val="20"/>
          <w:lang w:val="sr-Cyrl-CS" w:eastAsia="ja-JP"/>
        </w:rPr>
      </w:pPr>
      <w:r w:rsidRPr="00646254">
        <w:rPr>
          <w:rFonts w:ascii="Calibri" w:eastAsia="Calibri" w:hAnsi="Calibri" w:cs="Calibri"/>
          <w:color w:val="44546A"/>
          <w:szCs w:val="20"/>
          <w:lang w:val="sr-Cyrl-CS" w:eastAsia="ja-JP"/>
        </w:rPr>
        <w:t>Постојећи систем запошљавања, којим руководи Владина Комисија за давање сагласности за ново запошљавање и додатно радно ангажовање код корисника јавних средстава наставиће да функционише у прелазном периоду до 2023. године, односно све док нови систем не буде у потпуности оперативан. Крајем прошле године усвојене су измене Закона о буџетском систему како би било омогућено да у прелазном периоду институције могу да ангажују нова лица до нивоа од 70% оних који напуштају институцију или одлазе у пензију, док је дозвола Комисије потребна уколико број новозапослених пређе 70%. Смисао ове мере је да се обезбеди већа флексибилност у запошљавању на нивоу самих институција, у складу с њиховим потребама за новим кадровима. Такође, постављен је и лимит од 1% за повећање укупног броја запослених на неодређено време у односу на ниво с краја 2020. године. У току је и израда електронског регистра запослених у јавном сектору „Искра”, који би требало да буде имплементиран до краја 2023. године, а пилот пројекат који обухвата запослене у Министарству финансија је већ оперативан. Суштина овог система је боље планирање, извршење и контрола расхода за плате запослених, већа транспарентност и боље управљање људским ресурсима.</w:t>
      </w:r>
    </w:p>
    <w:p w14:paraId="3464694D" w14:textId="77777777" w:rsidR="00E96A1D" w:rsidRPr="00646254" w:rsidRDefault="00E96A1D" w:rsidP="00E96A1D">
      <w:pPr>
        <w:spacing w:after="140" w:line="257" w:lineRule="auto"/>
        <w:rPr>
          <w:rFonts w:ascii="Calibri" w:eastAsia="Calibri" w:hAnsi="Calibri" w:cs="Calibri"/>
          <w:color w:val="44546A"/>
          <w:szCs w:val="20"/>
          <w:lang w:val="sr-Cyrl-CS" w:eastAsia="ja-JP"/>
        </w:rPr>
      </w:pPr>
      <w:r w:rsidRPr="00646254">
        <w:rPr>
          <w:rFonts w:ascii="Calibri" w:eastAsia="Calibri" w:hAnsi="Calibri" w:cs="Calibri"/>
          <w:color w:val="44546A"/>
          <w:szCs w:val="20"/>
          <w:lang w:val="sr-Cyrl-CS" w:eastAsia="ja-JP"/>
        </w:rPr>
        <w:t>У циљу смањења различитих облика буџетске подршке јавним и државним предузећима наставља се са њиховим реформама. Смањење буџетске подршке овим предузећима подразумева: а) ограничење директних и индиректних субвенција, б) забрану издавања гаранција за подршку ликвидности и в) јачање одговорности и транспарентности у пословању ових предузећа, укључујући и контролу и смањење доцњи у плаћањима, нарочито према ЈП ЕПС и ЈП „Србијагас” и превенцију њиховог гомилања у будућности.</w:t>
      </w:r>
    </w:p>
    <w:p w14:paraId="0B286CA4" w14:textId="77777777" w:rsidR="00E96A1D" w:rsidRPr="00646254" w:rsidRDefault="00E96A1D" w:rsidP="00E96A1D">
      <w:pPr>
        <w:spacing w:after="140" w:line="257" w:lineRule="auto"/>
        <w:rPr>
          <w:rFonts w:ascii="Calibri" w:eastAsia="Calibri" w:hAnsi="Calibri" w:cs="Calibri"/>
          <w:szCs w:val="20"/>
          <w:lang w:val="sr-Cyrl-CS" w:eastAsia="ja-JP"/>
        </w:rPr>
      </w:pPr>
      <w:r w:rsidRPr="00646254">
        <w:rPr>
          <w:rFonts w:ascii="Calibri" w:eastAsia="Calibri" w:hAnsi="Calibri" w:cs="Calibri"/>
          <w:szCs w:val="20"/>
          <w:lang w:val="sr-Cyrl-CS" w:eastAsia="ja-JP"/>
        </w:rPr>
        <w:t>Статус предузећа из портфолија бивше Агенције за приватизацију решава се кроз поступак стечаја или приватизације. До октобра 2021. године проглашен је стечај за више од 310 предузећа, док је 68 приватизовано од краја 2014. године. Око 36.000 запослених из 357 предузећа прихватило је социјални програм. Интензивно се ради на проналажењу решења за још 76 предузећа са готово 28.000 запослених.</w:t>
      </w:r>
    </w:p>
    <w:p w14:paraId="28DC95DD" w14:textId="77777777" w:rsidR="00E96A1D" w:rsidRPr="00646254" w:rsidRDefault="00E96A1D" w:rsidP="00E96A1D">
      <w:pPr>
        <w:spacing w:after="140" w:line="257" w:lineRule="auto"/>
        <w:rPr>
          <w:rFonts w:ascii="Calibri" w:eastAsia="Calibri" w:hAnsi="Calibri" w:cs="Calibri"/>
          <w:szCs w:val="20"/>
          <w:lang w:val="sr-Cyrl-CS" w:eastAsia="ja-JP"/>
        </w:rPr>
      </w:pPr>
      <w:r w:rsidRPr="00646254">
        <w:rPr>
          <w:rFonts w:ascii="Calibri" w:eastAsia="Calibri" w:hAnsi="Calibri" w:cs="Calibri"/>
          <w:szCs w:val="20"/>
          <w:lang w:val="sr-Cyrl-CS" w:eastAsia="ja-JP"/>
        </w:rPr>
        <w:t>Влада је, уз подршку ЕБРД, усвојила Стратегију државног власништва и управљања привредним субјектима који су у власништву Републике Србије за период од 2021. до 2027. године као јединствени акт који пружа стратешку визију и упутства у вези са циљевима власничког управљања, циљевима финансијских и јавних политика, као и принципима корпоративног управљања и праксама надзора у складу са међународним стандардима и најбољом праксом.</w:t>
      </w:r>
    </w:p>
    <w:p w14:paraId="316E014C" w14:textId="77777777" w:rsidR="00E96A1D" w:rsidRPr="00646254" w:rsidRDefault="00E96A1D" w:rsidP="00E96A1D">
      <w:pPr>
        <w:spacing w:after="140" w:line="257" w:lineRule="auto"/>
        <w:rPr>
          <w:rFonts w:ascii="Calibri" w:eastAsia="Calibri" w:hAnsi="Calibri" w:cs="Calibri"/>
          <w:szCs w:val="20"/>
          <w:lang w:val="sr-Cyrl-CS" w:eastAsia="ja-JP"/>
        </w:rPr>
      </w:pPr>
      <w:r w:rsidRPr="00646254">
        <w:rPr>
          <w:rFonts w:ascii="Calibri" w:eastAsia="Calibri" w:hAnsi="Calibri" w:cs="Calibri"/>
          <w:szCs w:val="20"/>
          <w:lang w:val="sr-Cyrl-CS" w:eastAsia="ja-JP"/>
        </w:rPr>
        <w:t>За предузећа која чине стратешке компаније из портфолија бивше Агенције за приватизацију, решење се налази или кроз приватизационе тендере, или кроз стечај. За саобраћајно предузеће „Ласта” АД Београд изабран је приватизациони саветник још 2019. године, приводи се крају поступак процене капитала и постоје заинтересована лица за приватизацију. Уз подршку Светске банке дефинисан је акциони план за ЈП ПЕУ „Ресавица”, чије спровођење укључује проналажење решења за затварање економски неодрживих рудника и план рационализације, уз могућност добровољног одласка уз обезбеђена средства за социјални програм и средства за подршку пословању како не би дошло до гомилања доцњи у плаћањима, нарочито према ЈП ЕПС. На јавни позив за избор стратешког инвеститора за ХИП – Петрохемија пристигла је једна пријава, коју је доставила компанија НИС. Предмет јавног позива био је избор стратешког инвеститора који новчаном докапитализацијом субјекта приватизације у износу од 150 милиона евра постаје власник највише 90 одсто удела. Уколико понуда буде прихваћена приватизација се очекује до краја године. За ХИП Азотара је у септембру 2018. године проглашен стечај, а након неколико неуспелих лицитација компанија је у мају ове године продата компанији Промист д.о.о. док се за МСК Кикинда решење тражи у налажењу стратешких партнера или инвеститора.</w:t>
      </w:r>
    </w:p>
    <w:p w14:paraId="64349B6C" w14:textId="77777777" w:rsidR="00E96A1D" w:rsidRPr="00646254" w:rsidRDefault="00E96A1D" w:rsidP="00E96A1D">
      <w:pPr>
        <w:spacing w:after="140" w:line="257" w:lineRule="auto"/>
        <w:rPr>
          <w:rFonts w:ascii="Calibri" w:eastAsia="Calibri" w:hAnsi="Calibri" w:cs="Calibri"/>
          <w:color w:val="44546A"/>
          <w:szCs w:val="20"/>
          <w:lang w:val="sr-Cyrl-CS" w:eastAsia="ja-JP"/>
        </w:rPr>
      </w:pPr>
      <w:r w:rsidRPr="00646254">
        <w:rPr>
          <w:rFonts w:ascii="Calibri" w:eastAsia="Calibri" w:hAnsi="Calibri" w:cs="Calibri"/>
          <w:color w:val="44546A"/>
          <w:szCs w:val="20"/>
          <w:lang w:val="sr-Cyrl-CS" w:eastAsia="ja-JP"/>
        </w:rPr>
        <w:t>За одређени број компанија у државном власништву се траже стратешки партнери или други модели приватизације, односно спровођење унапред припремљених планова реорганизације (УППР).</w:t>
      </w:r>
    </w:p>
    <w:p w14:paraId="513B5DC4" w14:textId="77777777" w:rsidR="00E96A1D" w:rsidRPr="00646254" w:rsidRDefault="00E96A1D" w:rsidP="00E96A1D">
      <w:pPr>
        <w:spacing w:after="140" w:line="257" w:lineRule="auto"/>
        <w:rPr>
          <w:rFonts w:ascii="Calibri" w:eastAsia="Calibri" w:hAnsi="Calibri" w:cs="Calibri"/>
          <w:color w:val="44546A"/>
          <w:szCs w:val="20"/>
          <w:lang w:val="sr-Cyrl-CS" w:eastAsia="ja-JP"/>
        </w:rPr>
      </w:pPr>
      <w:r w:rsidRPr="00646254">
        <w:rPr>
          <w:rFonts w:ascii="Calibri" w:eastAsia="Calibri" w:hAnsi="Calibri" w:cs="Calibri"/>
          <w:color w:val="44546A"/>
          <w:szCs w:val="20"/>
          <w:lang w:val="sr-Cyrl-CS" w:eastAsia="ja-JP"/>
        </w:rPr>
        <w:t>Побољшање управљања јавним финансијама је нужно не само као подршка мерама фискалне стабилизације и структурним реформама, већ као процес који подиже квалитет државне управе и осигурава привлачан амбијент за инвеститоре. Нови Програм реформе управљања јавним финансијама за период од 2021–2025. године усвојен је у јуну ове године.</w:t>
      </w:r>
    </w:p>
    <w:p w14:paraId="6D8918BE" w14:textId="328D56AE" w:rsidR="00E96A1D" w:rsidRPr="00646254" w:rsidRDefault="00E96A1D" w:rsidP="00E96A1D">
      <w:pPr>
        <w:spacing w:after="140" w:line="257" w:lineRule="auto"/>
        <w:rPr>
          <w:rFonts w:ascii="Calibri" w:eastAsia="Calibri" w:hAnsi="Calibri" w:cs="Calibri"/>
          <w:color w:val="44546A"/>
          <w:szCs w:val="20"/>
          <w:lang w:val="sr-Cyrl-CS" w:eastAsia="ja-JP"/>
        </w:rPr>
      </w:pPr>
      <w:r w:rsidRPr="00646254">
        <w:rPr>
          <w:rFonts w:ascii="Calibri" w:eastAsia="Calibri" w:hAnsi="Calibri" w:cs="Calibri"/>
          <w:color w:val="44546A"/>
          <w:szCs w:val="20"/>
          <w:lang w:val="sr-Cyrl-CS" w:eastAsia="ja-JP"/>
        </w:rPr>
        <w:t>Информациони систем извршења буџета – ИСИБ, је део система управљања јавним финансијама који обухвата процесе и поступке који се спроводе електронском комуникацијом са Управом за трезор у саставу Министарства финансија. Развој овог система ће омогућити укључивање свих индиректних корисника централног нивоа власти. У систем су укључени директни корисници јавних средстава, правосудни органи и индиректни корисници Министарства културе и информисања, Министарства за рад, запошљавање, борачка и социјална питања и Управе за извршење кривичних санкција, који нису били део претходног система (ФМИС), којег је ИСИБ заменио почетком 2018. године. Ван система се налазе индиректни корисници Министарства просвете, науке и технолошког развоја, чије се укључивање очекује у наредном периоду. Систем је оспособљен да убудуће омогући интеграцију нових корисника.</w:t>
      </w:r>
    </w:p>
    <w:p w14:paraId="3F872A7C" w14:textId="77777777" w:rsidR="00E96A1D" w:rsidRPr="00646254" w:rsidRDefault="00E96A1D" w:rsidP="00E96A1D">
      <w:pPr>
        <w:spacing w:after="140" w:line="257" w:lineRule="auto"/>
        <w:rPr>
          <w:rFonts w:ascii="Calibri" w:eastAsia="Calibri" w:hAnsi="Calibri" w:cs="Calibri"/>
          <w:color w:val="44546A"/>
          <w:szCs w:val="20"/>
          <w:lang w:val="sr-Cyrl-CS" w:eastAsia="ja-JP"/>
        </w:rPr>
      </w:pPr>
      <w:r w:rsidRPr="00646254">
        <w:rPr>
          <w:rFonts w:ascii="Calibri" w:eastAsia="Calibri" w:hAnsi="Calibri" w:cs="Calibri"/>
          <w:color w:val="44546A"/>
          <w:szCs w:val="20"/>
          <w:lang w:val="sr-Cyrl-CS" w:eastAsia="ja-JP"/>
        </w:rPr>
        <w:t>Област управљања јавним финансијама којој је озбиљно посвећена пажња и на чијем се унапређењу ради је управљање јавним инвестицијама. Јачањем оквира управљања јавним инвестицијама интензивирају се нови инфраструктурни пројекти и подиже квалитет постојеће инфраструктуре. У априлу 2018. године усвојен је Закон о планском систему Републике Србије, којим је успостављен национални оквир за планирање и којим су дефинисани План развоја и Инвестициони план. Систем управљања јавним инвестицијама, који се развија уз помоћ Светске банке, укључује интегрисану базу података о инвестиционим пројектима, која је тренутно у развоју и успостављену јединствену листу приоритетних пројеката (</w:t>
      </w:r>
      <w:r w:rsidRPr="00646254">
        <w:rPr>
          <w:rFonts w:ascii="Calibri" w:eastAsia="Calibri" w:hAnsi="Calibri" w:cs="Calibri"/>
          <w:i/>
          <w:color w:val="44546A"/>
          <w:szCs w:val="20"/>
          <w:lang w:val="sr-Cyrl-CS" w:eastAsia="ja-JP"/>
        </w:rPr>
        <w:t>Single Project Pipeline</w:t>
      </w:r>
      <w:r w:rsidRPr="00646254">
        <w:rPr>
          <w:rFonts w:ascii="Calibri" w:eastAsia="Calibri" w:hAnsi="Calibri" w:cs="Calibri"/>
          <w:color w:val="44546A"/>
          <w:szCs w:val="20"/>
          <w:lang w:val="sr-Cyrl-CS" w:eastAsia="ja-JP"/>
        </w:rPr>
        <w:t>), како би систем почео с функционисањем почетком идуће године, а до краја године постао потпуно функционалан.</w:t>
      </w:r>
    </w:p>
    <w:p w14:paraId="3F759B75" w14:textId="77777777" w:rsidR="00E96A1D" w:rsidRPr="00646254" w:rsidRDefault="00E96A1D" w:rsidP="00E96A1D">
      <w:pPr>
        <w:spacing w:after="140" w:line="257" w:lineRule="auto"/>
        <w:rPr>
          <w:rFonts w:ascii="Calibri" w:eastAsia="Calibri" w:hAnsi="Calibri" w:cs="Calibri"/>
          <w:color w:val="44546A"/>
          <w:spacing w:val="-2"/>
          <w:szCs w:val="20"/>
          <w:lang w:val="sr-Cyrl-CS" w:eastAsia="ja-JP"/>
        </w:rPr>
      </w:pPr>
      <w:r w:rsidRPr="00646254">
        <w:rPr>
          <w:rFonts w:ascii="Calibri" w:eastAsia="Calibri" w:hAnsi="Calibri" w:cs="Calibri"/>
          <w:color w:val="44546A"/>
          <w:spacing w:val="-2"/>
          <w:szCs w:val="20"/>
          <w:lang w:val="sr-Cyrl-CS" w:eastAsia="ja-JP"/>
        </w:rPr>
        <w:t>Јавно-приватна партнерства (</w:t>
      </w:r>
      <w:r w:rsidRPr="00646254">
        <w:rPr>
          <w:rFonts w:ascii="Calibri" w:eastAsia="Calibri" w:hAnsi="Calibri" w:cs="Calibri"/>
          <w:i/>
          <w:color w:val="44546A"/>
          <w:spacing w:val="-2"/>
          <w:szCs w:val="20"/>
          <w:lang w:val="sr-Cyrl-CS" w:eastAsia="ja-JP"/>
        </w:rPr>
        <w:t>Public-Private Partnerships</w:t>
      </w:r>
      <w:r w:rsidRPr="00646254">
        <w:rPr>
          <w:rFonts w:ascii="Calibri" w:eastAsia="Calibri" w:hAnsi="Calibri" w:cs="Calibri"/>
          <w:color w:val="44546A"/>
          <w:spacing w:val="-2"/>
          <w:szCs w:val="20"/>
          <w:lang w:val="sr-Cyrl-CS" w:eastAsia="ja-JP"/>
        </w:rPr>
        <w:t xml:space="preserve"> – PPP), као специфичан вид сарадње државе и приватног сектора захтевају посебну пажњу и опрез, стога ће Министарство финансија убудуће вршити процену свих предлога с гледишта анализе трошкова и користи и поделе ризика.</w:t>
      </w:r>
    </w:p>
    <w:p w14:paraId="1DD9AB20" w14:textId="77777777" w:rsidR="00E96A1D" w:rsidRPr="00646254" w:rsidRDefault="00E96A1D" w:rsidP="00E96A1D">
      <w:pPr>
        <w:spacing w:after="140" w:line="257" w:lineRule="auto"/>
        <w:rPr>
          <w:rFonts w:ascii="Calibri" w:eastAsia="Calibri" w:hAnsi="Calibri" w:cs="Calibri"/>
          <w:color w:val="44546A"/>
          <w:szCs w:val="20"/>
          <w:lang w:val="sr-Cyrl-CS" w:eastAsia="ja-JP"/>
        </w:rPr>
      </w:pPr>
      <w:r w:rsidRPr="00646254">
        <w:rPr>
          <w:rFonts w:ascii="Calibri" w:eastAsia="Calibri" w:hAnsi="Calibri" w:cs="Calibri"/>
          <w:color w:val="44546A"/>
          <w:szCs w:val="20"/>
          <w:lang w:val="sr-Cyrl-CS" w:eastAsia="ja-JP"/>
        </w:rPr>
        <w:t>Нови Акциони план трансформације Пореске управе за период 2021–2025. године усвојен у мају 2021. године, дефинише стратешке смернице и временске рокове у којим ће бити спроведене активности потребне за стварање модерне пореске администрације, која ће, уз коришћење савремених електронских процеса пружити бољу и свеобухватнију услугу пореским обвезницима и бољу контролу и наплату прихода, односно поспешити борбу против сиве економије, заједно са реформом и модернизацијом инспекцијског надзора. Спроведено је организационо раздвајање основних активности од оних које се сматрају споредним, с тим да се основне активности сад обављају у мањем броју организационих јединица, односно извршена је њихова консолидација. Анализа пословних процеса и потребних ресурса, омогућиће развијање адекватне организационе структуре и менаџмента, унапређење управљања пројектима и дизајн адекватне структуре запослених. Следећа фаза реформи је усмерена на информационе системе. Уводи се нови модел фискализације (е-фискализација), који ће омогућити контролу у реалном времену, смањити трошкове, повећати ефикасност и створити боље пословно окружење. У новембру почиње процес преласка на нови систем, а прелазни период ће трајати до краја априла следеће године. Држава ће овај процес потпомоћи директним субвенцијама пореским обвезницима за набавку нових фискалних уређаја у износу од 100 евра за сваку локацију и додатних 100 евра за сваки уређај, за које су пријаве већ почеле и трајаће до краја 2022. године. Наставља се спровођење мера које за циљ имају смањење просечног времена за повраћај ПДВ, односно поштовање прописаних рокова, уз примену начела опрезности, како би се могућности превара свеле на минимум, а обвезницима с ниским ризиком повраћаји били исплаћени што раније. Центар за велике пореске обвезнике (ЦВПО) ће проширити свој делокруг, односно биће повећан број субјеката који своје пореске обавезе измирују преко овог система, а истовремено се ради и на јачању капацитета ове веома значајне организационе јединице у оквиру Пореске управе. Усвајањем Закона о утврђивању порекла имовине и посебном порезу и образовањем посебне организационе јединице Пореске управе, створили су се услови за унакрсну анализу имовине и прихода лица, како би се истражили случајеви неоснованог обогаћења и утврдиле обавезе по основу посебног пореза. Пореска управа је имала значајну улогу у спровођењу дела мера које су предузете као одговор на кризу изазвану COVID-19: одлагање плаћања пореза на зараде и доприносе и њихово плаћање на 24 рате, почевши од јануара ове године, одлагање плаћања аконтације пореза на добит правних лица за други квартал 2020. године, тромесечни мораторијум на принудну наплату и смањење камате на порески дуг.</w:t>
      </w:r>
    </w:p>
    <w:p w14:paraId="4286B960" w14:textId="47AFBB25" w:rsidR="00E96A1D" w:rsidRPr="00646254" w:rsidRDefault="00E96A1D" w:rsidP="00E96A1D">
      <w:pPr>
        <w:spacing w:line="276" w:lineRule="auto"/>
        <w:rPr>
          <w:rFonts w:ascii="Calibri" w:eastAsia="Calibri" w:hAnsi="Calibri" w:cs="Calibri"/>
          <w:color w:val="44546A"/>
          <w:szCs w:val="20"/>
          <w:lang w:val="sr-Cyrl-CS" w:eastAsia="ja-JP"/>
        </w:rPr>
      </w:pPr>
      <w:r w:rsidRPr="00646254">
        <w:rPr>
          <w:rFonts w:ascii="Calibri" w:eastAsia="Calibri" w:hAnsi="Calibri" w:cs="Calibri"/>
          <w:color w:val="44546A"/>
          <w:szCs w:val="20"/>
          <w:lang w:val="sr-Cyrl-CS" w:eastAsia="ja-JP"/>
        </w:rPr>
        <w:t>Побољшање квалитета и транспарентности националне статистике се врши кроз унапређење свеобухватне, правовремене и аутоматске размене података између надлежних институција. У априлу 2018. године објављена је листа институција које чине сектор опште државе, као и остале секторе, у складу са Европским системом рачуна (ESA) 2010 и GFSM 2014, на основу чега је РЗС (у сарадњи са Министарством финансија и НБС) почео с достављањем података у Проширени општи систем дисеминације података (e-GDDS). Ови подаци се објављују у складу са методологијом GFSM 2014. Сектор за макроекономске и фискалне анализе и пројекције Министарства финансија у сарадњи са ММФ је први покренуо поступак конверзије података о јавним финансијама из националне методологије у методологију GFSM 2014 и израду консолидованих извештаја за ниво опште државе и по нивоима власти и њихово публиковање преко националне странице сумарних података (National Summary Data Page – NSDP), која је доступна на веб-сајту РЗС, као и у билтену ММФ о стандардима дисеминације (Dissemination Standards Bulletin Board – DSBB).</w:t>
      </w:r>
    </w:p>
    <w:p w14:paraId="0AFCC3CE" w14:textId="77777777" w:rsidR="001A5BCF" w:rsidRPr="00646254" w:rsidRDefault="001A5BCF" w:rsidP="001A5BCF">
      <w:pPr>
        <w:spacing w:line="276" w:lineRule="auto"/>
        <w:rPr>
          <w:rFonts w:cstheme="minorHAnsi"/>
          <w:b/>
          <w:bCs/>
          <w:color w:val="2F5496" w:themeColor="accent1" w:themeShade="BF"/>
          <w:sz w:val="22"/>
          <w:szCs w:val="20"/>
          <w:lang w:val="sr-Cyrl-CS"/>
        </w:rPr>
      </w:pPr>
      <w:r w:rsidRPr="00646254">
        <w:rPr>
          <w:rFonts w:cstheme="minorHAnsi"/>
          <w:b/>
          <w:bCs/>
          <w:color w:val="2F5496" w:themeColor="accent1" w:themeShade="BF"/>
          <w:sz w:val="22"/>
          <w:szCs w:val="20"/>
          <w:lang w:val="sr-Cyrl-CS"/>
        </w:rPr>
        <w:t>Поређење са претходним програмом</w:t>
      </w:r>
    </w:p>
    <w:p w14:paraId="1DF05B01" w14:textId="77777777" w:rsidR="001A5BCF" w:rsidRPr="00646254" w:rsidRDefault="001A5BCF" w:rsidP="001A5BCF">
      <w:pPr>
        <w:rPr>
          <w:rFonts w:cstheme="minorHAnsi"/>
          <w:bCs/>
          <w:szCs w:val="20"/>
          <w:lang w:val="sr-Cyrl-CS"/>
        </w:rPr>
      </w:pPr>
      <w:r w:rsidRPr="00646254">
        <w:rPr>
          <w:rFonts w:cstheme="minorHAnsi"/>
          <w:bCs/>
          <w:szCs w:val="20"/>
          <w:lang w:val="sr-Cyrl-CS"/>
        </w:rPr>
        <w:t>Средњорочни фискални оквир значајно је промењен у односу на прошлогодишњи документ</w:t>
      </w:r>
      <w:r w:rsidRPr="00646254">
        <w:rPr>
          <w:rFonts w:cstheme="minorHAnsi"/>
          <w:bCs/>
          <w:szCs w:val="20"/>
          <w:vertAlign w:val="superscript"/>
          <w:lang w:val="sr-Cyrl-CS"/>
        </w:rPr>
        <w:footnoteReference w:id="6"/>
      </w:r>
      <w:r w:rsidRPr="00646254">
        <w:rPr>
          <w:rFonts w:cstheme="minorHAnsi"/>
          <w:bCs/>
          <w:szCs w:val="20"/>
          <w:lang w:val="sr-Cyrl-CS"/>
        </w:rPr>
        <w:t xml:space="preserve"> с обзиром на негативне ефекте пандемије на економска кретања. Раст прихода, расхода и дефицита су основне разлике у односу на претходни документ. У 2021. години највећу промену је узроковао нови пакет мера на расходној страни, пре свега преко значајног улагања у здравствени систем, а онда и преко субвенција и других фискалних стимуланса у циљу ублажавања ефеката кризе у привреди и код становништва. Осим тога, изменама републичког буџета је предвиђено и значајно увећање капиталних издатака. У наредном периоду расходи ће се постепено смањивати у смислу учешћа у БДП, с тим да, док год траје неизвесност везана за пандемију, биће вођена нешто експанзивнија фискална политика. План снижавања дефицита је померен за једну годину, тако да је спуштање на ниво од 1% БДП предвиђено за 2024. годину уместо за 2023. годину како је било предвиђено прошлогодишњим документом. Планирани дефицити омогућавају смањивање учешћа јавног дуга у БДП, а у дугорочном периоду планира се враћање на ниске нивое дефицита.</w:t>
      </w:r>
    </w:p>
    <w:p w14:paraId="28DFEC70" w14:textId="77777777" w:rsidR="001A5BCF" w:rsidRPr="00646254" w:rsidRDefault="001A5BCF" w:rsidP="001A5BCF">
      <w:pPr>
        <w:spacing w:before="360"/>
        <w:jc w:val="center"/>
        <w:rPr>
          <w:rFonts w:eastAsia="MS PGothic" w:cstheme="minorHAnsi"/>
          <w:b/>
          <w:color w:val="002060"/>
          <w:szCs w:val="20"/>
          <w:lang w:val="sr-Cyrl-CS" w:eastAsia="ja-JP"/>
        </w:rPr>
        <w:sectPr w:rsidR="001A5BCF" w:rsidRPr="00646254" w:rsidSect="001A5BCF">
          <w:footerReference w:type="even" r:id="rId148"/>
          <w:footerReference w:type="default" r:id="rId149"/>
          <w:headerReference w:type="first" r:id="rId150"/>
          <w:type w:val="continuous"/>
          <w:pgSz w:w="12240" w:h="15840" w:code="1"/>
          <w:pgMar w:top="1440" w:right="1440" w:bottom="1440" w:left="1440" w:header="720" w:footer="720" w:gutter="0"/>
          <w:cols w:num="2" w:space="720"/>
          <w:docGrid w:linePitch="360"/>
          <w15:footnoteColumns w:val="1"/>
        </w:sectPr>
      </w:pPr>
    </w:p>
    <w:p w14:paraId="23F50979" w14:textId="77777777" w:rsidR="003804DF" w:rsidRPr="00646254" w:rsidRDefault="003804DF">
      <w:pPr>
        <w:jc w:val="left"/>
        <w:rPr>
          <w:rFonts w:eastAsia="MS PGothic" w:cstheme="minorHAnsi"/>
          <w:b/>
          <w:color w:val="002060"/>
          <w:szCs w:val="20"/>
          <w:lang w:val="sr-Cyrl-CS" w:eastAsia="ja-JP"/>
        </w:rPr>
      </w:pPr>
      <w:r w:rsidRPr="00646254">
        <w:rPr>
          <w:rFonts w:eastAsia="MS PGothic" w:cstheme="minorHAnsi"/>
          <w:b/>
          <w:color w:val="002060"/>
          <w:szCs w:val="20"/>
          <w:lang w:val="sr-Cyrl-CS" w:eastAsia="ja-JP"/>
        </w:rPr>
        <w:br w:type="page"/>
      </w:r>
    </w:p>
    <w:p w14:paraId="317E4B92" w14:textId="29CFCCEB" w:rsidR="001A5BCF" w:rsidRPr="00646254" w:rsidRDefault="001A5BCF" w:rsidP="001A5BCF">
      <w:pPr>
        <w:spacing w:before="360"/>
        <w:jc w:val="center"/>
        <w:rPr>
          <w:rFonts w:eastAsia="MS PGothic" w:cstheme="minorHAnsi"/>
          <w:b/>
          <w:color w:val="002060"/>
          <w:szCs w:val="20"/>
          <w:lang w:val="sr-Cyrl-CS" w:eastAsia="ja-JP"/>
        </w:rPr>
      </w:pPr>
      <w:r w:rsidRPr="00646254">
        <w:rPr>
          <w:rFonts w:eastAsia="MS PGothic" w:cstheme="minorHAnsi"/>
          <w:b/>
          <w:color w:val="002060"/>
          <w:szCs w:val="20"/>
          <w:lang w:val="sr-Cyrl-CS" w:eastAsia="ja-JP"/>
        </w:rPr>
        <w:t>Табела 13. Поређење фискалних показатеља два програма, у % БДП</w:t>
      </w:r>
    </w:p>
    <w:tbl>
      <w:tblPr>
        <w:tblStyle w:val="ListTable6Colorful-Accent610"/>
        <w:tblW w:w="5000" w:type="pct"/>
        <w:tblLook w:val="04A0" w:firstRow="1" w:lastRow="0" w:firstColumn="1" w:lastColumn="0" w:noHBand="0" w:noVBand="1"/>
      </w:tblPr>
      <w:tblGrid>
        <w:gridCol w:w="3603"/>
        <w:gridCol w:w="1151"/>
        <w:gridCol w:w="1151"/>
        <w:gridCol w:w="1151"/>
        <w:gridCol w:w="1152"/>
        <w:gridCol w:w="1152"/>
      </w:tblGrid>
      <w:tr w:rsidR="001A5BCF" w:rsidRPr="00646254" w14:paraId="1FEE2A4F" w14:textId="77777777" w:rsidTr="00E96A1D">
        <w:trPr>
          <w:cnfStyle w:val="100000000000" w:firstRow="1" w:lastRow="0" w:firstColumn="0" w:lastColumn="0" w:oddVBand="0" w:evenVBand="0" w:oddHBand="0" w:evenHBand="0" w:firstRowFirstColumn="0" w:firstRowLastColumn="0" w:lastRowFirstColumn="0" w:lastRowLastColumn="0"/>
          <w:trHeight w:val="241"/>
        </w:trPr>
        <w:tc>
          <w:tcPr>
            <w:cnfStyle w:val="001000000000" w:firstRow="0" w:lastRow="0" w:firstColumn="1" w:lastColumn="0" w:oddVBand="0" w:evenVBand="0" w:oddHBand="0" w:evenHBand="0" w:firstRowFirstColumn="0" w:firstRowLastColumn="0" w:lastRowFirstColumn="0" w:lastRowLastColumn="0"/>
            <w:tcW w:w="1464" w:type="pct"/>
            <w:tcBorders>
              <w:top w:val="single" w:sz="4" w:space="0" w:color="002060"/>
              <w:bottom w:val="single" w:sz="4" w:space="0" w:color="FFFFFF" w:themeColor="background1"/>
            </w:tcBorders>
            <w:shd w:val="clear" w:color="auto" w:fill="FFFFFF" w:themeFill="background1"/>
            <w:noWrap/>
            <w:hideMark/>
          </w:tcPr>
          <w:p w14:paraId="5525F36F" w14:textId="77777777" w:rsidR="001A5BCF" w:rsidRPr="00646254" w:rsidRDefault="001A5BCF" w:rsidP="00E96A1D">
            <w:pPr>
              <w:keepNext/>
              <w:widowControl w:val="0"/>
              <w:shd w:val="clear" w:color="auto" w:fill="FFFFFF" w:themeFill="background1"/>
              <w:spacing w:line="276" w:lineRule="auto"/>
              <w:rPr>
                <w:rFonts w:eastAsia="Times New Roman" w:cstheme="minorHAnsi"/>
                <w:b w:val="0"/>
                <w:color w:val="002060"/>
                <w:sz w:val="18"/>
                <w:szCs w:val="18"/>
                <w:lang w:val="sr-Cyrl-CS"/>
              </w:rPr>
            </w:pPr>
          </w:p>
        </w:tc>
        <w:tc>
          <w:tcPr>
            <w:tcW w:w="707" w:type="pct"/>
            <w:tcBorders>
              <w:top w:val="single" w:sz="4" w:space="0" w:color="002060"/>
              <w:bottom w:val="single" w:sz="4" w:space="0" w:color="002060"/>
            </w:tcBorders>
            <w:shd w:val="clear" w:color="auto" w:fill="FFFFFF" w:themeFill="background1"/>
            <w:noWrap/>
            <w:hideMark/>
          </w:tcPr>
          <w:p w14:paraId="2BF8C989" w14:textId="77777777" w:rsidR="001A5BCF" w:rsidRPr="00646254" w:rsidRDefault="001A5BCF" w:rsidP="00E96A1D">
            <w:pPr>
              <w:keepNext/>
              <w:widowControl w:val="0"/>
              <w:shd w:val="clear" w:color="auto" w:fill="FFFFFF" w:themeFill="background1"/>
              <w:spacing w:line="276" w:lineRule="auto"/>
              <w:jc w:val="right"/>
              <w:cnfStyle w:val="100000000000" w:firstRow="1" w:lastRow="0" w:firstColumn="0" w:lastColumn="0" w:oddVBand="0" w:evenVBand="0" w:oddHBand="0" w:evenHBand="0" w:firstRowFirstColumn="0" w:firstRowLastColumn="0" w:lastRowFirstColumn="0" w:lastRowLastColumn="0"/>
              <w:rPr>
                <w:rFonts w:eastAsia="Times New Roman" w:cstheme="minorHAnsi"/>
                <w:b w:val="0"/>
                <w:color w:val="002060"/>
                <w:sz w:val="18"/>
                <w:szCs w:val="18"/>
                <w:lang w:val="sr-Cyrl-CS"/>
              </w:rPr>
            </w:pPr>
            <w:r w:rsidRPr="00646254">
              <w:rPr>
                <w:rFonts w:eastAsia="Times New Roman" w:cstheme="minorHAnsi"/>
                <w:b w:val="0"/>
                <w:color w:val="002060"/>
                <w:sz w:val="18"/>
                <w:szCs w:val="18"/>
                <w:lang w:val="sr-Cyrl-CS"/>
              </w:rPr>
              <w:t>2020</w:t>
            </w:r>
          </w:p>
        </w:tc>
        <w:tc>
          <w:tcPr>
            <w:tcW w:w="707" w:type="pct"/>
            <w:tcBorders>
              <w:top w:val="single" w:sz="4" w:space="0" w:color="002060"/>
              <w:bottom w:val="single" w:sz="4" w:space="0" w:color="002060"/>
            </w:tcBorders>
            <w:shd w:val="clear" w:color="auto" w:fill="FFFFFF" w:themeFill="background1"/>
            <w:noWrap/>
            <w:hideMark/>
          </w:tcPr>
          <w:p w14:paraId="025848F1" w14:textId="77777777" w:rsidR="001A5BCF" w:rsidRPr="00646254" w:rsidRDefault="001A5BCF" w:rsidP="00E96A1D">
            <w:pPr>
              <w:keepNext/>
              <w:widowControl w:val="0"/>
              <w:shd w:val="clear" w:color="auto" w:fill="FFFFFF" w:themeFill="background1"/>
              <w:spacing w:line="276" w:lineRule="auto"/>
              <w:jc w:val="right"/>
              <w:cnfStyle w:val="100000000000" w:firstRow="1" w:lastRow="0" w:firstColumn="0" w:lastColumn="0" w:oddVBand="0" w:evenVBand="0" w:oddHBand="0" w:evenHBand="0" w:firstRowFirstColumn="0" w:firstRowLastColumn="0" w:lastRowFirstColumn="0" w:lastRowLastColumn="0"/>
              <w:rPr>
                <w:rFonts w:eastAsia="Times New Roman" w:cstheme="minorHAnsi"/>
                <w:b w:val="0"/>
                <w:color w:val="002060"/>
                <w:sz w:val="18"/>
                <w:szCs w:val="18"/>
                <w:lang w:val="sr-Cyrl-CS"/>
              </w:rPr>
            </w:pPr>
            <w:r w:rsidRPr="00646254">
              <w:rPr>
                <w:rFonts w:eastAsia="Times New Roman" w:cstheme="minorHAnsi"/>
                <w:b w:val="0"/>
                <w:color w:val="002060"/>
                <w:sz w:val="18"/>
                <w:szCs w:val="18"/>
                <w:lang w:val="sr-Cyrl-CS"/>
              </w:rPr>
              <w:t>2021</w:t>
            </w:r>
          </w:p>
        </w:tc>
        <w:tc>
          <w:tcPr>
            <w:tcW w:w="707" w:type="pct"/>
            <w:tcBorders>
              <w:top w:val="single" w:sz="4" w:space="0" w:color="002060"/>
              <w:bottom w:val="single" w:sz="4" w:space="0" w:color="002060"/>
            </w:tcBorders>
            <w:shd w:val="clear" w:color="auto" w:fill="FFFFFF" w:themeFill="background1"/>
            <w:noWrap/>
            <w:hideMark/>
          </w:tcPr>
          <w:p w14:paraId="0FF2F38F" w14:textId="77777777" w:rsidR="001A5BCF" w:rsidRPr="00646254" w:rsidRDefault="001A5BCF" w:rsidP="00E96A1D">
            <w:pPr>
              <w:keepNext/>
              <w:widowControl w:val="0"/>
              <w:shd w:val="clear" w:color="auto" w:fill="FFFFFF" w:themeFill="background1"/>
              <w:spacing w:line="276" w:lineRule="auto"/>
              <w:jc w:val="right"/>
              <w:cnfStyle w:val="100000000000" w:firstRow="1" w:lastRow="0" w:firstColumn="0" w:lastColumn="0" w:oddVBand="0" w:evenVBand="0" w:oddHBand="0" w:evenHBand="0" w:firstRowFirstColumn="0" w:firstRowLastColumn="0" w:lastRowFirstColumn="0" w:lastRowLastColumn="0"/>
              <w:rPr>
                <w:rFonts w:eastAsia="Times New Roman" w:cstheme="minorHAnsi"/>
                <w:b w:val="0"/>
                <w:color w:val="002060"/>
                <w:sz w:val="18"/>
                <w:szCs w:val="18"/>
                <w:lang w:val="sr-Cyrl-CS"/>
              </w:rPr>
            </w:pPr>
            <w:r w:rsidRPr="00646254">
              <w:rPr>
                <w:rFonts w:eastAsia="Times New Roman" w:cstheme="minorHAnsi"/>
                <w:b w:val="0"/>
                <w:color w:val="002060"/>
                <w:sz w:val="18"/>
                <w:szCs w:val="18"/>
                <w:lang w:val="sr-Cyrl-CS"/>
              </w:rPr>
              <w:t>2022</w:t>
            </w:r>
          </w:p>
        </w:tc>
        <w:tc>
          <w:tcPr>
            <w:tcW w:w="707" w:type="pct"/>
            <w:tcBorders>
              <w:top w:val="single" w:sz="4" w:space="0" w:color="002060"/>
              <w:bottom w:val="single" w:sz="4" w:space="0" w:color="002060"/>
            </w:tcBorders>
            <w:shd w:val="clear" w:color="auto" w:fill="FFFFFF" w:themeFill="background1"/>
            <w:noWrap/>
            <w:hideMark/>
          </w:tcPr>
          <w:p w14:paraId="76767CA8" w14:textId="77777777" w:rsidR="001A5BCF" w:rsidRPr="00646254" w:rsidRDefault="001A5BCF" w:rsidP="00E96A1D">
            <w:pPr>
              <w:keepNext/>
              <w:widowControl w:val="0"/>
              <w:shd w:val="clear" w:color="auto" w:fill="FFFFFF" w:themeFill="background1"/>
              <w:spacing w:line="276" w:lineRule="auto"/>
              <w:jc w:val="right"/>
              <w:cnfStyle w:val="100000000000" w:firstRow="1" w:lastRow="0" w:firstColumn="0" w:lastColumn="0" w:oddVBand="0" w:evenVBand="0" w:oddHBand="0" w:evenHBand="0" w:firstRowFirstColumn="0" w:firstRowLastColumn="0" w:lastRowFirstColumn="0" w:lastRowLastColumn="0"/>
              <w:rPr>
                <w:rFonts w:eastAsia="Times New Roman" w:cstheme="minorHAnsi"/>
                <w:b w:val="0"/>
                <w:color w:val="002060"/>
                <w:sz w:val="18"/>
                <w:szCs w:val="18"/>
                <w:lang w:val="sr-Cyrl-CS"/>
              </w:rPr>
            </w:pPr>
            <w:r w:rsidRPr="00646254">
              <w:rPr>
                <w:rFonts w:eastAsia="Times New Roman" w:cstheme="minorHAnsi"/>
                <w:b w:val="0"/>
                <w:color w:val="002060"/>
                <w:sz w:val="18"/>
                <w:szCs w:val="18"/>
                <w:lang w:val="sr-Cyrl-CS"/>
              </w:rPr>
              <w:t>2023</w:t>
            </w:r>
          </w:p>
        </w:tc>
        <w:tc>
          <w:tcPr>
            <w:tcW w:w="707" w:type="pct"/>
            <w:tcBorders>
              <w:top w:val="single" w:sz="4" w:space="0" w:color="002060"/>
              <w:bottom w:val="single" w:sz="4" w:space="0" w:color="002060"/>
            </w:tcBorders>
            <w:shd w:val="clear" w:color="auto" w:fill="FFFFFF" w:themeFill="background1"/>
            <w:noWrap/>
            <w:hideMark/>
          </w:tcPr>
          <w:p w14:paraId="3A99235B" w14:textId="77777777" w:rsidR="001A5BCF" w:rsidRPr="00646254" w:rsidRDefault="001A5BCF" w:rsidP="00E96A1D">
            <w:pPr>
              <w:keepNext/>
              <w:widowControl w:val="0"/>
              <w:shd w:val="clear" w:color="auto" w:fill="FFFFFF" w:themeFill="background1"/>
              <w:spacing w:line="276" w:lineRule="auto"/>
              <w:jc w:val="right"/>
              <w:cnfStyle w:val="100000000000" w:firstRow="1" w:lastRow="0" w:firstColumn="0" w:lastColumn="0" w:oddVBand="0" w:evenVBand="0" w:oddHBand="0" w:evenHBand="0" w:firstRowFirstColumn="0" w:firstRowLastColumn="0" w:lastRowFirstColumn="0" w:lastRowLastColumn="0"/>
              <w:rPr>
                <w:rFonts w:eastAsia="Times New Roman" w:cstheme="minorHAnsi"/>
                <w:b w:val="0"/>
                <w:color w:val="002060"/>
                <w:sz w:val="18"/>
                <w:szCs w:val="18"/>
                <w:lang w:val="sr-Cyrl-CS"/>
              </w:rPr>
            </w:pPr>
            <w:r w:rsidRPr="00646254">
              <w:rPr>
                <w:rFonts w:eastAsia="Times New Roman" w:cstheme="minorHAnsi"/>
                <w:b w:val="0"/>
                <w:color w:val="002060"/>
                <w:sz w:val="18"/>
                <w:szCs w:val="18"/>
                <w:lang w:val="sr-Cyrl-CS"/>
              </w:rPr>
              <w:t>2024</w:t>
            </w:r>
          </w:p>
        </w:tc>
      </w:tr>
      <w:tr w:rsidR="001A5BCF" w:rsidRPr="00646254" w14:paraId="29EE5D02" w14:textId="77777777" w:rsidTr="00E96A1D">
        <w:trPr>
          <w:cnfStyle w:val="000000100000" w:firstRow="0" w:lastRow="0" w:firstColumn="0" w:lastColumn="0" w:oddVBand="0" w:evenVBand="0" w:oddHBand="1" w:evenHBand="0" w:firstRowFirstColumn="0" w:firstRowLastColumn="0" w:lastRowFirstColumn="0" w:lastRowLastColumn="0"/>
          <w:trHeight w:val="241"/>
        </w:trPr>
        <w:tc>
          <w:tcPr>
            <w:cnfStyle w:val="001000000000" w:firstRow="0" w:lastRow="0" w:firstColumn="1" w:lastColumn="0" w:oddVBand="0" w:evenVBand="0" w:oddHBand="0" w:evenHBand="0" w:firstRowFirstColumn="0" w:firstRowLastColumn="0" w:lastRowFirstColumn="0" w:lastRowLastColumn="0"/>
            <w:tcW w:w="1464" w:type="pct"/>
            <w:tcBorders>
              <w:top w:val="single" w:sz="4" w:space="0" w:color="FFFFFF" w:themeColor="background1"/>
            </w:tcBorders>
            <w:shd w:val="clear" w:color="auto" w:fill="FFFFFF" w:themeFill="background1"/>
            <w:noWrap/>
            <w:hideMark/>
          </w:tcPr>
          <w:p w14:paraId="0ED9E0C9" w14:textId="77777777" w:rsidR="001A5BCF" w:rsidRPr="00646254" w:rsidRDefault="001A5BCF" w:rsidP="00E96A1D">
            <w:pPr>
              <w:keepNext/>
              <w:widowControl w:val="0"/>
              <w:shd w:val="clear" w:color="auto" w:fill="FFFFFF" w:themeFill="background1"/>
              <w:spacing w:line="276" w:lineRule="auto"/>
              <w:rPr>
                <w:rFonts w:eastAsia="Times New Roman" w:cstheme="minorHAnsi"/>
                <w:b w:val="0"/>
                <w:color w:val="002060"/>
                <w:sz w:val="18"/>
                <w:szCs w:val="18"/>
                <w:lang w:val="sr-Cyrl-CS"/>
              </w:rPr>
            </w:pPr>
            <w:r w:rsidRPr="00646254">
              <w:rPr>
                <w:rFonts w:eastAsia="Times New Roman" w:cstheme="minorHAnsi"/>
                <w:b w:val="0"/>
                <w:color w:val="002060"/>
                <w:sz w:val="18"/>
                <w:szCs w:val="18"/>
                <w:lang w:val="sr-Cyrl-CS"/>
              </w:rPr>
              <w:t>Фискална стратегија 2021–2023</w:t>
            </w:r>
            <w:r w:rsidRPr="00646254">
              <w:rPr>
                <w:rStyle w:val="FootnoteReference"/>
                <w:rFonts w:eastAsia="Times New Roman" w:cstheme="minorHAnsi"/>
                <w:b w:val="0"/>
                <w:color w:val="002060"/>
                <w:sz w:val="18"/>
                <w:szCs w:val="18"/>
                <w:lang w:val="sr-Cyrl-CS"/>
              </w:rPr>
              <w:footnoteReference w:id="7"/>
            </w:r>
          </w:p>
        </w:tc>
        <w:tc>
          <w:tcPr>
            <w:tcW w:w="707" w:type="pct"/>
            <w:tcBorders>
              <w:top w:val="single" w:sz="4" w:space="0" w:color="002060"/>
            </w:tcBorders>
            <w:shd w:val="clear" w:color="auto" w:fill="FFFFFF" w:themeFill="background1"/>
            <w:noWrap/>
            <w:hideMark/>
          </w:tcPr>
          <w:p w14:paraId="57912874" w14:textId="77777777" w:rsidR="001A5BCF" w:rsidRPr="00646254" w:rsidRDefault="001A5BCF" w:rsidP="00E96A1D">
            <w:pPr>
              <w:keepNext/>
              <w:widowControl w:val="0"/>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2060"/>
                <w:sz w:val="18"/>
                <w:szCs w:val="18"/>
                <w:lang w:val="sr-Cyrl-CS"/>
              </w:rPr>
            </w:pPr>
          </w:p>
        </w:tc>
        <w:tc>
          <w:tcPr>
            <w:tcW w:w="707" w:type="pct"/>
            <w:tcBorders>
              <w:top w:val="single" w:sz="4" w:space="0" w:color="002060"/>
            </w:tcBorders>
            <w:shd w:val="clear" w:color="auto" w:fill="FFFFFF" w:themeFill="background1"/>
            <w:noWrap/>
            <w:hideMark/>
          </w:tcPr>
          <w:p w14:paraId="76C9D523" w14:textId="77777777" w:rsidR="001A5BCF" w:rsidRPr="00646254" w:rsidRDefault="001A5BCF" w:rsidP="00E96A1D">
            <w:pPr>
              <w:keepNext/>
              <w:widowControl w:val="0"/>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2060"/>
                <w:sz w:val="18"/>
                <w:szCs w:val="18"/>
                <w:lang w:val="sr-Cyrl-CS"/>
              </w:rPr>
            </w:pPr>
          </w:p>
        </w:tc>
        <w:tc>
          <w:tcPr>
            <w:tcW w:w="707" w:type="pct"/>
            <w:tcBorders>
              <w:top w:val="single" w:sz="4" w:space="0" w:color="002060"/>
            </w:tcBorders>
            <w:shd w:val="clear" w:color="auto" w:fill="FFFFFF" w:themeFill="background1"/>
            <w:noWrap/>
            <w:hideMark/>
          </w:tcPr>
          <w:p w14:paraId="3802883E" w14:textId="77777777" w:rsidR="001A5BCF" w:rsidRPr="00646254" w:rsidRDefault="001A5BCF" w:rsidP="00E96A1D">
            <w:pPr>
              <w:keepNext/>
              <w:widowControl w:val="0"/>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2060"/>
                <w:sz w:val="18"/>
                <w:szCs w:val="18"/>
                <w:lang w:val="sr-Cyrl-CS"/>
              </w:rPr>
            </w:pPr>
          </w:p>
        </w:tc>
        <w:tc>
          <w:tcPr>
            <w:tcW w:w="707" w:type="pct"/>
            <w:tcBorders>
              <w:top w:val="single" w:sz="4" w:space="0" w:color="002060"/>
            </w:tcBorders>
            <w:shd w:val="clear" w:color="auto" w:fill="FFFFFF" w:themeFill="background1"/>
            <w:noWrap/>
            <w:hideMark/>
          </w:tcPr>
          <w:p w14:paraId="543174FC" w14:textId="77777777" w:rsidR="001A5BCF" w:rsidRPr="00646254" w:rsidRDefault="001A5BCF" w:rsidP="00E96A1D">
            <w:pPr>
              <w:keepNext/>
              <w:widowControl w:val="0"/>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2060"/>
                <w:sz w:val="18"/>
                <w:szCs w:val="18"/>
                <w:lang w:val="sr-Cyrl-CS"/>
              </w:rPr>
            </w:pPr>
          </w:p>
        </w:tc>
        <w:tc>
          <w:tcPr>
            <w:tcW w:w="707" w:type="pct"/>
            <w:tcBorders>
              <w:top w:val="single" w:sz="4" w:space="0" w:color="002060"/>
            </w:tcBorders>
            <w:shd w:val="clear" w:color="auto" w:fill="FFFFFF" w:themeFill="background1"/>
            <w:noWrap/>
            <w:hideMark/>
          </w:tcPr>
          <w:p w14:paraId="0861C5CF" w14:textId="77777777" w:rsidR="001A5BCF" w:rsidRPr="00646254" w:rsidRDefault="001A5BCF" w:rsidP="00E96A1D">
            <w:pPr>
              <w:keepNext/>
              <w:widowControl w:val="0"/>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2060"/>
                <w:sz w:val="18"/>
                <w:szCs w:val="18"/>
                <w:lang w:val="sr-Cyrl-CS"/>
              </w:rPr>
            </w:pPr>
          </w:p>
        </w:tc>
      </w:tr>
      <w:tr w:rsidR="001A5BCF" w:rsidRPr="00646254" w14:paraId="72CB4BA5" w14:textId="77777777" w:rsidTr="00E96A1D">
        <w:trPr>
          <w:trHeight w:val="241"/>
        </w:trPr>
        <w:tc>
          <w:tcPr>
            <w:cnfStyle w:val="001000000000" w:firstRow="0" w:lastRow="0" w:firstColumn="1" w:lastColumn="0" w:oddVBand="0" w:evenVBand="0" w:oddHBand="0" w:evenHBand="0" w:firstRowFirstColumn="0" w:firstRowLastColumn="0" w:lastRowFirstColumn="0" w:lastRowLastColumn="0"/>
            <w:tcW w:w="1464" w:type="pct"/>
            <w:shd w:val="clear" w:color="auto" w:fill="FFFFFF" w:themeFill="background1"/>
            <w:noWrap/>
            <w:hideMark/>
          </w:tcPr>
          <w:p w14:paraId="3872E227" w14:textId="77777777" w:rsidR="001A5BCF" w:rsidRPr="00646254" w:rsidRDefault="001A5BCF" w:rsidP="00E96A1D">
            <w:pPr>
              <w:keepNext/>
              <w:widowControl w:val="0"/>
              <w:shd w:val="clear" w:color="auto" w:fill="FFFFFF" w:themeFill="background1"/>
              <w:spacing w:line="276" w:lineRule="auto"/>
              <w:rPr>
                <w:rFonts w:eastAsia="Times New Roman" w:cstheme="minorHAnsi"/>
                <w:b w:val="0"/>
                <w:color w:val="002060"/>
                <w:sz w:val="18"/>
                <w:szCs w:val="18"/>
                <w:lang w:val="sr-Cyrl-CS"/>
              </w:rPr>
            </w:pPr>
            <w:r w:rsidRPr="00646254">
              <w:rPr>
                <w:rFonts w:eastAsia="Times New Roman" w:cstheme="minorHAnsi"/>
                <w:b w:val="0"/>
                <w:color w:val="002060"/>
                <w:sz w:val="18"/>
                <w:szCs w:val="18"/>
                <w:lang w:val="sr-Cyrl-CS"/>
              </w:rPr>
              <w:t>Приходи</w:t>
            </w:r>
          </w:p>
        </w:tc>
        <w:tc>
          <w:tcPr>
            <w:tcW w:w="707" w:type="pct"/>
            <w:shd w:val="clear" w:color="auto" w:fill="FFFFFF" w:themeFill="background1"/>
            <w:noWrap/>
            <w:hideMark/>
          </w:tcPr>
          <w:p w14:paraId="2A5AD680" w14:textId="77777777" w:rsidR="001A5BCF" w:rsidRPr="00646254" w:rsidRDefault="001A5BCF" w:rsidP="00E96A1D">
            <w:pPr>
              <w:keepNext/>
              <w:widowControl w:val="0"/>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2060"/>
                <w:sz w:val="18"/>
                <w:szCs w:val="18"/>
                <w:lang w:val="sr-Cyrl-CS"/>
              </w:rPr>
            </w:pPr>
            <w:r w:rsidRPr="00646254">
              <w:rPr>
                <w:rFonts w:eastAsia="Times New Roman" w:cstheme="minorHAnsi"/>
                <w:color w:val="002060"/>
                <w:sz w:val="18"/>
                <w:szCs w:val="18"/>
                <w:lang w:val="sr-Cyrl-CS"/>
              </w:rPr>
              <w:t>40,4</w:t>
            </w:r>
          </w:p>
        </w:tc>
        <w:tc>
          <w:tcPr>
            <w:tcW w:w="707" w:type="pct"/>
            <w:shd w:val="clear" w:color="auto" w:fill="FFFFFF" w:themeFill="background1"/>
            <w:noWrap/>
            <w:hideMark/>
          </w:tcPr>
          <w:p w14:paraId="79E3A84A" w14:textId="77777777" w:rsidR="001A5BCF" w:rsidRPr="00646254" w:rsidRDefault="001A5BCF" w:rsidP="00E96A1D">
            <w:pPr>
              <w:keepNext/>
              <w:widowControl w:val="0"/>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2060"/>
                <w:sz w:val="18"/>
                <w:szCs w:val="18"/>
                <w:lang w:val="sr-Cyrl-CS"/>
              </w:rPr>
            </w:pPr>
            <w:r w:rsidRPr="00646254">
              <w:rPr>
                <w:rFonts w:eastAsia="Times New Roman" w:cstheme="minorHAnsi"/>
                <w:color w:val="002060"/>
                <w:sz w:val="18"/>
                <w:szCs w:val="18"/>
                <w:lang w:val="sr-Cyrl-CS"/>
              </w:rPr>
              <w:t>39,3</w:t>
            </w:r>
          </w:p>
        </w:tc>
        <w:tc>
          <w:tcPr>
            <w:tcW w:w="707" w:type="pct"/>
            <w:shd w:val="clear" w:color="auto" w:fill="FFFFFF" w:themeFill="background1"/>
            <w:noWrap/>
            <w:hideMark/>
          </w:tcPr>
          <w:p w14:paraId="2DBC1D23" w14:textId="77777777" w:rsidR="001A5BCF" w:rsidRPr="00646254" w:rsidRDefault="001A5BCF" w:rsidP="00E96A1D">
            <w:pPr>
              <w:keepNext/>
              <w:widowControl w:val="0"/>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2060"/>
                <w:sz w:val="18"/>
                <w:szCs w:val="18"/>
                <w:lang w:val="sr-Cyrl-CS"/>
              </w:rPr>
            </w:pPr>
            <w:r w:rsidRPr="00646254">
              <w:rPr>
                <w:rFonts w:eastAsia="Times New Roman" w:cstheme="minorHAnsi"/>
                <w:color w:val="002060"/>
                <w:sz w:val="18"/>
                <w:szCs w:val="18"/>
                <w:lang w:val="sr-Cyrl-CS"/>
              </w:rPr>
              <w:t>39,1</w:t>
            </w:r>
          </w:p>
        </w:tc>
        <w:tc>
          <w:tcPr>
            <w:tcW w:w="707" w:type="pct"/>
            <w:shd w:val="clear" w:color="auto" w:fill="FFFFFF" w:themeFill="background1"/>
            <w:noWrap/>
            <w:hideMark/>
          </w:tcPr>
          <w:p w14:paraId="24B6A41A" w14:textId="77777777" w:rsidR="001A5BCF" w:rsidRPr="00646254" w:rsidRDefault="001A5BCF" w:rsidP="00E96A1D">
            <w:pPr>
              <w:keepNext/>
              <w:widowControl w:val="0"/>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2060"/>
                <w:sz w:val="18"/>
                <w:szCs w:val="18"/>
                <w:lang w:val="sr-Cyrl-CS"/>
              </w:rPr>
            </w:pPr>
            <w:r w:rsidRPr="00646254">
              <w:rPr>
                <w:rFonts w:eastAsia="Times New Roman" w:cstheme="minorHAnsi"/>
                <w:color w:val="002060"/>
                <w:sz w:val="18"/>
                <w:szCs w:val="18"/>
                <w:lang w:val="sr-Cyrl-CS"/>
              </w:rPr>
              <w:t>38,0</w:t>
            </w:r>
          </w:p>
        </w:tc>
        <w:tc>
          <w:tcPr>
            <w:tcW w:w="707" w:type="pct"/>
            <w:shd w:val="clear" w:color="auto" w:fill="FFFFFF" w:themeFill="background1"/>
            <w:noWrap/>
            <w:hideMark/>
          </w:tcPr>
          <w:p w14:paraId="0DC251DD" w14:textId="77777777" w:rsidR="001A5BCF" w:rsidRPr="00646254" w:rsidRDefault="001A5BCF" w:rsidP="00E96A1D">
            <w:pPr>
              <w:keepNext/>
              <w:widowControl w:val="0"/>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2060"/>
                <w:sz w:val="18"/>
                <w:szCs w:val="18"/>
                <w:lang w:val="sr-Cyrl-CS"/>
              </w:rPr>
            </w:pPr>
            <w:r w:rsidRPr="00646254">
              <w:rPr>
                <w:rFonts w:eastAsia="Times New Roman" w:cstheme="minorHAnsi"/>
                <w:color w:val="002060"/>
                <w:sz w:val="18"/>
                <w:szCs w:val="18"/>
                <w:lang w:val="sr-Cyrl-CS"/>
              </w:rPr>
              <w:t>–</w:t>
            </w:r>
          </w:p>
        </w:tc>
      </w:tr>
      <w:tr w:rsidR="001A5BCF" w:rsidRPr="00646254" w14:paraId="7BFFC002" w14:textId="77777777" w:rsidTr="00E96A1D">
        <w:trPr>
          <w:cnfStyle w:val="000000100000" w:firstRow="0" w:lastRow="0" w:firstColumn="0" w:lastColumn="0" w:oddVBand="0" w:evenVBand="0" w:oddHBand="1" w:evenHBand="0" w:firstRowFirstColumn="0" w:firstRowLastColumn="0" w:lastRowFirstColumn="0" w:lastRowLastColumn="0"/>
          <w:trHeight w:val="241"/>
        </w:trPr>
        <w:tc>
          <w:tcPr>
            <w:cnfStyle w:val="001000000000" w:firstRow="0" w:lastRow="0" w:firstColumn="1" w:lastColumn="0" w:oddVBand="0" w:evenVBand="0" w:oddHBand="0" w:evenHBand="0" w:firstRowFirstColumn="0" w:firstRowLastColumn="0" w:lastRowFirstColumn="0" w:lastRowLastColumn="0"/>
            <w:tcW w:w="1464" w:type="pct"/>
            <w:shd w:val="clear" w:color="auto" w:fill="FFFFFF" w:themeFill="background1"/>
            <w:noWrap/>
            <w:hideMark/>
          </w:tcPr>
          <w:p w14:paraId="7C21FA44" w14:textId="77777777" w:rsidR="001A5BCF" w:rsidRPr="00646254" w:rsidRDefault="001A5BCF" w:rsidP="00E96A1D">
            <w:pPr>
              <w:keepNext/>
              <w:widowControl w:val="0"/>
              <w:shd w:val="clear" w:color="auto" w:fill="FFFFFF" w:themeFill="background1"/>
              <w:spacing w:line="276" w:lineRule="auto"/>
              <w:rPr>
                <w:rFonts w:eastAsia="Times New Roman" w:cstheme="minorHAnsi"/>
                <w:b w:val="0"/>
                <w:color w:val="002060"/>
                <w:sz w:val="18"/>
                <w:szCs w:val="18"/>
                <w:lang w:val="sr-Cyrl-CS"/>
              </w:rPr>
            </w:pPr>
            <w:r w:rsidRPr="00646254">
              <w:rPr>
                <w:rFonts w:eastAsia="Times New Roman" w:cstheme="minorHAnsi"/>
                <w:b w:val="0"/>
                <w:color w:val="002060"/>
                <w:sz w:val="18"/>
                <w:szCs w:val="18"/>
                <w:lang w:val="sr-Cyrl-CS"/>
              </w:rPr>
              <w:t>Расходи</w:t>
            </w:r>
          </w:p>
        </w:tc>
        <w:tc>
          <w:tcPr>
            <w:tcW w:w="707" w:type="pct"/>
            <w:shd w:val="clear" w:color="auto" w:fill="FFFFFF" w:themeFill="background1"/>
            <w:noWrap/>
            <w:hideMark/>
          </w:tcPr>
          <w:p w14:paraId="3E8AF053" w14:textId="77777777" w:rsidR="001A5BCF" w:rsidRPr="00646254" w:rsidRDefault="001A5BCF" w:rsidP="00E96A1D">
            <w:pPr>
              <w:keepNext/>
              <w:widowControl w:val="0"/>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2060"/>
                <w:sz w:val="18"/>
                <w:szCs w:val="18"/>
                <w:lang w:val="sr-Cyrl-CS"/>
              </w:rPr>
            </w:pPr>
            <w:r w:rsidRPr="00646254">
              <w:rPr>
                <w:rFonts w:eastAsia="Times New Roman" w:cstheme="minorHAnsi"/>
                <w:color w:val="002060"/>
                <w:sz w:val="18"/>
                <w:szCs w:val="18"/>
                <w:lang w:val="sr-Cyrl-CS"/>
              </w:rPr>
              <w:t>49,3</w:t>
            </w:r>
          </w:p>
        </w:tc>
        <w:tc>
          <w:tcPr>
            <w:tcW w:w="707" w:type="pct"/>
            <w:shd w:val="clear" w:color="auto" w:fill="FFFFFF" w:themeFill="background1"/>
            <w:noWrap/>
            <w:hideMark/>
          </w:tcPr>
          <w:p w14:paraId="73327019" w14:textId="77777777" w:rsidR="001A5BCF" w:rsidRPr="00646254" w:rsidRDefault="001A5BCF" w:rsidP="00E96A1D">
            <w:pPr>
              <w:keepNext/>
              <w:widowControl w:val="0"/>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2060"/>
                <w:sz w:val="18"/>
                <w:szCs w:val="18"/>
                <w:lang w:val="sr-Cyrl-CS"/>
              </w:rPr>
            </w:pPr>
            <w:r w:rsidRPr="00646254">
              <w:rPr>
                <w:rFonts w:eastAsia="Times New Roman" w:cstheme="minorHAnsi"/>
                <w:color w:val="002060"/>
                <w:sz w:val="18"/>
                <w:szCs w:val="18"/>
                <w:lang w:val="sr-Cyrl-CS"/>
              </w:rPr>
              <w:t>42,2</w:t>
            </w:r>
          </w:p>
        </w:tc>
        <w:tc>
          <w:tcPr>
            <w:tcW w:w="707" w:type="pct"/>
            <w:shd w:val="clear" w:color="auto" w:fill="FFFFFF" w:themeFill="background1"/>
            <w:noWrap/>
            <w:hideMark/>
          </w:tcPr>
          <w:p w14:paraId="71036803" w14:textId="77777777" w:rsidR="001A5BCF" w:rsidRPr="00646254" w:rsidRDefault="001A5BCF" w:rsidP="00E96A1D">
            <w:pPr>
              <w:keepNext/>
              <w:widowControl w:val="0"/>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2060"/>
                <w:sz w:val="18"/>
                <w:szCs w:val="18"/>
                <w:lang w:val="sr-Cyrl-CS"/>
              </w:rPr>
            </w:pPr>
            <w:r w:rsidRPr="00646254">
              <w:rPr>
                <w:rFonts w:eastAsia="Times New Roman" w:cstheme="minorHAnsi"/>
                <w:color w:val="002060"/>
                <w:sz w:val="18"/>
                <w:szCs w:val="18"/>
                <w:lang w:val="sr-Cyrl-CS"/>
              </w:rPr>
              <w:t>40,7</w:t>
            </w:r>
          </w:p>
        </w:tc>
        <w:tc>
          <w:tcPr>
            <w:tcW w:w="707" w:type="pct"/>
            <w:shd w:val="clear" w:color="auto" w:fill="FFFFFF" w:themeFill="background1"/>
            <w:noWrap/>
            <w:hideMark/>
          </w:tcPr>
          <w:p w14:paraId="2ABA41E3" w14:textId="77777777" w:rsidR="001A5BCF" w:rsidRPr="00646254" w:rsidRDefault="001A5BCF" w:rsidP="00E96A1D">
            <w:pPr>
              <w:keepNext/>
              <w:widowControl w:val="0"/>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2060"/>
                <w:sz w:val="18"/>
                <w:szCs w:val="18"/>
                <w:lang w:val="sr-Cyrl-CS"/>
              </w:rPr>
            </w:pPr>
            <w:r w:rsidRPr="00646254">
              <w:rPr>
                <w:rFonts w:eastAsia="Times New Roman" w:cstheme="minorHAnsi"/>
                <w:color w:val="002060"/>
                <w:sz w:val="18"/>
                <w:szCs w:val="18"/>
                <w:lang w:val="sr-Cyrl-CS"/>
              </w:rPr>
              <w:t>39,0</w:t>
            </w:r>
          </w:p>
        </w:tc>
        <w:tc>
          <w:tcPr>
            <w:tcW w:w="707" w:type="pct"/>
            <w:shd w:val="clear" w:color="auto" w:fill="FFFFFF" w:themeFill="background1"/>
            <w:noWrap/>
            <w:hideMark/>
          </w:tcPr>
          <w:p w14:paraId="467E729D" w14:textId="77777777" w:rsidR="001A5BCF" w:rsidRPr="00646254" w:rsidRDefault="001A5BCF" w:rsidP="00E96A1D">
            <w:pPr>
              <w:keepNext/>
              <w:widowControl w:val="0"/>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2060"/>
                <w:sz w:val="18"/>
                <w:szCs w:val="18"/>
                <w:lang w:val="sr-Cyrl-CS"/>
              </w:rPr>
            </w:pPr>
            <w:r w:rsidRPr="00646254">
              <w:rPr>
                <w:rFonts w:eastAsia="Times New Roman" w:cstheme="minorHAnsi"/>
                <w:color w:val="002060"/>
                <w:sz w:val="18"/>
                <w:szCs w:val="18"/>
                <w:lang w:val="sr-Cyrl-CS"/>
              </w:rPr>
              <w:t>–</w:t>
            </w:r>
          </w:p>
        </w:tc>
      </w:tr>
      <w:tr w:rsidR="001A5BCF" w:rsidRPr="00646254" w14:paraId="7852ACBA" w14:textId="77777777" w:rsidTr="00E96A1D">
        <w:trPr>
          <w:trHeight w:val="241"/>
        </w:trPr>
        <w:tc>
          <w:tcPr>
            <w:cnfStyle w:val="001000000000" w:firstRow="0" w:lastRow="0" w:firstColumn="1" w:lastColumn="0" w:oddVBand="0" w:evenVBand="0" w:oddHBand="0" w:evenHBand="0" w:firstRowFirstColumn="0" w:firstRowLastColumn="0" w:lastRowFirstColumn="0" w:lastRowLastColumn="0"/>
            <w:tcW w:w="1464" w:type="pct"/>
            <w:shd w:val="clear" w:color="auto" w:fill="FFFFFF" w:themeFill="background1"/>
            <w:noWrap/>
            <w:hideMark/>
          </w:tcPr>
          <w:p w14:paraId="1D75F7CD" w14:textId="77777777" w:rsidR="001A5BCF" w:rsidRPr="00646254" w:rsidRDefault="001A5BCF" w:rsidP="00E96A1D">
            <w:pPr>
              <w:keepNext/>
              <w:widowControl w:val="0"/>
              <w:shd w:val="clear" w:color="auto" w:fill="FFFFFF" w:themeFill="background1"/>
              <w:spacing w:line="276" w:lineRule="auto"/>
              <w:rPr>
                <w:rFonts w:eastAsia="Times New Roman" w:cstheme="minorHAnsi"/>
                <w:b w:val="0"/>
                <w:color w:val="002060"/>
                <w:sz w:val="18"/>
                <w:szCs w:val="18"/>
                <w:lang w:val="sr-Cyrl-CS"/>
              </w:rPr>
            </w:pPr>
            <w:r w:rsidRPr="00646254">
              <w:rPr>
                <w:rFonts w:eastAsia="Times New Roman" w:cstheme="minorHAnsi"/>
                <w:b w:val="0"/>
                <w:color w:val="002060"/>
                <w:sz w:val="18"/>
                <w:szCs w:val="18"/>
                <w:lang w:val="sr-Cyrl-CS"/>
              </w:rPr>
              <w:t>Резултат</w:t>
            </w:r>
          </w:p>
        </w:tc>
        <w:tc>
          <w:tcPr>
            <w:tcW w:w="707" w:type="pct"/>
            <w:shd w:val="clear" w:color="auto" w:fill="FFFFFF" w:themeFill="background1"/>
            <w:noWrap/>
            <w:hideMark/>
          </w:tcPr>
          <w:p w14:paraId="51B03CAD" w14:textId="77777777" w:rsidR="001A5BCF" w:rsidRPr="00646254" w:rsidRDefault="001A5BCF" w:rsidP="00E96A1D">
            <w:pPr>
              <w:keepNext/>
              <w:widowControl w:val="0"/>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2060"/>
                <w:sz w:val="18"/>
                <w:szCs w:val="18"/>
                <w:lang w:val="sr-Cyrl-CS"/>
              </w:rPr>
            </w:pPr>
            <w:r w:rsidRPr="00646254">
              <w:rPr>
                <w:rFonts w:eastAsia="Times New Roman" w:cstheme="minorHAnsi"/>
                <w:color w:val="002060"/>
                <w:sz w:val="18"/>
                <w:szCs w:val="18"/>
                <w:lang w:val="sr-Cyrl-CS"/>
              </w:rPr>
              <w:t>-8,9</w:t>
            </w:r>
          </w:p>
        </w:tc>
        <w:tc>
          <w:tcPr>
            <w:tcW w:w="707" w:type="pct"/>
            <w:shd w:val="clear" w:color="auto" w:fill="FFFFFF" w:themeFill="background1"/>
            <w:noWrap/>
            <w:hideMark/>
          </w:tcPr>
          <w:p w14:paraId="7114A471" w14:textId="77777777" w:rsidR="001A5BCF" w:rsidRPr="00646254" w:rsidRDefault="001A5BCF" w:rsidP="00E96A1D">
            <w:pPr>
              <w:keepNext/>
              <w:widowControl w:val="0"/>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2060"/>
                <w:sz w:val="18"/>
                <w:szCs w:val="18"/>
                <w:lang w:val="sr-Cyrl-CS"/>
              </w:rPr>
            </w:pPr>
            <w:r w:rsidRPr="00646254">
              <w:rPr>
                <w:rFonts w:eastAsia="Times New Roman" w:cstheme="minorHAnsi"/>
                <w:color w:val="002060"/>
                <w:sz w:val="18"/>
                <w:szCs w:val="18"/>
                <w:lang w:val="sr-Cyrl-CS"/>
              </w:rPr>
              <w:t>-2,9</w:t>
            </w:r>
          </w:p>
        </w:tc>
        <w:tc>
          <w:tcPr>
            <w:tcW w:w="707" w:type="pct"/>
            <w:shd w:val="clear" w:color="auto" w:fill="FFFFFF" w:themeFill="background1"/>
            <w:noWrap/>
            <w:hideMark/>
          </w:tcPr>
          <w:p w14:paraId="3FF57CF6" w14:textId="77777777" w:rsidR="001A5BCF" w:rsidRPr="00646254" w:rsidRDefault="001A5BCF" w:rsidP="00E96A1D">
            <w:pPr>
              <w:keepNext/>
              <w:widowControl w:val="0"/>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2060"/>
                <w:sz w:val="18"/>
                <w:szCs w:val="18"/>
                <w:lang w:val="sr-Cyrl-CS"/>
              </w:rPr>
            </w:pPr>
            <w:r w:rsidRPr="00646254">
              <w:rPr>
                <w:rFonts w:eastAsia="Times New Roman" w:cstheme="minorHAnsi"/>
                <w:color w:val="002060"/>
                <w:sz w:val="18"/>
                <w:szCs w:val="18"/>
                <w:lang w:val="sr-Cyrl-CS"/>
              </w:rPr>
              <w:t>-1,6</w:t>
            </w:r>
          </w:p>
        </w:tc>
        <w:tc>
          <w:tcPr>
            <w:tcW w:w="707" w:type="pct"/>
            <w:shd w:val="clear" w:color="auto" w:fill="FFFFFF" w:themeFill="background1"/>
            <w:noWrap/>
            <w:hideMark/>
          </w:tcPr>
          <w:p w14:paraId="47C7B139" w14:textId="77777777" w:rsidR="001A5BCF" w:rsidRPr="00646254" w:rsidRDefault="001A5BCF" w:rsidP="00E96A1D">
            <w:pPr>
              <w:keepNext/>
              <w:widowControl w:val="0"/>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2060"/>
                <w:sz w:val="18"/>
                <w:szCs w:val="18"/>
                <w:lang w:val="sr-Cyrl-CS"/>
              </w:rPr>
            </w:pPr>
            <w:r w:rsidRPr="00646254">
              <w:rPr>
                <w:rFonts w:eastAsia="Times New Roman" w:cstheme="minorHAnsi"/>
                <w:color w:val="002060"/>
                <w:sz w:val="18"/>
                <w:szCs w:val="18"/>
                <w:lang w:val="sr-Cyrl-CS"/>
              </w:rPr>
              <w:t>-1,0</w:t>
            </w:r>
          </w:p>
        </w:tc>
        <w:tc>
          <w:tcPr>
            <w:tcW w:w="707" w:type="pct"/>
            <w:shd w:val="clear" w:color="auto" w:fill="FFFFFF" w:themeFill="background1"/>
            <w:noWrap/>
            <w:hideMark/>
          </w:tcPr>
          <w:p w14:paraId="52E6B8F7" w14:textId="77777777" w:rsidR="001A5BCF" w:rsidRPr="00646254" w:rsidRDefault="001A5BCF" w:rsidP="00E96A1D">
            <w:pPr>
              <w:keepNext/>
              <w:widowControl w:val="0"/>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2060"/>
                <w:sz w:val="18"/>
                <w:szCs w:val="18"/>
                <w:lang w:val="sr-Cyrl-CS"/>
              </w:rPr>
            </w:pPr>
            <w:r w:rsidRPr="00646254">
              <w:rPr>
                <w:rFonts w:eastAsia="Times New Roman" w:cstheme="minorHAnsi"/>
                <w:color w:val="002060"/>
                <w:sz w:val="18"/>
                <w:szCs w:val="18"/>
                <w:lang w:val="sr-Cyrl-CS"/>
              </w:rPr>
              <w:t>–</w:t>
            </w:r>
          </w:p>
        </w:tc>
      </w:tr>
      <w:tr w:rsidR="001A5BCF" w:rsidRPr="00646254" w14:paraId="50876B75" w14:textId="77777777" w:rsidTr="00E96A1D">
        <w:trPr>
          <w:cnfStyle w:val="000000100000" w:firstRow="0" w:lastRow="0" w:firstColumn="0" w:lastColumn="0" w:oddVBand="0" w:evenVBand="0" w:oddHBand="1" w:evenHBand="0" w:firstRowFirstColumn="0" w:firstRowLastColumn="0" w:lastRowFirstColumn="0" w:lastRowLastColumn="0"/>
          <w:trHeight w:val="241"/>
        </w:trPr>
        <w:tc>
          <w:tcPr>
            <w:cnfStyle w:val="001000000000" w:firstRow="0" w:lastRow="0" w:firstColumn="1" w:lastColumn="0" w:oddVBand="0" w:evenVBand="0" w:oddHBand="0" w:evenHBand="0" w:firstRowFirstColumn="0" w:firstRowLastColumn="0" w:lastRowFirstColumn="0" w:lastRowLastColumn="0"/>
            <w:tcW w:w="1464" w:type="pct"/>
            <w:shd w:val="clear" w:color="auto" w:fill="FFFFFF" w:themeFill="background1"/>
            <w:noWrap/>
            <w:hideMark/>
          </w:tcPr>
          <w:p w14:paraId="16B942F9" w14:textId="77777777" w:rsidR="001A5BCF" w:rsidRPr="00646254" w:rsidRDefault="001A5BCF" w:rsidP="00E96A1D">
            <w:pPr>
              <w:keepNext/>
              <w:widowControl w:val="0"/>
              <w:shd w:val="clear" w:color="auto" w:fill="FFFFFF" w:themeFill="background1"/>
              <w:spacing w:line="276" w:lineRule="auto"/>
              <w:rPr>
                <w:rFonts w:eastAsia="Times New Roman" w:cstheme="minorHAnsi"/>
                <w:b w:val="0"/>
                <w:color w:val="002060"/>
                <w:sz w:val="18"/>
                <w:szCs w:val="18"/>
                <w:lang w:val="sr-Cyrl-CS"/>
              </w:rPr>
            </w:pPr>
            <w:r w:rsidRPr="00646254">
              <w:rPr>
                <w:rFonts w:eastAsia="Times New Roman" w:cstheme="minorHAnsi"/>
                <w:b w:val="0"/>
                <w:color w:val="002060"/>
                <w:sz w:val="18"/>
                <w:szCs w:val="18"/>
                <w:lang w:val="sr-Cyrl-CS"/>
              </w:rPr>
              <w:t>Ревидирана Фискална стратегија 2022–2024</w:t>
            </w:r>
          </w:p>
        </w:tc>
        <w:tc>
          <w:tcPr>
            <w:tcW w:w="707" w:type="pct"/>
            <w:shd w:val="clear" w:color="auto" w:fill="FFFFFF" w:themeFill="background1"/>
            <w:noWrap/>
            <w:hideMark/>
          </w:tcPr>
          <w:p w14:paraId="5C4B1768" w14:textId="77777777" w:rsidR="001A5BCF" w:rsidRPr="00646254" w:rsidRDefault="001A5BCF" w:rsidP="00E96A1D">
            <w:pPr>
              <w:keepNext/>
              <w:widowControl w:val="0"/>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2060"/>
                <w:sz w:val="18"/>
                <w:szCs w:val="18"/>
                <w:lang w:val="sr-Cyrl-CS"/>
              </w:rPr>
            </w:pPr>
          </w:p>
        </w:tc>
        <w:tc>
          <w:tcPr>
            <w:tcW w:w="707" w:type="pct"/>
            <w:shd w:val="clear" w:color="auto" w:fill="FFFFFF" w:themeFill="background1"/>
            <w:noWrap/>
            <w:hideMark/>
          </w:tcPr>
          <w:p w14:paraId="47CDDF86" w14:textId="77777777" w:rsidR="001A5BCF" w:rsidRPr="00646254" w:rsidRDefault="001A5BCF" w:rsidP="00E96A1D">
            <w:pPr>
              <w:keepNext/>
              <w:widowControl w:val="0"/>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2060"/>
                <w:sz w:val="18"/>
                <w:szCs w:val="18"/>
                <w:lang w:val="sr-Cyrl-CS"/>
              </w:rPr>
            </w:pPr>
          </w:p>
        </w:tc>
        <w:tc>
          <w:tcPr>
            <w:tcW w:w="707" w:type="pct"/>
            <w:tcBorders>
              <w:bottom w:val="nil"/>
            </w:tcBorders>
            <w:shd w:val="clear" w:color="auto" w:fill="FFFFFF" w:themeFill="background1"/>
            <w:noWrap/>
            <w:hideMark/>
          </w:tcPr>
          <w:p w14:paraId="4005035A" w14:textId="77777777" w:rsidR="001A5BCF" w:rsidRPr="00646254" w:rsidRDefault="001A5BCF" w:rsidP="00E96A1D">
            <w:pPr>
              <w:keepNext/>
              <w:widowControl w:val="0"/>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2060"/>
                <w:sz w:val="18"/>
                <w:szCs w:val="18"/>
                <w:lang w:val="sr-Cyrl-CS"/>
              </w:rPr>
            </w:pPr>
          </w:p>
        </w:tc>
        <w:tc>
          <w:tcPr>
            <w:tcW w:w="707" w:type="pct"/>
            <w:tcBorders>
              <w:bottom w:val="nil"/>
            </w:tcBorders>
            <w:shd w:val="clear" w:color="auto" w:fill="FFFFFF" w:themeFill="background1"/>
            <w:noWrap/>
            <w:hideMark/>
          </w:tcPr>
          <w:p w14:paraId="1B5E6E36" w14:textId="77777777" w:rsidR="001A5BCF" w:rsidRPr="00646254" w:rsidRDefault="001A5BCF" w:rsidP="00E96A1D">
            <w:pPr>
              <w:keepNext/>
              <w:widowControl w:val="0"/>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2060"/>
                <w:sz w:val="18"/>
                <w:szCs w:val="18"/>
                <w:lang w:val="sr-Cyrl-CS"/>
              </w:rPr>
            </w:pPr>
          </w:p>
        </w:tc>
        <w:tc>
          <w:tcPr>
            <w:tcW w:w="707" w:type="pct"/>
            <w:tcBorders>
              <w:bottom w:val="nil"/>
            </w:tcBorders>
            <w:shd w:val="clear" w:color="auto" w:fill="FFFFFF" w:themeFill="background1"/>
            <w:noWrap/>
            <w:hideMark/>
          </w:tcPr>
          <w:p w14:paraId="10B6D148" w14:textId="77777777" w:rsidR="001A5BCF" w:rsidRPr="00646254" w:rsidRDefault="001A5BCF" w:rsidP="00E96A1D">
            <w:pPr>
              <w:keepNext/>
              <w:widowControl w:val="0"/>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2060"/>
                <w:sz w:val="18"/>
                <w:szCs w:val="18"/>
                <w:lang w:val="sr-Cyrl-CS"/>
              </w:rPr>
            </w:pPr>
          </w:p>
        </w:tc>
      </w:tr>
      <w:tr w:rsidR="001A5BCF" w:rsidRPr="00646254" w14:paraId="3EF268CB" w14:textId="77777777" w:rsidTr="00E96A1D">
        <w:trPr>
          <w:trHeight w:val="241"/>
        </w:trPr>
        <w:tc>
          <w:tcPr>
            <w:cnfStyle w:val="001000000000" w:firstRow="0" w:lastRow="0" w:firstColumn="1" w:lastColumn="0" w:oddVBand="0" w:evenVBand="0" w:oddHBand="0" w:evenHBand="0" w:firstRowFirstColumn="0" w:firstRowLastColumn="0" w:lastRowFirstColumn="0" w:lastRowLastColumn="0"/>
            <w:tcW w:w="1464" w:type="pct"/>
            <w:shd w:val="clear" w:color="auto" w:fill="FFFFFF" w:themeFill="background1"/>
            <w:noWrap/>
            <w:hideMark/>
          </w:tcPr>
          <w:p w14:paraId="76323919" w14:textId="77777777" w:rsidR="001A5BCF" w:rsidRPr="00646254" w:rsidRDefault="001A5BCF" w:rsidP="00E96A1D">
            <w:pPr>
              <w:keepNext/>
              <w:widowControl w:val="0"/>
              <w:shd w:val="clear" w:color="auto" w:fill="FFFFFF" w:themeFill="background1"/>
              <w:spacing w:line="276" w:lineRule="auto"/>
              <w:rPr>
                <w:rFonts w:eastAsia="Times New Roman" w:cstheme="minorHAnsi"/>
                <w:b w:val="0"/>
                <w:color w:val="002060"/>
                <w:sz w:val="18"/>
                <w:szCs w:val="18"/>
                <w:lang w:val="sr-Cyrl-CS"/>
              </w:rPr>
            </w:pPr>
            <w:r w:rsidRPr="00646254">
              <w:rPr>
                <w:rFonts w:eastAsia="Times New Roman" w:cstheme="minorHAnsi"/>
                <w:b w:val="0"/>
                <w:color w:val="002060"/>
                <w:sz w:val="18"/>
                <w:szCs w:val="18"/>
                <w:lang w:val="sr-Cyrl-CS"/>
              </w:rPr>
              <w:t>Приходи</w:t>
            </w:r>
          </w:p>
        </w:tc>
        <w:tc>
          <w:tcPr>
            <w:tcW w:w="707" w:type="pct"/>
            <w:shd w:val="clear" w:color="auto" w:fill="FFFFFF" w:themeFill="background1"/>
            <w:noWrap/>
            <w:hideMark/>
          </w:tcPr>
          <w:p w14:paraId="7FC56CDD" w14:textId="77777777" w:rsidR="001A5BCF" w:rsidRPr="00646254" w:rsidRDefault="001A5BCF" w:rsidP="00E96A1D">
            <w:pPr>
              <w:keepNext/>
              <w:widowControl w:val="0"/>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2060"/>
                <w:sz w:val="18"/>
                <w:szCs w:val="18"/>
                <w:lang w:val="sr-Cyrl-CS"/>
              </w:rPr>
            </w:pPr>
            <w:r w:rsidRPr="00646254">
              <w:rPr>
                <w:rFonts w:eastAsia="Times New Roman" w:cstheme="minorHAnsi"/>
                <w:color w:val="002060"/>
                <w:sz w:val="18"/>
                <w:szCs w:val="18"/>
                <w:lang w:val="sr-Cyrl-CS"/>
              </w:rPr>
              <w:t>41,0</w:t>
            </w:r>
          </w:p>
        </w:tc>
        <w:tc>
          <w:tcPr>
            <w:tcW w:w="707" w:type="pct"/>
            <w:shd w:val="clear" w:color="auto" w:fill="FFFFFF" w:themeFill="background1"/>
            <w:noWrap/>
            <w:hideMark/>
          </w:tcPr>
          <w:p w14:paraId="53EE52FE" w14:textId="77777777" w:rsidR="001A5BCF" w:rsidRPr="00646254" w:rsidRDefault="001A5BCF" w:rsidP="00E96A1D">
            <w:pPr>
              <w:keepNext/>
              <w:widowControl w:val="0"/>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2060"/>
                <w:sz w:val="18"/>
                <w:szCs w:val="18"/>
                <w:lang w:val="sr-Cyrl-CS"/>
              </w:rPr>
            </w:pPr>
            <w:r w:rsidRPr="00646254">
              <w:rPr>
                <w:rFonts w:eastAsia="Times New Roman" w:cstheme="minorHAnsi"/>
                <w:color w:val="002060"/>
                <w:sz w:val="18"/>
                <w:szCs w:val="18"/>
                <w:lang w:val="sr-Cyrl-CS"/>
              </w:rPr>
              <w:t>43,5</w:t>
            </w:r>
          </w:p>
        </w:tc>
        <w:tc>
          <w:tcPr>
            <w:tcW w:w="707" w:type="pct"/>
            <w:tcBorders>
              <w:top w:val="nil"/>
              <w:bottom w:val="nil"/>
            </w:tcBorders>
            <w:shd w:val="clear" w:color="auto" w:fill="auto"/>
            <w:noWrap/>
            <w:vAlign w:val="center"/>
            <w:hideMark/>
          </w:tcPr>
          <w:p w14:paraId="78F2CC16" w14:textId="77777777" w:rsidR="001A5BCF" w:rsidRPr="00646254" w:rsidRDefault="001A5BCF" w:rsidP="00E96A1D">
            <w:pPr>
              <w:keepNext/>
              <w:widowControl w:val="0"/>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2060"/>
                <w:sz w:val="18"/>
                <w:szCs w:val="18"/>
                <w:lang w:val="sr-Cyrl-CS"/>
              </w:rPr>
            </w:pPr>
            <w:r w:rsidRPr="00646254">
              <w:rPr>
                <w:rFonts w:cstheme="minorHAnsi"/>
                <w:color w:val="002060"/>
                <w:sz w:val="18"/>
                <w:szCs w:val="18"/>
                <w:lang w:val="sr-Cyrl-CS"/>
              </w:rPr>
              <w:t>42,2</w:t>
            </w:r>
          </w:p>
        </w:tc>
        <w:tc>
          <w:tcPr>
            <w:tcW w:w="707" w:type="pct"/>
            <w:tcBorders>
              <w:top w:val="nil"/>
              <w:bottom w:val="nil"/>
            </w:tcBorders>
            <w:shd w:val="clear" w:color="auto" w:fill="auto"/>
            <w:noWrap/>
            <w:vAlign w:val="center"/>
            <w:hideMark/>
          </w:tcPr>
          <w:p w14:paraId="158C64D3" w14:textId="77777777" w:rsidR="001A5BCF" w:rsidRPr="00646254" w:rsidRDefault="001A5BCF" w:rsidP="00E96A1D">
            <w:pPr>
              <w:keepNext/>
              <w:widowControl w:val="0"/>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2060"/>
                <w:sz w:val="18"/>
                <w:szCs w:val="18"/>
                <w:lang w:val="sr-Cyrl-CS"/>
              </w:rPr>
            </w:pPr>
            <w:r w:rsidRPr="00646254">
              <w:rPr>
                <w:rFonts w:cstheme="minorHAnsi"/>
                <w:color w:val="002060"/>
                <w:sz w:val="18"/>
                <w:szCs w:val="18"/>
                <w:lang w:val="sr-Cyrl-CS"/>
              </w:rPr>
              <w:t>41,4</w:t>
            </w:r>
          </w:p>
        </w:tc>
        <w:tc>
          <w:tcPr>
            <w:tcW w:w="707" w:type="pct"/>
            <w:tcBorders>
              <w:top w:val="nil"/>
              <w:bottom w:val="nil"/>
            </w:tcBorders>
            <w:shd w:val="clear" w:color="auto" w:fill="auto"/>
            <w:noWrap/>
            <w:vAlign w:val="center"/>
            <w:hideMark/>
          </w:tcPr>
          <w:p w14:paraId="4604BDCE" w14:textId="77777777" w:rsidR="001A5BCF" w:rsidRPr="00646254" w:rsidRDefault="001A5BCF" w:rsidP="00E96A1D">
            <w:pPr>
              <w:keepNext/>
              <w:widowControl w:val="0"/>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2060"/>
                <w:sz w:val="18"/>
                <w:szCs w:val="18"/>
                <w:lang w:val="sr-Cyrl-CS"/>
              </w:rPr>
            </w:pPr>
            <w:r w:rsidRPr="00646254">
              <w:rPr>
                <w:rFonts w:cstheme="minorHAnsi"/>
                <w:color w:val="002060"/>
                <w:sz w:val="18"/>
                <w:szCs w:val="18"/>
                <w:lang w:val="sr-Cyrl-CS"/>
              </w:rPr>
              <w:t>41,1</w:t>
            </w:r>
          </w:p>
        </w:tc>
      </w:tr>
      <w:tr w:rsidR="001A5BCF" w:rsidRPr="00646254" w14:paraId="3647BF4B" w14:textId="77777777" w:rsidTr="00E96A1D">
        <w:trPr>
          <w:cnfStyle w:val="000000100000" w:firstRow="0" w:lastRow="0" w:firstColumn="0" w:lastColumn="0" w:oddVBand="0" w:evenVBand="0" w:oddHBand="1" w:evenHBand="0" w:firstRowFirstColumn="0" w:firstRowLastColumn="0" w:lastRowFirstColumn="0" w:lastRowLastColumn="0"/>
          <w:trHeight w:val="241"/>
        </w:trPr>
        <w:tc>
          <w:tcPr>
            <w:cnfStyle w:val="001000000000" w:firstRow="0" w:lastRow="0" w:firstColumn="1" w:lastColumn="0" w:oddVBand="0" w:evenVBand="0" w:oddHBand="0" w:evenHBand="0" w:firstRowFirstColumn="0" w:firstRowLastColumn="0" w:lastRowFirstColumn="0" w:lastRowLastColumn="0"/>
            <w:tcW w:w="1464" w:type="pct"/>
            <w:shd w:val="clear" w:color="auto" w:fill="FFFFFF" w:themeFill="background1"/>
            <w:noWrap/>
            <w:hideMark/>
          </w:tcPr>
          <w:p w14:paraId="74AB0F3B" w14:textId="77777777" w:rsidR="001A5BCF" w:rsidRPr="00646254" w:rsidRDefault="001A5BCF" w:rsidP="00E96A1D">
            <w:pPr>
              <w:keepNext/>
              <w:widowControl w:val="0"/>
              <w:shd w:val="clear" w:color="auto" w:fill="FFFFFF" w:themeFill="background1"/>
              <w:spacing w:line="276" w:lineRule="auto"/>
              <w:rPr>
                <w:rFonts w:eastAsia="Times New Roman" w:cstheme="minorHAnsi"/>
                <w:b w:val="0"/>
                <w:color w:val="002060"/>
                <w:sz w:val="18"/>
                <w:szCs w:val="18"/>
                <w:lang w:val="sr-Cyrl-CS"/>
              </w:rPr>
            </w:pPr>
            <w:r w:rsidRPr="00646254">
              <w:rPr>
                <w:rFonts w:eastAsia="Times New Roman" w:cstheme="minorHAnsi"/>
                <w:b w:val="0"/>
                <w:color w:val="002060"/>
                <w:sz w:val="18"/>
                <w:szCs w:val="18"/>
                <w:lang w:val="sr-Cyrl-CS"/>
              </w:rPr>
              <w:t>Расходи</w:t>
            </w:r>
          </w:p>
        </w:tc>
        <w:tc>
          <w:tcPr>
            <w:tcW w:w="707" w:type="pct"/>
            <w:shd w:val="clear" w:color="auto" w:fill="FFFFFF" w:themeFill="background1"/>
            <w:noWrap/>
            <w:hideMark/>
          </w:tcPr>
          <w:p w14:paraId="61744251" w14:textId="77777777" w:rsidR="001A5BCF" w:rsidRPr="00646254" w:rsidRDefault="001A5BCF" w:rsidP="00E96A1D">
            <w:pPr>
              <w:keepNext/>
              <w:widowControl w:val="0"/>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2060"/>
                <w:sz w:val="18"/>
                <w:szCs w:val="18"/>
                <w:lang w:val="sr-Cyrl-CS"/>
              </w:rPr>
            </w:pPr>
            <w:r w:rsidRPr="00646254">
              <w:rPr>
                <w:rFonts w:eastAsia="Times New Roman" w:cstheme="minorHAnsi"/>
                <w:color w:val="002060"/>
                <w:sz w:val="18"/>
                <w:szCs w:val="18"/>
                <w:lang w:val="sr-Cyrl-CS"/>
              </w:rPr>
              <w:t>49,0</w:t>
            </w:r>
          </w:p>
        </w:tc>
        <w:tc>
          <w:tcPr>
            <w:tcW w:w="707" w:type="pct"/>
            <w:shd w:val="clear" w:color="auto" w:fill="FFFFFF" w:themeFill="background1"/>
            <w:noWrap/>
            <w:hideMark/>
          </w:tcPr>
          <w:p w14:paraId="44210F3E" w14:textId="77777777" w:rsidR="001A5BCF" w:rsidRPr="00646254" w:rsidRDefault="001A5BCF" w:rsidP="00E96A1D">
            <w:pPr>
              <w:keepNext/>
              <w:widowControl w:val="0"/>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2060"/>
                <w:sz w:val="18"/>
                <w:szCs w:val="18"/>
                <w:lang w:val="sr-Cyrl-CS"/>
              </w:rPr>
            </w:pPr>
            <w:r w:rsidRPr="00646254">
              <w:rPr>
                <w:rFonts w:eastAsia="Times New Roman" w:cstheme="minorHAnsi"/>
                <w:color w:val="002060"/>
                <w:sz w:val="18"/>
                <w:szCs w:val="18"/>
                <w:lang w:val="sr-Cyrl-CS"/>
              </w:rPr>
              <w:t>48,4</w:t>
            </w:r>
          </w:p>
        </w:tc>
        <w:tc>
          <w:tcPr>
            <w:tcW w:w="707" w:type="pct"/>
            <w:tcBorders>
              <w:top w:val="nil"/>
            </w:tcBorders>
            <w:shd w:val="clear" w:color="auto" w:fill="auto"/>
            <w:noWrap/>
            <w:vAlign w:val="center"/>
            <w:hideMark/>
          </w:tcPr>
          <w:p w14:paraId="435293FE" w14:textId="77777777" w:rsidR="001A5BCF" w:rsidRPr="00646254" w:rsidRDefault="001A5BCF" w:rsidP="00E96A1D">
            <w:pPr>
              <w:keepNext/>
              <w:widowControl w:val="0"/>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2060"/>
                <w:sz w:val="18"/>
                <w:szCs w:val="18"/>
                <w:lang w:val="sr-Cyrl-CS"/>
              </w:rPr>
            </w:pPr>
            <w:r w:rsidRPr="00646254">
              <w:rPr>
                <w:rFonts w:cstheme="minorHAnsi"/>
                <w:color w:val="002060"/>
                <w:sz w:val="18"/>
                <w:szCs w:val="18"/>
                <w:lang w:val="sr-Cyrl-CS"/>
              </w:rPr>
              <w:t>45,3</w:t>
            </w:r>
          </w:p>
        </w:tc>
        <w:tc>
          <w:tcPr>
            <w:tcW w:w="707" w:type="pct"/>
            <w:tcBorders>
              <w:top w:val="nil"/>
            </w:tcBorders>
            <w:shd w:val="clear" w:color="auto" w:fill="auto"/>
            <w:noWrap/>
            <w:vAlign w:val="center"/>
            <w:hideMark/>
          </w:tcPr>
          <w:p w14:paraId="52044247" w14:textId="565F76A6" w:rsidR="001A5BCF" w:rsidRPr="00646254" w:rsidRDefault="00AE5414" w:rsidP="00E96A1D">
            <w:pPr>
              <w:keepNext/>
              <w:widowControl w:val="0"/>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2060"/>
                <w:sz w:val="18"/>
                <w:szCs w:val="18"/>
                <w:lang w:val="sr-Cyrl-CS"/>
              </w:rPr>
            </w:pPr>
            <w:r w:rsidRPr="00646254">
              <w:rPr>
                <w:rFonts w:cstheme="minorHAnsi"/>
                <w:color w:val="002060"/>
                <w:sz w:val="18"/>
                <w:szCs w:val="18"/>
                <w:lang w:val="sr-Cyrl-CS"/>
              </w:rPr>
              <w:t>42,9</w:t>
            </w:r>
          </w:p>
        </w:tc>
        <w:tc>
          <w:tcPr>
            <w:tcW w:w="707" w:type="pct"/>
            <w:tcBorders>
              <w:top w:val="nil"/>
            </w:tcBorders>
            <w:shd w:val="clear" w:color="auto" w:fill="auto"/>
            <w:noWrap/>
            <w:vAlign w:val="center"/>
            <w:hideMark/>
          </w:tcPr>
          <w:p w14:paraId="086F70D1" w14:textId="77777777" w:rsidR="001A5BCF" w:rsidRPr="00646254" w:rsidRDefault="001A5BCF" w:rsidP="00E96A1D">
            <w:pPr>
              <w:keepNext/>
              <w:widowControl w:val="0"/>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2060"/>
                <w:sz w:val="18"/>
                <w:szCs w:val="18"/>
                <w:lang w:val="sr-Cyrl-CS"/>
              </w:rPr>
            </w:pPr>
            <w:r w:rsidRPr="00646254">
              <w:rPr>
                <w:rFonts w:cstheme="minorHAnsi"/>
                <w:color w:val="002060"/>
                <w:sz w:val="18"/>
                <w:szCs w:val="18"/>
                <w:lang w:val="sr-Cyrl-CS"/>
              </w:rPr>
              <w:t>42,1</w:t>
            </w:r>
          </w:p>
        </w:tc>
      </w:tr>
      <w:tr w:rsidR="001A5BCF" w:rsidRPr="00646254" w14:paraId="5C02D939" w14:textId="77777777" w:rsidTr="00E96A1D">
        <w:trPr>
          <w:trHeight w:val="241"/>
        </w:trPr>
        <w:tc>
          <w:tcPr>
            <w:cnfStyle w:val="001000000000" w:firstRow="0" w:lastRow="0" w:firstColumn="1" w:lastColumn="0" w:oddVBand="0" w:evenVBand="0" w:oddHBand="0" w:evenHBand="0" w:firstRowFirstColumn="0" w:firstRowLastColumn="0" w:lastRowFirstColumn="0" w:lastRowLastColumn="0"/>
            <w:tcW w:w="1464" w:type="pct"/>
            <w:shd w:val="clear" w:color="auto" w:fill="FFFFFF" w:themeFill="background1"/>
            <w:noWrap/>
            <w:hideMark/>
          </w:tcPr>
          <w:p w14:paraId="79827104" w14:textId="77777777" w:rsidR="001A5BCF" w:rsidRPr="00646254" w:rsidRDefault="001A5BCF" w:rsidP="00E96A1D">
            <w:pPr>
              <w:keepNext/>
              <w:widowControl w:val="0"/>
              <w:shd w:val="clear" w:color="auto" w:fill="FFFFFF" w:themeFill="background1"/>
              <w:spacing w:line="276" w:lineRule="auto"/>
              <w:rPr>
                <w:rFonts w:eastAsia="Times New Roman" w:cstheme="minorHAnsi"/>
                <w:b w:val="0"/>
                <w:color w:val="002060"/>
                <w:sz w:val="18"/>
                <w:szCs w:val="18"/>
                <w:lang w:val="sr-Cyrl-CS"/>
              </w:rPr>
            </w:pPr>
            <w:r w:rsidRPr="00646254">
              <w:rPr>
                <w:rFonts w:eastAsia="Times New Roman" w:cstheme="minorHAnsi"/>
                <w:b w:val="0"/>
                <w:color w:val="002060"/>
                <w:sz w:val="18"/>
                <w:szCs w:val="18"/>
                <w:lang w:val="sr-Cyrl-CS"/>
              </w:rPr>
              <w:t>Резултат</w:t>
            </w:r>
          </w:p>
        </w:tc>
        <w:tc>
          <w:tcPr>
            <w:tcW w:w="707" w:type="pct"/>
            <w:shd w:val="clear" w:color="auto" w:fill="FFFFFF" w:themeFill="background1"/>
            <w:noWrap/>
            <w:hideMark/>
          </w:tcPr>
          <w:p w14:paraId="1C369F51" w14:textId="77777777" w:rsidR="001A5BCF" w:rsidRPr="00646254" w:rsidRDefault="001A5BCF" w:rsidP="00E96A1D">
            <w:pPr>
              <w:keepNext/>
              <w:widowControl w:val="0"/>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2060"/>
                <w:sz w:val="18"/>
                <w:szCs w:val="18"/>
                <w:lang w:val="sr-Cyrl-CS"/>
              </w:rPr>
            </w:pPr>
            <w:r w:rsidRPr="00646254">
              <w:rPr>
                <w:rFonts w:eastAsia="Times New Roman" w:cstheme="minorHAnsi"/>
                <w:color w:val="002060"/>
                <w:sz w:val="18"/>
                <w:szCs w:val="18"/>
                <w:lang w:val="sr-Cyrl-CS"/>
              </w:rPr>
              <w:t>-8,0</w:t>
            </w:r>
          </w:p>
        </w:tc>
        <w:tc>
          <w:tcPr>
            <w:tcW w:w="707" w:type="pct"/>
            <w:shd w:val="clear" w:color="auto" w:fill="FFFFFF" w:themeFill="background1"/>
            <w:noWrap/>
            <w:hideMark/>
          </w:tcPr>
          <w:p w14:paraId="768A9973" w14:textId="77777777" w:rsidR="001A5BCF" w:rsidRPr="00646254" w:rsidRDefault="001A5BCF" w:rsidP="00E96A1D">
            <w:pPr>
              <w:keepNext/>
              <w:widowControl w:val="0"/>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2060"/>
                <w:sz w:val="18"/>
                <w:szCs w:val="18"/>
                <w:lang w:val="sr-Cyrl-CS"/>
              </w:rPr>
            </w:pPr>
            <w:r w:rsidRPr="00646254">
              <w:rPr>
                <w:rFonts w:eastAsia="Times New Roman" w:cstheme="minorHAnsi"/>
                <w:color w:val="002060"/>
                <w:sz w:val="18"/>
                <w:szCs w:val="18"/>
                <w:lang w:val="sr-Cyrl-CS"/>
              </w:rPr>
              <w:t>-4,9</w:t>
            </w:r>
          </w:p>
        </w:tc>
        <w:tc>
          <w:tcPr>
            <w:tcW w:w="707" w:type="pct"/>
            <w:shd w:val="clear" w:color="auto" w:fill="FFFFFF" w:themeFill="background1"/>
            <w:noWrap/>
            <w:hideMark/>
          </w:tcPr>
          <w:p w14:paraId="3E2DC55E" w14:textId="77777777" w:rsidR="001A5BCF" w:rsidRPr="00646254" w:rsidRDefault="001A5BCF" w:rsidP="00E96A1D">
            <w:pPr>
              <w:keepNext/>
              <w:widowControl w:val="0"/>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2060"/>
                <w:sz w:val="18"/>
                <w:szCs w:val="18"/>
                <w:lang w:val="sr-Cyrl-CS"/>
              </w:rPr>
            </w:pPr>
            <w:r w:rsidRPr="00646254">
              <w:rPr>
                <w:rFonts w:eastAsia="Times New Roman" w:cstheme="minorHAnsi"/>
                <w:color w:val="002060"/>
                <w:sz w:val="18"/>
                <w:szCs w:val="18"/>
                <w:lang w:val="sr-Cyrl-CS"/>
              </w:rPr>
              <w:t>-3,0</w:t>
            </w:r>
          </w:p>
        </w:tc>
        <w:tc>
          <w:tcPr>
            <w:tcW w:w="707" w:type="pct"/>
            <w:shd w:val="clear" w:color="auto" w:fill="FFFFFF" w:themeFill="background1"/>
            <w:noWrap/>
            <w:hideMark/>
          </w:tcPr>
          <w:p w14:paraId="7CF972E6" w14:textId="77777777" w:rsidR="001A5BCF" w:rsidRPr="00646254" w:rsidRDefault="001A5BCF" w:rsidP="00E96A1D">
            <w:pPr>
              <w:keepNext/>
              <w:widowControl w:val="0"/>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2060"/>
                <w:sz w:val="18"/>
                <w:szCs w:val="18"/>
                <w:lang w:val="sr-Cyrl-CS"/>
              </w:rPr>
            </w:pPr>
            <w:r w:rsidRPr="00646254">
              <w:rPr>
                <w:rFonts w:eastAsia="Times New Roman" w:cstheme="minorHAnsi"/>
                <w:color w:val="002060"/>
                <w:sz w:val="18"/>
                <w:szCs w:val="18"/>
                <w:lang w:val="sr-Cyrl-CS"/>
              </w:rPr>
              <w:t>-1,5</w:t>
            </w:r>
          </w:p>
        </w:tc>
        <w:tc>
          <w:tcPr>
            <w:tcW w:w="707" w:type="pct"/>
            <w:shd w:val="clear" w:color="auto" w:fill="FFFFFF" w:themeFill="background1"/>
            <w:noWrap/>
            <w:hideMark/>
          </w:tcPr>
          <w:p w14:paraId="08B9D3E6" w14:textId="77777777" w:rsidR="001A5BCF" w:rsidRPr="00646254" w:rsidRDefault="001A5BCF" w:rsidP="00E96A1D">
            <w:pPr>
              <w:keepNext/>
              <w:widowControl w:val="0"/>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2060"/>
                <w:sz w:val="18"/>
                <w:szCs w:val="18"/>
                <w:lang w:val="sr-Cyrl-CS"/>
              </w:rPr>
            </w:pPr>
            <w:r w:rsidRPr="00646254">
              <w:rPr>
                <w:rFonts w:eastAsia="Times New Roman" w:cstheme="minorHAnsi"/>
                <w:color w:val="002060"/>
                <w:sz w:val="18"/>
                <w:szCs w:val="18"/>
                <w:lang w:val="sr-Cyrl-CS"/>
              </w:rPr>
              <w:t>-1,0</w:t>
            </w:r>
          </w:p>
        </w:tc>
      </w:tr>
      <w:tr w:rsidR="001A5BCF" w:rsidRPr="00646254" w14:paraId="3D7D9033" w14:textId="77777777" w:rsidTr="00E96A1D">
        <w:trPr>
          <w:cnfStyle w:val="000000100000" w:firstRow="0" w:lastRow="0" w:firstColumn="0" w:lastColumn="0" w:oddVBand="0" w:evenVBand="0" w:oddHBand="1" w:evenHBand="0" w:firstRowFirstColumn="0" w:firstRowLastColumn="0" w:lastRowFirstColumn="0" w:lastRowLastColumn="0"/>
          <w:trHeight w:val="241"/>
        </w:trPr>
        <w:tc>
          <w:tcPr>
            <w:cnfStyle w:val="001000000000" w:firstRow="0" w:lastRow="0" w:firstColumn="1" w:lastColumn="0" w:oddVBand="0" w:evenVBand="0" w:oddHBand="0" w:evenHBand="0" w:firstRowFirstColumn="0" w:firstRowLastColumn="0" w:lastRowFirstColumn="0" w:lastRowLastColumn="0"/>
            <w:tcW w:w="1464" w:type="pct"/>
            <w:shd w:val="clear" w:color="auto" w:fill="FFFFFF" w:themeFill="background1"/>
            <w:noWrap/>
            <w:hideMark/>
          </w:tcPr>
          <w:p w14:paraId="74544229" w14:textId="77777777" w:rsidR="001A5BCF" w:rsidRPr="00646254" w:rsidRDefault="001A5BCF" w:rsidP="00E96A1D">
            <w:pPr>
              <w:keepNext/>
              <w:widowControl w:val="0"/>
              <w:shd w:val="clear" w:color="auto" w:fill="FFFFFF" w:themeFill="background1"/>
              <w:spacing w:line="276" w:lineRule="auto"/>
              <w:rPr>
                <w:rFonts w:eastAsia="Times New Roman" w:cstheme="minorHAnsi"/>
                <w:b w:val="0"/>
                <w:color w:val="002060"/>
                <w:sz w:val="18"/>
                <w:szCs w:val="18"/>
                <w:lang w:val="sr-Cyrl-CS"/>
              </w:rPr>
            </w:pPr>
            <w:r w:rsidRPr="00646254">
              <w:rPr>
                <w:rFonts w:eastAsia="Times New Roman" w:cstheme="minorHAnsi"/>
                <w:b w:val="0"/>
                <w:color w:val="002060"/>
                <w:sz w:val="18"/>
                <w:szCs w:val="18"/>
                <w:lang w:val="sr-Cyrl-CS"/>
              </w:rPr>
              <w:t>Разлика</w:t>
            </w:r>
          </w:p>
        </w:tc>
        <w:tc>
          <w:tcPr>
            <w:tcW w:w="707" w:type="pct"/>
            <w:shd w:val="clear" w:color="auto" w:fill="FFFFFF" w:themeFill="background1"/>
            <w:noWrap/>
            <w:hideMark/>
          </w:tcPr>
          <w:p w14:paraId="5F7B12A8" w14:textId="77777777" w:rsidR="001A5BCF" w:rsidRPr="00646254" w:rsidRDefault="001A5BCF" w:rsidP="00E96A1D">
            <w:pPr>
              <w:keepNext/>
              <w:widowControl w:val="0"/>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2060"/>
                <w:sz w:val="18"/>
                <w:szCs w:val="18"/>
                <w:lang w:val="sr-Cyrl-CS"/>
              </w:rPr>
            </w:pPr>
          </w:p>
        </w:tc>
        <w:tc>
          <w:tcPr>
            <w:tcW w:w="707" w:type="pct"/>
            <w:shd w:val="clear" w:color="auto" w:fill="FFFFFF" w:themeFill="background1"/>
            <w:noWrap/>
            <w:hideMark/>
          </w:tcPr>
          <w:p w14:paraId="0F87A94D" w14:textId="77777777" w:rsidR="001A5BCF" w:rsidRPr="00646254" w:rsidRDefault="001A5BCF" w:rsidP="00E96A1D">
            <w:pPr>
              <w:keepNext/>
              <w:widowControl w:val="0"/>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2060"/>
                <w:sz w:val="18"/>
                <w:szCs w:val="18"/>
                <w:lang w:val="sr-Cyrl-CS"/>
              </w:rPr>
            </w:pPr>
          </w:p>
        </w:tc>
        <w:tc>
          <w:tcPr>
            <w:tcW w:w="707" w:type="pct"/>
            <w:shd w:val="clear" w:color="auto" w:fill="FFFFFF" w:themeFill="background1"/>
            <w:noWrap/>
            <w:hideMark/>
          </w:tcPr>
          <w:p w14:paraId="6276A286" w14:textId="77777777" w:rsidR="001A5BCF" w:rsidRPr="00646254" w:rsidRDefault="001A5BCF" w:rsidP="00E96A1D">
            <w:pPr>
              <w:keepNext/>
              <w:widowControl w:val="0"/>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2060"/>
                <w:sz w:val="18"/>
                <w:szCs w:val="18"/>
                <w:lang w:val="sr-Cyrl-CS"/>
              </w:rPr>
            </w:pPr>
          </w:p>
        </w:tc>
        <w:tc>
          <w:tcPr>
            <w:tcW w:w="707" w:type="pct"/>
            <w:shd w:val="clear" w:color="auto" w:fill="FFFFFF" w:themeFill="background1"/>
            <w:noWrap/>
            <w:hideMark/>
          </w:tcPr>
          <w:p w14:paraId="7C45C751" w14:textId="77777777" w:rsidR="001A5BCF" w:rsidRPr="00646254" w:rsidRDefault="001A5BCF" w:rsidP="00E96A1D">
            <w:pPr>
              <w:keepNext/>
              <w:widowControl w:val="0"/>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2060"/>
                <w:sz w:val="18"/>
                <w:szCs w:val="18"/>
                <w:lang w:val="sr-Cyrl-CS"/>
              </w:rPr>
            </w:pPr>
          </w:p>
        </w:tc>
        <w:tc>
          <w:tcPr>
            <w:tcW w:w="707" w:type="pct"/>
            <w:shd w:val="clear" w:color="auto" w:fill="FFFFFF" w:themeFill="background1"/>
            <w:noWrap/>
            <w:hideMark/>
          </w:tcPr>
          <w:p w14:paraId="1BFC6A0F" w14:textId="77777777" w:rsidR="001A5BCF" w:rsidRPr="00646254" w:rsidRDefault="001A5BCF" w:rsidP="00E96A1D">
            <w:pPr>
              <w:keepNext/>
              <w:widowControl w:val="0"/>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2060"/>
                <w:sz w:val="18"/>
                <w:szCs w:val="18"/>
                <w:lang w:val="sr-Cyrl-CS"/>
              </w:rPr>
            </w:pPr>
          </w:p>
        </w:tc>
      </w:tr>
      <w:tr w:rsidR="001A5BCF" w:rsidRPr="00646254" w14:paraId="4219C7DB" w14:textId="77777777" w:rsidTr="00E96A1D">
        <w:trPr>
          <w:trHeight w:val="241"/>
        </w:trPr>
        <w:tc>
          <w:tcPr>
            <w:cnfStyle w:val="001000000000" w:firstRow="0" w:lastRow="0" w:firstColumn="1" w:lastColumn="0" w:oddVBand="0" w:evenVBand="0" w:oddHBand="0" w:evenHBand="0" w:firstRowFirstColumn="0" w:firstRowLastColumn="0" w:lastRowFirstColumn="0" w:lastRowLastColumn="0"/>
            <w:tcW w:w="1464" w:type="pct"/>
            <w:shd w:val="clear" w:color="auto" w:fill="FFFFFF" w:themeFill="background1"/>
            <w:noWrap/>
            <w:hideMark/>
          </w:tcPr>
          <w:p w14:paraId="1511CAB3" w14:textId="77777777" w:rsidR="001A5BCF" w:rsidRPr="00646254" w:rsidRDefault="001A5BCF" w:rsidP="00E96A1D">
            <w:pPr>
              <w:keepNext/>
              <w:widowControl w:val="0"/>
              <w:shd w:val="clear" w:color="auto" w:fill="FFFFFF" w:themeFill="background1"/>
              <w:spacing w:line="276" w:lineRule="auto"/>
              <w:rPr>
                <w:rFonts w:eastAsia="Times New Roman" w:cstheme="minorHAnsi"/>
                <w:b w:val="0"/>
                <w:color w:val="002060"/>
                <w:sz w:val="18"/>
                <w:szCs w:val="18"/>
                <w:lang w:val="sr-Cyrl-CS"/>
              </w:rPr>
            </w:pPr>
            <w:r w:rsidRPr="00646254">
              <w:rPr>
                <w:rFonts w:eastAsia="Times New Roman" w:cstheme="minorHAnsi"/>
                <w:b w:val="0"/>
                <w:color w:val="002060"/>
                <w:sz w:val="18"/>
                <w:szCs w:val="18"/>
                <w:lang w:val="sr-Cyrl-CS"/>
              </w:rPr>
              <w:t>Приходи</w:t>
            </w:r>
          </w:p>
        </w:tc>
        <w:tc>
          <w:tcPr>
            <w:tcW w:w="707" w:type="pct"/>
            <w:shd w:val="clear" w:color="auto" w:fill="FFFFFF" w:themeFill="background1"/>
            <w:noWrap/>
            <w:hideMark/>
          </w:tcPr>
          <w:p w14:paraId="6699E428" w14:textId="77777777" w:rsidR="001A5BCF" w:rsidRPr="00646254" w:rsidRDefault="001A5BCF" w:rsidP="00E96A1D">
            <w:pPr>
              <w:keepNext/>
              <w:widowControl w:val="0"/>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2060"/>
                <w:sz w:val="18"/>
                <w:szCs w:val="18"/>
                <w:lang w:val="sr-Cyrl-CS"/>
              </w:rPr>
            </w:pPr>
            <w:r w:rsidRPr="00646254">
              <w:rPr>
                <w:rFonts w:eastAsia="Times New Roman" w:cstheme="minorHAnsi"/>
                <w:bCs/>
                <w:color w:val="002060"/>
                <w:sz w:val="18"/>
                <w:szCs w:val="18"/>
                <w:lang w:val="sr-Cyrl-CS"/>
              </w:rPr>
              <w:t>0,6</w:t>
            </w:r>
          </w:p>
        </w:tc>
        <w:tc>
          <w:tcPr>
            <w:tcW w:w="707" w:type="pct"/>
            <w:shd w:val="clear" w:color="auto" w:fill="FFFFFF" w:themeFill="background1"/>
            <w:noWrap/>
            <w:hideMark/>
          </w:tcPr>
          <w:p w14:paraId="38D2B609" w14:textId="77777777" w:rsidR="001A5BCF" w:rsidRPr="00646254" w:rsidRDefault="001A5BCF" w:rsidP="00E96A1D">
            <w:pPr>
              <w:keepNext/>
              <w:widowControl w:val="0"/>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2060"/>
                <w:sz w:val="18"/>
                <w:szCs w:val="18"/>
                <w:lang w:val="sr-Cyrl-CS"/>
              </w:rPr>
            </w:pPr>
            <w:r w:rsidRPr="00646254">
              <w:rPr>
                <w:rFonts w:eastAsia="Times New Roman" w:cstheme="minorHAnsi"/>
                <w:bCs/>
                <w:color w:val="002060"/>
                <w:sz w:val="18"/>
                <w:szCs w:val="18"/>
                <w:lang w:val="sr-Cyrl-CS"/>
              </w:rPr>
              <w:t>4,2</w:t>
            </w:r>
          </w:p>
        </w:tc>
        <w:tc>
          <w:tcPr>
            <w:tcW w:w="707" w:type="pct"/>
            <w:shd w:val="clear" w:color="auto" w:fill="FFFFFF" w:themeFill="background1"/>
            <w:noWrap/>
            <w:hideMark/>
          </w:tcPr>
          <w:p w14:paraId="069E5981" w14:textId="77777777" w:rsidR="001A5BCF" w:rsidRPr="00646254" w:rsidRDefault="001A5BCF" w:rsidP="00E96A1D">
            <w:pPr>
              <w:keepNext/>
              <w:widowControl w:val="0"/>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bCs/>
                <w:color w:val="002060"/>
                <w:sz w:val="18"/>
                <w:szCs w:val="18"/>
                <w:lang w:val="sr-Cyrl-CS"/>
              </w:rPr>
            </w:pPr>
            <w:r w:rsidRPr="00646254">
              <w:rPr>
                <w:rFonts w:eastAsia="Times New Roman" w:cstheme="minorHAnsi"/>
                <w:bCs/>
                <w:color w:val="002060"/>
                <w:sz w:val="18"/>
                <w:szCs w:val="18"/>
                <w:lang w:val="sr-Cyrl-CS"/>
              </w:rPr>
              <w:t>3,1</w:t>
            </w:r>
          </w:p>
        </w:tc>
        <w:tc>
          <w:tcPr>
            <w:tcW w:w="707" w:type="pct"/>
            <w:shd w:val="clear" w:color="auto" w:fill="FFFFFF" w:themeFill="background1"/>
            <w:noWrap/>
            <w:hideMark/>
          </w:tcPr>
          <w:p w14:paraId="03DC625D" w14:textId="77777777" w:rsidR="001A5BCF" w:rsidRPr="00646254" w:rsidRDefault="001A5BCF" w:rsidP="00E96A1D">
            <w:pPr>
              <w:keepNext/>
              <w:widowControl w:val="0"/>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bCs/>
                <w:color w:val="002060"/>
                <w:sz w:val="18"/>
                <w:szCs w:val="18"/>
                <w:lang w:val="sr-Cyrl-CS"/>
              </w:rPr>
            </w:pPr>
            <w:r w:rsidRPr="00646254">
              <w:rPr>
                <w:rFonts w:eastAsia="Times New Roman" w:cstheme="minorHAnsi"/>
                <w:bCs/>
                <w:color w:val="002060"/>
                <w:sz w:val="18"/>
                <w:szCs w:val="18"/>
                <w:lang w:val="sr-Cyrl-CS"/>
              </w:rPr>
              <w:t>1,4</w:t>
            </w:r>
          </w:p>
        </w:tc>
        <w:tc>
          <w:tcPr>
            <w:tcW w:w="707" w:type="pct"/>
            <w:shd w:val="clear" w:color="auto" w:fill="FFFFFF" w:themeFill="background1"/>
            <w:noWrap/>
            <w:hideMark/>
          </w:tcPr>
          <w:p w14:paraId="38B63B9D" w14:textId="77777777" w:rsidR="001A5BCF" w:rsidRPr="00646254" w:rsidRDefault="001A5BCF" w:rsidP="00E96A1D">
            <w:pPr>
              <w:keepNext/>
              <w:widowControl w:val="0"/>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2060"/>
                <w:sz w:val="18"/>
                <w:szCs w:val="18"/>
                <w:lang w:val="sr-Cyrl-CS"/>
              </w:rPr>
            </w:pPr>
            <w:r w:rsidRPr="00646254">
              <w:rPr>
                <w:rFonts w:eastAsia="Times New Roman" w:cstheme="minorHAnsi"/>
                <w:bCs/>
                <w:color w:val="002060"/>
                <w:sz w:val="18"/>
                <w:szCs w:val="18"/>
                <w:lang w:val="sr-Cyrl-CS"/>
              </w:rPr>
              <w:t>–</w:t>
            </w:r>
          </w:p>
        </w:tc>
      </w:tr>
      <w:tr w:rsidR="001A5BCF" w:rsidRPr="00646254" w14:paraId="3AE8C2BF" w14:textId="77777777" w:rsidTr="00E96A1D">
        <w:trPr>
          <w:cnfStyle w:val="000000100000" w:firstRow="0" w:lastRow="0" w:firstColumn="0" w:lastColumn="0" w:oddVBand="0" w:evenVBand="0" w:oddHBand="1" w:evenHBand="0" w:firstRowFirstColumn="0" w:firstRowLastColumn="0" w:lastRowFirstColumn="0" w:lastRowLastColumn="0"/>
          <w:trHeight w:val="241"/>
        </w:trPr>
        <w:tc>
          <w:tcPr>
            <w:cnfStyle w:val="001000000000" w:firstRow="0" w:lastRow="0" w:firstColumn="1" w:lastColumn="0" w:oddVBand="0" w:evenVBand="0" w:oddHBand="0" w:evenHBand="0" w:firstRowFirstColumn="0" w:firstRowLastColumn="0" w:lastRowFirstColumn="0" w:lastRowLastColumn="0"/>
            <w:tcW w:w="1464" w:type="pct"/>
            <w:tcBorders>
              <w:bottom w:val="nil"/>
            </w:tcBorders>
            <w:shd w:val="clear" w:color="auto" w:fill="FFFFFF" w:themeFill="background1"/>
            <w:noWrap/>
            <w:hideMark/>
          </w:tcPr>
          <w:p w14:paraId="721503E2" w14:textId="77777777" w:rsidR="001A5BCF" w:rsidRPr="00646254" w:rsidRDefault="001A5BCF" w:rsidP="00E96A1D">
            <w:pPr>
              <w:keepNext/>
              <w:widowControl w:val="0"/>
              <w:shd w:val="clear" w:color="auto" w:fill="FFFFFF" w:themeFill="background1"/>
              <w:spacing w:line="276" w:lineRule="auto"/>
              <w:rPr>
                <w:rFonts w:eastAsia="Times New Roman" w:cstheme="minorHAnsi"/>
                <w:b w:val="0"/>
                <w:color w:val="002060"/>
                <w:sz w:val="18"/>
                <w:szCs w:val="18"/>
                <w:lang w:val="sr-Cyrl-CS"/>
              </w:rPr>
            </w:pPr>
            <w:r w:rsidRPr="00646254">
              <w:rPr>
                <w:rFonts w:eastAsia="Times New Roman" w:cstheme="minorHAnsi"/>
                <w:b w:val="0"/>
                <w:color w:val="002060"/>
                <w:sz w:val="18"/>
                <w:szCs w:val="18"/>
                <w:lang w:val="sr-Cyrl-CS"/>
              </w:rPr>
              <w:t>Расходи</w:t>
            </w:r>
          </w:p>
        </w:tc>
        <w:tc>
          <w:tcPr>
            <w:tcW w:w="707" w:type="pct"/>
            <w:tcBorders>
              <w:bottom w:val="nil"/>
            </w:tcBorders>
            <w:shd w:val="clear" w:color="auto" w:fill="FFFFFF" w:themeFill="background1"/>
            <w:noWrap/>
            <w:hideMark/>
          </w:tcPr>
          <w:p w14:paraId="2B42E173" w14:textId="77777777" w:rsidR="001A5BCF" w:rsidRPr="00646254" w:rsidRDefault="001A5BCF" w:rsidP="00E96A1D">
            <w:pPr>
              <w:keepNext/>
              <w:widowControl w:val="0"/>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2060"/>
                <w:sz w:val="18"/>
                <w:szCs w:val="18"/>
                <w:lang w:val="sr-Cyrl-CS"/>
              </w:rPr>
            </w:pPr>
            <w:r w:rsidRPr="00646254">
              <w:rPr>
                <w:rFonts w:eastAsia="Times New Roman" w:cstheme="minorHAnsi"/>
                <w:bCs/>
                <w:color w:val="002060"/>
                <w:sz w:val="18"/>
                <w:szCs w:val="18"/>
                <w:lang w:val="sr-Cyrl-CS"/>
              </w:rPr>
              <w:t>-0,3</w:t>
            </w:r>
          </w:p>
        </w:tc>
        <w:tc>
          <w:tcPr>
            <w:tcW w:w="707" w:type="pct"/>
            <w:tcBorders>
              <w:bottom w:val="nil"/>
            </w:tcBorders>
            <w:shd w:val="clear" w:color="auto" w:fill="FFFFFF" w:themeFill="background1"/>
            <w:noWrap/>
            <w:hideMark/>
          </w:tcPr>
          <w:p w14:paraId="3FCFC56E" w14:textId="77777777" w:rsidR="001A5BCF" w:rsidRPr="00646254" w:rsidRDefault="001A5BCF" w:rsidP="00E96A1D">
            <w:pPr>
              <w:keepNext/>
              <w:widowControl w:val="0"/>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2060"/>
                <w:sz w:val="18"/>
                <w:szCs w:val="18"/>
                <w:lang w:val="sr-Cyrl-CS"/>
              </w:rPr>
            </w:pPr>
            <w:r w:rsidRPr="00646254">
              <w:rPr>
                <w:rFonts w:eastAsia="Times New Roman" w:cstheme="minorHAnsi"/>
                <w:bCs/>
                <w:color w:val="002060"/>
                <w:sz w:val="18"/>
                <w:szCs w:val="18"/>
                <w:lang w:val="sr-Cyrl-CS"/>
              </w:rPr>
              <w:t>6,2</w:t>
            </w:r>
          </w:p>
        </w:tc>
        <w:tc>
          <w:tcPr>
            <w:tcW w:w="707" w:type="pct"/>
            <w:tcBorders>
              <w:bottom w:val="nil"/>
            </w:tcBorders>
            <w:shd w:val="clear" w:color="auto" w:fill="FFFFFF" w:themeFill="background1"/>
            <w:noWrap/>
            <w:hideMark/>
          </w:tcPr>
          <w:p w14:paraId="20D5DFD5" w14:textId="77777777" w:rsidR="001A5BCF" w:rsidRPr="00646254" w:rsidRDefault="001A5BCF" w:rsidP="00E96A1D">
            <w:pPr>
              <w:keepNext/>
              <w:widowControl w:val="0"/>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heme="minorHAnsi"/>
                <w:bCs/>
                <w:color w:val="002060"/>
                <w:sz w:val="18"/>
                <w:szCs w:val="18"/>
                <w:lang w:val="sr-Cyrl-CS"/>
              </w:rPr>
            </w:pPr>
            <w:r w:rsidRPr="00646254">
              <w:rPr>
                <w:rFonts w:eastAsia="Times New Roman" w:cstheme="minorHAnsi"/>
                <w:bCs/>
                <w:color w:val="002060"/>
                <w:sz w:val="18"/>
                <w:szCs w:val="18"/>
                <w:lang w:val="sr-Cyrl-CS"/>
              </w:rPr>
              <w:t>4,5</w:t>
            </w:r>
          </w:p>
        </w:tc>
        <w:tc>
          <w:tcPr>
            <w:tcW w:w="707" w:type="pct"/>
            <w:tcBorders>
              <w:bottom w:val="nil"/>
            </w:tcBorders>
            <w:shd w:val="clear" w:color="auto" w:fill="FFFFFF" w:themeFill="background1"/>
            <w:noWrap/>
            <w:hideMark/>
          </w:tcPr>
          <w:p w14:paraId="47F8C42C" w14:textId="77777777" w:rsidR="001A5BCF" w:rsidRPr="00646254" w:rsidRDefault="001A5BCF" w:rsidP="00E96A1D">
            <w:pPr>
              <w:keepNext/>
              <w:widowControl w:val="0"/>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heme="minorHAnsi"/>
                <w:bCs/>
                <w:color w:val="002060"/>
                <w:sz w:val="18"/>
                <w:szCs w:val="18"/>
                <w:lang w:val="sr-Cyrl-CS"/>
              </w:rPr>
            </w:pPr>
            <w:r w:rsidRPr="00646254">
              <w:rPr>
                <w:rFonts w:eastAsia="Times New Roman" w:cstheme="minorHAnsi"/>
                <w:bCs/>
                <w:color w:val="002060"/>
                <w:sz w:val="18"/>
                <w:szCs w:val="18"/>
                <w:lang w:val="sr-Cyrl-CS"/>
              </w:rPr>
              <w:t>1,9</w:t>
            </w:r>
          </w:p>
        </w:tc>
        <w:tc>
          <w:tcPr>
            <w:tcW w:w="707" w:type="pct"/>
            <w:tcBorders>
              <w:bottom w:val="nil"/>
            </w:tcBorders>
            <w:shd w:val="clear" w:color="auto" w:fill="FFFFFF" w:themeFill="background1"/>
            <w:noWrap/>
            <w:hideMark/>
          </w:tcPr>
          <w:p w14:paraId="2D8AA500" w14:textId="77777777" w:rsidR="001A5BCF" w:rsidRPr="00646254" w:rsidRDefault="001A5BCF" w:rsidP="00E96A1D">
            <w:pPr>
              <w:keepNext/>
              <w:widowControl w:val="0"/>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2060"/>
                <w:sz w:val="18"/>
                <w:szCs w:val="18"/>
                <w:lang w:val="sr-Cyrl-CS"/>
              </w:rPr>
            </w:pPr>
            <w:r w:rsidRPr="00646254">
              <w:rPr>
                <w:rFonts w:eastAsia="Times New Roman" w:cstheme="minorHAnsi"/>
                <w:bCs/>
                <w:color w:val="002060"/>
                <w:sz w:val="18"/>
                <w:szCs w:val="18"/>
                <w:lang w:val="sr-Cyrl-CS"/>
              </w:rPr>
              <w:t>–</w:t>
            </w:r>
          </w:p>
        </w:tc>
      </w:tr>
      <w:tr w:rsidR="001A5BCF" w:rsidRPr="00646254" w14:paraId="35843659" w14:textId="77777777" w:rsidTr="00E96A1D">
        <w:trPr>
          <w:trHeight w:val="241"/>
        </w:trPr>
        <w:tc>
          <w:tcPr>
            <w:cnfStyle w:val="001000000000" w:firstRow="0" w:lastRow="0" w:firstColumn="1" w:lastColumn="0" w:oddVBand="0" w:evenVBand="0" w:oddHBand="0" w:evenHBand="0" w:firstRowFirstColumn="0" w:firstRowLastColumn="0" w:lastRowFirstColumn="0" w:lastRowLastColumn="0"/>
            <w:tcW w:w="1464" w:type="pct"/>
            <w:tcBorders>
              <w:top w:val="nil"/>
              <w:bottom w:val="single" w:sz="4" w:space="0" w:color="002060"/>
            </w:tcBorders>
            <w:shd w:val="clear" w:color="auto" w:fill="FFFFFF" w:themeFill="background1"/>
            <w:noWrap/>
            <w:hideMark/>
          </w:tcPr>
          <w:p w14:paraId="0E83F9BF" w14:textId="77777777" w:rsidR="001A5BCF" w:rsidRPr="00646254" w:rsidRDefault="001A5BCF" w:rsidP="00E96A1D">
            <w:pPr>
              <w:keepNext/>
              <w:widowControl w:val="0"/>
              <w:shd w:val="clear" w:color="auto" w:fill="FFFFFF" w:themeFill="background1"/>
              <w:spacing w:line="276" w:lineRule="auto"/>
              <w:rPr>
                <w:rFonts w:eastAsia="Times New Roman" w:cstheme="minorHAnsi"/>
                <w:b w:val="0"/>
                <w:color w:val="002060"/>
                <w:sz w:val="18"/>
                <w:szCs w:val="18"/>
                <w:lang w:val="sr-Cyrl-CS"/>
              </w:rPr>
            </w:pPr>
            <w:r w:rsidRPr="00646254">
              <w:rPr>
                <w:rFonts w:eastAsia="Times New Roman" w:cstheme="minorHAnsi"/>
                <w:b w:val="0"/>
                <w:color w:val="002060"/>
                <w:sz w:val="18"/>
                <w:szCs w:val="18"/>
                <w:lang w:val="sr-Cyrl-CS"/>
              </w:rPr>
              <w:t>Резултат</w:t>
            </w:r>
          </w:p>
        </w:tc>
        <w:tc>
          <w:tcPr>
            <w:tcW w:w="707" w:type="pct"/>
            <w:tcBorders>
              <w:top w:val="nil"/>
              <w:bottom w:val="single" w:sz="4" w:space="0" w:color="002060"/>
            </w:tcBorders>
            <w:shd w:val="clear" w:color="auto" w:fill="FFFFFF" w:themeFill="background1"/>
            <w:noWrap/>
            <w:hideMark/>
          </w:tcPr>
          <w:p w14:paraId="7810DE7D" w14:textId="77777777" w:rsidR="001A5BCF" w:rsidRPr="00646254" w:rsidRDefault="001A5BCF" w:rsidP="00E96A1D">
            <w:pPr>
              <w:keepNext/>
              <w:widowControl w:val="0"/>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2060"/>
                <w:sz w:val="18"/>
                <w:szCs w:val="18"/>
                <w:lang w:val="sr-Cyrl-CS"/>
              </w:rPr>
            </w:pPr>
            <w:r w:rsidRPr="00646254">
              <w:rPr>
                <w:rFonts w:eastAsia="Times New Roman" w:cstheme="minorHAnsi"/>
                <w:bCs/>
                <w:color w:val="002060"/>
                <w:sz w:val="18"/>
                <w:szCs w:val="18"/>
                <w:lang w:val="sr-Cyrl-CS"/>
              </w:rPr>
              <w:t>0,9</w:t>
            </w:r>
          </w:p>
        </w:tc>
        <w:tc>
          <w:tcPr>
            <w:tcW w:w="707" w:type="pct"/>
            <w:tcBorders>
              <w:top w:val="nil"/>
              <w:bottom w:val="single" w:sz="4" w:space="0" w:color="002060"/>
            </w:tcBorders>
            <w:shd w:val="clear" w:color="auto" w:fill="FFFFFF" w:themeFill="background1"/>
            <w:noWrap/>
            <w:hideMark/>
          </w:tcPr>
          <w:p w14:paraId="3A3453E7" w14:textId="77777777" w:rsidR="001A5BCF" w:rsidRPr="00646254" w:rsidRDefault="001A5BCF" w:rsidP="00E96A1D">
            <w:pPr>
              <w:keepNext/>
              <w:widowControl w:val="0"/>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2060"/>
                <w:sz w:val="18"/>
                <w:szCs w:val="18"/>
                <w:lang w:val="sr-Cyrl-CS"/>
              </w:rPr>
            </w:pPr>
            <w:r w:rsidRPr="00646254">
              <w:rPr>
                <w:rFonts w:eastAsia="Times New Roman" w:cstheme="minorHAnsi"/>
                <w:bCs/>
                <w:color w:val="002060"/>
                <w:sz w:val="18"/>
                <w:szCs w:val="18"/>
                <w:lang w:val="sr-Cyrl-CS"/>
              </w:rPr>
              <w:t>-2,0</w:t>
            </w:r>
          </w:p>
        </w:tc>
        <w:tc>
          <w:tcPr>
            <w:tcW w:w="707" w:type="pct"/>
            <w:tcBorders>
              <w:top w:val="nil"/>
              <w:bottom w:val="single" w:sz="4" w:space="0" w:color="002060"/>
            </w:tcBorders>
            <w:shd w:val="clear" w:color="auto" w:fill="FFFFFF" w:themeFill="background1"/>
            <w:noWrap/>
            <w:hideMark/>
          </w:tcPr>
          <w:p w14:paraId="04838D61" w14:textId="77777777" w:rsidR="001A5BCF" w:rsidRPr="00646254" w:rsidRDefault="001A5BCF" w:rsidP="00E96A1D">
            <w:pPr>
              <w:keepNext/>
              <w:widowControl w:val="0"/>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2060"/>
                <w:sz w:val="18"/>
                <w:szCs w:val="18"/>
                <w:lang w:val="sr-Cyrl-CS"/>
              </w:rPr>
            </w:pPr>
            <w:r w:rsidRPr="00646254">
              <w:rPr>
                <w:rFonts w:eastAsia="Times New Roman" w:cstheme="minorHAnsi"/>
                <w:bCs/>
                <w:color w:val="002060"/>
                <w:sz w:val="18"/>
                <w:szCs w:val="18"/>
                <w:lang w:val="sr-Cyrl-CS"/>
              </w:rPr>
              <w:t>-1,4</w:t>
            </w:r>
          </w:p>
        </w:tc>
        <w:tc>
          <w:tcPr>
            <w:tcW w:w="707" w:type="pct"/>
            <w:tcBorders>
              <w:top w:val="nil"/>
              <w:bottom w:val="single" w:sz="4" w:space="0" w:color="002060"/>
            </w:tcBorders>
            <w:shd w:val="clear" w:color="auto" w:fill="FFFFFF" w:themeFill="background1"/>
            <w:noWrap/>
            <w:hideMark/>
          </w:tcPr>
          <w:p w14:paraId="45D36827" w14:textId="77777777" w:rsidR="001A5BCF" w:rsidRPr="00646254" w:rsidRDefault="001A5BCF" w:rsidP="00E96A1D">
            <w:pPr>
              <w:keepNext/>
              <w:widowControl w:val="0"/>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2060"/>
                <w:sz w:val="18"/>
                <w:szCs w:val="18"/>
                <w:lang w:val="sr-Cyrl-CS"/>
              </w:rPr>
            </w:pPr>
            <w:r w:rsidRPr="00646254">
              <w:rPr>
                <w:rFonts w:eastAsia="Times New Roman" w:cstheme="minorHAnsi"/>
                <w:bCs/>
                <w:color w:val="002060"/>
                <w:sz w:val="18"/>
                <w:szCs w:val="18"/>
                <w:lang w:val="sr-Cyrl-CS"/>
              </w:rPr>
              <w:t>-0,5</w:t>
            </w:r>
          </w:p>
        </w:tc>
        <w:tc>
          <w:tcPr>
            <w:tcW w:w="707" w:type="pct"/>
            <w:tcBorders>
              <w:top w:val="nil"/>
              <w:bottom w:val="single" w:sz="4" w:space="0" w:color="002060"/>
            </w:tcBorders>
            <w:shd w:val="clear" w:color="auto" w:fill="FFFFFF" w:themeFill="background1"/>
            <w:noWrap/>
            <w:hideMark/>
          </w:tcPr>
          <w:p w14:paraId="5A4F768F" w14:textId="77777777" w:rsidR="001A5BCF" w:rsidRPr="00646254" w:rsidRDefault="001A5BCF" w:rsidP="00E96A1D">
            <w:pPr>
              <w:keepNext/>
              <w:widowControl w:val="0"/>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2060"/>
                <w:sz w:val="18"/>
                <w:szCs w:val="18"/>
                <w:lang w:val="sr-Cyrl-CS"/>
              </w:rPr>
            </w:pPr>
            <w:r w:rsidRPr="00646254">
              <w:rPr>
                <w:rFonts w:eastAsia="Times New Roman" w:cstheme="minorHAnsi"/>
                <w:bCs/>
                <w:color w:val="002060"/>
                <w:sz w:val="18"/>
                <w:szCs w:val="18"/>
                <w:lang w:val="sr-Cyrl-CS"/>
              </w:rPr>
              <w:t>–</w:t>
            </w:r>
          </w:p>
        </w:tc>
      </w:tr>
    </w:tbl>
    <w:p w14:paraId="2C25CB7A" w14:textId="77777777" w:rsidR="001A5BCF" w:rsidRPr="00646254" w:rsidRDefault="001A5BCF" w:rsidP="001A5BCF">
      <w:pPr>
        <w:spacing w:before="40" w:after="120" w:line="276" w:lineRule="auto"/>
        <w:rPr>
          <w:rFonts w:cstheme="minorHAnsi"/>
          <w:sz w:val="16"/>
          <w:szCs w:val="20"/>
          <w:lang w:val="sr-Cyrl-CS"/>
        </w:rPr>
      </w:pPr>
      <w:r w:rsidRPr="00646254">
        <w:rPr>
          <w:rFonts w:eastAsia="Calibri" w:cstheme="minorHAnsi"/>
          <w:bCs/>
          <w:sz w:val="16"/>
          <w:szCs w:val="20"/>
          <w:lang w:val="sr-Cyrl-CS" w:eastAsia="ja-JP"/>
        </w:rPr>
        <w:t xml:space="preserve">Извор: </w:t>
      </w:r>
      <w:r w:rsidRPr="00646254">
        <w:rPr>
          <w:rFonts w:cstheme="minorHAnsi"/>
          <w:sz w:val="16"/>
          <w:szCs w:val="20"/>
          <w:lang w:val="sr-Cyrl-CS"/>
        </w:rPr>
        <w:t>Министарство финансија</w:t>
      </w:r>
    </w:p>
    <w:p w14:paraId="40FBC450" w14:textId="77777777" w:rsidR="001A5BCF" w:rsidRPr="00646254" w:rsidRDefault="001A5BCF" w:rsidP="001A5BCF">
      <w:pPr>
        <w:spacing w:line="276" w:lineRule="auto"/>
        <w:rPr>
          <w:rFonts w:cstheme="minorHAnsi"/>
          <w:bCs/>
          <w:szCs w:val="20"/>
          <w:lang w:val="sr-Cyrl-CS"/>
        </w:rPr>
        <w:sectPr w:rsidR="001A5BCF" w:rsidRPr="00646254" w:rsidSect="00E96A1D">
          <w:type w:val="continuous"/>
          <w:pgSz w:w="12240" w:h="15840" w:code="1"/>
          <w:pgMar w:top="1440" w:right="1440" w:bottom="1440" w:left="1440" w:header="720" w:footer="720" w:gutter="0"/>
          <w:cols w:space="720"/>
          <w:docGrid w:linePitch="360"/>
        </w:sectPr>
      </w:pPr>
    </w:p>
    <w:p w14:paraId="15A7055C" w14:textId="77777777" w:rsidR="001A5BCF" w:rsidRPr="00646254" w:rsidRDefault="001A5BCF" w:rsidP="001A5BCF">
      <w:pPr>
        <w:rPr>
          <w:lang w:val="sr-Cyrl-CS" w:eastAsia="ja-JP"/>
        </w:rPr>
        <w:sectPr w:rsidR="001A5BCF" w:rsidRPr="00646254" w:rsidSect="00AE40EB">
          <w:headerReference w:type="even" r:id="rId151"/>
          <w:headerReference w:type="default" r:id="rId152"/>
          <w:footerReference w:type="even" r:id="rId153"/>
          <w:footerReference w:type="default" r:id="rId154"/>
          <w:headerReference w:type="first" r:id="rId155"/>
          <w:type w:val="continuous"/>
          <w:pgSz w:w="12240" w:h="15840" w:code="1"/>
          <w:pgMar w:top="1440" w:right="1440" w:bottom="1440" w:left="1440" w:header="720" w:footer="720" w:gutter="0"/>
          <w:cols w:space="720"/>
          <w:docGrid w:linePitch="360"/>
        </w:sectPr>
      </w:pPr>
      <w:bookmarkStart w:id="33" w:name="_Toc499650053"/>
      <w:bookmarkStart w:id="34" w:name="_Toc530635109"/>
      <w:bookmarkStart w:id="35" w:name="_Toc11155995"/>
    </w:p>
    <w:p w14:paraId="3187C353" w14:textId="77777777" w:rsidR="00842D47" w:rsidRPr="00646254" w:rsidRDefault="00842D47">
      <w:pPr>
        <w:jc w:val="left"/>
        <w:rPr>
          <w:rFonts w:eastAsia="MS PGothic" w:cstheme="minorHAnsi"/>
          <w:b/>
          <w:color w:val="2F5496" w:themeColor="accent1" w:themeShade="BF"/>
          <w:sz w:val="24"/>
          <w:szCs w:val="26"/>
          <w:lang w:val="sr-Cyrl-CS" w:eastAsia="ja-JP"/>
        </w:rPr>
      </w:pPr>
      <w:bookmarkStart w:id="36" w:name="_Toc23342469"/>
      <w:bookmarkStart w:id="37" w:name="_Toc56667079"/>
      <w:r w:rsidRPr="00646254">
        <w:rPr>
          <w:rFonts w:eastAsia="MS PGothic" w:cstheme="minorHAnsi"/>
          <w:b/>
          <w:color w:val="2F5496" w:themeColor="accent1" w:themeShade="BF"/>
          <w:sz w:val="24"/>
          <w:szCs w:val="26"/>
          <w:lang w:val="sr-Cyrl-CS" w:eastAsia="ja-JP"/>
        </w:rPr>
        <w:br w:type="page"/>
      </w:r>
    </w:p>
    <w:p w14:paraId="2280369D" w14:textId="2F5380FA" w:rsidR="00842D47" w:rsidRPr="00646254" w:rsidRDefault="00842D47" w:rsidP="00842D47">
      <w:pPr>
        <w:keepNext/>
        <w:keepLines/>
        <w:spacing w:after="120"/>
        <w:jc w:val="center"/>
        <w:outlineLvl w:val="1"/>
        <w:rPr>
          <w:rFonts w:eastAsia="MS PGothic" w:cstheme="minorHAnsi"/>
          <w:b/>
          <w:color w:val="2F5496" w:themeColor="accent1" w:themeShade="BF"/>
          <w:sz w:val="24"/>
          <w:szCs w:val="26"/>
          <w:lang w:val="sr-Cyrl-CS" w:eastAsia="ja-JP"/>
        </w:rPr>
      </w:pPr>
      <w:bookmarkStart w:id="38" w:name="_Toc86650477"/>
      <w:r w:rsidRPr="00646254">
        <w:rPr>
          <w:rFonts w:eastAsia="MS PGothic" w:cstheme="minorHAnsi"/>
          <w:b/>
          <w:color w:val="2F5496" w:themeColor="accent1" w:themeShade="BF"/>
          <w:sz w:val="24"/>
          <w:szCs w:val="26"/>
          <w:lang w:val="sr-Cyrl-CS" w:eastAsia="ja-JP"/>
        </w:rPr>
        <w:t>5. Фискални ризици</w:t>
      </w:r>
      <w:bookmarkEnd w:id="38"/>
    </w:p>
    <w:p w14:paraId="2BBBE420" w14:textId="77777777" w:rsidR="00842D47" w:rsidRPr="00646254" w:rsidRDefault="00842D47" w:rsidP="00842D47">
      <w:pPr>
        <w:spacing w:after="120" w:line="276" w:lineRule="auto"/>
        <w:rPr>
          <w:rFonts w:eastAsia="MS PGothic" w:cstheme="minorHAnsi"/>
          <w:szCs w:val="20"/>
          <w:lang w:val="sr-Cyrl-CS" w:eastAsia="ja-JP"/>
        </w:rPr>
        <w:sectPr w:rsidR="00842D47" w:rsidRPr="00646254" w:rsidSect="00842D47">
          <w:headerReference w:type="default" r:id="rId156"/>
          <w:type w:val="continuous"/>
          <w:pgSz w:w="12240" w:h="15840" w:code="1"/>
          <w:pgMar w:top="1440" w:right="1440" w:bottom="1440" w:left="1440" w:header="720" w:footer="720" w:gutter="0"/>
          <w:cols w:space="720"/>
          <w:docGrid w:linePitch="360"/>
        </w:sectPr>
      </w:pPr>
    </w:p>
    <w:p w14:paraId="4DBD85A6" w14:textId="77777777" w:rsidR="00F36197" w:rsidRPr="00646254" w:rsidRDefault="00F36197" w:rsidP="004B6B0E">
      <w:pPr>
        <w:rPr>
          <w:rFonts w:eastAsia="MS PGothic" w:cstheme="minorHAnsi"/>
          <w:szCs w:val="20"/>
          <w:lang w:val="sr-Cyrl-CS" w:eastAsia="ja-JP"/>
        </w:rPr>
      </w:pPr>
      <w:r w:rsidRPr="00646254">
        <w:rPr>
          <w:rFonts w:eastAsia="MS PGothic" w:cstheme="minorHAnsi"/>
          <w:szCs w:val="20"/>
          <w:lang w:val="sr-Cyrl-CS" w:eastAsia="ja-JP"/>
        </w:rPr>
        <w:t>У претходној деценији Република Србија суочила се са реализацијом бројних ризика који су угрозили њену фискалну позицију. Финансијска криза и рецесија погоршале су стање јавних финансија, узрокујући високе дефиците и убрзан раст јавног дуга. Глобална финансијска криза, као спољни фактор, активирала је и унутрашње ризике, те су отплате по основу гарантованих кредита, извршења судских одлука, решавања питања државних финансијских институција и преузимање обавеза јавних предузећа у јавни дуг, додатно погоршали фискалну позицију.</w:t>
      </w:r>
    </w:p>
    <w:p w14:paraId="7ABD10D6" w14:textId="03977D3C" w:rsidR="00F36197" w:rsidRPr="00646254" w:rsidRDefault="00F36197" w:rsidP="004B6B0E">
      <w:pPr>
        <w:rPr>
          <w:rFonts w:eastAsia="MS PGothic" w:cstheme="minorHAnsi"/>
          <w:spacing w:val="-2"/>
          <w:szCs w:val="20"/>
          <w:lang w:val="sr-Cyrl-CS" w:eastAsia="ja-JP"/>
        </w:rPr>
      </w:pPr>
      <w:r w:rsidRPr="00646254">
        <w:rPr>
          <w:rFonts w:eastAsia="MS PGothic" w:cstheme="minorHAnsi"/>
          <w:spacing w:val="-2"/>
          <w:szCs w:val="20"/>
          <w:lang w:val="sr-Cyrl-CS" w:eastAsia="ja-JP"/>
        </w:rPr>
        <w:t>Поред наведених ризика Република Србија је као и већина земаља у свету погођена здравственом и економском кризом, која је иза</w:t>
      </w:r>
      <w:r w:rsidR="004057D9" w:rsidRPr="00646254">
        <w:rPr>
          <w:rFonts w:eastAsia="MS PGothic" w:cstheme="minorHAnsi"/>
          <w:spacing w:val="-2"/>
          <w:szCs w:val="20"/>
          <w:lang w:val="sr-Cyrl-CS" w:eastAsia="ja-JP"/>
        </w:rPr>
        <w:t>звана пандемијом вируса SARS-CoV</w:t>
      </w:r>
      <w:r w:rsidRPr="00646254">
        <w:rPr>
          <w:rFonts w:eastAsia="MS PGothic" w:cstheme="minorHAnsi"/>
          <w:spacing w:val="-2"/>
          <w:szCs w:val="20"/>
          <w:lang w:val="sr-Cyrl-CS" w:eastAsia="ja-JP"/>
        </w:rPr>
        <w:t>-2. Пандемија се може сматрати негативним егзогеним шоком чије се деловање шири кроз економски систем, изазивајући економски пад и рецесију. Економска криза је у врло кратком времену обухватила глобалну агрегатну понуду и агрегатну тражњу, захваљујући, између осталог, високом степену међузависности глобалне економије који због ефеката преливања негативних економских и друштвених последица с једне државе на другу, као и изолацијом великог броја људи, доводи до последица широких размера. Мерење ефеката пандемије је изузетно сложено и ствара значајну неизвесност у вези са економским изгледима и пратећим негативним последицама. Поједини сектори, попут угоститељства, туризма, авиопревоза, али и низа различитих услуга готово преко ноћи су морали потпуно да обуставе рад, како би се избегла циркулација грађана и смањило ширење вируса. На удару су највећим делом била мала и средња предузећа која су имала мање резерве на располагању како би премостила шок који је деловао. Пандемија је ограничила или зауставила производњу, што због покиданих ланаца снабдевања и недостатка сировина, што због немогућности да се производња организује тако да не омогућава ширење вируса међу запосленима.</w:t>
      </w:r>
    </w:p>
    <w:p w14:paraId="423BD249" w14:textId="77777777" w:rsidR="00F36197" w:rsidRPr="00646254" w:rsidRDefault="00F36197" w:rsidP="004B6B0E">
      <w:pPr>
        <w:rPr>
          <w:rFonts w:eastAsia="MS PGothic" w:cstheme="minorHAnsi"/>
          <w:szCs w:val="20"/>
          <w:lang w:val="sr-Cyrl-CS" w:eastAsia="ja-JP"/>
        </w:rPr>
      </w:pPr>
      <w:r w:rsidRPr="00646254">
        <w:rPr>
          <w:rFonts w:eastAsia="MS PGothic" w:cstheme="minorHAnsi"/>
          <w:szCs w:val="20"/>
          <w:lang w:val="sr-Cyrl-CS" w:eastAsia="ja-JP"/>
        </w:rPr>
        <w:t>Као одговор на економску кризу изазвану пандемијом вируса SARS-CoV-2 Република Србија је реаговала снажним интервентним мерама. У циљу отклањања штетних последица услед болести COVID-19, донет је сет свеобухватних пакета економских мера са циљем смањења незапослености и ширења неликвидности предузећа, одржавања инвестиционих улагања, опстанка појединих секторских грана (туризам, пољопривреда, итд.), помоћ одређеним слојевима становништва (пензионери, здравствени радници), као и укупном пунолетном становништву у циљу подизања агрегатне тражње. Сврха ових мера, које су припремљене у складу са међународном праксом и предлозима релевантних међународних финансијских институција, је да се помогне пословање приватног сектора и смање негативни ефекти пада пословне активности.</w:t>
      </w:r>
    </w:p>
    <w:p w14:paraId="0BFF0DC5" w14:textId="77777777" w:rsidR="00F36197" w:rsidRPr="00646254" w:rsidRDefault="00F36197" w:rsidP="004B6B0E">
      <w:pPr>
        <w:rPr>
          <w:rFonts w:eastAsia="MS PGothic" w:cstheme="minorHAnsi"/>
          <w:szCs w:val="20"/>
          <w:lang w:val="sr-Cyrl-CS" w:eastAsia="ja-JP"/>
        </w:rPr>
      </w:pPr>
      <w:r w:rsidRPr="00646254">
        <w:rPr>
          <w:rFonts w:eastAsia="MS PGothic" w:cstheme="minorHAnsi"/>
          <w:szCs w:val="20"/>
          <w:lang w:val="sr-Cyrl-CS" w:eastAsia="ja-JP"/>
        </w:rPr>
        <w:t>Фискални ризици представљају изложеност јавних финансија одређеним околностима које могу проузроковати одступања од пројектованог фискалног оквира. До одступања може доћи у приходима, расходима, фискалном резултату, као и у имовини и обавезама државе, у односу на оно што је планирано и очекивано. На спољашње ризике, попут природних катастрофа или глобалних финансијских криза, Влада не може да утиче, али могуће је дефинисати излазне стратегије које би ублажиле њихово дејство (очување стабилности у добрим временима како би у условима рецесије или кризе фискална политика имала простора за адекватан одговор, осигурање у случају природних катастрофа и сл.). Унутрашњи ризици, односно њихова материјализација последица су активности у јавном сектору, те се на вероватноћу њихове реализације може утицати одлукама и политикама Владе.</w:t>
      </w:r>
    </w:p>
    <w:p w14:paraId="52BFEA79" w14:textId="77777777" w:rsidR="00F36197" w:rsidRPr="00646254" w:rsidRDefault="00F36197" w:rsidP="004B6B0E">
      <w:pPr>
        <w:rPr>
          <w:rFonts w:eastAsia="MS PGothic" w:cstheme="minorHAnsi"/>
          <w:szCs w:val="20"/>
          <w:lang w:val="sr-Cyrl-CS" w:eastAsia="ja-JP"/>
        </w:rPr>
      </w:pPr>
      <w:r w:rsidRPr="00646254">
        <w:rPr>
          <w:rFonts w:eastAsia="MS PGothic" w:cstheme="minorHAnsi"/>
          <w:szCs w:val="20"/>
          <w:lang w:val="sr-Cyrl-CS" w:eastAsia="ja-JP"/>
        </w:rPr>
        <w:t>Идентификација највећих фискалних ризика који могу утицати на државне финансије у средњем року полазна је тачка у бољем управљању фискалним ризицима. О одређеним фискалним ризицима постоје детаљни подаци и лако се може идентификовати да ли ће и са коликом вероватноћом утицати на фискалне агрегате у средњем року. За друге, пак, не постоје довољно детаљни подаци, али и само њихово идентификовање подиже свест о могућности да у наредном периоду доведу до одступања од планираног фискалног оквира.</w:t>
      </w:r>
    </w:p>
    <w:p w14:paraId="27930EBB" w14:textId="77777777" w:rsidR="00F36197" w:rsidRPr="00646254" w:rsidRDefault="00F36197" w:rsidP="004B6B0E">
      <w:pPr>
        <w:rPr>
          <w:rFonts w:eastAsia="MS PGothic" w:cstheme="minorHAnsi"/>
          <w:szCs w:val="20"/>
          <w:lang w:val="sr-Cyrl-CS" w:eastAsia="ja-JP"/>
        </w:rPr>
      </w:pPr>
      <w:r w:rsidRPr="00646254">
        <w:rPr>
          <w:rFonts w:eastAsia="MS PGothic" w:cstheme="minorHAnsi"/>
          <w:szCs w:val="20"/>
          <w:lang w:val="sr-Cyrl-CS" w:eastAsia="ja-JP"/>
        </w:rPr>
        <w:t>Министарство финансија има водећу улогу у управљању фискалним ризицима. Као кључна институција за средњорочно макроекономско и фискално планирање, формулацију и управљање буџетом, Министарство финансија мора имати и водећу улогу у успостављању институционалне и законске структуре, те изградњи капацитета неопходних за управљање фискалним ризицима. Сектор за праћење фискалних ризика, организациона јединица за управљање фискалним ризицима у Министарству финансија, основан је са циљем да ради на јачању законске регулативе и методолошког оквира, изградњи капацитета, те развијању техничких алата и модела неопходних за праћење и процену фискалних ризика. Намера је да резултат ових активности буде идентификација и процена ризика и предлагање излазних стратегија, као помоћ Влади у очувању стабилности јавних финансија што је кључни циљ фискалне политике и један од основних предуслова за динамичнији привредни раст.</w:t>
      </w:r>
    </w:p>
    <w:p w14:paraId="4FA8EF8E" w14:textId="77777777" w:rsidR="00F36197" w:rsidRPr="00646254" w:rsidRDefault="00F36197" w:rsidP="008E5519">
      <w:pPr>
        <w:rPr>
          <w:rFonts w:eastAsia="MS PGothic" w:cstheme="minorHAnsi"/>
          <w:szCs w:val="20"/>
          <w:lang w:val="sr-Cyrl-CS" w:eastAsia="ja-JP"/>
        </w:rPr>
      </w:pPr>
      <w:r w:rsidRPr="00646254">
        <w:rPr>
          <w:rFonts w:eastAsia="MS PGothic" w:cstheme="minorHAnsi"/>
          <w:szCs w:val="20"/>
          <w:lang w:val="sr-Cyrl-CS" w:eastAsia="ja-JP"/>
        </w:rPr>
        <w:t>У циљу спровођења наведеног процеса праћења фискалних ризика, припремљена је Јединствена методологија за праћење фискалних ризика у Републици Србији која обухвата четири основне методологије и то:</w:t>
      </w:r>
    </w:p>
    <w:p w14:paraId="1EFAE957" w14:textId="77777777" w:rsidR="00F36197" w:rsidRPr="00646254" w:rsidRDefault="00F36197" w:rsidP="008E5519">
      <w:pPr>
        <w:rPr>
          <w:rFonts w:eastAsia="MS PGothic" w:cstheme="minorHAnsi"/>
          <w:szCs w:val="20"/>
          <w:lang w:val="sr-Cyrl-CS" w:eastAsia="ja-JP"/>
        </w:rPr>
      </w:pPr>
      <w:r w:rsidRPr="00646254">
        <w:rPr>
          <w:rFonts w:eastAsia="MS PGothic" w:cstheme="minorHAnsi"/>
          <w:szCs w:val="20"/>
          <w:lang w:val="sr-Cyrl-CS" w:eastAsia="ja-JP"/>
        </w:rPr>
        <w:t>1)</w:t>
      </w:r>
      <w:r w:rsidRPr="00646254">
        <w:rPr>
          <w:rFonts w:eastAsia="MS PGothic" w:cstheme="minorHAnsi"/>
          <w:szCs w:val="20"/>
          <w:lang w:val="sr-Cyrl-CS" w:eastAsia="ja-JP"/>
        </w:rPr>
        <w:tab/>
        <w:t>Методологију за праћење фискалних ризика који произлазе из пословања јавних предузећа;</w:t>
      </w:r>
    </w:p>
    <w:p w14:paraId="1AD65E6A" w14:textId="77777777" w:rsidR="00F36197" w:rsidRPr="00646254" w:rsidRDefault="00F36197" w:rsidP="008E5519">
      <w:pPr>
        <w:rPr>
          <w:rFonts w:eastAsia="MS PGothic" w:cstheme="minorHAnsi"/>
          <w:szCs w:val="20"/>
          <w:lang w:val="sr-Cyrl-CS" w:eastAsia="ja-JP"/>
        </w:rPr>
      </w:pPr>
      <w:r w:rsidRPr="00646254">
        <w:rPr>
          <w:rFonts w:eastAsia="MS PGothic" w:cstheme="minorHAnsi"/>
          <w:szCs w:val="20"/>
          <w:lang w:val="sr-Cyrl-CS" w:eastAsia="ja-JP"/>
        </w:rPr>
        <w:t>2)</w:t>
      </w:r>
      <w:r w:rsidRPr="00646254">
        <w:rPr>
          <w:rFonts w:eastAsia="MS PGothic" w:cstheme="minorHAnsi"/>
          <w:szCs w:val="20"/>
          <w:lang w:val="sr-Cyrl-CS" w:eastAsia="ja-JP"/>
        </w:rPr>
        <w:tab/>
        <w:t>Методологију за праћење фискалних ризика по буџет Републике Србије који произлазе из вршења надлежности јединица локалне самоуправе;</w:t>
      </w:r>
    </w:p>
    <w:p w14:paraId="2CF0B7A4" w14:textId="77777777" w:rsidR="00F36197" w:rsidRPr="00646254" w:rsidRDefault="00F36197" w:rsidP="008E5519">
      <w:pPr>
        <w:rPr>
          <w:rFonts w:eastAsia="MS PGothic" w:cstheme="minorHAnsi"/>
          <w:szCs w:val="20"/>
          <w:lang w:val="sr-Cyrl-CS" w:eastAsia="ja-JP"/>
        </w:rPr>
      </w:pPr>
      <w:r w:rsidRPr="00646254">
        <w:rPr>
          <w:rFonts w:eastAsia="MS PGothic" w:cstheme="minorHAnsi"/>
          <w:szCs w:val="20"/>
          <w:lang w:val="sr-Cyrl-CS" w:eastAsia="ja-JP"/>
        </w:rPr>
        <w:t>3)</w:t>
      </w:r>
      <w:r w:rsidRPr="00646254">
        <w:rPr>
          <w:rFonts w:eastAsia="MS PGothic" w:cstheme="minorHAnsi"/>
          <w:szCs w:val="20"/>
          <w:lang w:val="sr-Cyrl-CS" w:eastAsia="ja-JP"/>
        </w:rPr>
        <w:tab/>
        <w:t>Методологију за праћење фискалних ризика по основу судских поступака;</w:t>
      </w:r>
    </w:p>
    <w:p w14:paraId="29C1CBB9" w14:textId="77777777" w:rsidR="00F36197" w:rsidRPr="00646254" w:rsidRDefault="00F36197" w:rsidP="008E5519">
      <w:pPr>
        <w:rPr>
          <w:rFonts w:eastAsia="MS PGothic" w:cstheme="minorHAnsi"/>
          <w:szCs w:val="20"/>
          <w:lang w:val="sr-Cyrl-CS" w:eastAsia="ja-JP"/>
        </w:rPr>
      </w:pPr>
      <w:r w:rsidRPr="00646254">
        <w:rPr>
          <w:rFonts w:eastAsia="MS PGothic" w:cstheme="minorHAnsi"/>
          <w:szCs w:val="20"/>
          <w:lang w:val="sr-Cyrl-CS" w:eastAsia="ja-JP"/>
        </w:rPr>
        <w:t>4)</w:t>
      </w:r>
      <w:r w:rsidRPr="00646254">
        <w:rPr>
          <w:rFonts w:eastAsia="MS PGothic" w:cstheme="minorHAnsi"/>
          <w:szCs w:val="20"/>
          <w:lang w:val="sr-Cyrl-CS" w:eastAsia="ja-JP"/>
        </w:rPr>
        <w:tab/>
        <w:t>Методологију за праћење фискалних ризика који се јављају као последица елементарних непогода.</w:t>
      </w:r>
    </w:p>
    <w:p w14:paraId="0AB13414" w14:textId="77777777" w:rsidR="00F36197" w:rsidRPr="00646254" w:rsidRDefault="00F36197" w:rsidP="004B6B0E">
      <w:pPr>
        <w:rPr>
          <w:rFonts w:eastAsia="MS PGothic" w:cstheme="minorHAnsi"/>
          <w:szCs w:val="20"/>
          <w:lang w:val="sr-Cyrl-CS" w:eastAsia="ja-JP"/>
        </w:rPr>
      </w:pPr>
      <w:r w:rsidRPr="00646254">
        <w:rPr>
          <w:rFonts w:eastAsia="MS PGothic" w:cstheme="minorHAnsi"/>
          <w:szCs w:val="20"/>
          <w:lang w:val="sr-Cyrl-CS" w:eastAsia="ja-JP"/>
        </w:rPr>
        <w:t>Наведена методологија, чије се усвајање очекује у четвртом кварталу 2021, рађена је на основу нацрта методологије који је припремљен од стране Светске банке.</w:t>
      </w:r>
    </w:p>
    <w:p w14:paraId="4B279BC3" w14:textId="5B517E25" w:rsidR="00F36197" w:rsidRPr="00646254" w:rsidRDefault="00F36197" w:rsidP="004B6B0E">
      <w:pPr>
        <w:rPr>
          <w:rFonts w:cstheme="minorHAnsi"/>
          <w:b/>
          <w:bCs/>
          <w:color w:val="2F5496" w:themeColor="accent1" w:themeShade="BF"/>
          <w:sz w:val="22"/>
          <w:szCs w:val="20"/>
          <w:lang w:val="sr-Cyrl-CS"/>
        </w:rPr>
      </w:pPr>
      <w:r w:rsidRPr="00646254">
        <w:rPr>
          <w:rFonts w:cstheme="minorHAnsi"/>
          <w:b/>
          <w:bCs/>
          <w:color w:val="2F5496" w:themeColor="accent1" w:themeShade="BF"/>
          <w:sz w:val="22"/>
          <w:szCs w:val="20"/>
          <w:lang w:val="sr-Cyrl-CS"/>
        </w:rPr>
        <w:t>Макроекономске претпоставке и осетљивост фискалних агрегата</w:t>
      </w:r>
    </w:p>
    <w:p w14:paraId="498F6008" w14:textId="77777777" w:rsidR="00F36197" w:rsidRPr="00646254" w:rsidRDefault="00F36197" w:rsidP="004B6B0E">
      <w:pPr>
        <w:rPr>
          <w:rFonts w:eastAsia="MS PGothic" w:cstheme="minorHAnsi"/>
          <w:szCs w:val="20"/>
          <w:lang w:val="sr-Cyrl-CS" w:eastAsia="ja-JP"/>
        </w:rPr>
      </w:pPr>
      <w:r w:rsidRPr="00646254">
        <w:rPr>
          <w:rFonts w:eastAsia="MS PGothic" w:cstheme="minorHAnsi"/>
          <w:szCs w:val="20"/>
          <w:lang w:val="sr-Cyrl-CS" w:eastAsia="ja-JP"/>
        </w:rPr>
        <w:t>Одступања макроекономских претпоставки од основног сценарија могу довести до одступања фискалних агрегата од пројектованог нивоа.</w:t>
      </w:r>
    </w:p>
    <w:p w14:paraId="1C63E4BB" w14:textId="77777777" w:rsidR="00F36197" w:rsidRPr="00646254" w:rsidRDefault="00F36197" w:rsidP="004B6B0E">
      <w:pPr>
        <w:rPr>
          <w:rFonts w:eastAsia="MS PGothic" w:cstheme="minorHAnsi"/>
          <w:szCs w:val="20"/>
          <w:lang w:val="sr-Cyrl-CS" w:eastAsia="ja-JP"/>
        </w:rPr>
      </w:pPr>
      <w:r w:rsidRPr="00646254">
        <w:rPr>
          <w:rFonts w:eastAsia="MS PGothic" w:cstheme="minorHAnsi"/>
          <w:szCs w:val="20"/>
          <w:lang w:val="sr-Cyrl-CS" w:eastAsia="ja-JP"/>
        </w:rPr>
        <w:t>Негативни сценарио који у наредном периоду подразумева пад привредне активности или мањи раст, довео би до значајног смањења прилива капитала и смањења спољнотрговинске размене. У том случају дошло би до мањих прихода, и последично већег дефицита, уколико се не би ишло на додатно прилагођавање на расходној страни. У складу са оценама осетљивости фискалног баланса, свака промена реалног раста за 1 п.п. БДП доводи до промене фискалног резултата од око 0,36% БДП. У случају да се у наредном трогодишњем периоду остваре ниже стопе реалног раста БДП (по 1 п.п. мање просечно годишње) од планираних, кумулативно повећање фискалног дефицита би износило преко 50 млрд динара.</w:t>
      </w:r>
    </w:p>
    <w:p w14:paraId="3F4A9AE6" w14:textId="00BA7AAF" w:rsidR="00F36197" w:rsidRPr="00646254" w:rsidRDefault="00F36197" w:rsidP="004B6B0E">
      <w:pPr>
        <w:rPr>
          <w:rFonts w:eastAsia="MS PGothic" w:cstheme="minorHAnsi"/>
          <w:szCs w:val="20"/>
          <w:lang w:val="sr-Cyrl-CS" w:eastAsia="ja-JP"/>
        </w:rPr>
      </w:pPr>
      <w:r w:rsidRPr="00646254">
        <w:rPr>
          <w:rFonts w:eastAsia="MS PGothic" w:cstheme="minorHAnsi"/>
          <w:szCs w:val="20"/>
          <w:lang w:val="sr-Cyrl-CS" w:eastAsia="ja-JP"/>
        </w:rPr>
        <w:t xml:space="preserve">Инфлација је основна детерминанта опште макроекономске стабилности. Услед модификације фискалних правила о индексацији плата и пензија, у наредном периоду инфлација ће у мањој мери опредељивати кретање укупног нивоа расхода, него што је то био случај у ранијем периоду. Што се тиче приходне стране утицај инфлације на индиректне порезе може бити краткорочно повољан, али услед неминовног прилагођавања реалног нивоа потрошње тај ефекат се губи уколико је ниво дохотка ограничен. Сличан краткорочни ефекат има и девизни курс. Поједине приходне ставке се усклађују годишње са инфлацијом (углавном непорески приходи и висина појединих акцизних стопа), па са те стране постоји одређени ризик, али услед ниских пројектованих вредности инфлације он није висок. Инфлација са друге стране може индиректно да утиче на висину дефицита и јавног дуга. У случају да се креће значајно изнад циљаних вредности, током процеса усклађивања релевантних каматних стопа, може доћи до повећања каматних стопа на јавни дуг. Са друге стране индекс потрошачких цена великим делом утиче на кретање укупног дефлатора БДП, самим тим и на висину номиналног БДП, као имениоца учешћа дефицита и јавног дуга у </w:t>
      </w:r>
      <w:r w:rsidR="00593258" w:rsidRPr="00646254">
        <w:rPr>
          <w:rFonts w:eastAsia="MS PGothic" w:cstheme="minorHAnsi"/>
          <w:szCs w:val="20"/>
          <w:lang w:val="sr-Cyrl-CS" w:eastAsia="ja-JP"/>
        </w:rPr>
        <w:t>БДП</w:t>
      </w:r>
      <w:r w:rsidRPr="00646254">
        <w:rPr>
          <w:rFonts w:eastAsia="MS PGothic" w:cstheme="minorHAnsi"/>
          <w:szCs w:val="20"/>
          <w:lang w:val="sr-Cyrl-CS" w:eastAsia="ja-JP"/>
        </w:rPr>
        <w:t>.</w:t>
      </w:r>
    </w:p>
    <w:p w14:paraId="2C252F8A" w14:textId="77777777" w:rsidR="00F36197" w:rsidRPr="00646254" w:rsidRDefault="00F36197" w:rsidP="004B6B0E">
      <w:pPr>
        <w:rPr>
          <w:rFonts w:eastAsia="MS PGothic" w:cstheme="minorHAnsi"/>
          <w:szCs w:val="20"/>
          <w:lang w:val="sr-Cyrl-CS" w:eastAsia="ja-JP"/>
        </w:rPr>
      </w:pPr>
      <w:r w:rsidRPr="00646254">
        <w:rPr>
          <w:rFonts w:eastAsia="MS PGothic" w:cstheme="minorHAnsi"/>
          <w:szCs w:val="20"/>
          <w:lang w:val="sr-Cyrl-CS" w:eastAsia="ja-JP"/>
        </w:rPr>
        <w:t>На издатке за камате, осим висине и структуре јавног дуга утичу и фактори као што су девизни курс и каматне стопе на међународном и домаћем тржишту. С обзиром на непредвидивост кретања појединих варијабли, могуће је повећање потребних средстава за камате у наредном периоду. Каматна политика коју воде одређене међународне институције (ФЕД, ЕЦБ итд.) може утицати на општи ниво каматних стопа на међународном тржишту, што за Републику Србију као малу отворену економију представља додатни фискални ризик.</w:t>
      </w:r>
    </w:p>
    <w:p w14:paraId="299D8DA3" w14:textId="77777777" w:rsidR="00F36197" w:rsidRPr="00646254" w:rsidRDefault="00F36197" w:rsidP="004B6B0E">
      <w:pPr>
        <w:rPr>
          <w:rFonts w:cstheme="minorHAnsi"/>
          <w:b/>
          <w:bCs/>
          <w:color w:val="2F5496" w:themeColor="accent1" w:themeShade="BF"/>
          <w:sz w:val="22"/>
          <w:szCs w:val="20"/>
          <w:lang w:val="sr-Cyrl-CS"/>
        </w:rPr>
      </w:pPr>
      <w:r w:rsidRPr="00646254">
        <w:rPr>
          <w:rFonts w:cstheme="minorHAnsi"/>
          <w:b/>
          <w:bCs/>
          <w:color w:val="2F5496" w:themeColor="accent1" w:themeShade="BF"/>
          <w:sz w:val="22"/>
          <w:szCs w:val="20"/>
          <w:lang w:val="sr-Cyrl-CS"/>
        </w:rPr>
        <w:t>Државне гаранције</w:t>
      </w:r>
    </w:p>
    <w:p w14:paraId="1C4F6B27" w14:textId="77777777" w:rsidR="00F36197" w:rsidRPr="00646254" w:rsidRDefault="00F36197" w:rsidP="004B6B0E">
      <w:pPr>
        <w:rPr>
          <w:rFonts w:eastAsia="MS PGothic" w:cstheme="minorHAnsi"/>
          <w:szCs w:val="20"/>
          <w:lang w:val="sr-Cyrl-CS" w:eastAsia="ja-JP"/>
        </w:rPr>
      </w:pPr>
      <w:r w:rsidRPr="00646254">
        <w:rPr>
          <w:rFonts w:eastAsia="MS PGothic" w:cstheme="minorHAnsi"/>
          <w:szCs w:val="20"/>
          <w:lang w:val="sr-Cyrl-CS" w:eastAsia="ja-JP"/>
        </w:rPr>
        <w:t>Гаранције издате од стране државе утичу на висину јавног дуга, али и на висину дефицита, уколико отплату по кредиту уместо првобитног дужника преузме држава. Издате гаранције су према дефиницији одређеној Законом о јавном дугу</w:t>
      </w:r>
      <w:r w:rsidRPr="00646254">
        <w:rPr>
          <w:rFonts w:eastAsia="MS PGothic" w:cstheme="minorHAnsi"/>
          <w:szCs w:val="20"/>
          <w:vertAlign w:val="superscript"/>
          <w:lang w:val="sr-Cyrl-CS" w:eastAsia="ja-JP"/>
        </w:rPr>
        <w:footnoteReference w:id="8"/>
      </w:r>
      <w:r w:rsidRPr="00646254">
        <w:rPr>
          <w:rFonts w:eastAsia="MS PGothic" w:cstheme="minorHAnsi"/>
          <w:szCs w:val="20"/>
          <w:lang w:val="sr-Cyrl-CS" w:eastAsia="ja-JP"/>
        </w:rPr>
        <w:t xml:space="preserve"> део индиректних обавеза и у укупном износу се укључују у јавни дуг</w:t>
      </w:r>
      <w:r w:rsidRPr="00646254">
        <w:rPr>
          <w:rFonts w:eastAsia="MS PGothic" w:cstheme="minorHAnsi"/>
          <w:szCs w:val="20"/>
          <w:vertAlign w:val="superscript"/>
          <w:lang w:val="sr-Cyrl-CS" w:eastAsia="ja-JP"/>
        </w:rPr>
        <w:footnoteReference w:id="9"/>
      </w:r>
      <w:r w:rsidRPr="00646254">
        <w:rPr>
          <w:rFonts w:eastAsia="MS PGothic" w:cstheme="minorHAnsi"/>
          <w:szCs w:val="20"/>
          <w:lang w:val="sr-Cyrl-CS" w:eastAsia="ja-JP"/>
        </w:rPr>
        <w:t>. Ограничења постављена на издавање нових гаранција дала су резултате те се учешће индиректних обавеза у укупном јавном дугу смањује. Индиректне обавезе (издате гаранције од стране Републике Србије) су учествовале са 5,3% у укупном јавном дугу, према националној методологији, на крају 2020. године. Учешће ових обавеза у јавном дугу је на приближно истом нивоу и у текућој години, те на крају jуна 2021. године оне чине 4,9% укупног јавног дуга. Највеће учешће ових обавеза у јавном дугу, нешто изнад 14% у просеку забележено је између 2009. и 2013. године.</w:t>
      </w:r>
    </w:p>
    <w:p w14:paraId="2DCE6ED7" w14:textId="77777777" w:rsidR="00F36197" w:rsidRPr="00646254" w:rsidRDefault="00F36197" w:rsidP="001D27BA">
      <w:pPr>
        <w:spacing w:after="0"/>
        <w:jc w:val="left"/>
        <w:rPr>
          <w:rFonts w:cstheme="minorHAnsi"/>
          <w:b/>
          <w:bCs/>
          <w:color w:val="2F5496" w:themeColor="accent1" w:themeShade="BF"/>
          <w:sz w:val="22"/>
          <w:szCs w:val="20"/>
          <w:lang w:val="sr-Cyrl-CS"/>
        </w:rPr>
      </w:pPr>
      <w:r w:rsidRPr="00646254">
        <w:rPr>
          <w:rFonts w:cstheme="minorHAnsi"/>
          <w:b/>
          <w:bCs/>
          <w:color w:val="2F5496" w:themeColor="accent1" w:themeShade="BF"/>
          <w:sz w:val="22"/>
          <w:szCs w:val="20"/>
          <w:lang w:val="sr-Cyrl-CS"/>
        </w:rPr>
        <w:t>Учешће индиректног дуга у укупном јавном дугу Републике Србије</w:t>
      </w:r>
    </w:p>
    <w:p w14:paraId="637F065F" w14:textId="77777777" w:rsidR="00F36197" w:rsidRPr="00646254" w:rsidRDefault="00F36197" w:rsidP="002C06AB">
      <w:pPr>
        <w:spacing w:after="0"/>
        <w:rPr>
          <w:rFonts w:eastAsia="MS PGothic" w:cstheme="minorHAnsi"/>
          <w:szCs w:val="20"/>
          <w:lang w:val="sr-Cyrl-CS" w:eastAsia="ja-JP"/>
        </w:rPr>
      </w:pPr>
      <w:r w:rsidRPr="00646254">
        <w:rPr>
          <w:rFonts w:eastAsia="MS PGothic" w:cstheme="minorHAnsi"/>
          <w:noProof/>
          <w:szCs w:val="20"/>
        </w:rPr>
        <w:drawing>
          <wp:inline distT="0" distB="0" distL="0" distR="0" wp14:anchorId="44537CA3" wp14:editId="51E156E0">
            <wp:extent cx="3186752" cy="202628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3255701" cy="2070126"/>
                    </a:xfrm>
                    <a:prstGeom prst="rect">
                      <a:avLst/>
                    </a:prstGeom>
                    <a:noFill/>
                  </pic:spPr>
                </pic:pic>
              </a:graphicData>
            </a:graphic>
          </wp:inline>
        </w:drawing>
      </w:r>
    </w:p>
    <w:p w14:paraId="1B24434E" w14:textId="7315D647" w:rsidR="00F36197" w:rsidRPr="00646254" w:rsidRDefault="00F36197" w:rsidP="00F06F9F">
      <w:pPr>
        <w:spacing w:after="360"/>
        <w:rPr>
          <w:rFonts w:eastAsia="MS PGothic" w:cstheme="minorHAnsi"/>
          <w:szCs w:val="20"/>
          <w:lang w:val="sr-Cyrl-CS" w:eastAsia="ja-JP"/>
        </w:rPr>
      </w:pPr>
      <w:r w:rsidRPr="00646254">
        <w:rPr>
          <w:rFonts w:eastAsia="MS PGothic" w:cstheme="minorHAnsi"/>
          <w:szCs w:val="20"/>
          <w:lang w:val="sr-Cyrl-CS" w:eastAsia="ja-JP"/>
        </w:rPr>
        <w:t>На крају 2020. године стање дуга по основу издатих гаранција износило је 1,423 млрд евра, односно 3,1% БДП. Стање дуга по овом основу смањено је за близу 65 милиона евра у односу на крај 2019. године. До јуна текуће године стање дуга по гаранцијама смањено је за 22,3 милиона евра, у односу на крај 2020. године и из</w:t>
      </w:r>
      <w:r w:rsidR="006E0EE8" w:rsidRPr="00646254">
        <w:rPr>
          <w:rFonts w:eastAsia="MS PGothic" w:cstheme="minorHAnsi"/>
          <w:szCs w:val="20"/>
          <w:lang w:val="sr-Cyrl-CS" w:eastAsia="ja-JP"/>
        </w:rPr>
        <w:t xml:space="preserve">носи 1,4 млрд евра на дан 30. јун </w:t>
      </w:r>
      <w:r w:rsidRPr="00646254">
        <w:rPr>
          <w:rFonts w:eastAsia="MS PGothic" w:cstheme="minorHAnsi"/>
          <w:szCs w:val="20"/>
          <w:lang w:val="sr-Cyrl-CS" w:eastAsia="ja-JP"/>
        </w:rPr>
        <w:t>2021. године.</w:t>
      </w:r>
    </w:p>
    <w:p w14:paraId="5936C42D" w14:textId="77777777" w:rsidR="00F36197" w:rsidRPr="00646254" w:rsidRDefault="00F36197" w:rsidP="004B6B0E">
      <w:pPr>
        <w:rPr>
          <w:rFonts w:eastAsia="MS PGothic" w:cstheme="minorHAnsi"/>
          <w:szCs w:val="20"/>
          <w:lang w:val="sr-Cyrl-CS" w:eastAsia="ja-JP"/>
        </w:rPr>
        <w:sectPr w:rsidR="00F36197" w:rsidRPr="00646254" w:rsidSect="009B76B2">
          <w:type w:val="continuous"/>
          <w:pgSz w:w="12240" w:h="15840" w:code="1"/>
          <w:pgMar w:top="1440" w:right="1440" w:bottom="1440" w:left="1440" w:header="720" w:footer="720" w:gutter="0"/>
          <w:cols w:num="2" w:space="720"/>
          <w:docGrid w:linePitch="360"/>
          <w15:footnoteColumns w:val="1"/>
        </w:sectPr>
      </w:pPr>
    </w:p>
    <w:p w14:paraId="2510DF12" w14:textId="77777777" w:rsidR="00F36197" w:rsidRPr="00646254" w:rsidRDefault="00F36197">
      <w:pPr>
        <w:jc w:val="left"/>
        <w:rPr>
          <w:rFonts w:eastAsia="MS PGothic" w:cstheme="minorHAnsi"/>
          <w:b/>
          <w:bCs/>
          <w:color w:val="002060"/>
          <w:szCs w:val="20"/>
          <w:lang w:val="sr-Cyrl-CS" w:eastAsia="ja-JP"/>
        </w:rPr>
      </w:pPr>
      <w:r w:rsidRPr="00646254">
        <w:rPr>
          <w:rFonts w:eastAsia="MS PGothic" w:cstheme="minorHAnsi"/>
          <w:b/>
          <w:bCs/>
          <w:color w:val="002060"/>
          <w:szCs w:val="20"/>
          <w:lang w:val="sr-Cyrl-CS" w:eastAsia="ja-JP"/>
        </w:rPr>
        <w:br w:type="page"/>
      </w:r>
    </w:p>
    <w:p w14:paraId="134A7E86" w14:textId="77777777" w:rsidR="00F36197" w:rsidRPr="00646254" w:rsidRDefault="00F36197" w:rsidP="00E93004">
      <w:pPr>
        <w:spacing w:after="120" w:line="276" w:lineRule="auto"/>
        <w:jc w:val="center"/>
        <w:rPr>
          <w:rFonts w:eastAsia="MS PGothic" w:cstheme="minorHAnsi"/>
          <w:b/>
          <w:bCs/>
          <w:color w:val="002060"/>
          <w:szCs w:val="20"/>
          <w:lang w:val="sr-Cyrl-CS" w:eastAsia="ja-JP"/>
        </w:rPr>
      </w:pPr>
      <w:r w:rsidRPr="00646254">
        <w:rPr>
          <w:rFonts w:eastAsia="MS PGothic" w:cstheme="minorHAnsi"/>
          <w:b/>
          <w:bCs/>
          <w:color w:val="002060"/>
          <w:szCs w:val="20"/>
          <w:lang w:val="sr-Cyrl-CS" w:eastAsia="ja-JP"/>
        </w:rPr>
        <w:t>Табела 14. Стање дуга по основу издатих гаранција у мил. евра</w:t>
      </w:r>
    </w:p>
    <w:tbl>
      <w:tblPr>
        <w:tblW w:w="8596" w:type="dxa"/>
        <w:jc w:val="center"/>
        <w:tblLook w:val="04A0" w:firstRow="1" w:lastRow="0" w:firstColumn="1" w:lastColumn="0" w:noHBand="0" w:noVBand="1"/>
      </w:tblPr>
      <w:tblGrid>
        <w:gridCol w:w="6700"/>
        <w:gridCol w:w="1896"/>
      </w:tblGrid>
      <w:tr w:rsidR="00F36197" w:rsidRPr="00646254" w14:paraId="498652DF" w14:textId="77777777" w:rsidTr="00E93004">
        <w:trPr>
          <w:trHeight w:hRule="exact" w:val="227"/>
          <w:tblHeader/>
          <w:jc w:val="center"/>
        </w:trPr>
        <w:tc>
          <w:tcPr>
            <w:tcW w:w="6700" w:type="dxa"/>
            <w:tcBorders>
              <w:top w:val="single" w:sz="8" w:space="0" w:color="002060"/>
              <w:left w:val="nil"/>
              <w:bottom w:val="single" w:sz="8" w:space="0" w:color="002060"/>
              <w:right w:val="nil"/>
            </w:tcBorders>
            <w:shd w:val="clear" w:color="auto" w:fill="auto"/>
            <w:noWrap/>
            <w:vAlign w:val="center"/>
            <w:hideMark/>
          </w:tcPr>
          <w:p w14:paraId="2BE48B03" w14:textId="77777777" w:rsidR="00F36197" w:rsidRPr="00646254" w:rsidRDefault="00F36197" w:rsidP="008265F0">
            <w:pPr>
              <w:spacing w:after="120" w:line="276" w:lineRule="auto"/>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Корисник</w:t>
            </w:r>
          </w:p>
        </w:tc>
        <w:tc>
          <w:tcPr>
            <w:tcW w:w="1896" w:type="dxa"/>
            <w:tcBorders>
              <w:top w:val="single" w:sz="8" w:space="0" w:color="002060"/>
              <w:left w:val="nil"/>
              <w:bottom w:val="single" w:sz="8" w:space="0" w:color="002060"/>
              <w:right w:val="nil"/>
            </w:tcBorders>
            <w:shd w:val="clear" w:color="auto" w:fill="auto"/>
            <w:vAlign w:val="center"/>
            <w:hideMark/>
          </w:tcPr>
          <w:p w14:paraId="79B5ABA2" w14:textId="77777777" w:rsidR="00F36197" w:rsidRPr="00646254" w:rsidRDefault="00F36197" w:rsidP="008265F0">
            <w:pPr>
              <w:spacing w:after="120" w:line="276" w:lineRule="auto"/>
              <w:jc w:val="center"/>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30.06.2021.</w:t>
            </w:r>
          </w:p>
        </w:tc>
      </w:tr>
      <w:tr w:rsidR="00F36197" w:rsidRPr="00646254" w14:paraId="2D085FDC" w14:textId="77777777" w:rsidTr="00E93004">
        <w:trPr>
          <w:trHeight w:hRule="exact" w:val="227"/>
          <w:jc w:val="center"/>
        </w:trPr>
        <w:tc>
          <w:tcPr>
            <w:tcW w:w="6700" w:type="dxa"/>
            <w:tcBorders>
              <w:top w:val="nil"/>
              <w:left w:val="nil"/>
              <w:bottom w:val="nil"/>
              <w:right w:val="nil"/>
            </w:tcBorders>
            <w:shd w:val="clear" w:color="auto" w:fill="auto"/>
            <w:noWrap/>
            <w:vAlign w:val="center"/>
            <w:hideMark/>
          </w:tcPr>
          <w:p w14:paraId="412619F1" w14:textId="77777777" w:rsidR="00F36197" w:rsidRPr="00646254" w:rsidRDefault="00F36197" w:rsidP="008265F0">
            <w:pPr>
              <w:spacing w:after="120" w:line="276" w:lineRule="auto"/>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 xml:space="preserve">ЈП „Србијагас” </w:t>
            </w:r>
          </w:p>
        </w:tc>
        <w:tc>
          <w:tcPr>
            <w:tcW w:w="1896" w:type="dxa"/>
            <w:tcBorders>
              <w:top w:val="nil"/>
              <w:left w:val="nil"/>
              <w:bottom w:val="nil"/>
              <w:right w:val="nil"/>
            </w:tcBorders>
            <w:shd w:val="clear" w:color="auto" w:fill="auto"/>
            <w:noWrap/>
            <w:vAlign w:val="center"/>
            <w:hideMark/>
          </w:tcPr>
          <w:p w14:paraId="6DBDFFB9" w14:textId="77777777" w:rsidR="00F36197" w:rsidRPr="00646254" w:rsidRDefault="00F36197" w:rsidP="008265F0">
            <w:pPr>
              <w:spacing w:after="120" w:line="276"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215,7</w:t>
            </w:r>
          </w:p>
        </w:tc>
      </w:tr>
      <w:tr w:rsidR="00F36197" w:rsidRPr="00646254" w14:paraId="5C10E4DE" w14:textId="77777777" w:rsidTr="00E93004">
        <w:trPr>
          <w:trHeight w:hRule="exact" w:val="227"/>
          <w:jc w:val="center"/>
        </w:trPr>
        <w:tc>
          <w:tcPr>
            <w:tcW w:w="6700" w:type="dxa"/>
            <w:tcBorders>
              <w:top w:val="nil"/>
              <w:left w:val="nil"/>
              <w:bottom w:val="nil"/>
              <w:right w:val="nil"/>
            </w:tcBorders>
            <w:shd w:val="clear" w:color="auto" w:fill="auto"/>
            <w:noWrap/>
            <w:vAlign w:val="center"/>
            <w:hideMark/>
          </w:tcPr>
          <w:p w14:paraId="355233F1" w14:textId="77777777" w:rsidR="00F36197" w:rsidRPr="00646254" w:rsidRDefault="00F36197" w:rsidP="008265F0">
            <w:pPr>
              <w:spacing w:after="120" w:line="276" w:lineRule="auto"/>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ЈП „Путеви Србије”</w:t>
            </w:r>
          </w:p>
        </w:tc>
        <w:tc>
          <w:tcPr>
            <w:tcW w:w="1896" w:type="dxa"/>
            <w:tcBorders>
              <w:top w:val="nil"/>
              <w:left w:val="nil"/>
              <w:bottom w:val="nil"/>
              <w:right w:val="nil"/>
            </w:tcBorders>
            <w:shd w:val="clear" w:color="auto" w:fill="auto"/>
            <w:noWrap/>
            <w:vAlign w:val="center"/>
            <w:hideMark/>
          </w:tcPr>
          <w:p w14:paraId="2D9F8728" w14:textId="77777777" w:rsidR="00F36197" w:rsidRPr="00646254" w:rsidRDefault="00F36197" w:rsidP="008265F0">
            <w:pPr>
              <w:spacing w:after="120" w:line="276"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270,9</w:t>
            </w:r>
          </w:p>
        </w:tc>
      </w:tr>
      <w:tr w:rsidR="00F36197" w:rsidRPr="00646254" w14:paraId="71672882" w14:textId="77777777" w:rsidTr="00E93004">
        <w:trPr>
          <w:trHeight w:hRule="exact" w:val="227"/>
          <w:jc w:val="center"/>
        </w:trPr>
        <w:tc>
          <w:tcPr>
            <w:tcW w:w="6700" w:type="dxa"/>
            <w:tcBorders>
              <w:top w:val="nil"/>
              <w:left w:val="nil"/>
              <w:bottom w:val="nil"/>
              <w:right w:val="nil"/>
            </w:tcBorders>
            <w:shd w:val="clear" w:color="auto" w:fill="auto"/>
            <w:noWrap/>
            <w:vAlign w:val="center"/>
            <w:hideMark/>
          </w:tcPr>
          <w:p w14:paraId="0F29029A" w14:textId="77777777" w:rsidR="00F36197" w:rsidRPr="00646254" w:rsidRDefault="00F36197" w:rsidP="00F00B0B">
            <w:pPr>
              <w:spacing w:after="120" w:line="276" w:lineRule="auto"/>
              <w:rPr>
                <w:rFonts w:eastAsia="MS PGothic" w:cstheme="minorHAnsi"/>
                <w:color w:val="002060"/>
                <w:sz w:val="18"/>
                <w:szCs w:val="18"/>
                <w:highlight w:val="yellow"/>
                <w:lang w:val="sr-Cyrl-CS" w:eastAsia="ja-JP"/>
              </w:rPr>
            </w:pPr>
            <w:r w:rsidRPr="00646254">
              <w:rPr>
                <w:rFonts w:eastAsia="MS PGothic" w:cstheme="minorHAnsi"/>
                <w:color w:val="002060"/>
                <w:sz w:val="18"/>
                <w:szCs w:val="18"/>
                <w:lang w:val="sr-Cyrl-CS" w:eastAsia="ja-JP"/>
              </w:rPr>
              <w:t>„Железнице Србије” а.д.</w:t>
            </w:r>
          </w:p>
        </w:tc>
        <w:tc>
          <w:tcPr>
            <w:tcW w:w="1896" w:type="dxa"/>
            <w:tcBorders>
              <w:top w:val="nil"/>
              <w:left w:val="nil"/>
              <w:bottom w:val="nil"/>
              <w:right w:val="nil"/>
            </w:tcBorders>
            <w:shd w:val="clear" w:color="auto" w:fill="auto"/>
            <w:noWrap/>
            <w:vAlign w:val="center"/>
            <w:hideMark/>
          </w:tcPr>
          <w:p w14:paraId="33557B47" w14:textId="77777777" w:rsidR="00F36197" w:rsidRPr="00646254" w:rsidRDefault="00F36197" w:rsidP="008265F0">
            <w:pPr>
              <w:spacing w:after="120" w:line="276"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147,9</w:t>
            </w:r>
          </w:p>
        </w:tc>
      </w:tr>
      <w:tr w:rsidR="00F36197" w:rsidRPr="00646254" w14:paraId="54334F7B" w14:textId="77777777" w:rsidTr="00E93004">
        <w:trPr>
          <w:trHeight w:hRule="exact" w:val="227"/>
          <w:jc w:val="center"/>
        </w:trPr>
        <w:tc>
          <w:tcPr>
            <w:tcW w:w="6700" w:type="dxa"/>
            <w:tcBorders>
              <w:top w:val="nil"/>
              <w:left w:val="nil"/>
              <w:bottom w:val="nil"/>
              <w:right w:val="nil"/>
            </w:tcBorders>
            <w:shd w:val="clear" w:color="auto" w:fill="auto"/>
            <w:noWrap/>
            <w:vAlign w:val="center"/>
            <w:hideMark/>
          </w:tcPr>
          <w:p w14:paraId="1D89FBA4" w14:textId="77777777" w:rsidR="00F36197" w:rsidRPr="00646254" w:rsidRDefault="00F36197" w:rsidP="00F00B0B">
            <w:pPr>
              <w:spacing w:after="120" w:line="276" w:lineRule="auto"/>
              <w:rPr>
                <w:rFonts w:eastAsia="MS PGothic" w:cstheme="minorHAnsi"/>
                <w:color w:val="002060"/>
                <w:sz w:val="18"/>
                <w:szCs w:val="18"/>
                <w:highlight w:val="yellow"/>
                <w:lang w:val="sr-Cyrl-CS" w:eastAsia="ja-JP"/>
              </w:rPr>
            </w:pPr>
            <w:r w:rsidRPr="00646254">
              <w:rPr>
                <w:rFonts w:eastAsia="MS PGothic" w:cstheme="minorHAnsi"/>
                <w:color w:val="002060"/>
                <w:sz w:val="18"/>
                <w:szCs w:val="18"/>
                <w:lang w:val="sr-Cyrl-CS" w:eastAsia="ja-JP"/>
              </w:rPr>
              <w:t>„Инфраструктура железнице Србије” а.д.</w:t>
            </w:r>
          </w:p>
        </w:tc>
        <w:tc>
          <w:tcPr>
            <w:tcW w:w="1896" w:type="dxa"/>
            <w:tcBorders>
              <w:top w:val="nil"/>
              <w:left w:val="nil"/>
              <w:bottom w:val="nil"/>
              <w:right w:val="nil"/>
            </w:tcBorders>
            <w:shd w:val="clear" w:color="auto" w:fill="auto"/>
            <w:noWrap/>
            <w:vAlign w:val="center"/>
            <w:hideMark/>
          </w:tcPr>
          <w:p w14:paraId="51877228" w14:textId="77777777" w:rsidR="00F36197" w:rsidRPr="00646254" w:rsidRDefault="00F36197" w:rsidP="008265F0">
            <w:pPr>
              <w:spacing w:after="120" w:line="276"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64,1</w:t>
            </w:r>
          </w:p>
        </w:tc>
      </w:tr>
      <w:tr w:rsidR="00F36197" w:rsidRPr="00646254" w14:paraId="707F92F0" w14:textId="77777777" w:rsidTr="00E93004">
        <w:trPr>
          <w:trHeight w:hRule="exact" w:val="227"/>
          <w:jc w:val="center"/>
        </w:trPr>
        <w:tc>
          <w:tcPr>
            <w:tcW w:w="6700" w:type="dxa"/>
            <w:tcBorders>
              <w:top w:val="nil"/>
              <w:left w:val="nil"/>
              <w:bottom w:val="nil"/>
              <w:right w:val="nil"/>
            </w:tcBorders>
            <w:shd w:val="clear" w:color="auto" w:fill="auto"/>
            <w:noWrap/>
            <w:vAlign w:val="center"/>
            <w:hideMark/>
          </w:tcPr>
          <w:p w14:paraId="4F7D118D" w14:textId="77777777" w:rsidR="00F36197" w:rsidRPr="00646254" w:rsidRDefault="00F36197" w:rsidP="004C346D">
            <w:pPr>
              <w:spacing w:after="120" w:line="276" w:lineRule="auto"/>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„Србија Воз” а.д.</w:t>
            </w:r>
          </w:p>
        </w:tc>
        <w:tc>
          <w:tcPr>
            <w:tcW w:w="1896" w:type="dxa"/>
            <w:tcBorders>
              <w:top w:val="nil"/>
              <w:left w:val="nil"/>
              <w:bottom w:val="nil"/>
              <w:right w:val="nil"/>
            </w:tcBorders>
            <w:shd w:val="clear" w:color="auto" w:fill="auto"/>
            <w:noWrap/>
            <w:vAlign w:val="center"/>
            <w:hideMark/>
          </w:tcPr>
          <w:p w14:paraId="0C172F55" w14:textId="77777777" w:rsidR="00F36197" w:rsidRPr="00646254" w:rsidRDefault="00F36197" w:rsidP="008265F0">
            <w:pPr>
              <w:spacing w:after="120" w:line="276"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30,9</w:t>
            </w:r>
          </w:p>
        </w:tc>
      </w:tr>
      <w:tr w:rsidR="00F36197" w:rsidRPr="00646254" w14:paraId="5D51CE4B" w14:textId="77777777" w:rsidTr="00E93004">
        <w:trPr>
          <w:trHeight w:hRule="exact" w:val="227"/>
          <w:jc w:val="center"/>
        </w:trPr>
        <w:tc>
          <w:tcPr>
            <w:tcW w:w="6700" w:type="dxa"/>
            <w:tcBorders>
              <w:top w:val="nil"/>
              <w:left w:val="nil"/>
              <w:bottom w:val="nil"/>
              <w:right w:val="nil"/>
            </w:tcBorders>
            <w:shd w:val="clear" w:color="auto" w:fill="auto"/>
            <w:noWrap/>
            <w:vAlign w:val="center"/>
            <w:hideMark/>
          </w:tcPr>
          <w:p w14:paraId="6934F0D4" w14:textId="77777777" w:rsidR="00F36197" w:rsidRPr="00646254" w:rsidRDefault="00F36197" w:rsidP="008265F0">
            <w:pPr>
              <w:spacing w:after="120" w:line="276" w:lineRule="auto"/>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„Србија Карго” а.д.</w:t>
            </w:r>
          </w:p>
        </w:tc>
        <w:tc>
          <w:tcPr>
            <w:tcW w:w="1896" w:type="dxa"/>
            <w:tcBorders>
              <w:top w:val="nil"/>
              <w:left w:val="nil"/>
              <w:bottom w:val="nil"/>
              <w:right w:val="nil"/>
            </w:tcBorders>
            <w:shd w:val="clear" w:color="auto" w:fill="auto"/>
            <w:noWrap/>
            <w:vAlign w:val="center"/>
            <w:hideMark/>
          </w:tcPr>
          <w:p w14:paraId="2F07E7BB" w14:textId="77777777" w:rsidR="00F36197" w:rsidRPr="00646254" w:rsidRDefault="00F36197" w:rsidP="008265F0">
            <w:pPr>
              <w:spacing w:after="120" w:line="276"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41,9</w:t>
            </w:r>
          </w:p>
        </w:tc>
      </w:tr>
      <w:tr w:rsidR="00F36197" w:rsidRPr="00646254" w14:paraId="13659B00" w14:textId="77777777" w:rsidTr="00E93004">
        <w:trPr>
          <w:trHeight w:hRule="exact" w:val="227"/>
          <w:jc w:val="center"/>
        </w:trPr>
        <w:tc>
          <w:tcPr>
            <w:tcW w:w="6700" w:type="dxa"/>
            <w:tcBorders>
              <w:top w:val="nil"/>
              <w:left w:val="nil"/>
              <w:bottom w:val="nil"/>
              <w:right w:val="nil"/>
            </w:tcBorders>
            <w:shd w:val="clear" w:color="auto" w:fill="auto"/>
            <w:noWrap/>
            <w:vAlign w:val="center"/>
            <w:hideMark/>
          </w:tcPr>
          <w:p w14:paraId="2663F986" w14:textId="77777777" w:rsidR="00F36197" w:rsidRPr="00646254" w:rsidRDefault="00F36197" w:rsidP="008265F0">
            <w:pPr>
              <w:spacing w:after="120" w:line="276" w:lineRule="auto"/>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ЈП „Електропривреда Србије”</w:t>
            </w:r>
          </w:p>
        </w:tc>
        <w:tc>
          <w:tcPr>
            <w:tcW w:w="1896" w:type="dxa"/>
            <w:tcBorders>
              <w:top w:val="nil"/>
              <w:left w:val="nil"/>
              <w:bottom w:val="nil"/>
              <w:right w:val="nil"/>
            </w:tcBorders>
            <w:shd w:val="clear" w:color="auto" w:fill="auto"/>
            <w:noWrap/>
            <w:vAlign w:val="center"/>
            <w:hideMark/>
          </w:tcPr>
          <w:p w14:paraId="64686132" w14:textId="77777777" w:rsidR="00F36197" w:rsidRPr="00646254" w:rsidRDefault="00F36197" w:rsidP="008265F0">
            <w:pPr>
              <w:spacing w:after="120" w:line="276"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364,9</w:t>
            </w:r>
          </w:p>
        </w:tc>
      </w:tr>
      <w:tr w:rsidR="00F36197" w:rsidRPr="00646254" w14:paraId="773DFCD7" w14:textId="77777777" w:rsidTr="00E93004">
        <w:trPr>
          <w:trHeight w:hRule="exact" w:val="227"/>
          <w:jc w:val="center"/>
        </w:trPr>
        <w:tc>
          <w:tcPr>
            <w:tcW w:w="6700" w:type="dxa"/>
            <w:tcBorders>
              <w:top w:val="nil"/>
              <w:left w:val="nil"/>
              <w:bottom w:val="nil"/>
              <w:right w:val="nil"/>
            </w:tcBorders>
            <w:shd w:val="clear" w:color="auto" w:fill="auto"/>
            <w:noWrap/>
            <w:vAlign w:val="center"/>
            <w:hideMark/>
          </w:tcPr>
          <w:p w14:paraId="3BF80EB1" w14:textId="77777777" w:rsidR="00F36197" w:rsidRPr="00646254" w:rsidRDefault="00F36197" w:rsidP="008265F0">
            <w:pPr>
              <w:spacing w:after="120" w:line="276" w:lineRule="auto"/>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„Електромрежа Србије” а.д.</w:t>
            </w:r>
          </w:p>
        </w:tc>
        <w:tc>
          <w:tcPr>
            <w:tcW w:w="1896" w:type="dxa"/>
            <w:tcBorders>
              <w:top w:val="nil"/>
              <w:left w:val="nil"/>
              <w:bottom w:val="nil"/>
              <w:right w:val="nil"/>
            </w:tcBorders>
            <w:shd w:val="clear" w:color="auto" w:fill="auto"/>
            <w:noWrap/>
            <w:vAlign w:val="center"/>
            <w:hideMark/>
          </w:tcPr>
          <w:p w14:paraId="36585EEA" w14:textId="77777777" w:rsidR="00F36197" w:rsidRPr="00646254" w:rsidRDefault="00F36197" w:rsidP="008265F0">
            <w:pPr>
              <w:spacing w:after="120" w:line="276"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30,6</w:t>
            </w:r>
          </w:p>
        </w:tc>
      </w:tr>
      <w:tr w:rsidR="00F36197" w:rsidRPr="00646254" w14:paraId="45D35192" w14:textId="77777777" w:rsidTr="00E93004">
        <w:trPr>
          <w:trHeight w:hRule="exact" w:val="227"/>
          <w:jc w:val="center"/>
        </w:trPr>
        <w:tc>
          <w:tcPr>
            <w:tcW w:w="6700" w:type="dxa"/>
            <w:tcBorders>
              <w:top w:val="nil"/>
              <w:left w:val="nil"/>
              <w:bottom w:val="nil"/>
              <w:right w:val="nil"/>
            </w:tcBorders>
            <w:shd w:val="clear" w:color="auto" w:fill="auto"/>
            <w:noWrap/>
            <w:vAlign w:val="center"/>
            <w:hideMark/>
          </w:tcPr>
          <w:p w14:paraId="2019A909" w14:textId="77777777" w:rsidR="00F36197" w:rsidRPr="00646254" w:rsidRDefault="00F36197" w:rsidP="008265F0">
            <w:pPr>
              <w:spacing w:after="120" w:line="276" w:lineRule="auto"/>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Јединице локалне самоуправе (градови и општине)</w:t>
            </w:r>
          </w:p>
        </w:tc>
        <w:tc>
          <w:tcPr>
            <w:tcW w:w="1896" w:type="dxa"/>
            <w:tcBorders>
              <w:top w:val="nil"/>
              <w:left w:val="nil"/>
              <w:bottom w:val="nil"/>
              <w:right w:val="nil"/>
            </w:tcBorders>
            <w:shd w:val="clear" w:color="auto" w:fill="auto"/>
            <w:noWrap/>
            <w:vAlign w:val="center"/>
            <w:hideMark/>
          </w:tcPr>
          <w:p w14:paraId="13768B86" w14:textId="77777777" w:rsidR="00F36197" w:rsidRPr="00646254" w:rsidRDefault="00F36197" w:rsidP="008265F0">
            <w:pPr>
              <w:spacing w:after="120" w:line="276"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187,6</w:t>
            </w:r>
          </w:p>
        </w:tc>
      </w:tr>
      <w:tr w:rsidR="00F36197" w:rsidRPr="00646254" w14:paraId="134C6B92" w14:textId="77777777" w:rsidTr="00E93004">
        <w:trPr>
          <w:trHeight w:hRule="exact" w:val="227"/>
          <w:jc w:val="center"/>
        </w:trPr>
        <w:tc>
          <w:tcPr>
            <w:tcW w:w="6700" w:type="dxa"/>
            <w:tcBorders>
              <w:top w:val="nil"/>
              <w:left w:val="nil"/>
              <w:bottom w:val="nil"/>
              <w:right w:val="nil"/>
            </w:tcBorders>
            <w:shd w:val="clear" w:color="auto" w:fill="auto"/>
            <w:noWrap/>
            <w:vAlign w:val="center"/>
            <w:hideMark/>
          </w:tcPr>
          <w:p w14:paraId="56ED293A" w14:textId="77777777" w:rsidR="00F36197" w:rsidRPr="00646254" w:rsidRDefault="00F36197" w:rsidP="008265F0">
            <w:pPr>
              <w:spacing w:after="120" w:line="276" w:lineRule="auto"/>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ФИАТ Аутомобили Србија ДОО</w:t>
            </w:r>
          </w:p>
        </w:tc>
        <w:tc>
          <w:tcPr>
            <w:tcW w:w="1896" w:type="dxa"/>
            <w:tcBorders>
              <w:top w:val="nil"/>
              <w:left w:val="nil"/>
              <w:bottom w:val="nil"/>
              <w:right w:val="nil"/>
            </w:tcBorders>
            <w:shd w:val="clear" w:color="auto" w:fill="auto"/>
            <w:noWrap/>
            <w:vAlign w:val="center"/>
            <w:hideMark/>
          </w:tcPr>
          <w:p w14:paraId="63537215" w14:textId="77777777" w:rsidR="00F36197" w:rsidRPr="00646254" w:rsidRDefault="00F36197" w:rsidP="008265F0">
            <w:pPr>
              <w:spacing w:after="120" w:line="276"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0,0</w:t>
            </w:r>
          </w:p>
        </w:tc>
      </w:tr>
      <w:tr w:rsidR="00F36197" w:rsidRPr="00646254" w14:paraId="5351D0B2" w14:textId="77777777" w:rsidTr="00E93004">
        <w:trPr>
          <w:trHeight w:hRule="exact" w:val="227"/>
          <w:jc w:val="center"/>
        </w:trPr>
        <w:tc>
          <w:tcPr>
            <w:tcW w:w="6700" w:type="dxa"/>
            <w:tcBorders>
              <w:top w:val="nil"/>
              <w:left w:val="nil"/>
              <w:bottom w:val="nil"/>
              <w:right w:val="nil"/>
            </w:tcBorders>
            <w:shd w:val="clear" w:color="auto" w:fill="auto"/>
            <w:noWrap/>
            <w:vAlign w:val="center"/>
            <w:hideMark/>
          </w:tcPr>
          <w:p w14:paraId="75C76EA4" w14:textId="77777777" w:rsidR="00F36197" w:rsidRPr="00646254" w:rsidRDefault="00F36197" w:rsidP="008265F0">
            <w:pPr>
              <w:spacing w:after="120" w:line="276" w:lineRule="auto"/>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ЈП „Југоимпорт – СДПР”</w:t>
            </w:r>
          </w:p>
        </w:tc>
        <w:tc>
          <w:tcPr>
            <w:tcW w:w="1896" w:type="dxa"/>
            <w:tcBorders>
              <w:top w:val="nil"/>
              <w:left w:val="nil"/>
              <w:bottom w:val="nil"/>
              <w:right w:val="nil"/>
            </w:tcBorders>
            <w:shd w:val="clear" w:color="auto" w:fill="auto"/>
            <w:noWrap/>
            <w:vAlign w:val="center"/>
            <w:hideMark/>
          </w:tcPr>
          <w:p w14:paraId="7EEC8907" w14:textId="77777777" w:rsidR="00F36197" w:rsidRPr="00646254" w:rsidRDefault="00F36197" w:rsidP="008265F0">
            <w:pPr>
              <w:spacing w:after="120" w:line="276"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10,4</w:t>
            </w:r>
          </w:p>
        </w:tc>
      </w:tr>
      <w:tr w:rsidR="00F36197" w:rsidRPr="00646254" w14:paraId="772A9361" w14:textId="77777777" w:rsidTr="00E93004">
        <w:trPr>
          <w:trHeight w:hRule="exact" w:val="227"/>
          <w:jc w:val="center"/>
        </w:trPr>
        <w:tc>
          <w:tcPr>
            <w:tcW w:w="6700" w:type="dxa"/>
            <w:tcBorders>
              <w:top w:val="nil"/>
              <w:left w:val="nil"/>
              <w:bottom w:val="nil"/>
              <w:right w:val="nil"/>
            </w:tcBorders>
            <w:shd w:val="clear" w:color="auto" w:fill="auto"/>
            <w:noWrap/>
            <w:vAlign w:val="center"/>
            <w:hideMark/>
          </w:tcPr>
          <w:p w14:paraId="04C01FF3" w14:textId="77777777" w:rsidR="00F36197" w:rsidRPr="00646254" w:rsidRDefault="00F36197" w:rsidP="008265F0">
            <w:pPr>
              <w:spacing w:after="120" w:line="276" w:lineRule="auto"/>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Агенција за контролу летења Србије и Црне Горе</w:t>
            </w:r>
          </w:p>
        </w:tc>
        <w:tc>
          <w:tcPr>
            <w:tcW w:w="1896" w:type="dxa"/>
            <w:tcBorders>
              <w:top w:val="nil"/>
              <w:left w:val="nil"/>
              <w:bottom w:val="nil"/>
              <w:right w:val="nil"/>
            </w:tcBorders>
            <w:shd w:val="clear" w:color="auto" w:fill="auto"/>
            <w:noWrap/>
            <w:vAlign w:val="center"/>
            <w:hideMark/>
          </w:tcPr>
          <w:p w14:paraId="5996543D" w14:textId="77777777" w:rsidR="00F36197" w:rsidRPr="00646254" w:rsidRDefault="00F36197" w:rsidP="008265F0">
            <w:pPr>
              <w:spacing w:after="120" w:line="276"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0,9</w:t>
            </w:r>
          </w:p>
        </w:tc>
      </w:tr>
      <w:tr w:rsidR="00F36197" w:rsidRPr="00646254" w14:paraId="02C03463" w14:textId="77777777" w:rsidTr="00E93004">
        <w:trPr>
          <w:trHeight w:hRule="exact" w:val="227"/>
          <w:jc w:val="center"/>
        </w:trPr>
        <w:tc>
          <w:tcPr>
            <w:tcW w:w="6700" w:type="dxa"/>
            <w:tcBorders>
              <w:top w:val="nil"/>
              <w:left w:val="nil"/>
              <w:bottom w:val="nil"/>
              <w:right w:val="nil"/>
            </w:tcBorders>
            <w:shd w:val="clear" w:color="auto" w:fill="auto"/>
            <w:noWrap/>
            <w:vAlign w:val="center"/>
            <w:hideMark/>
          </w:tcPr>
          <w:p w14:paraId="3764EDAB" w14:textId="77777777" w:rsidR="00F36197" w:rsidRPr="00646254" w:rsidRDefault="00F36197" w:rsidP="008265F0">
            <w:pPr>
              <w:spacing w:after="120" w:line="276" w:lineRule="auto"/>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„ЈАТ Техника” д.о.о.</w:t>
            </w:r>
          </w:p>
        </w:tc>
        <w:tc>
          <w:tcPr>
            <w:tcW w:w="1896" w:type="dxa"/>
            <w:tcBorders>
              <w:top w:val="nil"/>
              <w:left w:val="nil"/>
              <w:bottom w:val="nil"/>
              <w:right w:val="nil"/>
            </w:tcBorders>
            <w:shd w:val="clear" w:color="auto" w:fill="auto"/>
            <w:noWrap/>
            <w:vAlign w:val="center"/>
            <w:hideMark/>
          </w:tcPr>
          <w:p w14:paraId="35FE95A9" w14:textId="77777777" w:rsidR="00F36197" w:rsidRPr="00646254" w:rsidRDefault="00F36197" w:rsidP="008265F0">
            <w:pPr>
              <w:spacing w:after="120" w:line="276"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2,3</w:t>
            </w:r>
          </w:p>
        </w:tc>
      </w:tr>
      <w:tr w:rsidR="00F36197" w:rsidRPr="00646254" w14:paraId="7AA9A3D1" w14:textId="77777777" w:rsidTr="00E93004">
        <w:trPr>
          <w:trHeight w:hRule="exact" w:val="227"/>
          <w:jc w:val="center"/>
        </w:trPr>
        <w:tc>
          <w:tcPr>
            <w:tcW w:w="6700" w:type="dxa"/>
            <w:tcBorders>
              <w:top w:val="nil"/>
              <w:left w:val="nil"/>
              <w:bottom w:val="nil"/>
              <w:right w:val="nil"/>
            </w:tcBorders>
            <w:shd w:val="clear" w:color="auto" w:fill="auto"/>
            <w:noWrap/>
            <w:vAlign w:val="center"/>
            <w:hideMark/>
          </w:tcPr>
          <w:p w14:paraId="22A67217" w14:textId="77777777" w:rsidR="00F36197" w:rsidRPr="00646254" w:rsidRDefault="00F36197" w:rsidP="008265F0">
            <w:pPr>
              <w:spacing w:after="120" w:line="276" w:lineRule="auto"/>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ЈП „Емисиона техника и везе”</w:t>
            </w:r>
          </w:p>
        </w:tc>
        <w:tc>
          <w:tcPr>
            <w:tcW w:w="1896" w:type="dxa"/>
            <w:tcBorders>
              <w:top w:val="nil"/>
              <w:left w:val="nil"/>
              <w:bottom w:val="nil"/>
              <w:right w:val="nil"/>
            </w:tcBorders>
            <w:shd w:val="clear" w:color="auto" w:fill="auto"/>
            <w:noWrap/>
            <w:vAlign w:val="center"/>
            <w:hideMark/>
          </w:tcPr>
          <w:p w14:paraId="667391B4" w14:textId="77777777" w:rsidR="00F36197" w:rsidRPr="00646254" w:rsidRDefault="00F36197" w:rsidP="008265F0">
            <w:pPr>
              <w:spacing w:after="120" w:line="276"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6,7</w:t>
            </w:r>
          </w:p>
        </w:tc>
      </w:tr>
      <w:tr w:rsidR="00F36197" w:rsidRPr="00646254" w14:paraId="3AE784F0" w14:textId="77777777" w:rsidTr="00E93004">
        <w:trPr>
          <w:trHeight w:hRule="exact" w:val="227"/>
          <w:jc w:val="center"/>
        </w:trPr>
        <w:tc>
          <w:tcPr>
            <w:tcW w:w="6700" w:type="dxa"/>
            <w:tcBorders>
              <w:top w:val="nil"/>
              <w:left w:val="nil"/>
              <w:bottom w:val="nil"/>
              <w:right w:val="nil"/>
            </w:tcBorders>
            <w:shd w:val="clear" w:color="auto" w:fill="auto"/>
            <w:noWrap/>
            <w:vAlign w:val="center"/>
          </w:tcPr>
          <w:p w14:paraId="58FE8BAD" w14:textId="77777777" w:rsidR="00F36197" w:rsidRPr="00646254" w:rsidRDefault="00F36197" w:rsidP="008265F0">
            <w:pPr>
              <w:spacing w:after="120" w:line="276" w:lineRule="auto"/>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ЈП „Скијалишта Србије”</w:t>
            </w:r>
          </w:p>
        </w:tc>
        <w:tc>
          <w:tcPr>
            <w:tcW w:w="1896" w:type="dxa"/>
            <w:tcBorders>
              <w:top w:val="nil"/>
              <w:left w:val="nil"/>
              <w:bottom w:val="nil"/>
              <w:right w:val="nil"/>
            </w:tcBorders>
            <w:shd w:val="clear" w:color="auto" w:fill="auto"/>
            <w:noWrap/>
            <w:vAlign w:val="center"/>
          </w:tcPr>
          <w:p w14:paraId="38414457" w14:textId="77777777" w:rsidR="00F36197" w:rsidRPr="00646254" w:rsidRDefault="00F36197" w:rsidP="008265F0">
            <w:pPr>
              <w:spacing w:after="120" w:line="276"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25,9</w:t>
            </w:r>
          </w:p>
        </w:tc>
      </w:tr>
      <w:tr w:rsidR="00F36197" w:rsidRPr="00646254" w14:paraId="6758DEBE" w14:textId="77777777" w:rsidTr="00E93004">
        <w:trPr>
          <w:trHeight w:hRule="exact" w:val="227"/>
          <w:jc w:val="center"/>
        </w:trPr>
        <w:tc>
          <w:tcPr>
            <w:tcW w:w="6700" w:type="dxa"/>
            <w:tcBorders>
              <w:top w:val="nil"/>
              <w:left w:val="nil"/>
              <w:bottom w:val="single" w:sz="8" w:space="0" w:color="002060"/>
              <w:right w:val="nil"/>
            </w:tcBorders>
            <w:shd w:val="clear" w:color="auto" w:fill="auto"/>
            <w:noWrap/>
            <w:vAlign w:val="center"/>
            <w:hideMark/>
          </w:tcPr>
          <w:p w14:paraId="5EE3C207" w14:textId="77777777" w:rsidR="00F36197" w:rsidRPr="00646254" w:rsidRDefault="00F36197" w:rsidP="008265F0">
            <w:pPr>
              <w:spacing w:after="120" w:line="276" w:lineRule="auto"/>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УКУПНО</w:t>
            </w:r>
          </w:p>
        </w:tc>
        <w:tc>
          <w:tcPr>
            <w:tcW w:w="1896" w:type="dxa"/>
            <w:tcBorders>
              <w:top w:val="nil"/>
              <w:left w:val="nil"/>
              <w:bottom w:val="single" w:sz="8" w:space="0" w:color="002060"/>
              <w:right w:val="nil"/>
            </w:tcBorders>
            <w:shd w:val="clear" w:color="auto" w:fill="auto"/>
            <w:noWrap/>
            <w:vAlign w:val="center"/>
            <w:hideMark/>
          </w:tcPr>
          <w:p w14:paraId="62977463" w14:textId="77777777" w:rsidR="00F36197" w:rsidRPr="00646254" w:rsidRDefault="00F36197" w:rsidP="008265F0">
            <w:pPr>
              <w:spacing w:after="120" w:line="276"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1.400,7</w:t>
            </w:r>
          </w:p>
        </w:tc>
      </w:tr>
    </w:tbl>
    <w:p w14:paraId="576604A0" w14:textId="77777777" w:rsidR="00F36197" w:rsidRPr="00646254" w:rsidRDefault="00F36197" w:rsidP="0029416A">
      <w:pPr>
        <w:spacing w:after="120" w:line="276" w:lineRule="auto"/>
        <w:ind w:left="397"/>
        <w:rPr>
          <w:rFonts w:eastAsia="MS PGothic" w:cstheme="minorHAnsi"/>
          <w:sz w:val="16"/>
          <w:szCs w:val="16"/>
          <w:lang w:val="sr-Cyrl-CS" w:eastAsia="ja-JP"/>
        </w:rPr>
      </w:pPr>
      <w:r w:rsidRPr="00646254">
        <w:rPr>
          <w:rFonts w:eastAsia="MS PGothic" w:cstheme="minorHAnsi"/>
          <w:sz w:val="16"/>
          <w:szCs w:val="16"/>
          <w:lang w:val="sr-Cyrl-CS" w:eastAsia="ja-JP"/>
        </w:rPr>
        <w:t>Извор: Министарство финансија, Управа за јавни дуг</w:t>
      </w:r>
    </w:p>
    <w:p w14:paraId="7FCC53A6" w14:textId="77777777" w:rsidR="00F36197" w:rsidRPr="00646254" w:rsidRDefault="00F36197" w:rsidP="008265F0">
      <w:pPr>
        <w:spacing w:after="120" w:line="276" w:lineRule="auto"/>
        <w:rPr>
          <w:rFonts w:eastAsia="MS PGothic" w:cstheme="minorHAnsi"/>
          <w:b/>
          <w:szCs w:val="20"/>
          <w:lang w:val="sr-Cyrl-CS" w:eastAsia="ja-JP"/>
        </w:rPr>
        <w:sectPr w:rsidR="00F36197" w:rsidRPr="00646254" w:rsidSect="009B76B2">
          <w:type w:val="continuous"/>
          <w:pgSz w:w="12240" w:h="15840" w:code="1"/>
          <w:pgMar w:top="1440" w:right="1440" w:bottom="1440" w:left="1440" w:header="720" w:footer="720" w:gutter="0"/>
          <w:cols w:space="720"/>
          <w:docGrid w:linePitch="360"/>
        </w:sectPr>
      </w:pPr>
    </w:p>
    <w:p w14:paraId="5CB20C3A" w14:textId="77777777" w:rsidR="00F36197" w:rsidRPr="00646254" w:rsidRDefault="00F36197" w:rsidP="008265F0">
      <w:pPr>
        <w:spacing w:after="120" w:line="276" w:lineRule="auto"/>
        <w:rPr>
          <w:rFonts w:eastAsia="MS PGothic" w:cstheme="minorHAnsi"/>
          <w:szCs w:val="20"/>
          <w:lang w:val="sr-Cyrl-CS" w:eastAsia="ja-JP"/>
        </w:rPr>
      </w:pPr>
      <w:r w:rsidRPr="00646254">
        <w:rPr>
          <w:rFonts w:eastAsia="MS PGothic" w:cstheme="minorHAnsi"/>
          <w:szCs w:val="20"/>
          <w:lang w:val="sr-Cyrl-CS" w:eastAsia="ja-JP"/>
        </w:rPr>
        <w:t>Укупна отплата главнице по основу гарантованих кредита у 2020. години износила је 11,4 млрд динара, од чега 7,5 млрд утиче на дефицит. Рачуноводствена методологија, до 2014. године, није у расходе укључивала отплате по основу гаранција</w:t>
      </w:r>
      <w:r w:rsidRPr="00646254">
        <w:rPr>
          <w:rFonts w:eastAsia="MS PGothic" w:cstheme="minorHAnsi"/>
          <w:szCs w:val="20"/>
          <w:vertAlign w:val="superscript"/>
          <w:lang w:val="sr-Cyrl-CS" w:eastAsia="ja-JP"/>
        </w:rPr>
        <w:footnoteReference w:id="10"/>
      </w:r>
      <w:r w:rsidRPr="00646254">
        <w:rPr>
          <w:rFonts w:eastAsia="MS PGothic" w:cstheme="minorHAnsi"/>
          <w:szCs w:val="20"/>
          <w:lang w:val="sr-Cyrl-CS" w:eastAsia="ja-JP"/>
        </w:rPr>
        <w:t>. Од 2014. године део ових расхода је укључен у расходе буџета</w:t>
      </w:r>
      <w:r w:rsidRPr="00646254">
        <w:rPr>
          <w:rFonts w:eastAsia="MS PGothic" w:cstheme="minorHAnsi"/>
          <w:szCs w:val="20"/>
          <w:vertAlign w:val="superscript"/>
          <w:lang w:val="sr-Cyrl-CS" w:eastAsia="ja-JP"/>
        </w:rPr>
        <w:footnoteReference w:id="11"/>
      </w:r>
      <w:r w:rsidRPr="00646254">
        <w:rPr>
          <w:rFonts w:eastAsia="MS PGothic" w:cstheme="minorHAnsi"/>
          <w:szCs w:val="20"/>
          <w:lang w:val="sr-Cyrl-CS" w:eastAsia="ja-JP"/>
        </w:rPr>
        <w:t>. Независно од буџетског и рачуноводственог приказа, дуг који уместо главног дужника плаћа држава повећава укупне потребе за задуживањем.</w:t>
      </w:r>
    </w:p>
    <w:p w14:paraId="358BEFE7" w14:textId="77777777" w:rsidR="00F36197" w:rsidRPr="00646254" w:rsidRDefault="00F36197" w:rsidP="007065E5">
      <w:pPr>
        <w:spacing w:after="0" w:line="276" w:lineRule="auto"/>
        <w:jc w:val="center"/>
        <w:rPr>
          <w:rFonts w:eastAsia="MS PGothic" w:cstheme="minorHAnsi"/>
          <w:b/>
          <w:color w:val="002060"/>
          <w:szCs w:val="20"/>
          <w:lang w:val="sr-Cyrl-CS" w:eastAsia="ja-JP"/>
        </w:rPr>
      </w:pPr>
      <w:r w:rsidRPr="00646254">
        <w:rPr>
          <w:rFonts w:eastAsia="MS PGothic" w:cstheme="minorHAnsi"/>
          <w:b/>
          <w:color w:val="002060"/>
          <w:szCs w:val="20"/>
          <w:lang w:val="sr-Cyrl-CS" w:eastAsia="ja-JP"/>
        </w:rPr>
        <w:br w:type="column"/>
        <w:t>Отплата дуга по основу активираних гаранција, млрд динара</w:t>
      </w:r>
    </w:p>
    <w:p w14:paraId="547F3ACC" w14:textId="77777777" w:rsidR="00F36197" w:rsidRPr="00646254" w:rsidRDefault="00F36197" w:rsidP="004C346D">
      <w:pPr>
        <w:spacing w:after="0" w:line="276" w:lineRule="auto"/>
        <w:rPr>
          <w:rFonts w:eastAsia="MS PGothic" w:cstheme="minorHAnsi"/>
          <w:b/>
          <w:szCs w:val="20"/>
          <w:lang w:val="sr-Cyrl-CS" w:eastAsia="ja-JP"/>
        </w:rPr>
        <w:sectPr w:rsidR="00F36197" w:rsidRPr="00646254" w:rsidSect="009B76B2">
          <w:type w:val="continuous"/>
          <w:pgSz w:w="12240" w:h="15840" w:code="1"/>
          <w:pgMar w:top="1440" w:right="1440" w:bottom="1440" w:left="1440" w:header="720" w:footer="720" w:gutter="0"/>
          <w:cols w:num="2" w:space="720"/>
          <w:docGrid w:linePitch="360"/>
          <w15:footnoteColumns w:val="1"/>
        </w:sectPr>
      </w:pPr>
      <w:r w:rsidRPr="00646254">
        <w:rPr>
          <w:rFonts w:eastAsia="MS PGothic" w:cstheme="minorHAnsi"/>
          <w:b/>
          <w:noProof/>
          <w:szCs w:val="20"/>
        </w:rPr>
        <w:drawing>
          <wp:inline distT="0" distB="0" distL="0" distR="0" wp14:anchorId="4CCEAB29" wp14:editId="2F89314B">
            <wp:extent cx="2904186" cy="1963182"/>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2955310" cy="1997741"/>
                    </a:xfrm>
                    <a:prstGeom prst="rect">
                      <a:avLst/>
                    </a:prstGeom>
                    <a:noFill/>
                  </pic:spPr>
                </pic:pic>
              </a:graphicData>
            </a:graphic>
          </wp:inline>
        </w:drawing>
      </w:r>
    </w:p>
    <w:p w14:paraId="2FFF81B2" w14:textId="77777777" w:rsidR="00F36197" w:rsidRPr="00646254" w:rsidRDefault="00F36197">
      <w:pPr>
        <w:jc w:val="left"/>
        <w:rPr>
          <w:rFonts w:eastAsia="MS PGothic" w:cstheme="minorHAnsi"/>
          <w:b/>
          <w:bCs/>
          <w:color w:val="002060"/>
          <w:szCs w:val="20"/>
          <w:lang w:val="sr-Cyrl-CS" w:eastAsia="ja-JP"/>
        </w:rPr>
      </w:pPr>
      <w:r w:rsidRPr="00646254">
        <w:rPr>
          <w:rFonts w:eastAsia="MS PGothic" w:cstheme="minorHAnsi"/>
          <w:b/>
          <w:bCs/>
          <w:color w:val="002060"/>
          <w:szCs w:val="20"/>
          <w:lang w:val="sr-Cyrl-CS" w:eastAsia="ja-JP"/>
        </w:rPr>
        <w:br w:type="page"/>
      </w:r>
    </w:p>
    <w:p w14:paraId="781F5E7B" w14:textId="77777777" w:rsidR="00F36197" w:rsidRPr="00646254" w:rsidRDefault="00F36197" w:rsidP="004C346D">
      <w:pPr>
        <w:spacing w:after="80" w:line="276" w:lineRule="auto"/>
        <w:jc w:val="center"/>
        <w:rPr>
          <w:rFonts w:eastAsia="MS PGothic" w:cstheme="minorHAnsi"/>
          <w:b/>
          <w:bCs/>
          <w:color w:val="002060"/>
          <w:szCs w:val="20"/>
          <w:lang w:val="sr-Cyrl-CS" w:eastAsia="ja-JP"/>
        </w:rPr>
      </w:pPr>
      <w:r w:rsidRPr="00646254">
        <w:rPr>
          <w:rFonts w:eastAsia="MS PGothic" w:cstheme="minorHAnsi"/>
          <w:b/>
          <w:bCs/>
          <w:color w:val="002060"/>
          <w:szCs w:val="20"/>
          <w:lang w:val="sr-Cyrl-CS" w:eastAsia="ja-JP"/>
        </w:rPr>
        <w:t>Табела 15. Укупно плаћене обавезе по основу гаранција по корисницима, млрд динара</w:t>
      </w:r>
    </w:p>
    <w:tbl>
      <w:tblPr>
        <w:tblW w:w="9356" w:type="dxa"/>
        <w:tblLayout w:type="fixed"/>
        <w:tblLook w:val="04A0" w:firstRow="1" w:lastRow="0" w:firstColumn="1" w:lastColumn="0" w:noHBand="0" w:noVBand="1"/>
      </w:tblPr>
      <w:tblGrid>
        <w:gridCol w:w="3682"/>
        <w:gridCol w:w="945"/>
        <w:gridCol w:w="946"/>
        <w:gridCol w:w="946"/>
        <w:gridCol w:w="946"/>
        <w:gridCol w:w="945"/>
        <w:gridCol w:w="946"/>
      </w:tblGrid>
      <w:tr w:rsidR="00F36197" w:rsidRPr="00646254" w14:paraId="4DCB7E2F" w14:textId="77777777" w:rsidTr="00F75EAA">
        <w:trPr>
          <w:trHeight w:hRule="exact" w:val="284"/>
          <w:tblHeader/>
        </w:trPr>
        <w:tc>
          <w:tcPr>
            <w:tcW w:w="3683" w:type="dxa"/>
            <w:tcBorders>
              <w:top w:val="single" w:sz="8" w:space="0" w:color="002060"/>
              <w:left w:val="nil"/>
              <w:bottom w:val="single" w:sz="8" w:space="0" w:color="FFFFFF"/>
              <w:right w:val="nil"/>
            </w:tcBorders>
            <w:shd w:val="clear" w:color="auto" w:fill="auto"/>
            <w:noWrap/>
            <w:vAlign w:val="center"/>
            <w:hideMark/>
          </w:tcPr>
          <w:p w14:paraId="66788633" w14:textId="77777777" w:rsidR="00F36197" w:rsidRPr="00646254" w:rsidRDefault="00F36197" w:rsidP="008265F0">
            <w:pPr>
              <w:spacing w:after="120" w:line="276" w:lineRule="auto"/>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 </w:t>
            </w:r>
          </w:p>
        </w:tc>
        <w:tc>
          <w:tcPr>
            <w:tcW w:w="2837" w:type="dxa"/>
            <w:gridSpan w:val="3"/>
            <w:tcBorders>
              <w:top w:val="single" w:sz="8" w:space="0" w:color="002060"/>
              <w:left w:val="nil"/>
              <w:bottom w:val="single" w:sz="8" w:space="0" w:color="002060"/>
              <w:right w:val="nil"/>
            </w:tcBorders>
            <w:shd w:val="clear" w:color="auto" w:fill="auto"/>
            <w:noWrap/>
            <w:vAlign w:val="center"/>
            <w:hideMark/>
          </w:tcPr>
          <w:p w14:paraId="38C1338F" w14:textId="77777777" w:rsidR="00F36197" w:rsidRPr="00646254" w:rsidRDefault="00F36197" w:rsidP="008265F0">
            <w:pPr>
              <w:spacing w:after="120" w:line="276" w:lineRule="auto"/>
              <w:jc w:val="center"/>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2020</w:t>
            </w:r>
          </w:p>
        </w:tc>
        <w:tc>
          <w:tcPr>
            <w:tcW w:w="2836" w:type="dxa"/>
            <w:gridSpan w:val="3"/>
            <w:tcBorders>
              <w:top w:val="single" w:sz="8" w:space="0" w:color="002060"/>
              <w:left w:val="nil"/>
              <w:bottom w:val="single" w:sz="8" w:space="0" w:color="002060"/>
              <w:right w:val="nil"/>
            </w:tcBorders>
            <w:shd w:val="clear" w:color="auto" w:fill="auto"/>
            <w:noWrap/>
            <w:vAlign w:val="center"/>
            <w:hideMark/>
          </w:tcPr>
          <w:p w14:paraId="66E3D767" w14:textId="77777777" w:rsidR="00F36197" w:rsidRPr="00646254" w:rsidRDefault="00F36197" w:rsidP="008E5519">
            <w:pPr>
              <w:spacing w:after="120" w:line="276" w:lineRule="auto"/>
              <w:jc w:val="center"/>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2021 (до 30.06.)</w:t>
            </w:r>
          </w:p>
        </w:tc>
      </w:tr>
      <w:tr w:rsidR="00F36197" w:rsidRPr="00646254" w14:paraId="415973AF" w14:textId="77777777" w:rsidTr="00F75EAA">
        <w:trPr>
          <w:trHeight w:hRule="exact" w:val="284"/>
          <w:tblHeader/>
        </w:trPr>
        <w:tc>
          <w:tcPr>
            <w:tcW w:w="3683" w:type="dxa"/>
            <w:tcBorders>
              <w:top w:val="nil"/>
              <w:left w:val="nil"/>
              <w:bottom w:val="single" w:sz="8" w:space="0" w:color="002060"/>
              <w:right w:val="nil"/>
            </w:tcBorders>
            <w:shd w:val="clear" w:color="auto" w:fill="auto"/>
            <w:noWrap/>
            <w:vAlign w:val="center"/>
            <w:hideMark/>
          </w:tcPr>
          <w:p w14:paraId="12B49CE8" w14:textId="77777777" w:rsidR="00F36197" w:rsidRPr="00646254" w:rsidRDefault="00F36197" w:rsidP="008265F0">
            <w:pPr>
              <w:spacing w:after="120" w:line="276" w:lineRule="auto"/>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Корисник</w:t>
            </w:r>
          </w:p>
        </w:tc>
        <w:tc>
          <w:tcPr>
            <w:tcW w:w="945" w:type="dxa"/>
            <w:tcBorders>
              <w:top w:val="nil"/>
              <w:left w:val="nil"/>
              <w:bottom w:val="single" w:sz="8" w:space="0" w:color="002060"/>
              <w:right w:val="nil"/>
            </w:tcBorders>
            <w:shd w:val="clear" w:color="auto" w:fill="auto"/>
            <w:noWrap/>
            <w:vAlign w:val="center"/>
            <w:hideMark/>
          </w:tcPr>
          <w:p w14:paraId="35F41CDD" w14:textId="77777777" w:rsidR="00F36197" w:rsidRPr="00646254" w:rsidRDefault="00F36197" w:rsidP="008265F0">
            <w:pPr>
              <w:spacing w:after="120" w:line="276" w:lineRule="auto"/>
              <w:jc w:val="center"/>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Главница</w:t>
            </w:r>
          </w:p>
        </w:tc>
        <w:tc>
          <w:tcPr>
            <w:tcW w:w="946" w:type="dxa"/>
            <w:tcBorders>
              <w:top w:val="nil"/>
              <w:left w:val="nil"/>
              <w:bottom w:val="single" w:sz="8" w:space="0" w:color="002060"/>
              <w:right w:val="nil"/>
            </w:tcBorders>
            <w:shd w:val="clear" w:color="auto" w:fill="auto"/>
            <w:noWrap/>
            <w:vAlign w:val="center"/>
            <w:hideMark/>
          </w:tcPr>
          <w:p w14:paraId="7104270B" w14:textId="77777777" w:rsidR="00F36197" w:rsidRPr="00646254" w:rsidRDefault="00F36197" w:rsidP="008265F0">
            <w:pPr>
              <w:spacing w:after="120" w:line="276" w:lineRule="auto"/>
              <w:jc w:val="center"/>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Камата</w:t>
            </w:r>
          </w:p>
        </w:tc>
        <w:tc>
          <w:tcPr>
            <w:tcW w:w="945" w:type="dxa"/>
            <w:tcBorders>
              <w:top w:val="nil"/>
              <w:left w:val="nil"/>
              <w:bottom w:val="single" w:sz="8" w:space="0" w:color="002060"/>
              <w:right w:val="nil"/>
            </w:tcBorders>
            <w:shd w:val="clear" w:color="auto" w:fill="auto"/>
            <w:noWrap/>
            <w:vAlign w:val="center"/>
            <w:hideMark/>
          </w:tcPr>
          <w:p w14:paraId="475ACC41" w14:textId="77777777" w:rsidR="00F36197" w:rsidRPr="00646254" w:rsidRDefault="00F36197" w:rsidP="008265F0">
            <w:pPr>
              <w:spacing w:after="120" w:line="276" w:lineRule="auto"/>
              <w:jc w:val="center"/>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Укупно</w:t>
            </w:r>
          </w:p>
        </w:tc>
        <w:tc>
          <w:tcPr>
            <w:tcW w:w="946" w:type="dxa"/>
            <w:tcBorders>
              <w:top w:val="nil"/>
              <w:left w:val="nil"/>
              <w:bottom w:val="single" w:sz="8" w:space="0" w:color="002060"/>
              <w:right w:val="nil"/>
            </w:tcBorders>
            <w:shd w:val="clear" w:color="auto" w:fill="auto"/>
            <w:noWrap/>
            <w:vAlign w:val="center"/>
            <w:hideMark/>
          </w:tcPr>
          <w:p w14:paraId="015AABD0" w14:textId="77777777" w:rsidR="00F36197" w:rsidRPr="00646254" w:rsidRDefault="00F36197" w:rsidP="008265F0">
            <w:pPr>
              <w:spacing w:after="120" w:line="276" w:lineRule="auto"/>
              <w:jc w:val="center"/>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Главница</w:t>
            </w:r>
          </w:p>
        </w:tc>
        <w:tc>
          <w:tcPr>
            <w:tcW w:w="945" w:type="dxa"/>
            <w:tcBorders>
              <w:top w:val="nil"/>
              <w:left w:val="nil"/>
              <w:bottom w:val="single" w:sz="8" w:space="0" w:color="002060"/>
              <w:right w:val="nil"/>
            </w:tcBorders>
            <w:shd w:val="clear" w:color="auto" w:fill="auto"/>
            <w:noWrap/>
            <w:vAlign w:val="center"/>
            <w:hideMark/>
          </w:tcPr>
          <w:p w14:paraId="0E7E0802" w14:textId="77777777" w:rsidR="00F36197" w:rsidRPr="00646254" w:rsidRDefault="00F36197" w:rsidP="008265F0">
            <w:pPr>
              <w:spacing w:after="120" w:line="276" w:lineRule="auto"/>
              <w:jc w:val="center"/>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Камата</w:t>
            </w:r>
          </w:p>
        </w:tc>
        <w:tc>
          <w:tcPr>
            <w:tcW w:w="946" w:type="dxa"/>
            <w:tcBorders>
              <w:top w:val="nil"/>
              <w:left w:val="nil"/>
              <w:bottom w:val="single" w:sz="8" w:space="0" w:color="002060"/>
              <w:right w:val="nil"/>
            </w:tcBorders>
            <w:shd w:val="clear" w:color="auto" w:fill="auto"/>
            <w:noWrap/>
            <w:vAlign w:val="center"/>
            <w:hideMark/>
          </w:tcPr>
          <w:p w14:paraId="1405E61C" w14:textId="77777777" w:rsidR="00F36197" w:rsidRPr="00646254" w:rsidRDefault="00F36197" w:rsidP="008265F0">
            <w:pPr>
              <w:spacing w:after="120" w:line="276" w:lineRule="auto"/>
              <w:jc w:val="center"/>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Укупно</w:t>
            </w:r>
          </w:p>
        </w:tc>
      </w:tr>
      <w:tr w:rsidR="00F36197" w:rsidRPr="00646254" w14:paraId="1FF03A2C" w14:textId="77777777" w:rsidTr="00F75EAA">
        <w:trPr>
          <w:trHeight w:hRule="exact" w:val="227"/>
        </w:trPr>
        <w:tc>
          <w:tcPr>
            <w:tcW w:w="3683" w:type="dxa"/>
            <w:tcBorders>
              <w:top w:val="nil"/>
              <w:left w:val="nil"/>
              <w:bottom w:val="nil"/>
              <w:right w:val="nil"/>
            </w:tcBorders>
            <w:shd w:val="clear" w:color="auto" w:fill="auto"/>
            <w:noWrap/>
            <w:vAlign w:val="center"/>
            <w:hideMark/>
          </w:tcPr>
          <w:p w14:paraId="1FB7E8EA" w14:textId="77777777" w:rsidR="00F36197" w:rsidRPr="00646254" w:rsidRDefault="00F36197" w:rsidP="008265F0">
            <w:pPr>
              <w:spacing w:after="120" w:line="276" w:lineRule="auto"/>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 xml:space="preserve">ЈП „Србијагас” </w:t>
            </w:r>
          </w:p>
        </w:tc>
        <w:tc>
          <w:tcPr>
            <w:tcW w:w="945" w:type="dxa"/>
            <w:tcBorders>
              <w:top w:val="nil"/>
              <w:left w:val="nil"/>
              <w:bottom w:val="nil"/>
              <w:right w:val="nil"/>
            </w:tcBorders>
            <w:shd w:val="clear" w:color="auto" w:fill="auto"/>
            <w:noWrap/>
            <w:vAlign w:val="center"/>
            <w:hideMark/>
          </w:tcPr>
          <w:p w14:paraId="6D6F1D31" w14:textId="77777777" w:rsidR="00F36197" w:rsidRPr="00646254" w:rsidRDefault="00F36197" w:rsidP="008265F0">
            <w:pPr>
              <w:spacing w:after="120" w:line="276"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0,6</w:t>
            </w:r>
          </w:p>
        </w:tc>
        <w:tc>
          <w:tcPr>
            <w:tcW w:w="946" w:type="dxa"/>
            <w:tcBorders>
              <w:top w:val="nil"/>
              <w:left w:val="nil"/>
              <w:bottom w:val="nil"/>
              <w:right w:val="nil"/>
            </w:tcBorders>
            <w:shd w:val="clear" w:color="auto" w:fill="auto"/>
            <w:noWrap/>
            <w:vAlign w:val="center"/>
            <w:hideMark/>
          </w:tcPr>
          <w:p w14:paraId="5ABFC5E1" w14:textId="77777777" w:rsidR="00F36197" w:rsidRPr="00646254" w:rsidRDefault="00F36197" w:rsidP="008265F0">
            <w:pPr>
              <w:spacing w:after="120" w:line="276"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0,0</w:t>
            </w:r>
          </w:p>
        </w:tc>
        <w:tc>
          <w:tcPr>
            <w:tcW w:w="945" w:type="dxa"/>
            <w:tcBorders>
              <w:top w:val="nil"/>
              <w:left w:val="nil"/>
              <w:bottom w:val="nil"/>
              <w:right w:val="nil"/>
            </w:tcBorders>
            <w:shd w:val="clear" w:color="auto" w:fill="auto"/>
            <w:noWrap/>
            <w:vAlign w:val="center"/>
            <w:hideMark/>
          </w:tcPr>
          <w:p w14:paraId="0A1723EE" w14:textId="77777777" w:rsidR="00F36197" w:rsidRPr="00646254" w:rsidRDefault="00F36197" w:rsidP="008265F0">
            <w:pPr>
              <w:spacing w:after="120" w:line="276"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0,6</w:t>
            </w:r>
          </w:p>
        </w:tc>
        <w:tc>
          <w:tcPr>
            <w:tcW w:w="946" w:type="dxa"/>
            <w:tcBorders>
              <w:top w:val="nil"/>
              <w:left w:val="nil"/>
              <w:bottom w:val="nil"/>
              <w:right w:val="nil"/>
            </w:tcBorders>
            <w:shd w:val="clear" w:color="auto" w:fill="auto"/>
            <w:noWrap/>
            <w:vAlign w:val="center"/>
            <w:hideMark/>
          </w:tcPr>
          <w:p w14:paraId="34CA171C" w14:textId="77777777" w:rsidR="00F36197" w:rsidRPr="00646254" w:rsidRDefault="00F36197" w:rsidP="008265F0">
            <w:pPr>
              <w:spacing w:after="120" w:line="276"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0,3</w:t>
            </w:r>
          </w:p>
        </w:tc>
        <w:tc>
          <w:tcPr>
            <w:tcW w:w="945" w:type="dxa"/>
            <w:tcBorders>
              <w:top w:val="nil"/>
              <w:left w:val="nil"/>
              <w:bottom w:val="nil"/>
              <w:right w:val="nil"/>
            </w:tcBorders>
            <w:shd w:val="clear" w:color="auto" w:fill="auto"/>
            <w:noWrap/>
            <w:vAlign w:val="center"/>
            <w:hideMark/>
          </w:tcPr>
          <w:p w14:paraId="47E5691C" w14:textId="77777777" w:rsidR="00F36197" w:rsidRPr="00646254" w:rsidRDefault="00F36197" w:rsidP="008265F0">
            <w:pPr>
              <w:spacing w:after="120" w:line="276"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0,0</w:t>
            </w:r>
          </w:p>
        </w:tc>
        <w:tc>
          <w:tcPr>
            <w:tcW w:w="946" w:type="dxa"/>
            <w:tcBorders>
              <w:top w:val="nil"/>
              <w:left w:val="nil"/>
              <w:bottom w:val="nil"/>
              <w:right w:val="nil"/>
            </w:tcBorders>
            <w:shd w:val="clear" w:color="auto" w:fill="auto"/>
            <w:noWrap/>
            <w:vAlign w:val="center"/>
            <w:hideMark/>
          </w:tcPr>
          <w:p w14:paraId="46FE2C24" w14:textId="77777777" w:rsidR="00F36197" w:rsidRPr="00646254" w:rsidRDefault="00F36197" w:rsidP="008265F0">
            <w:pPr>
              <w:spacing w:after="120" w:line="276"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0,3</w:t>
            </w:r>
          </w:p>
        </w:tc>
      </w:tr>
      <w:tr w:rsidR="00F36197" w:rsidRPr="00646254" w14:paraId="15B2B862" w14:textId="77777777" w:rsidTr="00F75EAA">
        <w:trPr>
          <w:trHeight w:hRule="exact" w:val="227"/>
        </w:trPr>
        <w:tc>
          <w:tcPr>
            <w:tcW w:w="3683" w:type="dxa"/>
            <w:tcBorders>
              <w:top w:val="nil"/>
              <w:left w:val="nil"/>
              <w:bottom w:val="nil"/>
              <w:right w:val="nil"/>
            </w:tcBorders>
            <w:shd w:val="clear" w:color="auto" w:fill="auto"/>
            <w:noWrap/>
            <w:vAlign w:val="center"/>
            <w:hideMark/>
          </w:tcPr>
          <w:p w14:paraId="5DF45C56" w14:textId="77777777" w:rsidR="00F36197" w:rsidRPr="00646254" w:rsidRDefault="00F36197" w:rsidP="008265F0">
            <w:pPr>
              <w:spacing w:after="120" w:line="276" w:lineRule="auto"/>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ЈП „Путеви Србије”</w:t>
            </w:r>
          </w:p>
        </w:tc>
        <w:tc>
          <w:tcPr>
            <w:tcW w:w="945" w:type="dxa"/>
            <w:tcBorders>
              <w:top w:val="nil"/>
              <w:left w:val="nil"/>
              <w:bottom w:val="nil"/>
              <w:right w:val="nil"/>
            </w:tcBorders>
            <w:shd w:val="clear" w:color="auto" w:fill="auto"/>
            <w:noWrap/>
            <w:vAlign w:val="center"/>
            <w:hideMark/>
          </w:tcPr>
          <w:p w14:paraId="02872B7C" w14:textId="77777777" w:rsidR="00F36197" w:rsidRPr="00646254" w:rsidRDefault="00F36197" w:rsidP="008265F0">
            <w:pPr>
              <w:spacing w:after="120" w:line="276"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3,9</w:t>
            </w:r>
          </w:p>
        </w:tc>
        <w:tc>
          <w:tcPr>
            <w:tcW w:w="946" w:type="dxa"/>
            <w:tcBorders>
              <w:top w:val="nil"/>
              <w:left w:val="nil"/>
              <w:bottom w:val="nil"/>
              <w:right w:val="nil"/>
            </w:tcBorders>
            <w:shd w:val="clear" w:color="auto" w:fill="auto"/>
            <w:noWrap/>
            <w:vAlign w:val="center"/>
            <w:hideMark/>
          </w:tcPr>
          <w:p w14:paraId="169BD82A" w14:textId="77777777" w:rsidR="00F36197" w:rsidRPr="00646254" w:rsidRDefault="00F36197" w:rsidP="008265F0">
            <w:pPr>
              <w:spacing w:after="120" w:line="276"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1,3</w:t>
            </w:r>
          </w:p>
        </w:tc>
        <w:tc>
          <w:tcPr>
            <w:tcW w:w="945" w:type="dxa"/>
            <w:tcBorders>
              <w:top w:val="nil"/>
              <w:left w:val="nil"/>
              <w:bottom w:val="nil"/>
              <w:right w:val="nil"/>
            </w:tcBorders>
            <w:shd w:val="clear" w:color="auto" w:fill="auto"/>
            <w:noWrap/>
            <w:vAlign w:val="center"/>
            <w:hideMark/>
          </w:tcPr>
          <w:p w14:paraId="73C08BDD" w14:textId="77777777" w:rsidR="00F36197" w:rsidRPr="00646254" w:rsidRDefault="00F36197" w:rsidP="008265F0">
            <w:pPr>
              <w:spacing w:after="120" w:line="276"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5,2</w:t>
            </w:r>
          </w:p>
        </w:tc>
        <w:tc>
          <w:tcPr>
            <w:tcW w:w="946" w:type="dxa"/>
            <w:tcBorders>
              <w:top w:val="nil"/>
              <w:left w:val="nil"/>
              <w:bottom w:val="nil"/>
              <w:right w:val="nil"/>
            </w:tcBorders>
            <w:shd w:val="clear" w:color="auto" w:fill="auto"/>
            <w:noWrap/>
            <w:vAlign w:val="center"/>
            <w:hideMark/>
          </w:tcPr>
          <w:p w14:paraId="3CC28E81" w14:textId="77777777" w:rsidR="00F36197" w:rsidRPr="00646254" w:rsidRDefault="00F36197" w:rsidP="008265F0">
            <w:pPr>
              <w:spacing w:after="120" w:line="276"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1,8</w:t>
            </w:r>
          </w:p>
        </w:tc>
        <w:tc>
          <w:tcPr>
            <w:tcW w:w="945" w:type="dxa"/>
            <w:tcBorders>
              <w:top w:val="nil"/>
              <w:left w:val="nil"/>
              <w:bottom w:val="nil"/>
              <w:right w:val="nil"/>
            </w:tcBorders>
            <w:shd w:val="clear" w:color="auto" w:fill="auto"/>
            <w:noWrap/>
            <w:vAlign w:val="center"/>
            <w:hideMark/>
          </w:tcPr>
          <w:p w14:paraId="0EE1B007" w14:textId="77777777" w:rsidR="00F36197" w:rsidRPr="00646254" w:rsidRDefault="00F36197" w:rsidP="008265F0">
            <w:pPr>
              <w:spacing w:after="120" w:line="276"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0,6</w:t>
            </w:r>
          </w:p>
        </w:tc>
        <w:tc>
          <w:tcPr>
            <w:tcW w:w="946" w:type="dxa"/>
            <w:tcBorders>
              <w:top w:val="nil"/>
              <w:left w:val="nil"/>
              <w:bottom w:val="nil"/>
              <w:right w:val="nil"/>
            </w:tcBorders>
            <w:shd w:val="clear" w:color="auto" w:fill="auto"/>
            <w:noWrap/>
            <w:vAlign w:val="center"/>
            <w:hideMark/>
          </w:tcPr>
          <w:p w14:paraId="032AA2C3" w14:textId="77777777" w:rsidR="00F36197" w:rsidRPr="00646254" w:rsidRDefault="00F36197" w:rsidP="008265F0">
            <w:pPr>
              <w:spacing w:after="120" w:line="276"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2,4</w:t>
            </w:r>
          </w:p>
        </w:tc>
      </w:tr>
      <w:tr w:rsidR="00F36197" w:rsidRPr="00646254" w14:paraId="12600E22" w14:textId="77777777" w:rsidTr="00F75EAA">
        <w:trPr>
          <w:trHeight w:hRule="exact" w:val="227"/>
        </w:trPr>
        <w:tc>
          <w:tcPr>
            <w:tcW w:w="3683" w:type="dxa"/>
            <w:tcBorders>
              <w:top w:val="nil"/>
              <w:left w:val="nil"/>
              <w:bottom w:val="nil"/>
              <w:right w:val="nil"/>
            </w:tcBorders>
            <w:shd w:val="clear" w:color="auto" w:fill="auto"/>
            <w:noWrap/>
            <w:vAlign w:val="center"/>
            <w:hideMark/>
          </w:tcPr>
          <w:p w14:paraId="04583B29" w14:textId="77777777" w:rsidR="00F36197" w:rsidRPr="00646254" w:rsidRDefault="00F36197" w:rsidP="008265F0">
            <w:pPr>
              <w:spacing w:after="120" w:line="276" w:lineRule="auto"/>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„Железнице Србије” а.д.</w:t>
            </w:r>
          </w:p>
        </w:tc>
        <w:tc>
          <w:tcPr>
            <w:tcW w:w="945" w:type="dxa"/>
            <w:tcBorders>
              <w:top w:val="nil"/>
              <w:left w:val="nil"/>
              <w:bottom w:val="nil"/>
              <w:right w:val="nil"/>
            </w:tcBorders>
            <w:shd w:val="clear" w:color="auto" w:fill="auto"/>
            <w:noWrap/>
            <w:vAlign w:val="center"/>
            <w:hideMark/>
          </w:tcPr>
          <w:p w14:paraId="47E236D0" w14:textId="77777777" w:rsidR="00F36197" w:rsidRPr="00646254" w:rsidRDefault="00F36197" w:rsidP="008265F0">
            <w:pPr>
              <w:spacing w:after="120" w:line="276"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4,2</w:t>
            </w:r>
          </w:p>
        </w:tc>
        <w:tc>
          <w:tcPr>
            <w:tcW w:w="946" w:type="dxa"/>
            <w:tcBorders>
              <w:top w:val="nil"/>
              <w:left w:val="nil"/>
              <w:bottom w:val="nil"/>
              <w:right w:val="nil"/>
            </w:tcBorders>
            <w:shd w:val="clear" w:color="auto" w:fill="auto"/>
            <w:noWrap/>
            <w:vAlign w:val="center"/>
            <w:hideMark/>
          </w:tcPr>
          <w:p w14:paraId="4C5D95C4" w14:textId="77777777" w:rsidR="00F36197" w:rsidRPr="00646254" w:rsidRDefault="00F36197" w:rsidP="008265F0">
            <w:pPr>
              <w:spacing w:after="120" w:line="276"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0,5</w:t>
            </w:r>
          </w:p>
        </w:tc>
        <w:tc>
          <w:tcPr>
            <w:tcW w:w="945" w:type="dxa"/>
            <w:tcBorders>
              <w:top w:val="nil"/>
              <w:left w:val="nil"/>
              <w:bottom w:val="nil"/>
              <w:right w:val="nil"/>
            </w:tcBorders>
            <w:shd w:val="clear" w:color="auto" w:fill="auto"/>
            <w:noWrap/>
            <w:vAlign w:val="center"/>
            <w:hideMark/>
          </w:tcPr>
          <w:p w14:paraId="3D474FA1" w14:textId="77777777" w:rsidR="00F36197" w:rsidRPr="00646254" w:rsidRDefault="00F36197" w:rsidP="008265F0">
            <w:pPr>
              <w:spacing w:after="120" w:line="276"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4,6</w:t>
            </w:r>
          </w:p>
        </w:tc>
        <w:tc>
          <w:tcPr>
            <w:tcW w:w="946" w:type="dxa"/>
            <w:tcBorders>
              <w:top w:val="nil"/>
              <w:left w:val="nil"/>
              <w:bottom w:val="nil"/>
              <w:right w:val="nil"/>
            </w:tcBorders>
            <w:shd w:val="clear" w:color="auto" w:fill="auto"/>
            <w:noWrap/>
            <w:vAlign w:val="center"/>
            <w:hideMark/>
          </w:tcPr>
          <w:p w14:paraId="73C69BA4" w14:textId="77777777" w:rsidR="00F36197" w:rsidRPr="00646254" w:rsidRDefault="00F36197" w:rsidP="008265F0">
            <w:pPr>
              <w:spacing w:after="120" w:line="276"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1,6</w:t>
            </w:r>
          </w:p>
        </w:tc>
        <w:tc>
          <w:tcPr>
            <w:tcW w:w="945" w:type="dxa"/>
            <w:tcBorders>
              <w:top w:val="nil"/>
              <w:left w:val="nil"/>
              <w:bottom w:val="nil"/>
              <w:right w:val="nil"/>
            </w:tcBorders>
            <w:shd w:val="clear" w:color="auto" w:fill="auto"/>
            <w:noWrap/>
            <w:vAlign w:val="center"/>
            <w:hideMark/>
          </w:tcPr>
          <w:p w14:paraId="254DDFB6" w14:textId="77777777" w:rsidR="00F36197" w:rsidRPr="00646254" w:rsidRDefault="00F36197" w:rsidP="008265F0">
            <w:pPr>
              <w:spacing w:after="120" w:line="276"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0,2</w:t>
            </w:r>
          </w:p>
        </w:tc>
        <w:tc>
          <w:tcPr>
            <w:tcW w:w="946" w:type="dxa"/>
            <w:tcBorders>
              <w:top w:val="nil"/>
              <w:left w:val="nil"/>
              <w:bottom w:val="nil"/>
              <w:right w:val="nil"/>
            </w:tcBorders>
            <w:shd w:val="clear" w:color="auto" w:fill="auto"/>
            <w:noWrap/>
            <w:vAlign w:val="center"/>
            <w:hideMark/>
          </w:tcPr>
          <w:p w14:paraId="378C09C8" w14:textId="77777777" w:rsidR="00F36197" w:rsidRPr="00646254" w:rsidRDefault="00F36197" w:rsidP="008265F0">
            <w:pPr>
              <w:spacing w:after="120" w:line="276"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1,8</w:t>
            </w:r>
          </w:p>
        </w:tc>
      </w:tr>
      <w:tr w:rsidR="00F36197" w:rsidRPr="00646254" w14:paraId="3DB01EF9" w14:textId="77777777" w:rsidTr="00F75EAA">
        <w:trPr>
          <w:trHeight w:hRule="exact" w:val="227"/>
        </w:trPr>
        <w:tc>
          <w:tcPr>
            <w:tcW w:w="3683" w:type="dxa"/>
            <w:tcBorders>
              <w:top w:val="nil"/>
              <w:left w:val="nil"/>
              <w:bottom w:val="nil"/>
              <w:right w:val="nil"/>
            </w:tcBorders>
            <w:shd w:val="clear" w:color="auto" w:fill="auto"/>
            <w:noWrap/>
            <w:vAlign w:val="center"/>
            <w:hideMark/>
          </w:tcPr>
          <w:p w14:paraId="0A0AE4FA" w14:textId="77777777" w:rsidR="00F36197" w:rsidRPr="00646254" w:rsidRDefault="00F36197" w:rsidP="008265F0">
            <w:pPr>
              <w:spacing w:after="120" w:line="276" w:lineRule="auto"/>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„Галеника” а.д.</w:t>
            </w:r>
          </w:p>
        </w:tc>
        <w:tc>
          <w:tcPr>
            <w:tcW w:w="945" w:type="dxa"/>
            <w:tcBorders>
              <w:top w:val="nil"/>
              <w:left w:val="nil"/>
              <w:bottom w:val="nil"/>
              <w:right w:val="nil"/>
            </w:tcBorders>
            <w:shd w:val="clear" w:color="auto" w:fill="auto"/>
            <w:noWrap/>
            <w:vAlign w:val="center"/>
            <w:hideMark/>
          </w:tcPr>
          <w:p w14:paraId="5EFF0E41" w14:textId="77777777" w:rsidR="00F36197" w:rsidRPr="00646254" w:rsidRDefault="00F36197" w:rsidP="008265F0">
            <w:pPr>
              <w:spacing w:after="120" w:line="276"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w:t>
            </w:r>
          </w:p>
        </w:tc>
        <w:tc>
          <w:tcPr>
            <w:tcW w:w="946" w:type="dxa"/>
            <w:tcBorders>
              <w:top w:val="nil"/>
              <w:left w:val="nil"/>
              <w:bottom w:val="nil"/>
              <w:right w:val="nil"/>
            </w:tcBorders>
            <w:shd w:val="clear" w:color="auto" w:fill="auto"/>
            <w:noWrap/>
            <w:vAlign w:val="center"/>
            <w:hideMark/>
          </w:tcPr>
          <w:p w14:paraId="79D2BFBB" w14:textId="77777777" w:rsidR="00F36197" w:rsidRPr="00646254" w:rsidRDefault="00F36197" w:rsidP="008265F0">
            <w:pPr>
              <w:spacing w:after="120" w:line="276"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0,0</w:t>
            </w:r>
          </w:p>
        </w:tc>
        <w:tc>
          <w:tcPr>
            <w:tcW w:w="945" w:type="dxa"/>
            <w:tcBorders>
              <w:top w:val="nil"/>
              <w:left w:val="nil"/>
              <w:bottom w:val="nil"/>
              <w:right w:val="nil"/>
            </w:tcBorders>
            <w:shd w:val="clear" w:color="auto" w:fill="auto"/>
            <w:noWrap/>
            <w:vAlign w:val="center"/>
            <w:hideMark/>
          </w:tcPr>
          <w:p w14:paraId="25126D42" w14:textId="77777777" w:rsidR="00F36197" w:rsidRPr="00646254" w:rsidRDefault="00F36197" w:rsidP="008265F0">
            <w:pPr>
              <w:spacing w:after="120" w:line="276"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0,0</w:t>
            </w:r>
          </w:p>
        </w:tc>
        <w:tc>
          <w:tcPr>
            <w:tcW w:w="946" w:type="dxa"/>
            <w:tcBorders>
              <w:top w:val="nil"/>
              <w:left w:val="nil"/>
              <w:bottom w:val="nil"/>
              <w:right w:val="nil"/>
            </w:tcBorders>
            <w:shd w:val="clear" w:color="auto" w:fill="auto"/>
            <w:noWrap/>
            <w:vAlign w:val="center"/>
            <w:hideMark/>
          </w:tcPr>
          <w:p w14:paraId="4EF64E6C" w14:textId="77777777" w:rsidR="00F36197" w:rsidRPr="00646254" w:rsidRDefault="00F36197" w:rsidP="008265F0">
            <w:pPr>
              <w:spacing w:after="120" w:line="276"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w:t>
            </w:r>
          </w:p>
        </w:tc>
        <w:tc>
          <w:tcPr>
            <w:tcW w:w="945" w:type="dxa"/>
            <w:tcBorders>
              <w:top w:val="nil"/>
              <w:left w:val="nil"/>
              <w:bottom w:val="nil"/>
              <w:right w:val="nil"/>
            </w:tcBorders>
            <w:shd w:val="clear" w:color="auto" w:fill="auto"/>
            <w:noWrap/>
            <w:vAlign w:val="center"/>
            <w:hideMark/>
          </w:tcPr>
          <w:p w14:paraId="5A2B7015" w14:textId="77777777" w:rsidR="00F36197" w:rsidRPr="00646254" w:rsidRDefault="00F36197" w:rsidP="008265F0">
            <w:pPr>
              <w:spacing w:after="120" w:line="276"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w:t>
            </w:r>
          </w:p>
        </w:tc>
        <w:tc>
          <w:tcPr>
            <w:tcW w:w="946" w:type="dxa"/>
            <w:tcBorders>
              <w:top w:val="nil"/>
              <w:left w:val="nil"/>
              <w:bottom w:val="nil"/>
              <w:right w:val="nil"/>
            </w:tcBorders>
            <w:shd w:val="clear" w:color="auto" w:fill="auto"/>
            <w:noWrap/>
            <w:vAlign w:val="center"/>
            <w:hideMark/>
          </w:tcPr>
          <w:p w14:paraId="4F77B037" w14:textId="77777777" w:rsidR="00F36197" w:rsidRPr="00646254" w:rsidRDefault="00F36197" w:rsidP="008265F0">
            <w:pPr>
              <w:spacing w:after="120" w:line="276"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w:t>
            </w:r>
          </w:p>
        </w:tc>
      </w:tr>
      <w:tr w:rsidR="00F36197" w:rsidRPr="00646254" w14:paraId="4E7C3F06" w14:textId="77777777" w:rsidTr="00F75EAA">
        <w:trPr>
          <w:trHeight w:hRule="exact" w:val="227"/>
        </w:trPr>
        <w:tc>
          <w:tcPr>
            <w:tcW w:w="3683" w:type="dxa"/>
            <w:tcBorders>
              <w:top w:val="nil"/>
              <w:left w:val="nil"/>
              <w:bottom w:val="nil"/>
              <w:right w:val="nil"/>
            </w:tcBorders>
            <w:shd w:val="clear" w:color="auto" w:fill="auto"/>
            <w:noWrap/>
            <w:vAlign w:val="center"/>
          </w:tcPr>
          <w:p w14:paraId="28A10D00" w14:textId="77777777" w:rsidR="00F36197" w:rsidRPr="00646254" w:rsidRDefault="00F36197" w:rsidP="008265F0">
            <w:pPr>
              <w:spacing w:after="120" w:line="276" w:lineRule="auto"/>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ЈП Емисиона техника и везе</w:t>
            </w:r>
          </w:p>
        </w:tc>
        <w:tc>
          <w:tcPr>
            <w:tcW w:w="945" w:type="dxa"/>
            <w:tcBorders>
              <w:top w:val="nil"/>
              <w:left w:val="nil"/>
              <w:bottom w:val="nil"/>
              <w:right w:val="nil"/>
            </w:tcBorders>
            <w:shd w:val="clear" w:color="auto" w:fill="auto"/>
            <w:noWrap/>
            <w:vAlign w:val="center"/>
          </w:tcPr>
          <w:p w14:paraId="457C8AF9" w14:textId="77777777" w:rsidR="00F36197" w:rsidRPr="00646254" w:rsidRDefault="00F36197" w:rsidP="008265F0">
            <w:pPr>
              <w:spacing w:after="120" w:line="276"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0,3</w:t>
            </w:r>
          </w:p>
        </w:tc>
        <w:tc>
          <w:tcPr>
            <w:tcW w:w="946" w:type="dxa"/>
            <w:tcBorders>
              <w:top w:val="nil"/>
              <w:left w:val="nil"/>
              <w:bottom w:val="nil"/>
              <w:right w:val="nil"/>
            </w:tcBorders>
            <w:shd w:val="clear" w:color="auto" w:fill="auto"/>
            <w:noWrap/>
            <w:vAlign w:val="center"/>
          </w:tcPr>
          <w:p w14:paraId="55EC415B" w14:textId="77777777" w:rsidR="00F36197" w:rsidRPr="00646254" w:rsidRDefault="00F36197" w:rsidP="008265F0">
            <w:pPr>
              <w:spacing w:after="120" w:line="276"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0,0</w:t>
            </w:r>
          </w:p>
        </w:tc>
        <w:tc>
          <w:tcPr>
            <w:tcW w:w="945" w:type="dxa"/>
            <w:tcBorders>
              <w:top w:val="nil"/>
              <w:left w:val="nil"/>
              <w:bottom w:val="nil"/>
              <w:right w:val="nil"/>
            </w:tcBorders>
            <w:shd w:val="clear" w:color="auto" w:fill="auto"/>
            <w:noWrap/>
            <w:vAlign w:val="center"/>
          </w:tcPr>
          <w:p w14:paraId="63942429" w14:textId="77777777" w:rsidR="00F36197" w:rsidRPr="00646254" w:rsidRDefault="00F36197" w:rsidP="008265F0">
            <w:pPr>
              <w:spacing w:after="120" w:line="276"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0,3</w:t>
            </w:r>
          </w:p>
        </w:tc>
        <w:tc>
          <w:tcPr>
            <w:tcW w:w="946" w:type="dxa"/>
            <w:tcBorders>
              <w:top w:val="nil"/>
              <w:left w:val="nil"/>
              <w:bottom w:val="nil"/>
              <w:right w:val="nil"/>
            </w:tcBorders>
            <w:shd w:val="clear" w:color="auto" w:fill="auto"/>
            <w:noWrap/>
            <w:vAlign w:val="center"/>
          </w:tcPr>
          <w:p w14:paraId="453C2C82" w14:textId="77777777" w:rsidR="00F36197" w:rsidRPr="00646254" w:rsidRDefault="00F36197" w:rsidP="008265F0">
            <w:pPr>
              <w:spacing w:after="120" w:line="276"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0,1</w:t>
            </w:r>
          </w:p>
        </w:tc>
        <w:tc>
          <w:tcPr>
            <w:tcW w:w="945" w:type="dxa"/>
            <w:tcBorders>
              <w:top w:val="nil"/>
              <w:left w:val="nil"/>
              <w:bottom w:val="nil"/>
              <w:right w:val="nil"/>
            </w:tcBorders>
            <w:shd w:val="clear" w:color="auto" w:fill="auto"/>
            <w:noWrap/>
            <w:vAlign w:val="center"/>
          </w:tcPr>
          <w:p w14:paraId="30845B7B" w14:textId="77777777" w:rsidR="00F36197" w:rsidRPr="00646254" w:rsidRDefault="00F36197" w:rsidP="008265F0">
            <w:pPr>
              <w:spacing w:after="120" w:line="276"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0,0</w:t>
            </w:r>
          </w:p>
        </w:tc>
        <w:tc>
          <w:tcPr>
            <w:tcW w:w="946" w:type="dxa"/>
            <w:tcBorders>
              <w:top w:val="nil"/>
              <w:left w:val="nil"/>
              <w:bottom w:val="nil"/>
              <w:right w:val="nil"/>
            </w:tcBorders>
            <w:shd w:val="clear" w:color="auto" w:fill="auto"/>
            <w:noWrap/>
            <w:vAlign w:val="center"/>
          </w:tcPr>
          <w:p w14:paraId="60B658DF" w14:textId="77777777" w:rsidR="00F36197" w:rsidRPr="00646254" w:rsidRDefault="00F36197" w:rsidP="008265F0">
            <w:pPr>
              <w:spacing w:after="120" w:line="276"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0,1</w:t>
            </w:r>
          </w:p>
        </w:tc>
      </w:tr>
      <w:tr w:rsidR="00F36197" w:rsidRPr="00646254" w14:paraId="6DD501A9" w14:textId="77777777" w:rsidTr="00F75EAA">
        <w:trPr>
          <w:trHeight w:hRule="exact" w:val="227"/>
        </w:trPr>
        <w:tc>
          <w:tcPr>
            <w:tcW w:w="3683" w:type="dxa"/>
            <w:tcBorders>
              <w:top w:val="nil"/>
              <w:left w:val="nil"/>
              <w:bottom w:val="nil"/>
              <w:right w:val="nil"/>
            </w:tcBorders>
            <w:shd w:val="clear" w:color="auto" w:fill="auto"/>
            <w:noWrap/>
            <w:vAlign w:val="center"/>
          </w:tcPr>
          <w:p w14:paraId="0F8AA51F" w14:textId="77777777" w:rsidR="00F36197" w:rsidRPr="00646254" w:rsidRDefault="00F36197" w:rsidP="008265F0">
            <w:pPr>
              <w:spacing w:after="120" w:line="276" w:lineRule="auto"/>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„Инфраструктура железнице Србије” а.д.</w:t>
            </w:r>
          </w:p>
        </w:tc>
        <w:tc>
          <w:tcPr>
            <w:tcW w:w="945" w:type="dxa"/>
            <w:tcBorders>
              <w:top w:val="nil"/>
              <w:left w:val="nil"/>
              <w:bottom w:val="nil"/>
              <w:right w:val="nil"/>
            </w:tcBorders>
            <w:shd w:val="clear" w:color="auto" w:fill="auto"/>
            <w:noWrap/>
            <w:vAlign w:val="center"/>
          </w:tcPr>
          <w:p w14:paraId="54ED44DE" w14:textId="77777777" w:rsidR="00F36197" w:rsidRPr="00646254" w:rsidRDefault="00F36197" w:rsidP="008265F0">
            <w:pPr>
              <w:spacing w:after="120" w:line="276"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1,2</w:t>
            </w:r>
          </w:p>
        </w:tc>
        <w:tc>
          <w:tcPr>
            <w:tcW w:w="946" w:type="dxa"/>
            <w:tcBorders>
              <w:top w:val="nil"/>
              <w:left w:val="nil"/>
              <w:bottom w:val="nil"/>
              <w:right w:val="nil"/>
            </w:tcBorders>
            <w:shd w:val="clear" w:color="auto" w:fill="auto"/>
            <w:noWrap/>
            <w:vAlign w:val="center"/>
          </w:tcPr>
          <w:p w14:paraId="2D77D1BD" w14:textId="77777777" w:rsidR="00F36197" w:rsidRPr="00646254" w:rsidRDefault="00F36197" w:rsidP="008265F0">
            <w:pPr>
              <w:spacing w:after="120" w:line="276"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0,0</w:t>
            </w:r>
          </w:p>
        </w:tc>
        <w:tc>
          <w:tcPr>
            <w:tcW w:w="945" w:type="dxa"/>
            <w:tcBorders>
              <w:top w:val="nil"/>
              <w:left w:val="nil"/>
              <w:bottom w:val="nil"/>
              <w:right w:val="nil"/>
            </w:tcBorders>
            <w:shd w:val="clear" w:color="auto" w:fill="auto"/>
            <w:noWrap/>
            <w:vAlign w:val="center"/>
          </w:tcPr>
          <w:p w14:paraId="68B61860" w14:textId="77777777" w:rsidR="00F36197" w:rsidRPr="00646254" w:rsidRDefault="00F36197" w:rsidP="008265F0">
            <w:pPr>
              <w:spacing w:after="120" w:line="276"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1,2</w:t>
            </w:r>
          </w:p>
        </w:tc>
        <w:tc>
          <w:tcPr>
            <w:tcW w:w="946" w:type="dxa"/>
            <w:tcBorders>
              <w:top w:val="nil"/>
              <w:left w:val="nil"/>
              <w:bottom w:val="nil"/>
              <w:right w:val="nil"/>
            </w:tcBorders>
            <w:shd w:val="clear" w:color="auto" w:fill="auto"/>
            <w:noWrap/>
            <w:vAlign w:val="center"/>
          </w:tcPr>
          <w:p w14:paraId="2CD1F71D" w14:textId="77777777" w:rsidR="00F36197" w:rsidRPr="00646254" w:rsidRDefault="00F36197" w:rsidP="008265F0">
            <w:pPr>
              <w:spacing w:after="120" w:line="276"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0,7</w:t>
            </w:r>
          </w:p>
        </w:tc>
        <w:tc>
          <w:tcPr>
            <w:tcW w:w="945" w:type="dxa"/>
            <w:tcBorders>
              <w:top w:val="nil"/>
              <w:left w:val="nil"/>
              <w:bottom w:val="nil"/>
              <w:right w:val="nil"/>
            </w:tcBorders>
            <w:shd w:val="clear" w:color="auto" w:fill="auto"/>
            <w:noWrap/>
            <w:vAlign w:val="center"/>
          </w:tcPr>
          <w:p w14:paraId="0E01DE04" w14:textId="77777777" w:rsidR="00F36197" w:rsidRPr="00646254" w:rsidRDefault="00F36197" w:rsidP="008265F0">
            <w:pPr>
              <w:spacing w:after="120" w:line="276"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0,0</w:t>
            </w:r>
          </w:p>
        </w:tc>
        <w:tc>
          <w:tcPr>
            <w:tcW w:w="946" w:type="dxa"/>
            <w:tcBorders>
              <w:top w:val="nil"/>
              <w:left w:val="nil"/>
              <w:bottom w:val="nil"/>
              <w:right w:val="nil"/>
            </w:tcBorders>
            <w:shd w:val="clear" w:color="auto" w:fill="auto"/>
            <w:noWrap/>
            <w:vAlign w:val="center"/>
          </w:tcPr>
          <w:p w14:paraId="78AF080E" w14:textId="77777777" w:rsidR="00F36197" w:rsidRPr="00646254" w:rsidRDefault="00F36197" w:rsidP="008265F0">
            <w:pPr>
              <w:spacing w:after="120" w:line="276"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0,7</w:t>
            </w:r>
          </w:p>
        </w:tc>
      </w:tr>
      <w:tr w:rsidR="00F36197" w:rsidRPr="00646254" w14:paraId="1B029150" w14:textId="77777777" w:rsidTr="00F75EAA">
        <w:trPr>
          <w:trHeight w:hRule="exact" w:val="227"/>
        </w:trPr>
        <w:tc>
          <w:tcPr>
            <w:tcW w:w="3683" w:type="dxa"/>
            <w:tcBorders>
              <w:top w:val="nil"/>
              <w:left w:val="nil"/>
              <w:bottom w:val="nil"/>
              <w:right w:val="nil"/>
            </w:tcBorders>
            <w:shd w:val="clear" w:color="auto" w:fill="auto"/>
            <w:noWrap/>
            <w:vAlign w:val="center"/>
          </w:tcPr>
          <w:p w14:paraId="1FADA4E9" w14:textId="77777777" w:rsidR="00F36197" w:rsidRPr="00646254" w:rsidRDefault="00F36197" w:rsidP="008265F0">
            <w:pPr>
              <w:spacing w:after="120" w:line="276" w:lineRule="auto"/>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„Србија Воз” а.д.</w:t>
            </w:r>
          </w:p>
        </w:tc>
        <w:tc>
          <w:tcPr>
            <w:tcW w:w="945" w:type="dxa"/>
            <w:tcBorders>
              <w:top w:val="nil"/>
              <w:left w:val="nil"/>
              <w:bottom w:val="nil"/>
              <w:right w:val="nil"/>
            </w:tcBorders>
            <w:shd w:val="clear" w:color="auto" w:fill="auto"/>
            <w:noWrap/>
            <w:vAlign w:val="center"/>
          </w:tcPr>
          <w:p w14:paraId="639C4380" w14:textId="77777777" w:rsidR="00F36197" w:rsidRPr="00646254" w:rsidRDefault="00F36197" w:rsidP="008265F0">
            <w:pPr>
              <w:spacing w:after="120" w:line="276"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0,1</w:t>
            </w:r>
          </w:p>
        </w:tc>
        <w:tc>
          <w:tcPr>
            <w:tcW w:w="946" w:type="dxa"/>
            <w:tcBorders>
              <w:top w:val="nil"/>
              <w:left w:val="nil"/>
              <w:bottom w:val="nil"/>
              <w:right w:val="nil"/>
            </w:tcBorders>
            <w:shd w:val="clear" w:color="auto" w:fill="auto"/>
            <w:noWrap/>
            <w:vAlign w:val="center"/>
          </w:tcPr>
          <w:p w14:paraId="7CD682ED" w14:textId="77777777" w:rsidR="00F36197" w:rsidRPr="00646254" w:rsidRDefault="00F36197" w:rsidP="008265F0">
            <w:pPr>
              <w:spacing w:after="120" w:line="276"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0,0</w:t>
            </w:r>
          </w:p>
        </w:tc>
        <w:tc>
          <w:tcPr>
            <w:tcW w:w="945" w:type="dxa"/>
            <w:tcBorders>
              <w:top w:val="nil"/>
              <w:left w:val="nil"/>
              <w:bottom w:val="nil"/>
              <w:right w:val="nil"/>
            </w:tcBorders>
            <w:shd w:val="clear" w:color="auto" w:fill="auto"/>
            <w:noWrap/>
            <w:vAlign w:val="center"/>
          </w:tcPr>
          <w:p w14:paraId="4C69C0D9" w14:textId="77777777" w:rsidR="00F36197" w:rsidRPr="00646254" w:rsidRDefault="00F36197" w:rsidP="008265F0">
            <w:pPr>
              <w:spacing w:after="120" w:line="276"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0,1</w:t>
            </w:r>
          </w:p>
        </w:tc>
        <w:tc>
          <w:tcPr>
            <w:tcW w:w="946" w:type="dxa"/>
            <w:tcBorders>
              <w:top w:val="nil"/>
              <w:left w:val="nil"/>
              <w:bottom w:val="nil"/>
              <w:right w:val="nil"/>
            </w:tcBorders>
            <w:shd w:val="clear" w:color="auto" w:fill="auto"/>
            <w:noWrap/>
            <w:vAlign w:val="center"/>
          </w:tcPr>
          <w:p w14:paraId="10181D53" w14:textId="77777777" w:rsidR="00F36197" w:rsidRPr="00646254" w:rsidRDefault="00F36197" w:rsidP="008265F0">
            <w:pPr>
              <w:spacing w:after="120" w:line="276"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0,1</w:t>
            </w:r>
          </w:p>
        </w:tc>
        <w:tc>
          <w:tcPr>
            <w:tcW w:w="945" w:type="dxa"/>
            <w:tcBorders>
              <w:top w:val="nil"/>
              <w:left w:val="nil"/>
              <w:bottom w:val="nil"/>
              <w:right w:val="nil"/>
            </w:tcBorders>
            <w:shd w:val="clear" w:color="auto" w:fill="auto"/>
            <w:noWrap/>
            <w:vAlign w:val="center"/>
          </w:tcPr>
          <w:p w14:paraId="0829C07D" w14:textId="77777777" w:rsidR="00F36197" w:rsidRPr="00646254" w:rsidRDefault="00F36197" w:rsidP="008265F0">
            <w:pPr>
              <w:spacing w:after="120" w:line="276"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0,0</w:t>
            </w:r>
          </w:p>
        </w:tc>
        <w:tc>
          <w:tcPr>
            <w:tcW w:w="946" w:type="dxa"/>
            <w:tcBorders>
              <w:top w:val="nil"/>
              <w:left w:val="nil"/>
              <w:bottom w:val="nil"/>
              <w:right w:val="nil"/>
            </w:tcBorders>
            <w:shd w:val="clear" w:color="auto" w:fill="auto"/>
            <w:noWrap/>
            <w:vAlign w:val="center"/>
          </w:tcPr>
          <w:p w14:paraId="44CA2BE4" w14:textId="77777777" w:rsidR="00F36197" w:rsidRPr="00646254" w:rsidRDefault="00F36197" w:rsidP="008265F0">
            <w:pPr>
              <w:spacing w:after="120" w:line="276"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0,2</w:t>
            </w:r>
          </w:p>
        </w:tc>
      </w:tr>
      <w:tr w:rsidR="00F36197" w:rsidRPr="00646254" w14:paraId="6F570E92" w14:textId="77777777" w:rsidTr="00F75EAA">
        <w:trPr>
          <w:trHeight w:hRule="exact" w:val="227"/>
        </w:trPr>
        <w:tc>
          <w:tcPr>
            <w:tcW w:w="3683" w:type="dxa"/>
            <w:tcBorders>
              <w:top w:val="nil"/>
              <w:left w:val="nil"/>
              <w:bottom w:val="nil"/>
              <w:right w:val="nil"/>
            </w:tcBorders>
            <w:shd w:val="clear" w:color="auto" w:fill="auto"/>
            <w:noWrap/>
            <w:vAlign w:val="center"/>
          </w:tcPr>
          <w:p w14:paraId="4C8D687A" w14:textId="77777777" w:rsidR="00F36197" w:rsidRPr="00646254" w:rsidRDefault="00F36197" w:rsidP="008265F0">
            <w:pPr>
              <w:spacing w:after="120" w:line="276" w:lineRule="auto"/>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„Србија Карго” а.д.</w:t>
            </w:r>
          </w:p>
        </w:tc>
        <w:tc>
          <w:tcPr>
            <w:tcW w:w="945" w:type="dxa"/>
            <w:tcBorders>
              <w:top w:val="nil"/>
              <w:left w:val="nil"/>
              <w:bottom w:val="nil"/>
              <w:right w:val="nil"/>
            </w:tcBorders>
            <w:shd w:val="clear" w:color="auto" w:fill="auto"/>
            <w:noWrap/>
            <w:vAlign w:val="center"/>
          </w:tcPr>
          <w:p w14:paraId="67EDF5EC" w14:textId="77777777" w:rsidR="00F36197" w:rsidRPr="00646254" w:rsidRDefault="00F36197" w:rsidP="008265F0">
            <w:pPr>
              <w:spacing w:after="120" w:line="276"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1,2</w:t>
            </w:r>
          </w:p>
        </w:tc>
        <w:tc>
          <w:tcPr>
            <w:tcW w:w="946" w:type="dxa"/>
            <w:tcBorders>
              <w:top w:val="nil"/>
              <w:left w:val="nil"/>
              <w:bottom w:val="nil"/>
              <w:right w:val="nil"/>
            </w:tcBorders>
            <w:shd w:val="clear" w:color="auto" w:fill="auto"/>
            <w:noWrap/>
            <w:vAlign w:val="center"/>
          </w:tcPr>
          <w:p w14:paraId="2F004443" w14:textId="77777777" w:rsidR="00F36197" w:rsidRPr="00646254" w:rsidRDefault="00F36197" w:rsidP="008265F0">
            <w:pPr>
              <w:spacing w:after="120" w:line="276"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0,0</w:t>
            </w:r>
          </w:p>
        </w:tc>
        <w:tc>
          <w:tcPr>
            <w:tcW w:w="945" w:type="dxa"/>
            <w:tcBorders>
              <w:top w:val="nil"/>
              <w:left w:val="nil"/>
              <w:bottom w:val="nil"/>
              <w:right w:val="nil"/>
            </w:tcBorders>
            <w:shd w:val="clear" w:color="auto" w:fill="auto"/>
            <w:noWrap/>
            <w:vAlign w:val="center"/>
          </w:tcPr>
          <w:p w14:paraId="38479CE6" w14:textId="77777777" w:rsidR="00F36197" w:rsidRPr="00646254" w:rsidRDefault="00F36197" w:rsidP="008265F0">
            <w:pPr>
              <w:spacing w:after="120" w:line="276"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1,2</w:t>
            </w:r>
          </w:p>
        </w:tc>
        <w:tc>
          <w:tcPr>
            <w:tcW w:w="946" w:type="dxa"/>
            <w:tcBorders>
              <w:top w:val="nil"/>
              <w:left w:val="nil"/>
              <w:bottom w:val="nil"/>
              <w:right w:val="nil"/>
            </w:tcBorders>
            <w:shd w:val="clear" w:color="auto" w:fill="auto"/>
            <w:noWrap/>
            <w:vAlign w:val="center"/>
          </w:tcPr>
          <w:p w14:paraId="2E5B063D" w14:textId="77777777" w:rsidR="00F36197" w:rsidRPr="00646254" w:rsidRDefault="00F36197" w:rsidP="008265F0">
            <w:pPr>
              <w:spacing w:after="120" w:line="276"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0,6</w:t>
            </w:r>
          </w:p>
        </w:tc>
        <w:tc>
          <w:tcPr>
            <w:tcW w:w="945" w:type="dxa"/>
            <w:tcBorders>
              <w:top w:val="nil"/>
              <w:left w:val="nil"/>
              <w:bottom w:val="nil"/>
              <w:right w:val="nil"/>
            </w:tcBorders>
            <w:shd w:val="clear" w:color="auto" w:fill="auto"/>
            <w:noWrap/>
            <w:vAlign w:val="center"/>
          </w:tcPr>
          <w:p w14:paraId="750B0E1A" w14:textId="77777777" w:rsidR="00F36197" w:rsidRPr="00646254" w:rsidRDefault="00F36197" w:rsidP="008265F0">
            <w:pPr>
              <w:spacing w:after="120" w:line="276"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0,0</w:t>
            </w:r>
          </w:p>
        </w:tc>
        <w:tc>
          <w:tcPr>
            <w:tcW w:w="946" w:type="dxa"/>
            <w:tcBorders>
              <w:top w:val="nil"/>
              <w:left w:val="nil"/>
              <w:bottom w:val="nil"/>
              <w:right w:val="nil"/>
            </w:tcBorders>
            <w:shd w:val="clear" w:color="auto" w:fill="auto"/>
            <w:noWrap/>
            <w:vAlign w:val="center"/>
          </w:tcPr>
          <w:p w14:paraId="4428E146" w14:textId="77777777" w:rsidR="00F36197" w:rsidRPr="00646254" w:rsidRDefault="00F36197" w:rsidP="008265F0">
            <w:pPr>
              <w:spacing w:after="120" w:line="276"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0,6</w:t>
            </w:r>
          </w:p>
        </w:tc>
      </w:tr>
      <w:tr w:rsidR="00F36197" w:rsidRPr="00646254" w14:paraId="7619C4A7" w14:textId="77777777" w:rsidTr="00F75EAA">
        <w:trPr>
          <w:trHeight w:hRule="exact" w:val="227"/>
        </w:trPr>
        <w:tc>
          <w:tcPr>
            <w:tcW w:w="3683" w:type="dxa"/>
            <w:tcBorders>
              <w:top w:val="nil"/>
              <w:left w:val="nil"/>
              <w:bottom w:val="nil"/>
              <w:right w:val="nil"/>
            </w:tcBorders>
            <w:shd w:val="clear" w:color="auto" w:fill="auto"/>
            <w:noWrap/>
            <w:vAlign w:val="center"/>
          </w:tcPr>
          <w:p w14:paraId="79D6F690" w14:textId="77777777" w:rsidR="00F36197" w:rsidRPr="00646254" w:rsidRDefault="00F36197" w:rsidP="008265F0">
            <w:pPr>
              <w:spacing w:after="120" w:line="276" w:lineRule="auto"/>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ЈП „Скијалишта Србије”</w:t>
            </w:r>
          </w:p>
        </w:tc>
        <w:tc>
          <w:tcPr>
            <w:tcW w:w="945" w:type="dxa"/>
            <w:tcBorders>
              <w:top w:val="nil"/>
              <w:left w:val="nil"/>
              <w:bottom w:val="nil"/>
              <w:right w:val="nil"/>
            </w:tcBorders>
            <w:shd w:val="clear" w:color="auto" w:fill="auto"/>
            <w:noWrap/>
            <w:vAlign w:val="center"/>
          </w:tcPr>
          <w:p w14:paraId="46BDF882" w14:textId="77777777" w:rsidR="00F36197" w:rsidRPr="00646254" w:rsidRDefault="00F36197" w:rsidP="008265F0">
            <w:pPr>
              <w:spacing w:after="120" w:line="276"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w:t>
            </w:r>
          </w:p>
        </w:tc>
        <w:tc>
          <w:tcPr>
            <w:tcW w:w="946" w:type="dxa"/>
            <w:tcBorders>
              <w:top w:val="nil"/>
              <w:left w:val="nil"/>
              <w:bottom w:val="nil"/>
              <w:right w:val="nil"/>
            </w:tcBorders>
            <w:shd w:val="clear" w:color="auto" w:fill="auto"/>
            <w:noWrap/>
            <w:vAlign w:val="center"/>
          </w:tcPr>
          <w:p w14:paraId="00F3795C" w14:textId="77777777" w:rsidR="00F36197" w:rsidRPr="00646254" w:rsidRDefault="00F36197" w:rsidP="008265F0">
            <w:pPr>
              <w:spacing w:after="120" w:line="276"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w:t>
            </w:r>
          </w:p>
        </w:tc>
        <w:tc>
          <w:tcPr>
            <w:tcW w:w="945" w:type="dxa"/>
            <w:tcBorders>
              <w:top w:val="nil"/>
              <w:left w:val="nil"/>
              <w:bottom w:val="nil"/>
              <w:right w:val="nil"/>
            </w:tcBorders>
            <w:shd w:val="clear" w:color="auto" w:fill="auto"/>
            <w:noWrap/>
            <w:vAlign w:val="center"/>
          </w:tcPr>
          <w:p w14:paraId="178361A4" w14:textId="77777777" w:rsidR="00F36197" w:rsidRPr="00646254" w:rsidRDefault="00F36197" w:rsidP="008265F0">
            <w:pPr>
              <w:spacing w:after="120" w:line="276"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w:t>
            </w:r>
          </w:p>
        </w:tc>
        <w:tc>
          <w:tcPr>
            <w:tcW w:w="946" w:type="dxa"/>
            <w:tcBorders>
              <w:top w:val="nil"/>
              <w:left w:val="nil"/>
              <w:bottom w:val="nil"/>
              <w:right w:val="nil"/>
            </w:tcBorders>
            <w:shd w:val="clear" w:color="auto" w:fill="auto"/>
            <w:noWrap/>
            <w:vAlign w:val="center"/>
          </w:tcPr>
          <w:p w14:paraId="2645924B" w14:textId="77777777" w:rsidR="00F36197" w:rsidRPr="00646254" w:rsidRDefault="00F36197" w:rsidP="008265F0">
            <w:pPr>
              <w:spacing w:after="120" w:line="276"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0,0</w:t>
            </w:r>
          </w:p>
        </w:tc>
        <w:tc>
          <w:tcPr>
            <w:tcW w:w="945" w:type="dxa"/>
            <w:tcBorders>
              <w:top w:val="nil"/>
              <w:left w:val="nil"/>
              <w:bottom w:val="nil"/>
              <w:right w:val="nil"/>
            </w:tcBorders>
            <w:shd w:val="clear" w:color="auto" w:fill="auto"/>
            <w:noWrap/>
            <w:vAlign w:val="center"/>
          </w:tcPr>
          <w:p w14:paraId="560A11B0" w14:textId="77777777" w:rsidR="00F36197" w:rsidRPr="00646254" w:rsidRDefault="00F36197" w:rsidP="008265F0">
            <w:pPr>
              <w:spacing w:after="120" w:line="276"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0,0</w:t>
            </w:r>
          </w:p>
        </w:tc>
        <w:tc>
          <w:tcPr>
            <w:tcW w:w="946" w:type="dxa"/>
            <w:tcBorders>
              <w:top w:val="nil"/>
              <w:left w:val="nil"/>
              <w:bottom w:val="nil"/>
              <w:right w:val="nil"/>
            </w:tcBorders>
            <w:shd w:val="clear" w:color="auto" w:fill="auto"/>
            <w:noWrap/>
            <w:vAlign w:val="center"/>
          </w:tcPr>
          <w:p w14:paraId="5B55653D" w14:textId="77777777" w:rsidR="00F36197" w:rsidRPr="00646254" w:rsidRDefault="00F36197" w:rsidP="008265F0">
            <w:pPr>
              <w:spacing w:after="120" w:line="276"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0,0</w:t>
            </w:r>
          </w:p>
        </w:tc>
      </w:tr>
      <w:tr w:rsidR="00F36197" w:rsidRPr="00646254" w14:paraId="32CDFF4D" w14:textId="77777777" w:rsidTr="00F75EAA">
        <w:trPr>
          <w:trHeight w:hRule="exact" w:val="227"/>
        </w:trPr>
        <w:tc>
          <w:tcPr>
            <w:tcW w:w="3683" w:type="dxa"/>
            <w:tcBorders>
              <w:top w:val="nil"/>
              <w:left w:val="nil"/>
              <w:bottom w:val="single" w:sz="8" w:space="0" w:color="002060"/>
              <w:right w:val="nil"/>
            </w:tcBorders>
            <w:shd w:val="clear" w:color="auto" w:fill="auto"/>
            <w:noWrap/>
            <w:vAlign w:val="center"/>
            <w:hideMark/>
          </w:tcPr>
          <w:p w14:paraId="559A1F4C" w14:textId="77777777" w:rsidR="00F36197" w:rsidRPr="00646254" w:rsidRDefault="00F36197" w:rsidP="008265F0">
            <w:pPr>
              <w:spacing w:after="120" w:line="276" w:lineRule="auto"/>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УКУПНО</w:t>
            </w:r>
          </w:p>
        </w:tc>
        <w:tc>
          <w:tcPr>
            <w:tcW w:w="945" w:type="dxa"/>
            <w:tcBorders>
              <w:top w:val="nil"/>
              <w:left w:val="nil"/>
              <w:bottom w:val="single" w:sz="8" w:space="0" w:color="002060"/>
              <w:right w:val="nil"/>
            </w:tcBorders>
            <w:shd w:val="clear" w:color="auto" w:fill="auto"/>
            <w:noWrap/>
            <w:vAlign w:val="center"/>
            <w:hideMark/>
          </w:tcPr>
          <w:p w14:paraId="14AF7E5A" w14:textId="77777777" w:rsidR="00F36197" w:rsidRPr="00646254" w:rsidRDefault="00F36197" w:rsidP="008265F0">
            <w:pPr>
              <w:spacing w:after="120" w:line="276"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11,4</w:t>
            </w:r>
          </w:p>
        </w:tc>
        <w:tc>
          <w:tcPr>
            <w:tcW w:w="946" w:type="dxa"/>
            <w:tcBorders>
              <w:top w:val="nil"/>
              <w:left w:val="nil"/>
              <w:bottom w:val="single" w:sz="8" w:space="0" w:color="002060"/>
              <w:right w:val="nil"/>
            </w:tcBorders>
            <w:shd w:val="clear" w:color="auto" w:fill="auto"/>
            <w:noWrap/>
            <w:vAlign w:val="center"/>
            <w:hideMark/>
          </w:tcPr>
          <w:p w14:paraId="2B8F1112" w14:textId="77777777" w:rsidR="00F36197" w:rsidRPr="00646254" w:rsidRDefault="00F36197" w:rsidP="008265F0">
            <w:pPr>
              <w:spacing w:after="120" w:line="276"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1,8</w:t>
            </w:r>
          </w:p>
        </w:tc>
        <w:tc>
          <w:tcPr>
            <w:tcW w:w="945" w:type="dxa"/>
            <w:tcBorders>
              <w:top w:val="nil"/>
              <w:left w:val="nil"/>
              <w:bottom w:val="single" w:sz="8" w:space="0" w:color="002060"/>
              <w:right w:val="nil"/>
            </w:tcBorders>
            <w:shd w:val="clear" w:color="auto" w:fill="auto"/>
            <w:noWrap/>
            <w:vAlign w:val="center"/>
            <w:hideMark/>
          </w:tcPr>
          <w:p w14:paraId="2A8EB93B" w14:textId="77777777" w:rsidR="00F36197" w:rsidRPr="00646254" w:rsidRDefault="00F36197" w:rsidP="008265F0">
            <w:pPr>
              <w:spacing w:after="120" w:line="276"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13,2</w:t>
            </w:r>
          </w:p>
        </w:tc>
        <w:tc>
          <w:tcPr>
            <w:tcW w:w="946" w:type="dxa"/>
            <w:tcBorders>
              <w:top w:val="nil"/>
              <w:left w:val="nil"/>
              <w:bottom w:val="single" w:sz="8" w:space="0" w:color="002060"/>
              <w:right w:val="nil"/>
            </w:tcBorders>
            <w:shd w:val="clear" w:color="auto" w:fill="auto"/>
            <w:noWrap/>
            <w:vAlign w:val="center"/>
            <w:hideMark/>
          </w:tcPr>
          <w:p w14:paraId="4064D02B" w14:textId="77777777" w:rsidR="00F36197" w:rsidRPr="00646254" w:rsidRDefault="00F36197" w:rsidP="008265F0">
            <w:pPr>
              <w:spacing w:after="120" w:line="276"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5,3</w:t>
            </w:r>
          </w:p>
        </w:tc>
        <w:tc>
          <w:tcPr>
            <w:tcW w:w="945" w:type="dxa"/>
            <w:tcBorders>
              <w:top w:val="nil"/>
              <w:left w:val="nil"/>
              <w:bottom w:val="single" w:sz="8" w:space="0" w:color="002060"/>
              <w:right w:val="nil"/>
            </w:tcBorders>
            <w:shd w:val="clear" w:color="auto" w:fill="auto"/>
            <w:noWrap/>
            <w:vAlign w:val="center"/>
            <w:hideMark/>
          </w:tcPr>
          <w:p w14:paraId="7692E340" w14:textId="77777777" w:rsidR="00F36197" w:rsidRPr="00646254" w:rsidRDefault="00F36197" w:rsidP="008265F0">
            <w:pPr>
              <w:spacing w:after="120" w:line="276"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0,8</w:t>
            </w:r>
          </w:p>
        </w:tc>
        <w:tc>
          <w:tcPr>
            <w:tcW w:w="946" w:type="dxa"/>
            <w:tcBorders>
              <w:top w:val="nil"/>
              <w:left w:val="nil"/>
              <w:bottom w:val="single" w:sz="8" w:space="0" w:color="002060"/>
              <w:right w:val="nil"/>
            </w:tcBorders>
            <w:shd w:val="clear" w:color="auto" w:fill="auto"/>
            <w:noWrap/>
            <w:vAlign w:val="center"/>
            <w:hideMark/>
          </w:tcPr>
          <w:p w14:paraId="7C250216" w14:textId="77777777" w:rsidR="00F36197" w:rsidRPr="00646254" w:rsidRDefault="00F36197" w:rsidP="008265F0">
            <w:pPr>
              <w:spacing w:after="120" w:line="276"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6,2</w:t>
            </w:r>
          </w:p>
        </w:tc>
      </w:tr>
    </w:tbl>
    <w:p w14:paraId="23C809D0" w14:textId="77777777" w:rsidR="00F36197" w:rsidRPr="00646254" w:rsidRDefault="00F36197" w:rsidP="008265F0">
      <w:pPr>
        <w:spacing w:after="120" w:line="276" w:lineRule="auto"/>
        <w:rPr>
          <w:rFonts w:eastAsia="MS PGothic" w:cstheme="minorHAnsi"/>
          <w:sz w:val="16"/>
          <w:szCs w:val="16"/>
          <w:lang w:val="sr-Cyrl-CS" w:eastAsia="ja-JP"/>
        </w:rPr>
        <w:sectPr w:rsidR="00F36197" w:rsidRPr="00646254" w:rsidSect="009B76B2">
          <w:type w:val="continuous"/>
          <w:pgSz w:w="12240" w:h="15840" w:code="1"/>
          <w:pgMar w:top="1440" w:right="1440" w:bottom="1440" w:left="1440" w:header="720" w:footer="720" w:gutter="0"/>
          <w:cols w:space="720"/>
          <w:docGrid w:linePitch="360"/>
        </w:sectPr>
      </w:pPr>
      <w:r w:rsidRPr="00646254">
        <w:rPr>
          <w:rFonts w:eastAsia="MS PGothic" w:cstheme="minorHAnsi"/>
          <w:sz w:val="16"/>
          <w:szCs w:val="16"/>
          <w:lang w:val="sr-Cyrl-CS" w:eastAsia="ja-JP"/>
        </w:rPr>
        <w:t>Извор: Министарство финансија, Управа за јавни дуг</w:t>
      </w:r>
    </w:p>
    <w:p w14:paraId="4C2D2610" w14:textId="77777777" w:rsidR="00F36197" w:rsidRPr="00646254" w:rsidRDefault="00F36197" w:rsidP="004C346D">
      <w:pPr>
        <w:spacing w:after="120" w:line="257" w:lineRule="auto"/>
        <w:rPr>
          <w:rFonts w:eastAsia="MS PGothic" w:cstheme="minorHAnsi"/>
          <w:szCs w:val="20"/>
          <w:lang w:val="sr-Cyrl-CS" w:eastAsia="ja-JP"/>
        </w:rPr>
      </w:pPr>
      <w:r w:rsidRPr="00646254">
        <w:rPr>
          <w:rFonts w:eastAsia="MS PGothic" w:cstheme="minorHAnsi"/>
          <w:szCs w:val="20"/>
          <w:lang w:val="sr-Cyrl-CS" w:eastAsia="ja-JP"/>
        </w:rPr>
        <w:t>План отплате по основу гаранција (укупно главница и камата) у ребалансу буџета за 2021. годину износи 14,3 млрд динара, од чега се у расходе који утичу на резултат укључује 3,52 млрд динара за отплату главнице по гаранцијама.</w:t>
      </w:r>
    </w:p>
    <w:p w14:paraId="7B1A01CF" w14:textId="77777777" w:rsidR="00F36197" w:rsidRPr="00646254" w:rsidRDefault="00F36197" w:rsidP="004C346D">
      <w:pPr>
        <w:spacing w:after="120" w:line="257" w:lineRule="auto"/>
        <w:rPr>
          <w:rFonts w:eastAsia="MS PGothic" w:cstheme="minorHAnsi"/>
          <w:szCs w:val="20"/>
          <w:lang w:val="sr-Cyrl-CS" w:eastAsia="ja-JP"/>
        </w:rPr>
      </w:pPr>
      <w:r w:rsidRPr="00646254">
        <w:rPr>
          <w:rFonts w:eastAsia="MS PGothic" w:cstheme="minorHAnsi"/>
          <w:szCs w:val="20"/>
          <w:lang w:val="sr-Cyrl-CS" w:eastAsia="ja-JP"/>
        </w:rPr>
        <w:t>Индиректни дуг, те укључивање дела отплата по основу гаранција у буџетске расходе, и повећање дефицита по том основу, повећали су свест о растућим фискалним ризицима који произилазе по основу издатих гаранција. Стога су предузете активности које ограничавају издавање нових гаранција. Изменама Закона о јавном дугу забрањено је издавање нових гаранција за кредите за потребе ликвидности. Изменама Закона о Фонду за развој Републике Србије онемогућено је даље давање контрагаранција за гаранције издате од стране Фонда за развој Републике Србије.</w:t>
      </w:r>
    </w:p>
    <w:p w14:paraId="2FC465C6" w14:textId="77777777" w:rsidR="00F36197" w:rsidRPr="00646254" w:rsidRDefault="00F36197" w:rsidP="004C346D">
      <w:pPr>
        <w:spacing w:after="120" w:line="257" w:lineRule="auto"/>
        <w:rPr>
          <w:rFonts w:eastAsia="MS PGothic" w:cstheme="minorHAnsi"/>
          <w:szCs w:val="20"/>
          <w:lang w:val="sr-Cyrl-CS" w:eastAsia="ja-JP"/>
        </w:rPr>
      </w:pPr>
      <w:r w:rsidRPr="00646254">
        <w:rPr>
          <w:rFonts w:eastAsia="MS PGothic" w:cstheme="minorHAnsi"/>
          <w:szCs w:val="20"/>
          <w:lang w:val="sr-Cyrl-CS" w:eastAsia="ja-JP"/>
        </w:rPr>
        <w:t>Поред ограничења у издавању државних гаранција кључни корак у смањењу и отклањању фискалних ризика по овом основу је у реформи државних и јавних предузећа, корисника гаранција, како би били способни да отплаћују своје кредите. Већи број предузећа, која су и највећи корисници гаранција, налазе се у процесу реструктурирања, односно спровођења планова реструктурирања урађених у сарадњи са међународним финансијским институцијама.</w:t>
      </w:r>
    </w:p>
    <w:p w14:paraId="1C813546" w14:textId="77777777" w:rsidR="00F36197" w:rsidRPr="00646254" w:rsidRDefault="00F36197" w:rsidP="004C346D">
      <w:pPr>
        <w:spacing w:after="120" w:line="257" w:lineRule="auto"/>
        <w:rPr>
          <w:rFonts w:eastAsia="MS PGothic" w:cstheme="minorHAnsi"/>
          <w:szCs w:val="20"/>
          <w:lang w:val="sr-Cyrl-CS" w:eastAsia="ja-JP"/>
        </w:rPr>
      </w:pPr>
      <w:r w:rsidRPr="00646254">
        <w:rPr>
          <w:rFonts w:eastAsia="MS PGothic" w:cstheme="minorHAnsi"/>
          <w:szCs w:val="20"/>
          <w:lang w:val="sr-Cyrl-CS" w:eastAsia="ja-JP"/>
        </w:rPr>
        <w:t>Ребалансом буџета за 2021. годину планирано је издавање гаранција највише до 133,6 млрд динара и то за кредите намењене реализацији инфраструктурних пројеката.</w:t>
      </w:r>
    </w:p>
    <w:p w14:paraId="23E577D4" w14:textId="77777777" w:rsidR="00F36197" w:rsidRPr="00646254" w:rsidRDefault="00F36197" w:rsidP="008E67C1">
      <w:pPr>
        <w:rPr>
          <w:rFonts w:eastAsia="MS PGothic" w:cstheme="minorHAnsi"/>
          <w:szCs w:val="20"/>
          <w:lang w:val="sr-Cyrl-CS" w:eastAsia="ja-JP"/>
        </w:rPr>
        <w:sectPr w:rsidR="00F36197" w:rsidRPr="00646254" w:rsidSect="009B76B2">
          <w:type w:val="continuous"/>
          <w:pgSz w:w="12240" w:h="15840" w:code="1"/>
          <w:pgMar w:top="1440" w:right="1440" w:bottom="1440" w:left="1440" w:header="720" w:footer="720" w:gutter="0"/>
          <w:cols w:num="2" w:space="720"/>
          <w:docGrid w:linePitch="360"/>
        </w:sectPr>
      </w:pPr>
    </w:p>
    <w:p w14:paraId="3532B8BD" w14:textId="77777777" w:rsidR="00F36197" w:rsidRPr="00646254" w:rsidRDefault="00F36197">
      <w:pPr>
        <w:jc w:val="left"/>
        <w:rPr>
          <w:rFonts w:eastAsia="MS PGothic" w:cstheme="minorHAnsi"/>
          <w:b/>
          <w:color w:val="002060"/>
          <w:szCs w:val="20"/>
          <w:lang w:val="sr-Cyrl-CS" w:eastAsia="ja-JP"/>
        </w:rPr>
      </w:pPr>
      <w:r w:rsidRPr="00646254">
        <w:rPr>
          <w:rFonts w:eastAsia="MS PGothic" w:cstheme="minorHAnsi"/>
          <w:b/>
          <w:color w:val="002060"/>
          <w:szCs w:val="20"/>
          <w:lang w:val="sr-Cyrl-CS" w:eastAsia="ja-JP"/>
        </w:rPr>
        <w:br w:type="page"/>
      </w:r>
    </w:p>
    <w:p w14:paraId="75E5F164" w14:textId="77777777" w:rsidR="00F36197" w:rsidRPr="00646254" w:rsidRDefault="00F36197" w:rsidP="00AB570B">
      <w:pPr>
        <w:spacing w:after="120" w:line="276" w:lineRule="auto"/>
        <w:jc w:val="center"/>
        <w:rPr>
          <w:rFonts w:eastAsia="MS PGothic" w:cstheme="minorHAnsi"/>
          <w:b/>
          <w:color w:val="002060"/>
          <w:szCs w:val="20"/>
          <w:lang w:val="sr-Cyrl-CS" w:eastAsia="ja-JP"/>
        </w:rPr>
      </w:pPr>
      <w:r w:rsidRPr="00646254">
        <w:rPr>
          <w:rFonts w:eastAsia="MS PGothic" w:cstheme="minorHAnsi"/>
          <w:b/>
          <w:color w:val="002060"/>
          <w:szCs w:val="20"/>
          <w:lang w:val="sr-Cyrl-CS" w:eastAsia="ja-JP"/>
        </w:rPr>
        <w:t>Табела 16. План издавања гаранција у 2021. години</w:t>
      </w:r>
    </w:p>
    <w:tbl>
      <w:tblPr>
        <w:tblW w:w="9639" w:type="dxa"/>
        <w:jc w:val="center"/>
        <w:tblLook w:val="04A0" w:firstRow="1" w:lastRow="0" w:firstColumn="1" w:lastColumn="0" w:noHBand="0" w:noVBand="1"/>
      </w:tblPr>
      <w:tblGrid>
        <w:gridCol w:w="567"/>
        <w:gridCol w:w="5024"/>
        <w:gridCol w:w="1488"/>
        <w:gridCol w:w="1144"/>
        <w:gridCol w:w="1416"/>
      </w:tblGrid>
      <w:tr w:rsidR="00F36197" w:rsidRPr="00646254" w14:paraId="5666E8BA" w14:textId="77777777" w:rsidTr="00E404C0">
        <w:trPr>
          <w:trHeight w:val="260"/>
          <w:tblHeader/>
          <w:jc w:val="center"/>
        </w:trPr>
        <w:tc>
          <w:tcPr>
            <w:tcW w:w="567" w:type="dxa"/>
            <w:tcBorders>
              <w:top w:val="single" w:sz="8" w:space="0" w:color="002060"/>
              <w:left w:val="nil"/>
              <w:bottom w:val="single" w:sz="8" w:space="0" w:color="002060"/>
              <w:right w:val="nil"/>
            </w:tcBorders>
            <w:shd w:val="clear" w:color="auto" w:fill="auto"/>
            <w:vAlign w:val="center"/>
          </w:tcPr>
          <w:p w14:paraId="116A7527" w14:textId="77777777" w:rsidR="00F36197" w:rsidRPr="00646254" w:rsidRDefault="00F36197" w:rsidP="007236B3">
            <w:pPr>
              <w:spacing w:after="60" w:line="240" w:lineRule="auto"/>
              <w:jc w:val="center"/>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Ред. Број</w:t>
            </w:r>
          </w:p>
        </w:tc>
        <w:tc>
          <w:tcPr>
            <w:tcW w:w="5036" w:type="dxa"/>
            <w:tcBorders>
              <w:top w:val="single" w:sz="8" w:space="0" w:color="002060"/>
              <w:left w:val="nil"/>
              <w:bottom w:val="single" w:sz="8" w:space="0" w:color="002060"/>
              <w:right w:val="nil"/>
            </w:tcBorders>
            <w:shd w:val="clear" w:color="auto" w:fill="auto"/>
            <w:vAlign w:val="center"/>
          </w:tcPr>
          <w:p w14:paraId="3C1D1B55" w14:textId="77777777" w:rsidR="00F36197" w:rsidRPr="00646254" w:rsidRDefault="00F36197" w:rsidP="007236B3">
            <w:pPr>
              <w:spacing w:after="60" w:line="240" w:lineRule="auto"/>
              <w:jc w:val="center"/>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Опис</w:t>
            </w:r>
          </w:p>
        </w:tc>
        <w:tc>
          <w:tcPr>
            <w:tcW w:w="1488" w:type="dxa"/>
            <w:tcBorders>
              <w:top w:val="single" w:sz="8" w:space="0" w:color="002060"/>
              <w:left w:val="nil"/>
              <w:bottom w:val="single" w:sz="8" w:space="0" w:color="002060"/>
              <w:right w:val="nil"/>
            </w:tcBorders>
            <w:shd w:val="clear" w:color="auto" w:fill="auto"/>
            <w:vAlign w:val="center"/>
          </w:tcPr>
          <w:p w14:paraId="43AE4E44" w14:textId="77777777" w:rsidR="00F36197" w:rsidRPr="00646254" w:rsidRDefault="00F36197" w:rsidP="00E404C0">
            <w:pPr>
              <w:spacing w:after="60" w:line="240" w:lineRule="auto"/>
              <w:jc w:val="center"/>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Износ у динарима</w:t>
            </w:r>
          </w:p>
        </w:tc>
        <w:tc>
          <w:tcPr>
            <w:tcW w:w="1131" w:type="dxa"/>
            <w:tcBorders>
              <w:top w:val="single" w:sz="8" w:space="0" w:color="002060"/>
              <w:left w:val="nil"/>
              <w:bottom w:val="single" w:sz="8" w:space="0" w:color="002060"/>
              <w:right w:val="nil"/>
            </w:tcBorders>
            <w:shd w:val="clear" w:color="auto" w:fill="auto"/>
            <w:vAlign w:val="center"/>
          </w:tcPr>
          <w:p w14:paraId="10FD5DFF" w14:textId="77777777" w:rsidR="00F36197" w:rsidRPr="00646254" w:rsidRDefault="00F36197" w:rsidP="00E404C0">
            <w:pPr>
              <w:spacing w:after="60" w:line="240" w:lineRule="auto"/>
              <w:jc w:val="center"/>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Оригинална валута</w:t>
            </w:r>
          </w:p>
        </w:tc>
        <w:tc>
          <w:tcPr>
            <w:tcW w:w="1417" w:type="dxa"/>
            <w:tcBorders>
              <w:top w:val="single" w:sz="8" w:space="0" w:color="002060"/>
              <w:left w:val="nil"/>
              <w:bottom w:val="single" w:sz="8" w:space="0" w:color="002060"/>
              <w:right w:val="nil"/>
            </w:tcBorders>
            <w:shd w:val="clear" w:color="auto" w:fill="auto"/>
            <w:vAlign w:val="center"/>
          </w:tcPr>
          <w:p w14:paraId="630BCA90" w14:textId="77777777" w:rsidR="00F36197" w:rsidRPr="00646254" w:rsidRDefault="00F36197" w:rsidP="00E404C0">
            <w:pPr>
              <w:spacing w:after="60" w:line="240" w:lineRule="auto"/>
              <w:jc w:val="center"/>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Износ у оригиналној валути</w:t>
            </w:r>
          </w:p>
        </w:tc>
      </w:tr>
      <w:tr w:rsidR="00F36197" w:rsidRPr="00646254" w14:paraId="0FD91E97" w14:textId="77777777" w:rsidTr="00E404C0">
        <w:trPr>
          <w:trHeight w:val="20"/>
          <w:jc w:val="center"/>
        </w:trPr>
        <w:tc>
          <w:tcPr>
            <w:tcW w:w="567" w:type="dxa"/>
            <w:tcBorders>
              <w:top w:val="nil"/>
              <w:left w:val="nil"/>
              <w:bottom w:val="nil"/>
              <w:right w:val="nil"/>
            </w:tcBorders>
            <w:shd w:val="clear" w:color="000000" w:fill="E7E6E6"/>
            <w:vAlign w:val="center"/>
            <w:hideMark/>
          </w:tcPr>
          <w:p w14:paraId="44FB0F6C" w14:textId="77777777" w:rsidR="00F36197" w:rsidRPr="00646254" w:rsidRDefault="00F36197" w:rsidP="007236B3">
            <w:pPr>
              <w:spacing w:after="60" w:line="240" w:lineRule="auto"/>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I.</w:t>
            </w:r>
          </w:p>
        </w:tc>
        <w:tc>
          <w:tcPr>
            <w:tcW w:w="5036" w:type="dxa"/>
            <w:tcBorders>
              <w:top w:val="nil"/>
              <w:left w:val="nil"/>
              <w:bottom w:val="nil"/>
              <w:right w:val="nil"/>
            </w:tcBorders>
            <w:shd w:val="clear" w:color="000000" w:fill="E7E6E6"/>
            <w:vAlign w:val="center"/>
            <w:hideMark/>
          </w:tcPr>
          <w:p w14:paraId="6E8B72A1" w14:textId="77777777" w:rsidR="00F36197" w:rsidRPr="00646254" w:rsidRDefault="00F36197" w:rsidP="007236B3">
            <w:pPr>
              <w:spacing w:after="60" w:line="240" w:lineRule="auto"/>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Европској банци за обнову и развој</w:t>
            </w:r>
          </w:p>
        </w:tc>
        <w:tc>
          <w:tcPr>
            <w:tcW w:w="1488" w:type="dxa"/>
            <w:tcBorders>
              <w:top w:val="nil"/>
              <w:left w:val="nil"/>
              <w:bottom w:val="nil"/>
              <w:right w:val="nil"/>
            </w:tcBorders>
            <w:shd w:val="clear" w:color="000000" w:fill="E7E6E6"/>
            <w:vAlign w:val="center"/>
            <w:hideMark/>
          </w:tcPr>
          <w:p w14:paraId="76B986DE" w14:textId="77777777" w:rsidR="00F36197" w:rsidRPr="00646254" w:rsidRDefault="00F36197" w:rsidP="007236B3">
            <w:pPr>
              <w:spacing w:after="60" w:line="240" w:lineRule="auto"/>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 </w:t>
            </w:r>
          </w:p>
        </w:tc>
        <w:tc>
          <w:tcPr>
            <w:tcW w:w="1131" w:type="dxa"/>
            <w:tcBorders>
              <w:top w:val="nil"/>
              <w:left w:val="nil"/>
              <w:bottom w:val="nil"/>
              <w:right w:val="nil"/>
            </w:tcBorders>
            <w:shd w:val="clear" w:color="000000" w:fill="E7E6E6"/>
            <w:vAlign w:val="center"/>
            <w:hideMark/>
          </w:tcPr>
          <w:p w14:paraId="4677E091" w14:textId="77777777" w:rsidR="00F36197" w:rsidRPr="00646254" w:rsidRDefault="00F36197" w:rsidP="007236B3">
            <w:pPr>
              <w:spacing w:after="60" w:line="240" w:lineRule="auto"/>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 </w:t>
            </w:r>
          </w:p>
        </w:tc>
        <w:tc>
          <w:tcPr>
            <w:tcW w:w="1417" w:type="dxa"/>
            <w:tcBorders>
              <w:top w:val="nil"/>
              <w:left w:val="nil"/>
              <w:bottom w:val="nil"/>
              <w:right w:val="nil"/>
            </w:tcBorders>
            <w:shd w:val="clear" w:color="000000" w:fill="E7E6E6"/>
            <w:vAlign w:val="center"/>
            <w:hideMark/>
          </w:tcPr>
          <w:p w14:paraId="7FEF067E" w14:textId="77777777" w:rsidR="00F36197" w:rsidRPr="00646254" w:rsidRDefault="00F36197" w:rsidP="007236B3">
            <w:pPr>
              <w:spacing w:after="60" w:line="240" w:lineRule="auto"/>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 </w:t>
            </w:r>
          </w:p>
        </w:tc>
      </w:tr>
      <w:tr w:rsidR="00F36197" w:rsidRPr="00646254" w14:paraId="6B7D9B97" w14:textId="77777777" w:rsidTr="00F95294">
        <w:trPr>
          <w:trHeight w:val="20"/>
          <w:jc w:val="center"/>
        </w:trPr>
        <w:tc>
          <w:tcPr>
            <w:tcW w:w="567" w:type="dxa"/>
            <w:tcBorders>
              <w:top w:val="nil"/>
              <w:left w:val="nil"/>
              <w:bottom w:val="nil"/>
              <w:right w:val="nil"/>
            </w:tcBorders>
            <w:shd w:val="clear" w:color="auto" w:fill="auto"/>
            <w:hideMark/>
          </w:tcPr>
          <w:p w14:paraId="1777426D" w14:textId="77777777" w:rsidR="00F36197" w:rsidRPr="00646254" w:rsidRDefault="00F36197" w:rsidP="007236B3">
            <w:pPr>
              <w:spacing w:after="60" w:line="240"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1</w:t>
            </w:r>
          </w:p>
        </w:tc>
        <w:tc>
          <w:tcPr>
            <w:tcW w:w="5036" w:type="dxa"/>
            <w:tcBorders>
              <w:top w:val="nil"/>
              <w:left w:val="nil"/>
              <w:bottom w:val="nil"/>
              <w:right w:val="nil"/>
            </w:tcBorders>
            <w:shd w:val="clear" w:color="auto" w:fill="auto"/>
            <w:vAlign w:val="center"/>
            <w:hideMark/>
          </w:tcPr>
          <w:p w14:paraId="553C1295" w14:textId="77777777" w:rsidR="00F36197" w:rsidRPr="00646254" w:rsidRDefault="00F36197" w:rsidP="007236B3">
            <w:pPr>
              <w:spacing w:after="60" w:line="240" w:lineRule="auto"/>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Акционарско друштво за железнички превоз путника „Србија Воз”, Београд – (Реконструкција депоа за одржавање возних средстава и набавку опреме)</w:t>
            </w:r>
          </w:p>
        </w:tc>
        <w:tc>
          <w:tcPr>
            <w:tcW w:w="1488" w:type="dxa"/>
            <w:tcBorders>
              <w:top w:val="nil"/>
              <w:left w:val="nil"/>
              <w:bottom w:val="nil"/>
              <w:right w:val="nil"/>
            </w:tcBorders>
            <w:shd w:val="clear" w:color="auto" w:fill="auto"/>
            <w:hideMark/>
          </w:tcPr>
          <w:p w14:paraId="7CA1C6CD" w14:textId="77777777" w:rsidR="00F36197" w:rsidRPr="00646254" w:rsidRDefault="00F36197" w:rsidP="00F95294">
            <w:pPr>
              <w:spacing w:after="60" w:line="240"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2.972.500.000</w:t>
            </w:r>
          </w:p>
        </w:tc>
        <w:tc>
          <w:tcPr>
            <w:tcW w:w="1131" w:type="dxa"/>
            <w:tcBorders>
              <w:top w:val="nil"/>
              <w:left w:val="nil"/>
              <w:bottom w:val="nil"/>
              <w:right w:val="nil"/>
            </w:tcBorders>
            <w:shd w:val="clear" w:color="auto" w:fill="auto"/>
            <w:hideMark/>
          </w:tcPr>
          <w:p w14:paraId="65549D28" w14:textId="77777777" w:rsidR="00F36197" w:rsidRPr="00646254" w:rsidRDefault="00F36197" w:rsidP="00F95294">
            <w:pPr>
              <w:spacing w:after="60" w:line="240" w:lineRule="auto"/>
              <w:jc w:val="center"/>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EUR</w:t>
            </w:r>
          </w:p>
        </w:tc>
        <w:tc>
          <w:tcPr>
            <w:tcW w:w="1417" w:type="dxa"/>
            <w:tcBorders>
              <w:top w:val="nil"/>
              <w:left w:val="nil"/>
              <w:bottom w:val="nil"/>
              <w:right w:val="nil"/>
            </w:tcBorders>
            <w:shd w:val="clear" w:color="auto" w:fill="auto"/>
            <w:hideMark/>
          </w:tcPr>
          <w:p w14:paraId="7A1DFCF1" w14:textId="77777777" w:rsidR="00F36197" w:rsidRPr="00646254" w:rsidRDefault="00F36197" w:rsidP="00F95294">
            <w:pPr>
              <w:spacing w:after="60" w:line="240"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25.000.000</w:t>
            </w:r>
          </w:p>
        </w:tc>
      </w:tr>
      <w:tr w:rsidR="00F36197" w:rsidRPr="00646254" w14:paraId="7B68CBF3" w14:textId="77777777" w:rsidTr="00F95294">
        <w:trPr>
          <w:trHeight w:val="1377"/>
          <w:jc w:val="center"/>
        </w:trPr>
        <w:tc>
          <w:tcPr>
            <w:tcW w:w="567" w:type="dxa"/>
            <w:tcBorders>
              <w:top w:val="nil"/>
              <w:left w:val="nil"/>
              <w:bottom w:val="nil"/>
              <w:right w:val="nil"/>
            </w:tcBorders>
            <w:shd w:val="clear" w:color="auto" w:fill="auto"/>
            <w:hideMark/>
          </w:tcPr>
          <w:p w14:paraId="4CC6DB61" w14:textId="77777777" w:rsidR="00F36197" w:rsidRPr="00646254" w:rsidRDefault="00F36197" w:rsidP="007236B3">
            <w:pPr>
              <w:spacing w:after="60" w:line="240"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2</w:t>
            </w:r>
          </w:p>
        </w:tc>
        <w:tc>
          <w:tcPr>
            <w:tcW w:w="5036" w:type="dxa"/>
            <w:tcBorders>
              <w:top w:val="nil"/>
              <w:left w:val="nil"/>
              <w:bottom w:val="nil"/>
              <w:right w:val="nil"/>
            </w:tcBorders>
            <w:shd w:val="clear" w:color="auto" w:fill="auto"/>
            <w:vAlign w:val="center"/>
            <w:hideMark/>
          </w:tcPr>
          <w:p w14:paraId="03DAE4E5" w14:textId="79B23D31" w:rsidR="00F36197" w:rsidRPr="00646254" w:rsidRDefault="00F36197" w:rsidP="007236B3">
            <w:pPr>
              <w:spacing w:after="60" w:line="240" w:lineRule="auto"/>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 xml:space="preserve">Акционарско друштво за железнички превоз робе </w:t>
            </w:r>
            <w:r w:rsidR="00183806" w:rsidRPr="00646254">
              <w:rPr>
                <w:rFonts w:eastAsia="MS PGothic" w:cstheme="minorHAnsi"/>
                <w:color w:val="002060"/>
                <w:sz w:val="18"/>
                <w:szCs w:val="18"/>
                <w:lang w:val="sr-Cyrl-CS" w:eastAsia="ja-JP"/>
              </w:rPr>
              <w:t>„</w:t>
            </w:r>
            <w:r w:rsidRPr="00646254">
              <w:rPr>
                <w:rFonts w:eastAsia="MS PGothic" w:cstheme="minorHAnsi"/>
                <w:color w:val="002060"/>
                <w:sz w:val="18"/>
                <w:szCs w:val="18"/>
                <w:lang w:val="sr-Cyrl-CS" w:eastAsia="ja-JP"/>
              </w:rPr>
              <w:t>Србија Карго”, Београд - (Набавка дизел локомотива за вучу теретних возова и за потребу маневре теретних кола, реконструкцију и модернизацију постојећих дизел локомотива, изградњу објеката колске радионице са неопходним анексима и постројењима у оквиру ранжирне станице Нови Сад)</w:t>
            </w:r>
          </w:p>
        </w:tc>
        <w:tc>
          <w:tcPr>
            <w:tcW w:w="1488" w:type="dxa"/>
            <w:tcBorders>
              <w:top w:val="nil"/>
              <w:left w:val="nil"/>
              <w:bottom w:val="nil"/>
              <w:right w:val="nil"/>
            </w:tcBorders>
            <w:shd w:val="clear" w:color="auto" w:fill="auto"/>
            <w:hideMark/>
          </w:tcPr>
          <w:p w14:paraId="7F8BD1B2" w14:textId="77777777" w:rsidR="00F36197" w:rsidRPr="00646254" w:rsidRDefault="00F36197" w:rsidP="00F95294">
            <w:pPr>
              <w:spacing w:after="60" w:line="240"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6.896.200.000</w:t>
            </w:r>
          </w:p>
        </w:tc>
        <w:tc>
          <w:tcPr>
            <w:tcW w:w="1131" w:type="dxa"/>
            <w:tcBorders>
              <w:top w:val="nil"/>
              <w:left w:val="nil"/>
              <w:bottom w:val="nil"/>
              <w:right w:val="nil"/>
            </w:tcBorders>
            <w:shd w:val="clear" w:color="auto" w:fill="auto"/>
            <w:hideMark/>
          </w:tcPr>
          <w:p w14:paraId="31F895D2" w14:textId="77777777" w:rsidR="00F36197" w:rsidRPr="00646254" w:rsidRDefault="00F36197" w:rsidP="00F95294">
            <w:pPr>
              <w:spacing w:after="60" w:line="240" w:lineRule="auto"/>
              <w:jc w:val="center"/>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EUR</w:t>
            </w:r>
          </w:p>
        </w:tc>
        <w:tc>
          <w:tcPr>
            <w:tcW w:w="1417" w:type="dxa"/>
            <w:tcBorders>
              <w:top w:val="nil"/>
              <w:left w:val="nil"/>
              <w:bottom w:val="nil"/>
              <w:right w:val="nil"/>
            </w:tcBorders>
            <w:shd w:val="clear" w:color="auto" w:fill="auto"/>
            <w:hideMark/>
          </w:tcPr>
          <w:p w14:paraId="28987261" w14:textId="77777777" w:rsidR="00F36197" w:rsidRPr="00646254" w:rsidRDefault="00F36197" w:rsidP="00F95294">
            <w:pPr>
              <w:spacing w:after="60" w:line="240"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58.000.000</w:t>
            </w:r>
          </w:p>
        </w:tc>
      </w:tr>
      <w:tr w:rsidR="00F36197" w:rsidRPr="00646254" w14:paraId="2EC93474" w14:textId="77777777" w:rsidTr="00F95294">
        <w:trPr>
          <w:trHeight w:val="447"/>
          <w:jc w:val="center"/>
        </w:trPr>
        <w:tc>
          <w:tcPr>
            <w:tcW w:w="567" w:type="dxa"/>
            <w:tcBorders>
              <w:top w:val="nil"/>
              <w:left w:val="nil"/>
              <w:bottom w:val="nil"/>
              <w:right w:val="nil"/>
            </w:tcBorders>
            <w:shd w:val="clear" w:color="auto" w:fill="auto"/>
          </w:tcPr>
          <w:p w14:paraId="7E652BE0" w14:textId="77777777" w:rsidR="00F36197" w:rsidRPr="00646254" w:rsidRDefault="00F36197" w:rsidP="007236B3">
            <w:pPr>
              <w:spacing w:after="60" w:line="240"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3</w:t>
            </w:r>
          </w:p>
        </w:tc>
        <w:tc>
          <w:tcPr>
            <w:tcW w:w="5036" w:type="dxa"/>
            <w:tcBorders>
              <w:top w:val="nil"/>
              <w:left w:val="nil"/>
              <w:bottom w:val="nil"/>
              <w:right w:val="nil"/>
            </w:tcBorders>
            <w:shd w:val="clear" w:color="auto" w:fill="auto"/>
            <w:vAlign w:val="center"/>
          </w:tcPr>
          <w:p w14:paraId="0A51214C" w14:textId="77777777" w:rsidR="00F36197" w:rsidRPr="00646254" w:rsidRDefault="00F36197" w:rsidP="007236B3">
            <w:pPr>
              <w:spacing w:after="60" w:line="240" w:lineRule="auto"/>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„Електродистрибуцијa Србије” д.о.о. Београд - Пројекат за паметна бројила</w:t>
            </w:r>
          </w:p>
        </w:tc>
        <w:tc>
          <w:tcPr>
            <w:tcW w:w="1488" w:type="dxa"/>
            <w:tcBorders>
              <w:top w:val="nil"/>
              <w:left w:val="nil"/>
              <w:bottom w:val="nil"/>
              <w:right w:val="nil"/>
            </w:tcBorders>
            <w:shd w:val="clear" w:color="auto" w:fill="auto"/>
          </w:tcPr>
          <w:p w14:paraId="657709E5" w14:textId="77777777" w:rsidR="00F36197" w:rsidRPr="00646254" w:rsidRDefault="00F36197" w:rsidP="00F95294">
            <w:pPr>
              <w:spacing w:after="60" w:line="240"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4.756.000.000</w:t>
            </w:r>
          </w:p>
        </w:tc>
        <w:tc>
          <w:tcPr>
            <w:tcW w:w="1131" w:type="dxa"/>
            <w:tcBorders>
              <w:top w:val="nil"/>
              <w:left w:val="nil"/>
              <w:bottom w:val="nil"/>
              <w:right w:val="nil"/>
            </w:tcBorders>
            <w:shd w:val="clear" w:color="auto" w:fill="auto"/>
          </w:tcPr>
          <w:p w14:paraId="22C37341" w14:textId="77777777" w:rsidR="00F36197" w:rsidRPr="00646254" w:rsidRDefault="00F36197" w:rsidP="00F95294">
            <w:pPr>
              <w:spacing w:after="60" w:line="240" w:lineRule="auto"/>
              <w:jc w:val="center"/>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EUR</w:t>
            </w:r>
          </w:p>
        </w:tc>
        <w:tc>
          <w:tcPr>
            <w:tcW w:w="1417" w:type="dxa"/>
            <w:tcBorders>
              <w:top w:val="nil"/>
              <w:left w:val="nil"/>
              <w:bottom w:val="nil"/>
              <w:right w:val="nil"/>
            </w:tcBorders>
            <w:shd w:val="clear" w:color="auto" w:fill="auto"/>
          </w:tcPr>
          <w:p w14:paraId="3F294F04" w14:textId="77777777" w:rsidR="00F36197" w:rsidRPr="00646254" w:rsidRDefault="00F36197" w:rsidP="00F95294">
            <w:pPr>
              <w:spacing w:after="60" w:line="240"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40.000.000</w:t>
            </w:r>
          </w:p>
        </w:tc>
      </w:tr>
      <w:tr w:rsidR="00F36197" w:rsidRPr="00646254" w14:paraId="3A76332B" w14:textId="77777777" w:rsidTr="00F95294">
        <w:trPr>
          <w:trHeight w:val="20"/>
          <w:jc w:val="center"/>
        </w:trPr>
        <w:tc>
          <w:tcPr>
            <w:tcW w:w="567" w:type="dxa"/>
            <w:tcBorders>
              <w:top w:val="nil"/>
              <w:left w:val="nil"/>
              <w:bottom w:val="nil"/>
              <w:right w:val="nil"/>
            </w:tcBorders>
            <w:shd w:val="clear" w:color="auto" w:fill="auto"/>
            <w:vAlign w:val="center"/>
            <w:hideMark/>
          </w:tcPr>
          <w:p w14:paraId="77EE2479" w14:textId="77777777" w:rsidR="00F36197" w:rsidRPr="00646254" w:rsidRDefault="00F36197" w:rsidP="007236B3">
            <w:pPr>
              <w:spacing w:after="60" w:line="240" w:lineRule="auto"/>
              <w:rPr>
                <w:rFonts w:eastAsia="MS PGothic" w:cstheme="minorHAnsi"/>
                <w:color w:val="002060"/>
                <w:sz w:val="18"/>
                <w:szCs w:val="18"/>
                <w:lang w:val="sr-Cyrl-CS" w:eastAsia="ja-JP"/>
              </w:rPr>
            </w:pPr>
          </w:p>
        </w:tc>
        <w:tc>
          <w:tcPr>
            <w:tcW w:w="5036" w:type="dxa"/>
            <w:tcBorders>
              <w:top w:val="nil"/>
              <w:left w:val="nil"/>
              <w:bottom w:val="nil"/>
              <w:right w:val="nil"/>
            </w:tcBorders>
            <w:shd w:val="clear" w:color="auto" w:fill="auto"/>
            <w:vAlign w:val="center"/>
            <w:hideMark/>
          </w:tcPr>
          <w:p w14:paraId="05FA2A1A" w14:textId="77777777" w:rsidR="00F36197" w:rsidRPr="00646254" w:rsidRDefault="00F36197" w:rsidP="007236B3">
            <w:pPr>
              <w:spacing w:after="60" w:line="240" w:lineRule="auto"/>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Укупно:</w:t>
            </w:r>
          </w:p>
        </w:tc>
        <w:tc>
          <w:tcPr>
            <w:tcW w:w="1488" w:type="dxa"/>
            <w:tcBorders>
              <w:top w:val="nil"/>
              <w:left w:val="nil"/>
              <w:bottom w:val="nil"/>
              <w:right w:val="nil"/>
            </w:tcBorders>
            <w:shd w:val="clear" w:color="auto" w:fill="auto"/>
            <w:hideMark/>
          </w:tcPr>
          <w:p w14:paraId="692DC989" w14:textId="77777777" w:rsidR="00F36197" w:rsidRPr="00646254" w:rsidRDefault="00F36197" w:rsidP="00F95294">
            <w:pPr>
              <w:spacing w:after="60" w:line="240"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14.624.700.000</w:t>
            </w:r>
          </w:p>
        </w:tc>
        <w:tc>
          <w:tcPr>
            <w:tcW w:w="1131" w:type="dxa"/>
            <w:tcBorders>
              <w:top w:val="nil"/>
              <w:left w:val="nil"/>
              <w:bottom w:val="nil"/>
              <w:right w:val="nil"/>
            </w:tcBorders>
            <w:shd w:val="clear" w:color="auto" w:fill="auto"/>
            <w:hideMark/>
          </w:tcPr>
          <w:p w14:paraId="1C997F6A" w14:textId="77777777" w:rsidR="00F36197" w:rsidRPr="00646254" w:rsidRDefault="00F36197" w:rsidP="00F95294">
            <w:pPr>
              <w:spacing w:after="60" w:line="240" w:lineRule="auto"/>
              <w:jc w:val="center"/>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EUR</w:t>
            </w:r>
          </w:p>
        </w:tc>
        <w:tc>
          <w:tcPr>
            <w:tcW w:w="1417" w:type="dxa"/>
            <w:tcBorders>
              <w:top w:val="nil"/>
              <w:left w:val="nil"/>
              <w:bottom w:val="nil"/>
              <w:right w:val="nil"/>
            </w:tcBorders>
            <w:shd w:val="clear" w:color="auto" w:fill="auto"/>
            <w:hideMark/>
          </w:tcPr>
          <w:p w14:paraId="47B9B589" w14:textId="77777777" w:rsidR="00F36197" w:rsidRPr="00646254" w:rsidRDefault="00F36197" w:rsidP="00F95294">
            <w:pPr>
              <w:spacing w:after="60" w:line="240"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123.000.000</w:t>
            </w:r>
          </w:p>
        </w:tc>
      </w:tr>
      <w:tr w:rsidR="00F36197" w:rsidRPr="00646254" w14:paraId="69710B9D" w14:textId="77777777" w:rsidTr="00F95294">
        <w:trPr>
          <w:trHeight w:val="20"/>
          <w:jc w:val="center"/>
        </w:trPr>
        <w:tc>
          <w:tcPr>
            <w:tcW w:w="567" w:type="dxa"/>
            <w:tcBorders>
              <w:top w:val="nil"/>
              <w:left w:val="nil"/>
              <w:bottom w:val="nil"/>
              <w:right w:val="nil"/>
            </w:tcBorders>
            <w:shd w:val="clear" w:color="000000" w:fill="E7E6E6"/>
            <w:vAlign w:val="center"/>
            <w:hideMark/>
          </w:tcPr>
          <w:p w14:paraId="6395CFC3" w14:textId="77777777" w:rsidR="00F36197" w:rsidRPr="00646254" w:rsidRDefault="00F36197" w:rsidP="007236B3">
            <w:pPr>
              <w:spacing w:after="60" w:line="240" w:lineRule="auto"/>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II.</w:t>
            </w:r>
          </w:p>
        </w:tc>
        <w:tc>
          <w:tcPr>
            <w:tcW w:w="5036" w:type="dxa"/>
            <w:tcBorders>
              <w:top w:val="nil"/>
              <w:left w:val="nil"/>
              <w:bottom w:val="nil"/>
              <w:right w:val="nil"/>
            </w:tcBorders>
            <w:shd w:val="clear" w:color="000000" w:fill="E7E6E6"/>
            <w:vAlign w:val="center"/>
            <w:hideMark/>
          </w:tcPr>
          <w:p w14:paraId="05504F33" w14:textId="77777777" w:rsidR="00F36197" w:rsidRPr="00646254" w:rsidRDefault="00F36197" w:rsidP="007236B3">
            <w:pPr>
              <w:spacing w:after="60" w:line="240" w:lineRule="auto"/>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Немачкој развојној банци (KfW)</w:t>
            </w:r>
          </w:p>
        </w:tc>
        <w:tc>
          <w:tcPr>
            <w:tcW w:w="1488" w:type="dxa"/>
            <w:tcBorders>
              <w:top w:val="nil"/>
              <w:left w:val="nil"/>
              <w:bottom w:val="nil"/>
              <w:right w:val="nil"/>
            </w:tcBorders>
            <w:shd w:val="clear" w:color="000000" w:fill="E7E6E6"/>
            <w:hideMark/>
          </w:tcPr>
          <w:p w14:paraId="74FB0575" w14:textId="77777777" w:rsidR="00F36197" w:rsidRPr="00646254" w:rsidRDefault="00F36197" w:rsidP="00F95294">
            <w:pPr>
              <w:spacing w:after="60" w:line="240"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 </w:t>
            </w:r>
          </w:p>
        </w:tc>
        <w:tc>
          <w:tcPr>
            <w:tcW w:w="1131" w:type="dxa"/>
            <w:tcBorders>
              <w:top w:val="nil"/>
              <w:left w:val="nil"/>
              <w:bottom w:val="nil"/>
              <w:right w:val="nil"/>
            </w:tcBorders>
            <w:shd w:val="clear" w:color="000000" w:fill="E7E6E6"/>
            <w:hideMark/>
          </w:tcPr>
          <w:p w14:paraId="5D0D409B" w14:textId="77777777" w:rsidR="00F36197" w:rsidRPr="00646254" w:rsidRDefault="00F36197" w:rsidP="00F95294">
            <w:pPr>
              <w:spacing w:after="60" w:line="240" w:lineRule="auto"/>
              <w:jc w:val="center"/>
              <w:rPr>
                <w:rFonts w:eastAsia="MS PGothic" w:cstheme="minorHAnsi"/>
                <w:color w:val="002060"/>
                <w:sz w:val="18"/>
                <w:szCs w:val="18"/>
                <w:lang w:val="sr-Cyrl-CS" w:eastAsia="ja-JP"/>
              </w:rPr>
            </w:pPr>
          </w:p>
        </w:tc>
        <w:tc>
          <w:tcPr>
            <w:tcW w:w="1417" w:type="dxa"/>
            <w:tcBorders>
              <w:top w:val="nil"/>
              <w:left w:val="nil"/>
              <w:bottom w:val="nil"/>
              <w:right w:val="nil"/>
            </w:tcBorders>
            <w:shd w:val="clear" w:color="000000" w:fill="E7E6E6"/>
            <w:hideMark/>
          </w:tcPr>
          <w:p w14:paraId="607451C0" w14:textId="77777777" w:rsidR="00F36197" w:rsidRPr="00646254" w:rsidRDefault="00F36197" w:rsidP="00F95294">
            <w:pPr>
              <w:spacing w:after="60" w:line="240"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 </w:t>
            </w:r>
          </w:p>
        </w:tc>
      </w:tr>
      <w:tr w:rsidR="00F36197" w:rsidRPr="00646254" w14:paraId="707D3C72" w14:textId="77777777" w:rsidTr="00F95294">
        <w:trPr>
          <w:trHeight w:val="20"/>
          <w:jc w:val="center"/>
        </w:trPr>
        <w:tc>
          <w:tcPr>
            <w:tcW w:w="567" w:type="dxa"/>
            <w:tcBorders>
              <w:top w:val="nil"/>
              <w:left w:val="nil"/>
              <w:bottom w:val="nil"/>
              <w:right w:val="nil"/>
            </w:tcBorders>
            <w:shd w:val="clear" w:color="auto" w:fill="auto"/>
            <w:hideMark/>
          </w:tcPr>
          <w:p w14:paraId="30D77036" w14:textId="77777777" w:rsidR="00F36197" w:rsidRPr="00646254" w:rsidRDefault="00F36197" w:rsidP="007236B3">
            <w:pPr>
              <w:spacing w:after="60" w:line="240"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1</w:t>
            </w:r>
          </w:p>
        </w:tc>
        <w:tc>
          <w:tcPr>
            <w:tcW w:w="5036" w:type="dxa"/>
            <w:tcBorders>
              <w:top w:val="nil"/>
              <w:left w:val="nil"/>
              <w:bottom w:val="nil"/>
              <w:right w:val="nil"/>
            </w:tcBorders>
            <w:shd w:val="clear" w:color="auto" w:fill="auto"/>
            <w:vAlign w:val="center"/>
            <w:hideMark/>
          </w:tcPr>
          <w:p w14:paraId="53F889DA" w14:textId="225804E8" w:rsidR="00F36197" w:rsidRPr="00646254" w:rsidRDefault="00F36197" w:rsidP="007236B3">
            <w:pPr>
              <w:spacing w:after="60" w:line="240" w:lineRule="auto"/>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 xml:space="preserve">АД </w:t>
            </w:r>
            <w:r w:rsidR="00B16DD6" w:rsidRPr="00646254">
              <w:rPr>
                <w:rFonts w:eastAsia="MS PGothic" w:cstheme="minorHAnsi"/>
                <w:color w:val="002060"/>
                <w:sz w:val="18"/>
                <w:szCs w:val="18"/>
                <w:lang w:val="sr-Cyrl-CS" w:eastAsia="ja-JP"/>
              </w:rPr>
              <w:t>„</w:t>
            </w:r>
            <w:r w:rsidRPr="00646254">
              <w:rPr>
                <w:rFonts w:eastAsia="MS PGothic" w:cstheme="minorHAnsi"/>
                <w:color w:val="002060"/>
                <w:sz w:val="18"/>
                <w:szCs w:val="18"/>
                <w:lang w:val="sr-Cyrl-CS" w:eastAsia="ja-JP"/>
              </w:rPr>
              <w:t>Електромрежа Србије” - Регионални програм за енергетску ефикасност у преносном систему II</w:t>
            </w:r>
          </w:p>
        </w:tc>
        <w:tc>
          <w:tcPr>
            <w:tcW w:w="1488" w:type="dxa"/>
            <w:tcBorders>
              <w:top w:val="nil"/>
              <w:left w:val="nil"/>
              <w:bottom w:val="nil"/>
              <w:right w:val="nil"/>
            </w:tcBorders>
            <w:shd w:val="clear" w:color="auto" w:fill="auto"/>
            <w:hideMark/>
          </w:tcPr>
          <w:p w14:paraId="00CD5FEB" w14:textId="77777777" w:rsidR="00F36197" w:rsidRPr="00646254" w:rsidRDefault="00F36197" w:rsidP="00F95294">
            <w:pPr>
              <w:spacing w:after="60" w:line="240"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4.756.000.000</w:t>
            </w:r>
          </w:p>
        </w:tc>
        <w:tc>
          <w:tcPr>
            <w:tcW w:w="1131" w:type="dxa"/>
            <w:tcBorders>
              <w:top w:val="nil"/>
              <w:left w:val="nil"/>
              <w:bottom w:val="nil"/>
              <w:right w:val="nil"/>
            </w:tcBorders>
            <w:shd w:val="clear" w:color="auto" w:fill="auto"/>
            <w:hideMark/>
          </w:tcPr>
          <w:p w14:paraId="61E5672D" w14:textId="77777777" w:rsidR="00F36197" w:rsidRPr="00646254" w:rsidRDefault="00F36197" w:rsidP="00F95294">
            <w:pPr>
              <w:spacing w:after="60" w:line="240" w:lineRule="auto"/>
              <w:jc w:val="center"/>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EUR</w:t>
            </w:r>
          </w:p>
        </w:tc>
        <w:tc>
          <w:tcPr>
            <w:tcW w:w="1417" w:type="dxa"/>
            <w:tcBorders>
              <w:top w:val="nil"/>
              <w:left w:val="nil"/>
              <w:bottom w:val="nil"/>
              <w:right w:val="nil"/>
            </w:tcBorders>
            <w:shd w:val="clear" w:color="auto" w:fill="auto"/>
            <w:hideMark/>
          </w:tcPr>
          <w:p w14:paraId="38B41B04" w14:textId="77777777" w:rsidR="00F36197" w:rsidRPr="00646254" w:rsidRDefault="00F36197" w:rsidP="00F95294">
            <w:pPr>
              <w:spacing w:after="60" w:line="240"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40.000.000</w:t>
            </w:r>
          </w:p>
        </w:tc>
      </w:tr>
      <w:tr w:rsidR="00F36197" w:rsidRPr="00646254" w14:paraId="7F1CB94D" w14:textId="77777777" w:rsidTr="00F95294">
        <w:trPr>
          <w:trHeight w:val="20"/>
          <w:jc w:val="center"/>
        </w:trPr>
        <w:tc>
          <w:tcPr>
            <w:tcW w:w="567" w:type="dxa"/>
            <w:tcBorders>
              <w:top w:val="nil"/>
              <w:left w:val="nil"/>
              <w:bottom w:val="nil"/>
              <w:right w:val="nil"/>
            </w:tcBorders>
            <w:shd w:val="clear" w:color="auto" w:fill="auto"/>
            <w:hideMark/>
          </w:tcPr>
          <w:p w14:paraId="0F84D302" w14:textId="77777777" w:rsidR="00F36197" w:rsidRPr="00646254" w:rsidRDefault="00F36197" w:rsidP="007236B3">
            <w:pPr>
              <w:spacing w:after="60" w:line="240" w:lineRule="auto"/>
              <w:jc w:val="right"/>
              <w:rPr>
                <w:rFonts w:eastAsia="MS PGothic" w:cstheme="minorHAnsi"/>
                <w:color w:val="002060"/>
                <w:sz w:val="18"/>
                <w:szCs w:val="18"/>
                <w:lang w:val="sr-Cyrl-CS" w:eastAsia="ja-JP"/>
              </w:rPr>
            </w:pPr>
          </w:p>
        </w:tc>
        <w:tc>
          <w:tcPr>
            <w:tcW w:w="5036" w:type="dxa"/>
            <w:tcBorders>
              <w:top w:val="nil"/>
              <w:left w:val="nil"/>
              <w:bottom w:val="nil"/>
              <w:right w:val="nil"/>
            </w:tcBorders>
            <w:shd w:val="clear" w:color="auto" w:fill="auto"/>
            <w:vAlign w:val="center"/>
            <w:hideMark/>
          </w:tcPr>
          <w:p w14:paraId="759FB549" w14:textId="77777777" w:rsidR="00F36197" w:rsidRPr="00646254" w:rsidRDefault="00F36197" w:rsidP="007236B3">
            <w:pPr>
              <w:spacing w:after="60" w:line="240" w:lineRule="auto"/>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Укупно:</w:t>
            </w:r>
          </w:p>
        </w:tc>
        <w:tc>
          <w:tcPr>
            <w:tcW w:w="1488" w:type="dxa"/>
            <w:tcBorders>
              <w:top w:val="nil"/>
              <w:left w:val="nil"/>
              <w:bottom w:val="nil"/>
              <w:right w:val="nil"/>
            </w:tcBorders>
            <w:shd w:val="clear" w:color="auto" w:fill="auto"/>
            <w:hideMark/>
          </w:tcPr>
          <w:p w14:paraId="0AFAAF41" w14:textId="77777777" w:rsidR="00F36197" w:rsidRPr="00646254" w:rsidRDefault="00F36197" w:rsidP="00F95294">
            <w:pPr>
              <w:spacing w:after="60" w:line="240"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4.756.000.000</w:t>
            </w:r>
          </w:p>
        </w:tc>
        <w:tc>
          <w:tcPr>
            <w:tcW w:w="1131" w:type="dxa"/>
            <w:tcBorders>
              <w:top w:val="nil"/>
              <w:left w:val="nil"/>
              <w:bottom w:val="nil"/>
              <w:right w:val="nil"/>
            </w:tcBorders>
            <w:shd w:val="clear" w:color="auto" w:fill="auto"/>
            <w:hideMark/>
          </w:tcPr>
          <w:p w14:paraId="4E21FC4C" w14:textId="77777777" w:rsidR="00F36197" w:rsidRPr="00646254" w:rsidRDefault="00F36197" w:rsidP="00F95294">
            <w:pPr>
              <w:spacing w:after="60" w:line="240" w:lineRule="auto"/>
              <w:jc w:val="center"/>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EUR</w:t>
            </w:r>
          </w:p>
        </w:tc>
        <w:tc>
          <w:tcPr>
            <w:tcW w:w="1417" w:type="dxa"/>
            <w:tcBorders>
              <w:top w:val="nil"/>
              <w:left w:val="nil"/>
              <w:bottom w:val="nil"/>
              <w:right w:val="nil"/>
            </w:tcBorders>
            <w:shd w:val="clear" w:color="auto" w:fill="auto"/>
            <w:hideMark/>
          </w:tcPr>
          <w:p w14:paraId="08D8C57B" w14:textId="77777777" w:rsidR="00F36197" w:rsidRPr="00646254" w:rsidRDefault="00F36197" w:rsidP="00F95294">
            <w:pPr>
              <w:spacing w:after="60" w:line="240"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40.000.000</w:t>
            </w:r>
          </w:p>
        </w:tc>
      </w:tr>
      <w:tr w:rsidR="00F36197" w:rsidRPr="00646254" w14:paraId="142463EB" w14:textId="77777777" w:rsidTr="00F95294">
        <w:trPr>
          <w:trHeight w:val="20"/>
          <w:jc w:val="center"/>
        </w:trPr>
        <w:tc>
          <w:tcPr>
            <w:tcW w:w="567" w:type="dxa"/>
            <w:tcBorders>
              <w:top w:val="nil"/>
              <w:left w:val="nil"/>
              <w:bottom w:val="nil"/>
              <w:right w:val="nil"/>
            </w:tcBorders>
            <w:shd w:val="clear" w:color="000000" w:fill="E7E6E6"/>
            <w:vAlign w:val="center"/>
            <w:hideMark/>
          </w:tcPr>
          <w:p w14:paraId="0BFDB2F7" w14:textId="77777777" w:rsidR="00F36197" w:rsidRPr="00646254" w:rsidRDefault="00F36197" w:rsidP="007236B3">
            <w:pPr>
              <w:spacing w:after="60" w:line="240" w:lineRule="auto"/>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III.</w:t>
            </w:r>
          </w:p>
        </w:tc>
        <w:tc>
          <w:tcPr>
            <w:tcW w:w="5036" w:type="dxa"/>
            <w:tcBorders>
              <w:top w:val="nil"/>
              <w:left w:val="nil"/>
              <w:bottom w:val="nil"/>
              <w:right w:val="nil"/>
            </w:tcBorders>
            <w:shd w:val="clear" w:color="000000" w:fill="E7E6E6"/>
            <w:vAlign w:val="center"/>
            <w:hideMark/>
          </w:tcPr>
          <w:p w14:paraId="1EC7681A" w14:textId="77777777" w:rsidR="00F36197" w:rsidRPr="00646254" w:rsidRDefault="00F36197" w:rsidP="007236B3">
            <w:pPr>
              <w:spacing w:after="60" w:line="240" w:lineRule="auto"/>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Европској инвестиционој банци</w:t>
            </w:r>
          </w:p>
        </w:tc>
        <w:tc>
          <w:tcPr>
            <w:tcW w:w="1488" w:type="dxa"/>
            <w:tcBorders>
              <w:top w:val="nil"/>
              <w:left w:val="nil"/>
              <w:bottom w:val="nil"/>
              <w:right w:val="nil"/>
            </w:tcBorders>
            <w:shd w:val="clear" w:color="000000" w:fill="E7E6E6"/>
            <w:hideMark/>
          </w:tcPr>
          <w:p w14:paraId="62F17407" w14:textId="77777777" w:rsidR="00F36197" w:rsidRPr="00646254" w:rsidRDefault="00F36197" w:rsidP="00F95294">
            <w:pPr>
              <w:spacing w:after="60" w:line="240"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 </w:t>
            </w:r>
          </w:p>
        </w:tc>
        <w:tc>
          <w:tcPr>
            <w:tcW w:w="1131" w:type="dxa"/>
            <w:tcBorders>
              <w:top w:val="nil"/>
              <w:left w:val="nil"/>
              <w:bottom w:val="nil"/>
              <w:right w:val="nil"/>
            </w:tcBorders>
            <w:shd w:val="clear" w:color="000000" w:fill="E7E6E6"/>
            <w:hideMark/>
          </w:tcPr>
          <w:p w14:paraId="63FD0E6D" w14:textId="77777777" w:rsidR="00F36197" w:rsidRPr="00646254" w:rsidRDefault="00F36197" w:rsidP="00F95294">
            <w:pPr>
              <w:spacing w:after="60" w:line="240" w:lineRule="auto"/>
              <w:jc w:val="center"/>
              <w:rPr>
                <w:rFonts w:eastAsia="MS PGothic" w:cstheme="minorHAnsi"/>
                <w:color w:val="002060"/>
                <w:sz w:val="18"/>
                <w:szCs w:val="18"/>
                <w:lang w:val="sr-Cyrl-CS" w:eastAsia="ja-JP"/>
              </w:rPr>
            </w:pPr>
          </w:p>
        </w:tc>
        <w:tc>
          <w:tcPr>
            <w:tcW w:w="1417" w:type="dxa"/>
            <w:tcBorders>
              <w:top w:val="nil"/>
              <w:left w:val="nil"/>
              <w:bottom w:val="nil"/>
              <w:right w:val="nil"/>
            </w:tcBorders>
            <w:shd w:val="clear" w:color="000000" w:fill="E7E6E6"/>
            <w:hideMark/>
          </w:tcPr>
          <w:p w14:paraId="7E1F5C49" w14:textId="77777777" w:rsidR="00F36197" w:rsidRPr="00646254" w:rsidRDefault="00F36197" w:rsidP="00F95294">
            <w:pPr>
              <w:spacing w:after="60" w:line="240"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 </w:t>
            </w:r>
          </w:p>
        </w:tc>
      </w:tr>
      <w:tr w:rsidR="00F36197" w:rsidRPr="00646254" w14:paraId="3701B81F" w14:textId="77777777" w:rsidTr="00F95294">
        <w:trPr>
          <w:trHeight w:val="20"/>
          <w:jc w:val="center"/>
        </w:trPr>
        <w:tc>
          <w:tcPr>
            <w:tcW w:w="567" w:type="dxa"/>
            <w:tcBorders>
              <w:top w:val="nil"/>
              <w:left w:val="nil"/>
              <w:bottom w:val="nil"/>
              <w:right w:val="nil"/>
            </w:tcBorders>
            <w:shd w:val="clear" w:color="auto" w:fill="auto"/>
            <w:hideMark/>
          </w:tcPr>
          <w:p w14:paraId="5319EA8A" w14:textId="77777777" w:rsidR="00F36197" w:rsidRPr="00646254" w:rsidRDefault="00F36197" w:rsidP="007236B3">
            <w:pPr>
              <w:spacing w:after="60" w:line="240"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1</w:t>
            </w:r>
          </w:p>
        </w:tc>
        <w:tc>
          <w:tcPr>
            <w:tcW w:w="5036" w:type="dxa"/>
            <w:tcBorders>
              <w:top w:val="nil"/>
              <w:left w:val="nil"/>
              <w:bottom w:val="nil"/>
              <w:right w:val="nil"/>
            </w:tcBorders>
            <w:shd w:val="clear" w:color="auto" w:fill="auto"/>
            <w:vAlign w:val="center"/>
            <w:hideMark/>
          </w:tcPr>
          <w:p w14:paraId="24478481" w14:textId="77777777" w:rsidR="00F36197" w:rsidRPr="00646254" w:rsidRDefault="00F36197" w:rsidP="007236B3">
            <w:pPr>
              <w:spacing w:after="60" w:line="240" w:lineRule="auto"/>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„Електродистрибуција Србије” д.о.о. Београд - Пројекат за паметна бројила</w:t>
            </w:r>
          </w:p>
        </w:tc>
        <w:tc>
          <w:tcPr>
            <w:tcW w:w="1488" w:type="dxa"/>
            <w:tcBorders>
              <w:top w:val="nil"/>
              <w:left w:val="nil"/>
              <w:bottom w:val="nil"/>
              <w:right w:val="nil"/>
            </w:tcBorders>
            <w:shd w:val="clear" w:color="auto" w:fill="auto"/>
            <w:hideMark/>
          </w:tcPr>
          <w:p w14:paraId="66B31091" w14:textId="77777777" w:rsidR="00F36197" w:rsidRPr="00646254" w:rsidRDefault="00F36197" w:rsidP="00F95294">
            <w:pPr>
              <w:spacing w:after="60" w:line="240"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4.756.000.000</w:t>
            </w:r>
          </w:p>
        </w:tc>
        <w:tc>
          <w:tcPr>
            <w:tcW w:w="1131" w:type="dxa"/>
            <w:tcBorders>
              <w:top w:val="nil"/>
              <w:left w:val="nil"/>
              <w:bottom w:val="nil"/>
              <w:right w:val="nil"/>
            </w:tcBorders>
            <w:shd w:val="clear" w:color="auto" w:fill="auto"/>
            <w:hideMark/>
          </w:tcPr>
          <w:p w14:paraId="7E8F845B" w14:textId="77777777" w:rsidR="00F36197" w:rsidRPr="00646254" w:rsidRDefault="00F36197" w:rsidP="00F95294">
            <w:pPr>
              <w:spacing w:after="60" w:line="240" w:lineRule="auto"/>
              <w:jc w:val="center"/>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EUR</w:t>
            </w:r>
          </w:p>
        </w:tc>
        <w:tc>
          <w:tcPr>
            <w:tcW w:w="1417" w:type="dxa"/>
            <w:tcBorders>
              <w:top w:val="nil"/>
              <w:left w:val="nil"/>
              <w:bottom w:val="nil"/>
              <w:right w:val="nil"/>
            </w:tcBorders>
            <w:shd w:val="clear" w:color="auto" w:fill="auto"/>
            <w:hideMark/>
          </w:tcPr>
          <w:p w14:paraId="62D596A9" w14:textId="77777777" w:rsidR="00F36197" w:rsidRPr="00646254" w:rsidRDefault="00F36197" w:rsidP="00F95294">
            <w:pPr>
              <w:spacing w:after="60" w:line="240"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40.000.000</w:t>
            </w:r>
          </w:p>
        </w:tc>
      </w:tr>
      <w:tr w:rsidR="00F36197" w:rsidRPr="00646254" w14:paraId="5E3A9BAC" w14:textId="77777777" w:rsidTr="00F95294">
        <w:trPr>
          <w:trHeight w:val="20"/>
          <w:jc w:val="center"/>
        </w:trPr>
        <w:tc>
          <w:tcPr>
            <w:tcW w:w="567" w:type="dxa"/>
            <w:tcBorders>
              <w:top w:val="nil"/>
              <w:left w:val="nil"/>
              <w:bottom w:val="nil"/>
              <w:right w:val="nil"/>
            </w:tcBorders>
            <w:shd w:val="clear" w:color="auto" w:fill="auto"/>
            <w:hideMark/>
          </w:tcPr>
          <w:p w14:paraId="58015839" w14:textId="77777777" w:rsidR="00F36197" w:rsidRPr="00646254" w:rsidRDefault="00F36197" w:rsidP="007236B3">
            <w:pPr>
              <w:spacing w:after="60" w:line="240" w:lineRule="auto"/>
              <w:jc w:val="right"/>
              <w:rPr>
                <w:rFonts w:eastAsia="MS PGothic" w:cstheme="minorHAnsi"/>
                <w:color w:val="002060"/>
                <w:sz w:val="18"/>
                <w:szCs w:val="18"/>
                <w:lang w:val="sr-Cyrl-CS" w:eastAsia="ja-JP"/>
              </w:rPr>
            </w:pPr>
          </w:p>
        </w:tc>
        <w:tc>
          <w:tcPr>
            <w:tcW w:w="5036" w:type="dxa"/>
            <w:tcBorders>
              <w:top w:val="nil"/>
              <w:left w:val="nil"/>
              <w:bottom w:val="nil"/>
              <w:right w:val="nil"/>
            </w:tcBorders>
            <w:shd w:val="clear" w:color="auto" w:fill="auto"/>
            <w:vAlign w:val="center"/>
            <w:hideMark/>
          </w:tcPr>
          <w:p w14:paraId="46A2702D" w14:textId="77777777" w:rsidR="00F36197" w:rsidRPr="00646254" w:rsidRDefault="00F36197" w:rsidP="007236B3">
            <w:pPr>
              <w:spacing w:after="60" w:line="240" w:lineRule="auto"/>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Укупно:</w:t>
            </w:r>
          </w:p>
        </w:tc>
        <w:tc>
          <w:tcPr>
            <w:tcW w:w="1488" w:type="dxa"/>
            <w:tcBorders>
              <w:top w:val="nil"/>
              <w:left w:val="nil"/>
              <w:bottom w:val="nil"/>
              <w:right w:val="nil"/>
            </w:tcBorders>
            <w:shd w:val="clear" w:color="auto" w:fill="auto"/>
            <w:hideMark/>
          </w:tcPr>
          <w:p w14:paraId="60B656A5" w14:textId="77777777" w:rsidR="00F36197" w:rsidRPr="00646254" w:rsidRDefault="00F36197" w:rsidP="00F95294">
            <w:pPr>
              <w:spacing w:after="60" w:line="240"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4.756.000.000</w:t>
            </w:r>
          </w:p>
        </w:tc>
        <w:tc>
          <w:tcPr>
            <w:tcW w:w="1131" w:type="dxa"/>
            <w:tcBorders>
              <w:top w:val="nil"/>
              <w:left w:val="nil"/>
              <w:bottom w:val="nil"/>
              <w:right w:val="nil"/>
            </w:tcBorders>
            <w:shd w:val="clear" w:color="auto" w:fill="auto"/>
            <w:hideMark/>
          </w:tcPr>
          <w:p w14:paraId="4E26F226" w14:textId="77777777" w:rsidR="00F36197" w:rsidRPr="00646254" w:rsidRDefault="00F36197" w:rsidP="00F95294">
            <w:pPr>
              <w:spacing w:after="60" w:line="240" w:lineRule="auto"/>
              <w:jc w:val="center"/>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EUR</w:t>
            </w:r>
          </w:p>
        </w:tc>
        <w:tc>
          <w:tcPr>
            <w:tcW w:w="1417" w:type="dxa"/>
            <w:tcBorders>
              <w:top w:val="nil"/>
              <w:left w:val="nil"/>
              <w:bottom w:val="nil"/>
              <w:right w:val="nil"/>
            </w:tcBorders>
            <w:shd w:val="clear" w:color="auto" w:fill="auto"/>
            <w:hideMark/>
          </w:tcPr>
          <w:p w14:paraId="47247F76" w14:textId="77777777" w:rsidR="00F36197" w:rsidRPr="00646254" w:rsidRDefault="00F36197" w:rsidP="00F95294">
            <w:pPr>
              <w:spacing w:after="60" w:line="240"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40.000.000</w:t>
            </w:r>
          </w:p>
        </w:tc>
      </w:tr>
      <w:tr w:rsidR="00F36197" w:rsidRPr="00646254" w14:paraId="18C13BDF" w14:textId="77777777" w:rsidTr="00F95294">
        <w:trPr>
          <w:trHeight w:val="20"/>
          <w:jc w:val="center"/>
        </w:trPr>
        <w:tc>
          <w:tcPr>
            <w:tcW w:w="567" w:type="dxa"/>
            <w:tcBorders>
              <w:top w:val="nil"/>
              <w:left w:val="nil"/>
              <w:bottom w:val="nil"/>
              <w:right w:val="nil"/>
            </w:tcBorders>
            <w:shd w:val="clear" w:color="000000" w:fill="E7E6E6"/>
            <w:vAlign w:val="center"/>
            <w:hideMark/>
          </w:tcPr>
          <w:p w14:paraId="0972EC1B" w14:textId="77777777" w:rsidR="00F36197" w:rsidRPr="00646254" w:rsidRDefault="00F36197" w:rsidP="007236B3">
            <w:pPr>
              <w:spacing w:after="60" w:line="240" w:lineRule="auto"/>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IV.</w:t>
            </w:r>
          </w:p>
        </w:tc>
        <w:tc>
          <w:tcPr>
            <w:tcW w:w="5036" w:type="dxa"/>
            <w:tcBorders>
              <w:top w:val="nil"/>
              <w:left w:val="nil"/>
              <w:bottom w:val="nil"/>
              <w:right w:val="nil"/>
            </w:tcBorders>
            <w:shd w:val="clear" w:color="000000" w:fill="E7E6E6"/>
            <w:vAlign w:val="center"/>
            <w:hideMark/>
          </w:tcPr>
          <w:p w14:paraId="18D87A63" w14:textId="77777777" w:rsidR="00F36197" w:rsidRPr="00646254" w:rsidRDefault="00F36197" w:rsidP="007236B3">
            <w:pPr>
              <w:spacing w:after="60" w:line="240" w:lineRule="auto"/>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Пословним банкама</w:t>
            </w:r>
          </w:p>
        </w:tc>
        <w:tc>
          <w:tcPr>
            <w:tcW w:w="1488" w:type="dxa"/>
            <w:tcBorders>
              <w:top w:val="nil"/>
              <w:left w:val="nil"/>
              <w:bottom w:val="nil"/>
              <w:right w:val="nil"/>
            </w:tcBorders>
            <w:shd w:val="clear" w:color="000000" w:fill="E7E6E6"/>
            <w:hideMark/>
          </w:tcPr>
          <w:p w14:paraId="43DBF2BE" w14:textId="77777777" w:rsidR="00F36197" w:rsidRPr="00646254" w:rsidRDefault="00F36197" w:rsidP="00F95294">
            <w:pPr>
              <w:spacing w:after="60" w:line="240"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 </w:t>
            </w:r>
          </w:p>
        </w:tc>
        <w:tc>
          <w:tcPr>
            <w:tcW w:w="1131" w:type="dxa"/>
            <w:tcBorders>
              <w:top w:val="nil"/>
              <w:left w:val="nil"/>
              <w:bottom w:val="nil"/>
              <w:right w:val="nil"/>
            </w:tcBorders>
            <w:shd w:val="clear" w:color="000000" w:fill="E7E6E6"/>
            <w:hideMark/>
          </w:tcPr>
          <w:p w14:paraId="67FC4780" w14:textId="77777777" w:rsidR="00F36197" w:rsidRPr="00646254" w:rsidRDefault="00F36197" w:rsidP="00F95294">
            <w:pPr>
              <w:spacing w:after="60" w:line="240" w:lineRule="auto"/>
              <w:jc w:val="center"/>
              <w:rPr>
                <w:rFonts w:eastAsia="MS PGothic" w:cstheme="minorHAnsi"/>
                <w:color w:val="002060"/>
                <w:sz w:val="18"/>
                <w:szCs w:val="18"/>
                <w:lang w:val="sr-Cyrl-CS" w:eastAsia="ja-JP"/>
              </w:rPr>
            </w:pPr>
          </w:p>
        </w:tc>
        <w:tc>
          <w:tcPr>
            <w:tcW w:w="1417" w:type="dxa"/>
            <w:tcBorders>
              <w:top w:val="nil"/>
              <w:left w:val="nil"/>
              <w:bottom w:val="nil"/>
              <w:right w:val="nil"/>
            </w:tcBorders>
            <w:shd w:val="clear" w:color="000000" w:fill="E7E6E6"/>
            <w:hideMark/>
          </w:tcPr>
          <w:p w14:paraId="544FE998" w14:textId="77777777" w:rsidR="00F36197" w:rsidRPr="00646254" w:rsidRDefault="00F36197" w:rsidP="00F95294">
            <w:pPr>
              <w:spacing w:after="60" w:line="240"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 </w:t>
            </w:r>
          </w:p>
        </w:tc>
      </w:tr>
      <w:tr w:rsidR="00F36197" w:rsidRPr="00646254" w14:paraId="166411B6" w14:textId="77777777" w:rsidTr="00F95294">
        <w:trPr>
          <w:trHeight w:val="20"/>
          <w:jc w:val="center"/>
        </w:trPr>
        <w:tc>
          <w:tcPr>
            <w:tcW w:w="567" w:type="dxa"/>
            <w:tcBorders>
              <w:top w:val="nil"/>
              <w:left w:val="nil"/>
              <w:bottom w:val="nil"/>
              <w:right w:val="nil"/>
            </w:tcBorders>
            <w:shd w:val="clear" w:color="auto" w:fill="auto"/>
            <w:hideMark/>
          </w:tcPr>
          <w:p w14:paraId="482290B6" w14:textId="77777777" w:rsidR="00F36197" w:rsidRPr="00646254" w:rsidRDefault="00F36197" w:rsidP="007236B3">
            <w:pPr>
              <w:spacing w:after="60" w:line="240"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1</w:t>
            </w:r>
          </w:p>
        </w:tc>
        <w:tc>
          <w:tcPr>
            <w:tcW w:w="5036" w:type="dxa"/>
            <w:tcBorders>
              <w:top w:val="nil"/>
              <w:left w:val="nil"/>
              <w:bottom w:val="nil"/>
              <w:right w:val="nil"/>
            </w:tcBorders>
            <w:shd w:val="clear" w:color="auto" w:fill="auto"/>
            <w:vAlign w:val="center"/>
            <w:hideMark/>
          </w:tcPr>
          <w:p w14:paraId="71166085" w14:textId="009A3E72" w:rsidR="00F36197" w:rsidRPr="00646254" w:rsidRDefault="00F36197" w:rsidP="007236B3">
            <w:pPr>
              <w:spacing w:after="60" w:line="240" w:lineRule="auto"/>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 xml:space="preserve">ЈП </w:t>
            </w:r>
            <w:r w:rsidR="00B16DD6" w:rsidRPr="00646254">
              <w:rPr>
                <w:rFonts w:eastAsia="MS PGothic" w:cstheme="minorHAnsi"/>
                <w:color w:val="002060"/>
                <w:sz w:val="18"/>
                <w:szCs w:val="18"/>
                <w:lang w:val="sr-Cyrl-CS" w:eastAsia="ja-JP"/>
              </w:rPr>
              <w:t>„</w:t>
            </w:r>
            <w:r w:rsidRPr="00646254">
              <w:rPr>
                <w:rFonts w:eastAsia="MS PGothic" w:cstheme="minorHAnsi"/>
                <w:color w:val="002060"/>
                <w:sz w:val="18"/>
                <w:szCs w:val="18"/>
                <w:lang w:val="sr-Cyrl-CS" w:eastAsia="ja-JP"/>
              </w:rPr>
              <w:t>Србијагас” - Разводни гасовод Лесковац - Врање</w:t>
            </w:r>
          </w:p>
        </w:tc>
        <w:tc>
          <w:tcPr>
            <w:tcW w:w="1488" w:type="dxa"/>
            <w:tcBorders>
              <w:top w:val="nil"/>
              <w:left w:val="nil"/>
              <w:bottom w:val="nil"/>
              <w:right w:val="nil"/>
            </w:tcBorders>
            <w:shd w:val="clear" w:color="auto" w:fill="auto"/>
            <w:hideMark/>
          </w:tcPr>
          <w:p w14:paraId="0281B652" w14:textId="77777777" w:rsidR="00F36197" w:rsidRPr="00646254" w:rsidRDefault="00F36197" w:rsidP="00F95294">
            <w:pPr>
              <w:spacing w:after="60" w:line="240"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3.329.200.000</w:t>
            </w:r>
          </w:p>
        </w:tc>
        <w:tc>
          <w:tcPr>
            <w:tcW w:w="1131" w:type="dxa"/>
            <w:tcBorders>
              <w:top w:val="nil"/>
              <w:left w:val="nil"/>
              <w:bottom w:val="nil"/>
              <w:right w:val="nil"/>
            </w:tcBorders>
            <w:shd w:val="clear" w:color="auto" w:fill="auto"/>
            <w:hideMark/>
          </w:tcPr>
          <w:p w14:paraId="453C1FC3" w14:textId="77777777" w:rsidR="00F36197" w:rsidRPr="00646254" w:rsidRDefault="00F36197" w:rsidP="00F95294">
            <w:pPr>
              <w:spacing w:after="60" w:line="240" w:lineRule="auto"/>
              <w:jc w:val="center"/>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EUR</w:t>
            </w:r>
          </w:p>
        </w:tc>
        <w:tc>
          <w:tcPr>
            <w:tcW w:w="1417" w:type="dxa"/>
            <w:tcBorders>
              <w:top w:val="nil"/>
              <w:left w:val="nil"/>
              <w:bottom w:val="nil"/>
              <w:right w:val="nil"/>
            </w:tcBorders>
            <w:shd w:val="clear" w:color="auto" w:fill="auto"/>
            <w:hideMark/>
          </w:tcPr>
          <w:p w14:paraId="2E9B499F" w14:textId="77777777" w:rsidR="00F36197" w:rsidRPr="00646254" w:rsidRDefault="00F36197" w:rsidP="00F95294">
            <w:pPr>
              <w:spacing w:after="60" w:line="240"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28.000.000</w:t>
            </w:r>
          </w:p>
        </w:tc>
      </w:tr>
      <w:tr w:rsidR="00F36197" w:rsidRPr="00646254" w14:paraId="3625958E" w14:textId="77777777" w:rsidTr="00F95294">
        <w:trPr>
          <w:trHeight w:val="20"/>
          <w:jc w:val="center"/>
        </w:trPr>
        <w:tc>
          <w:tcPr>
            <w:tcW w:w="567" w:type="dxa"/>
            <w:tcBorders>
              <w:top w:val="nil"/>
              <w:left w:val="nil"/>
              <w:bottom w:val="nil"/>
              <w:right w:val="nil"/>
            </w:tcBorders>
            <w:shd w:val="clear" w:color="auto" w:fill="auto"/>
            <w:hideMark/>
          </w:tcPr>
          <w:p w14:paraId="18082865" w14:textId="77777777" w:rsidR="00F36197" w:rsidRPr="00646254" w:rsidRDefault="00F36197" w:rsidP="007236B3">
            <w:pPr>
              <w:spacing w:after="60" w:line="240"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2</w:t>
            </w:r>
          </w:p>
        </w:tc>
        <w:tc>
          <w:tcPr>
            <w:tcW w:w="5036" w:type="dxa"/>
            <w:tcBorders>
              <w:top w:val="nil"/>
              <w:left w:val="nil"/>
              <w:bottom w:val="nil"/>
              <w:right w:val="nil"/>
            </w:tcBorders>
            <w:shd w:val="clear" w:color="auto" w:fill="auto"/>
            <w:vAlign w:val="center"/>
            <w:hideMark/>
          </w:tcPr>
          <w:p w14:paraId="0C0263CA" w14:textId="55D330F0" w:rsidR="00F36197" w:rsidRPr="00646254" w:rsidRDefault="00F36197" w:rsidP="007236B3">
            <w:pPr>
              <w:spacing w:after="60" w:line="240" w:lineRule="auto"/>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 xml:space="preserve">ЈП </w:t>
            </w:r>
            <w:r w:rsidR="00B16DD6" w:rsidRPr="00646254">
              <w:rPr>
                <w:rFonts w:eastAsia="MS PGothic" w:cstheme="minorHAnsi"/>
                <w:color w:val="002060"/>
                <w:sz w:val="18"/>
                <w:szCs w:val="18"/>
                <w:lang w:val="sr-Cyrl-CS" w:eastAsia="ja-JP"/>
              </w:rPr>
              <w:t>„</w:t>
            </w:r>
            <w:r w:rsidRPr="00646254">
              <w:rPr>
                <w:rFonts w:eastAsia="MS PGothic" w:cstheme="minorHAnsi"/>
                <w:color w:val="002060"/>
                <w:sz w:val="18"/>
                <w:szCs w:val="18"/>
                <w:lang w:val="sr-Cyrl-CS" w:eastAsia="ja-JP"/>
              </w:rPr>
              <w:t>Србијагас” - Гасификација Борског и Зајечарског округа и разводни гасовод Параћин-Бољевац-Рготина-Неготин- Прахово</w:t>
            </w:r>
          </w:p>
        </w:tc>
        <w:tc>
          <w:tcPr>
            <w:tcW w:w="1488" w:type="dxa"/>
            <w:tcBorders>
              <w:top w:val="nil"/>
              <w:left w:val="nil"/>
              <w:bottom w:val="nil"/>
              <w:right w:val="nil"/>
            </w:tcBorders>
            <w:shd w:val="clear" w:color="auto" w:fill="auto"/>
            <w:hideMark/>
          </w:tcPr>
          <w:p w14:paraId="52BAFF98" w14:textId="77777777" w:rsidR="00F36197" w:rsidRPr="00646254" w:rsidRDefault="00F36197" w:rsidP="00F95294">
            <w:pPr>
              <w:spacing w:after="60" w:line="240"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7.847.400.000</w:t>
            </w:r>
          </w:p>
        </w:tc>
        <w:tc>
          <w:tcPr>
            <w:tcW w:w="1131" w:type="dxa"/>
            <w:tcBorders>
              <w:top w:val="nil"/>
              <w:left w:val="nil"/>
              <w:bottom w:val="nil"/>
              <w:right w:val="nil"/>
            </w:tcBorders>
            <w:shd w:val="clear" w:color="auto" w:fill="auto"/>
            <w:hideMark/>
          </w:tcPr>
          <w:p w14:paraId="6AEC416F" w14:textId="77777777" w:rsidR="00F36197" w:rsidRPr="00646254" w:rsidRDefault="00F36197" w:rsidP="00F95294">
            <w:pPr>
              <w:spacing w:after="60" w:line="240" w:lineRule="auto"/>
              <w:jc w:val="center"/>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EUR</w:t>
            </w:r>
          </w:p>
        </w:tc>
        <w:tc>
          <w:tcPr>
            <w:tcW w:w="1417" w:type="dxa"/>
            <w:tcBorders>
              <w:top w:val="nil"/>
              <w:left w:val="nil"/>
              <w:bottom w:val="nil"/>
              <w:right w:val="nil"/>
            </w:tcBorders>
            <w:shd w:val="clear" w:color="auto" w:fill="auto"/>
            <w:hideMark/>
          </w:tcPr>
          <w:p w14:paraId="049729A7" w14:textId="77777777" w:rsidR="00F36197" w:rsidRPr="00646254" w:rsidRDefault="00F36197" w:rsidP="00F95294">
            <w:pPr>
              <w:spacing w:after="60" w:line="240"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66.000.000</w:t>
            </w:r>
          </w:p>
        </w:tc>
      </w:tr>
      <w:tr w:rsidR="00F36197" w:rsidRPr="00646254" w14:paraId="26A68F17" w14:textId="77777777" w:rsidTr="00F95294">
        <w:trPr>
          <w:trHeight w:val="20"/>
          <w:jc w:val="center"/>
        </w:trPr>
        <w:tc>
          <w:tcPr>
            <w:tcW w:w="567" w:type="dxa"/>
            <w:tcBorders>
              <w:top w:val="nil"/>
              <w:left w:val="nil"/>
              <w:bottom w:val="nil"/>
              <w:right w:val="nil"/>
            </w:tcBorders>
            <w:shd w:val="clear" w:color="auto" w:fill="auto"/>
            <w:hideMark/>
          </w:tcPr>
          <w:p w14:paraId="5AE730AA" w14:textId="77777777" w:rsidR="00F36197" w:rsidRPr="00646254" w:rsidRDefault="00F36197" w:rsidP="007236B3">
            <w:pPr>
              <w:spacing w:after="60" w:line="240"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3</w:t>
            </w:r>
          </w:p>
        </w:tc>
        <w:tc>
          <w:tcPr>
            <w:tcW w:w="5036" w:type="dxa"/>
            <w:tcBorders>
              <w:top w:val="nil"/>
              <w:left w:val="nil"/>
              <w:bottom w:val="nil"/>
              <w:right w:val="nil"/>
            </w:tcBorders>
            <w:shd w:val="clear" w:color="auto" w:fill="auto"/>
            <w:vAlign w:val="center"/>
            <w:hideMark/>
          </w:tcPr>
          <w:p w14:paraId="7242DFEB" w14:textId="0975B27B" w:rsidR="00F36197" w:rsidRPr="00646254" w:rsidRDefault="00F36197" w:rsidP="007236B3">
            <w:pPr>
              <w:spacing w:after="60" w:line="240" w:lineRule="auto"/>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 xml:space="preserve">ЈП </w:t>
            </w:r>
            <w:r w:rsidR="00B16DD6" w:rsidRPr="00646254">
              <w:rPr>
                <w:rFonts w:eastAsia="MS PGothic" w:cstheme="minorHAnsi"/>
                <w:color w:val="002060"/>
                <w:sz w:val="18"/>
                <w:szCs w:val="18"/>
                <w:lang w:val="sr-Cyrl-CS" w:eastAsia="ja-JP"/>
              </w:rPr>
              <w:t>„</w:t>
            </w:r>
            <w:r w:rsidRPr="00646254">
              <w:rPr>
                <w:rFonts w:eastAsia="MS PGothic" w:cstheme="minorHAnsi"/>
                <w:color w:val="002060"/>
                <w:sz w:val="18"/>
                <w:szCs w:val="18"/>
                <w:lang w:val="sr-Cyrl-CS" w:eastAsia="ja-JP"/>
              </w:rPr>
              <w:t>Србијагас” - Гасификација Колубарског округа и изградња разводног гасовода Београд-Ваљево-Лозница</w:t>
            </w:r>
          </w:p>
        </w:tc>
        <w:tc>
          <w:tcPr>
            <w:tcW w:w="1488" w:type="dxa"/>
            <w:tcBorders>
              <w:top w:val="nil"/>
              <w:left w:val="nil"/>
              <w:bottom w:val="nil"/>
              <w:right w:val="nil"/>
            </w:tcBorders>
            <w:shd w:val="clear" w:color="auto" w:fill="auto"/>
            <w:hideMark/>
          </w:tcPr>
          <w:p w14:paraId="0A95255F" w14:textId="77777777" w:rsidR="00F36197" w:rsidRPr="00646254" w:rsidRDefault="00F36197" w:rsidP="00F95294">
            <w:pPr>
              <w:spacing w:after="60" w:line="240"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8.917.500.000</w:t>
            </w:r>
          </w:p>
        </w:tc>
        <w:tc>
          <w:tcPr>
            <w:tcW w:w="1131" w:type="dxa"/>
            <w:tcBorders>
              <w:top w:val="nil"/>
              <w:left w:val="nil"/>
              <w:bottom w:val="nil"/>
              <w:right w:val="nil"/>
            </w:tcBorders>
            <w:shd w:val="clear" w:color="auto" w:fill="auto"/>
            <w:hideMark/>
          </w:tcPr>
          <w:p w14:paraId="16C76FAD" w14:textId="77777777" w:rsidR="00F36197" w:rsidRPr="00646254" w:rsidRDefault="00F36197" w:rsidP="00F95294">
            <w:pPr>
              <w:spacing w:after="60" w:line="240" w:lineRule="auto"/>
              <w:jc w:val="center"/>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EUR</w:t>
            </w:r>
          </w:p>
        </w:tc>
        <w:tc>
          <w:tcPr>
            <w:tcW w:w="1417" w:type="dxa"/>
            <w:tcBorders>
              <w:top w:val="nil"/>
              <w:left w:val="nil"/>
              <w:bottom w:val="nil"/>
              <w:right w:val="nil"/>
            </w:tcBorders>
            <w:shd w:val="clear" w:color="auto" w:fill="auto"/>
            <w:hideMark/>
          </w:tcPr>
          <w:p w14:paraId="7C14023B" w14:textId="77777777" w:rsidR="00F36197" w:rsidRPr="00646254" w:rsidRDefault="00F36197" w:rsidP="00F95294">
            <w:pPr>
              <w:spacing w:after="60" w:line="240"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75.000.000</w:t>
            </w:r>
          </w:p>
        </w:tc>
      </w:tr>
      <w:tr w:rsidR="00F36197" w:rsidRPr="00646254" w14:paraId="45BF6ED2" w14:textId="77777777" w:rsidTr="00F95294">
        <w:trPr>
          <w:trHeight w:val="401"/>
          <w:jc w:val="center"/>
        </w:trPr>
        <w:tc>
          <w:tcPr>
            <w:tcW w:w="567" w:type="dxa"/>
            <w:tcBorders>
              <w:top w:val="nil"/>
              <w:left w:val="nil"/>
              <w:bottom w:val="nil"/>
              <w:right w:val="nil"/>
            </w:tcBorders>
            <w:shd w:val="clear" w:color="auto" w:fill="auto"/>
          </w:tcPr>
          <w:p w14:paraId="5ECC305B" w14:textId="77777777" w:rsidR="00F36197" w:rsidRPr="00646254" w:rsidRDefault="00F36197" w:rsidP="007236B3">
            <w:pPr>
              <w:spacing w:after="60" w:line="240"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4</w:t>
            </w:r>
          </w:p>
        </w:tc>
        <w:tc>
          <w:tcPr>
            <w:tcW w:w="5036" w:type="dxa"/>
            <w:tcBorders>
              <w:top w:val="nil"/>
              <w:left w:val="nil"/>
              <w:bottom w:val="nil"/>
              <w:right w:val="nil"/>
            </w:tcBorders>
            <w:shd w:val="clear" w:color="auto" w:fill="auto"/>
            <w:vAlign w:val="center"/>
          </w:tcPr>
          <w:p w14:paraId="5A680C71" w14:textId="31CAC917" w:rsidR="00F36197" w:rsidRPr="00646254" w:rsidRDefault="00F36197" w:rsidP="007236B3">
            <w:pPr>
              <w:spacing w:after="60" w:line="240" w:lineRule="auto"/>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 xml:space="preserve">ЈП </w:t>
            </w:r>
            <w:r w:rsidR="00B16DD6" w:rsidRPr="00646254">
              <w:rPr>
                <w:rFonts w:eastAsia="MS PGothic" w:cstheme="minorHAnsi"/>
                <w:color w:val="002060"/>
                <w:sz w:val="18"/>
                <w:szCs w:val="18"/>
                <w:lang w:val="sr-Cyrl-CS" w:eastAsia="ja-JP"/>
              </w:rPr>
              <w:t>„</w:t>
            </w:r>
            <w:r w:rsidRPr="00646254">
              <w:rPr>
                <w:rFonts w:eastAsia="MS PGothic" w:cstheme="minorHAnsi"/>
                <w:color w:val="002060"/>
                <w:sz w:val="18"/>
                <w:szCs w:val="18"/>
                <w:lang w:val="sr-Cyrl-CS" w:eastAsia="ja-JP"/>
              </w:rPr>
              <w:t>Србијагас” – Jaчање транспортних капацитета гасовода у Републици Србији</w:t>
            </w:r>
          </w:p>
        </w:tc>
        <w:tc>
          <w:tcPr>
            <w:tcW w:w="1488" w:type="dxa"/>
            <w:tcBorders>
              <w:top w:val="nil"/>
              <w:left w:val="nil"/>
              <w:bottom w:val="nil"/>
              <w:right w:val="nil"/>
            </w:tcBorders>
            <w:shd w:val="clear" w:color="auto" w:fill="auto"/>
          </w:tcPr>
          <w:p w14:paraId="64B22EC7" w14:textId="77777777" w:rsidR="00F36197" w:rsidRPr="00646254" w:rsidRDefault="00F36197" w:rsidP="00F95294">
            <w:pPr>
              <w:spacing w:after="60" w:line="240"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21.402.000.000</w:t>
            </w:r>
          </w:p>
        </w:tc>
        <w:tc>
          <w:tcPr>
            <w:tcW w:w="1131" w:type="dxa"/>
            <w:tcBorders>
              <w:top w:val="nil"/>
              <w:left w:val="nil"/>
              <w:bottom w:val="nil"/>
              <w:right w:val="nil"/>
            </w:tcBorders>
            <w:shd w:val="clear" w:color="auto" w:fill="auto"/>
          </w:tcPr>
          <w:p w14:paraId="22B97F6E" w14:textId="77777777" w:rsidR="00F36197" w:rsidRPr="00646254" w:rsidRDefault="00F36197" w:rsidP="00F95294">
            <w:pPr>
              <w:spacing w:after="60" w:line="240" w:lineRule="auto"/>
              <w:jc w:val="center"/>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EUR</w:t>
            </w:r>
          </w:p>
        </w:tc>
        <w:tc>
          <w:tcPr>
            <w:tcW w:w="1417" w:type="dxa"/>
            <w:tcBorders>
              <w:top w:val="nil"/>
              <w:left w:val="nil"/>
              <w:bottom w:val="nil"/>
              <w:right w:val="nil"/>
            </w:tcBorders>
            <w:shd w:val="clear" w:color="auto" w:fill="auto"/>
          </w:tcPr>
          <w:p w14:paraId="415A7175" w14:textId="77777777" w:rsidR="00F36197" w:rsidRPr="00646254" w:rsidRDefault="00F36197" w:rsidP="00F95294">
            <w:pPr>
              <w:spacing w:after="60" w:line="240"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180.000.000</w:t>
            </w:r>
          </w:p>
        </w:tc>
      </w:tr>
      <w:tr w:rsidR="00F36197" w:rsidRPr="00646254" w14:paraId="212326C3" w14:textId="77777777" w:rsidTr="00F95294">
        <w:trPr>
          <w:trHeight w:val="401"/>
          <w:jc w:val="center"/>
        </w:trPr>
        <w:tc>
          <w:tcPr>
            <w:tcW w:w="567" w:type="dxa"/>
            <w:tcBorders>
              <w:top w:val="nil"/>
              <w:left w:val="nil"/>
              <w:bottom w:val="nil"/>
              <w:right w:val="nil"/>
            </w:tcBorders>
            <w:shd w:val="clear" w:color="auto" w:fill="auto"/>
          </w:tcPr>
          <w:p w14:paraId="5C0B358B" w14:textId="77777777" w:rsidR="00F36197" w:rsidRPr="00646254" w:rsidRDefault="00F36197" w:rsidP="002C06AB">
            <w:pPr>
              <w:spacing w:after="60" w:line="240"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5</w:t>
            </w:r>
          </w:p>
        </w:tc>
        <w:tc>
          <w:tcPr>
            <w:tcW w:w="5036" w:type="dxa"/>
            <w:tcBorders>
              <w:top w:val="nil"/>
              <w:left w:val="nil"/>
              <w:bottom w:val="nil"/>
              <w:right w:val="nil"/>
            </w:tcBorders>
            <w:shd w:val="clear" w:color="auto" w:fill="auto"/>
            <w:vAlign w:val="center"/>
          </w:tcPr>
          <w:p w14:paraId="35120BBC" w14:textId="45F40105" w:rsidR="00F36197" w:rsidRPr="00646254" w:rsidRDefault="00F36197" w:rsidP="002C06AB">
            <w:pPr>
              <w:spacing w:after="60" w:line="240" w:lineRule="auto"/>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 xml:space="preserve">ЈП </w:t>
            </w:r>
            <w:r w:rsidR="00B16DD6" w:rsidRPr="00646254">
              <w:rPr>
                <w:rFonts w:eastAsia="MS PGothic" w:cstheme="minorHAnsi"/>
                <w:color w:val="002060"/>
                <w:sz w:val="18"/>
                <w:szCs w:val="18"/>
                <w:lang w:val="sr-Cyrl-CS" w:eastAsia="ja-JP"/>
              </w:rPr>
              <w:t>„</w:t>
            </w:r>
            <w:r w:rsidRPr="00646254">
              <w:rPr>
                <w:rFonts w:eastAsia="MS PGothic" w:cstheme="minorHAnsi"/>
                <w:color w:val="002060"/>
                <w:sz w:val="18"/>
                <w:szCs w:val="18"/>
                <w:lang w:val="sr-Cyrl-CS" w:eastAsia="ja-JP"/>
              </w:rPr>
              <w:t>Електропривреда Србије” - Пројекат изградње хидроелектране Бук Бијела у Републици Српској кроз улагање у капитал</w:t>
            </w:r>
          </w:p>
        </w:tc>
        <w:tc>
          <w:tcPr>
            <w:tcW w:w="1488" w:type="dxa"/>
            <w:tcBorders>
              <w:top w:val="nil"/>
              <w:left w:val="nil"/>
              <w:bottom w:val="nil"/>
              <w:right w:val="nil"/>
            </w:tcBorders>
            <w:shd w:val="clear" w:color="auto" w:fill="auto"/>
          </w:tcPr>
          <w:p w14:paraId="1058F6E7" w14:textId="77777777" w:rsidR="00F36197" w:rsidRPr="00646254" w:rsidRDefault="00F36197" w:rsidP="00F95294">
            <w:pPr>
              <w:spacing w:after="60" w:line="240"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29.725.000.000</w:t>
            </w:r>
          </w:p>
        </w:tc>
        <w:tc>
          <w:tcPr>
            <w:tcW w:w="1131" w:type="dxa"/>
            <w:tcBorders>
              <w:top w:val="nil"/>
              <w:left w:val="nil"/>
              <w:bottom w:val="nil"/>
              <w:right w:val="nil"/>
            </w:tcBorders>
            <w:shd w:val="clear" w:color="auto" w:fill="auto"/>
          </w:tcPr>
          <w:p w14:paraId="4004B9F5" w14:textId="77777777" w:rsidR="00F36197" w:rsidRPr="00646254" w:rsidRDefault="00F36197" w:rsidP="00F95294">
            <w:pPr>
              <w:spacing w:after="60" w:line="240" w:lineRule="auto"/>
              <w:jc w:val="center"/>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EUR</w:t>
            </w:r>
          </w:p>
        </w:tc>
        <w:tc>
          <w:tcPr>
            <w:tcW w:w="1417" w:type="dxa"/>
            <w:tcBorders>
              <w:top w:val="nil"/>
              <w:left w:val="nil"/>
              <w:bottom w:val="nil"/>
              <w:right w:val="nil"/>
            </w:tcBorders>
            <w:shd w:val="clear" w:color="auto" w:fill="auto"/>
          </w:tcPr>
          <w:p w14:paraId="105ED522" w14:textId="77777777" w:rsidR="00F36197" w:rsidRPr="00646254" w:rsidRDefault="00F36197" w:rsidP="00F95294">
            <w:pPr>
              <w:spacing w:after="60" w:line="240"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250.000.000</w:t>
            </w:r>
          </w:p>
        </w:tc>
      </w:tr>
      <w:tr w:rsidR="00F36197" w:rsidRPr="00646254" w14:paraId="4541DC70" w14:textId="77777777" w:rsidTr="00F95294">
        <w:trPr>
          <w:trHeight w:val="20"/>
          <w:jc w:val="center"/>
        </w:trPr>
        <w:tc>
          <w:tcPr>
            <w:tcW w:w="567" w:type="dxa"/>
            <w:tcBorders>
              <w:top w:val="nil"/>
              <w:left w:val="nil"/>
              <w:bottom w:val="nil"/>
              <w:right w:val="nil"/>
            </w:tcBorders>
            <w:shd w:val="clear" w:color="auto" w:fill="auto"/>
            <w:hideMark/>
          </w:tcPr>
          <w:p w14:paraId="5C92BD29" w14:textId="77777777" w:rsidR="00F36197" w:rsidRPr="00646254" w:rsidRDefault="00F36197" w:rsidP="007236B3">
            <w:pPr>
              <w:spacing w:after="60" w:line="240"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6</w:t>
            </w:r>
          </w:p>
        </w:tc>
        <w:tc>
          <w:tcPr>
            <w:tcW w:w="5036" w:type="dxa"/>
            <w:tcBorders>
              <w:top w:val="nil"/>
              <w:left w:val="nil"/>
              <w:bottom w:val="nil"/>
              <w:right w:val="nil"/>
            </w:tcBorders>
            <w:shd w:val="clear" w:color="auto" w:fill="auto"/>
            <w:vAlign w:val="center"/>
            <w:hideMark/>
          </w:tcPr>
          <w:p w14:paraId="046FC230" w14:textId="77777777" w:rsidR="00F36197" w:rsidRPr="00646254" w:rsidRDefault="00F36197" w:rsidP="007236B3">
            <w:pPr>
              <w:spacing w:after="60" w:line="240" w:lineRule="auto"/>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„Електродистрибуција Србије” д.о.о. Београд - Пројекат аутоматизације средњенапонске дистрибутивне мреже</w:t>
            </w:r>
          </w:p>
        </w:tc>
        <w:tc>
          <w:tcPr>
            <w:tcW w:w="1488" w:type="dxa"/>
            <w:tcBorders>
              <w:top w:val="nil"/>
              <w:left w:val="nil"/>
              <w:bottom w:val="nil"/>
              <w:right w:val="nil"/>
            </w:tcBorders>
            <w:shd w:val="clear" w:color="auto" w:fill="auto"/>
            <w:hideMark/>
          </w:tcPr>
          <w:p w14:paraId="4E795B51" w14:textId="77777777" w:rsidR="00F36197" w:rsidRPr="00646254" w:rsidRDefault="00F36197" w:rsidP="00F95294">
            <w:pPr>
              <w:spacing w:after="60" w:line="240"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11.551.340.459</w:t>
            </w:r>
          </w:p>
        </w:tc>
        <w:tc>
          <w:tcPr>
            <w:tcW w:w="1131" w:type="dxa"/>
            <w:tcBorders>
              <w:top w:val="nil"/>
              <w:left w:val="nil"/>
              <w:bottom w:val="nil"/>
              <w:right w:val="nil"/>
            </w:tcBorders>
            <w:shd w:val="clear" w:color="auto" w:fill="auto"/>
            <w:hideMark/>
          </w:tcPr>
          <w:p w14:paraId="20B10EE4" w14:textId="77777777" w:rsidR="00F36197" w:rsidRPr="00646254" w:rsidRDefault="00F36197" w:rsidP="00F95294">
            <w:pPr>
              <w:spacing w:after="60" w:line="240" w:lineRule="auto"/>
              <w:jc w:val="center"/>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EUR</w:t>
            </w:r>
          </w:p>
        </w:tc>
        <w:tc>
          <w:tcPr>
            <w:tcW w:w="1417" w:type="dxa"/>
            <w:tcBorders>
              <w:top w:val="nil"/>
              <w:left w:val="nil"/>
              <w:bottom w:val="nil"/>
              <w:right w:val="nil"/>
            </w:tcBorders>
            <w:shd w:val="clear" w:color="auto" w:fill="auto"/>
            <w:hideMark/>
          </w:tcPr>
          <w:p w14:paraId="4394F9D9" w14:textId="77777777" w:rsidR="00F36197" w:rsidRPr="00646254" w:rsidRDefault="00F36197" w:rsidP="00F95294">
            <w:pPr>
              <w:spacing w:after="60" w:line="240"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97.151.728</w:t>
            </w:r>
          </w:p>
        </w:tc>
      </w:tr>
      <w:tr w:rsidR="00F36197" w:rsidRPr="00646254" w14:paraId="225AB002" w14:textId="77777777" w:rsidTr="00F95294">
        <w:trPr>
          <w:trHeight w:val="20"/>
          <w:jc w:val="center"/>
        </w:trPr>
        <w:tc>
          <w:tcPr>
            <w:tcW w:w="567" w:type="dxa"/>
            <w:tcBorders>
              <w:top w:val="nil"/>
              <w:left w:val="nil"/>
              <w:bottom w:val="nil"/>
              <w:right w:val="nil"/>
            </w:tcBorders>
            <w:shd w:val="clear" w:color="auto" w:fill="auto"/>
            <w:vAlign w:val="center"/>
            <w:hideMark/>
          </w:tcPr>
          <w:p w14:paraId="0AB29007" w14:textId="77777777" w:rsidR="00F36197" w:rsidRPr="00646254" w:rsidRDefault="00F36197" w:rsidP="007236B3">
            <w:pPr>
              <w:spacing w:after="60" w:line="240" w:lineRule="auto"/>
              <w:rPr>
                <w:rFonts w:eastAsia="MS PGothic" w:cstheme="minorHAnsi"/>
                <w:color w:val="002060"/>
                <w:sz w:val="18"/>
                <w:szCs w:val="18"/>
                <w:lang w:val="sr-Cyrl-CS" w:eastAsia="ja-JP"/>
              </w:rPr>
            </w:pPr>
          </w:p>
        </w:tc>
        <w:tc>
          <w:tcPr>
            <w:tcW w:w="5036" w:type="dxa"/>
            <w:tcBorders>
              <w:top w:val="nil"/>
              <w:left w:val="nil"/>
              <w:bottom w:val="nil"/>
              <w:right w:val="nil"/>
            </w:tcBorders>
            <w:shd w:val="clear" w:color="auto" w:fill="auto"/>
            <w:vAlign w:val="center"/>
            <w:hideMark/>
          </w:tcPr>
          <w:p w14:paraId="7F4C2020" w14:textId="77777777" w:rsidR="00F36197" w:rsidRPr="00646254" w:rsidRDefault="00F36197" w:rsidP="007236B3">
            <w:pPr>
              <w:spacing w:after="60" w:line="240" w:lineRule="auto"/>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Укупно:</w:t>
            </w:r>
          </w:p>
        </w:tc>
        <w:tc>
          <w:tcPr>
            <w:tcW w:w="1488" w:type="dxa"/>
            <w:tcBorders>
              <w:top w:val="nil"/>
              <w:left w:val="nil"/>
              <w:bottom w:val="nil"/>
              <w:right w:val="nil"/>
            </w:tcBorders>
            <w:shd w:val="clear" w:color="auto" w:fill="auto"/>
            <w:hideMark/>
          </w:tcPr>
          <w:p w14:paraId="267965AF" w14:textId="77777777" w:rsidR="00F36197" w:rsidRPr="00646254" w:rsidRDefault="00F36197" w:rsidP="00F95294">
            <w:pPr>
              <w:spacing w:after="60" w:line="240"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82.772.440.459</w:t>
            </w:r>
          </w:p>
        </w:tc>
        <w:tc>
          <w:tcPr>
            <w:tcW w:w="1131" w:type="dxa"/>
            <w:tcBorders>
              <w:top w:val="nil"/>
              <w:left w:val="nil"/>
              <w:bottom w:val="nil"/>
              <w:right w:val="nil"/>
            </w:tcBorders>
            <w:shd w:val="clear" w:color="auto" w:fill="auto"/>
            <w:hideMark/>
          </w:tcPr>
          <w:p w14:paraId="1A3EC05F" w14:textId="77777777" w:rsidR="00F36197" w:rsidRPr="00646254" w:rsidRDefault="00F36197" w:rsidP="00F95294">
            <w:pPr>
              <w:spacing w:after="60" w:line="240" w:lineRule="auto"/>
              <w:jc w:val="center"/>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EUR</w:t>
            </w:r>
          </w:p>
        </w:tc>
        <w:tc>
          <w:tcPr>
            <w:tcW w:w="1417" w:type="dxa"/>
            <w:tcBorders>
              <w:top w:val="nil"/>
              <w:left w:val="nil"/>
              <w:bottom w:val="nil"/>
              <w:right w:val="nil"/>
            </w:tcBorders>
            <w:shd w:val="clear" w:color="auto" w:fill="auto"/>
            <w:hideMark/>
          </w:tcPr>
          <w:p w14:paraId="7466AF29" w14:textId="77777777" w:rsidR="00F36197" w:rsidRPr="00646254" w:rsidRDefault="00F36197" w:rsidP="00F95294">
            <w:pPr>
              <w:spacing w:after="60" w:line="240"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696.151.728</w:t>
            </w:r>
          </w:p>
        </w:tc>
      </w:tr>
      <w:tr w:rsidR="00F36197" w:rsidRPr="00646254" w14:paraId="28E584EA" w14:textId="77777777" w:rsidTr="00F95294">
        <w:trPr>
          <w:trHeight w:val="20"/>
          <w:jc w:val="center"/>
        </w:trPr>
        <w:tc>
          <w:tcPr>
            <w:tcW w:w="567" w:type="dxa"/>
            <w:tcBorders>
              <w:top w:val="nil"/>
              <w:left w:val="nil"/>
              <w:bottom w:val="nil"/>
              <w:right w:val="nil"/>
            </w:tcBorders>
            <w:shd w:val="clear" w:color="000000" w:fill="E7E6E6"/>
            <w:vAlign w:val="center"/>
            <w:hideMark/>
          </w:tcPr>
          <w:p w14:paraId="0C1EF6CD" w14:textId="77777777" w:rsidR="00F36197" w:rsidRPr="00646254" w:rsidRDefault="00F36197" w:rsidP="007236B3">
            <w:pPr>
              <w:spacing w:after="60" w:line="240" w:lineRule="auto"/>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V.</w:t>
            </w:r>
          </w:p>
        </w:tc>
        <w:tc>
          <w:tcPr>
            <w:tcW w:w="5036" w:type="dxa"/>
            <w:tcBorders>
              <w:top w:val="nil"/>
              <w:left w:val="nil"/>
              <w:bottom w:val="nil"/>
              <w:right w:val="nil"/>
            </w:tcBorders>
            <w:shd w:val="clear" w:color="000000" w:fill="E7E6E6"/>
            <w:vAlign w:val="center"/>
            <w:hideMark/>
          </w:tcPr>
          <w:p w14:paraId="1AEEC12F" w14:textId="77777777" w:rsidR="00F36197" w:rsidRPr="00646254" w:rsidRDefault="00F36197" w:rsidP="007236B3">
            <w:pPr>
              <w:spacing w:after="60" w:line="240" w:lineRule="auto"/>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Руској Федерацији (Државна развојна корпорација „VEB.RF”)</w:t>
            </w:r>
          </w:p>
        </w:tc>
        <w:tc>
          <w:tcPr>
            <w:tcW w:w="1488" w:type="dxa"/>
            <w:tcBorders>
              <w:top w:val="nil"/>
              <w:left w:val="nil"/>
              <w:bottom w:val="nil"/>
              <w:right w:val="nil"/>
            </w:tcBorders>
            <w:shd w:val="clear" w:color="000000" w:fill="E7E6E6"/>
            <w:hideMark/>
          </w:tcPr>
          <w:p w14:paraId="5475F014" w14:textId="77777777" w:rsidR="00F36197" w:rsidRPr="00646254" w:rsidRDefault="00F36197" w:rsidP="00F95294">
            <w:pPr>
              <w:spacing w:after="60" w:line="240"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 </w:t>
            </w:r>
          </w:p>
        </w:tc>
        <w:tc>
          <w:tcPr>
            <w:tcW w:w="1131" w:type="dxa"/>
            <w:tcBorders>
              <w:top w:val="nil"/>
              <w:left w:val="nil"/>
              <w:bottom w:val="nil"/>
              <w:right w:val="nil"/>
            </w:tcBorders>
            <w:shd w:val="clear" w:color="000000" w:fill="E7E6E6"/>
            <w:hideMark/>
          </w:tcPr>
          <w:p w14:paraId="4B881E75" w14:textId="77777777" w:rsidR="00F36197" w:rsidRPr="00646254" w:rsidRDefault="00F36197" w:rsidP="00F95294">
            <w:pPr>
              <w:spacing w:after="60" w:line="240" w:lineRule="auto"/>
              <w:jc w:val="center"/>
              <w:rPr>
                <w:rFonts w:eastAsia="MS PGothic" w:cstheme="minorHAnsi"/>
                <w:color w:val="002060"/>
                <w:sz w:val="18"/>
                <w:szCs w:val="18"/>
                <w:lang w:val="sr-Cyrl-CS" w:eastAsia="ja-JP"/>
              </w:rPr>
            </w:pPr>
          </w:p>
        </w:tc>
        <w:tc>
          <w:tcPr>
            <w:tcW w:w="1417" w:type="dxa"/>
            <w:tcBorders>
              <w:top w:val="nil"/>
              <w:left w:val="nil"/>
              <w:bottom w:val="nil"/>
              <w:right w:val="nil"/>
            </w:tcBorders>
            <w:shd w:val="clear" w:color="000000" w:fill="E7E6E6"/>
            <w:hideMark/>
          </w:tcPr>
          <w:p w14:paraId="40055D9F" w14:textId="77777777" w:rsidR="00F36197" w:rsidRPr="00646254" w:rsidRDefault="00F36197" w:rsidP="00F95294">
            <w:pPr>
              <w:spacing w:after="60" w:line="240"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 </w:t>
            </w:r>
          </w:p>
        </w:tc>
      </w:tr>
      <w:tr w:rsidR="00F36197" w:rsidRPr="00646254" w14:paraId="45161AC9" w14:textId="77777777" w:rsidTr="00F95294">
        <w:trPr>
          <w:trHeight w:val="20"/>
          <w:jc w:val="center"/>
        </w:trPr>
        <w:tc>
          <w:tcPr>
            <w:tcW w:w="567" w:type="dxa"/>
            <w:tcBorders>
              <w:top w:val="nil"/>
              <w:left w:val="nil"/>
              <w:bottom w:val="nil"/>
              <w:right w:val="nil"/>
            </w:tcBorders>
            <w:shd w:val="clear" w:color="auto" w:fill="auto"/>
            <w:hideMark/>
          </w:tcPr>
          <w:p w14:paraId="0828CAEB" w14:textId="77777777" w:rsidR="00F36197" w:rsidRPr="00646254" w:rsidRDefault="00F36197" w:rsidP="007236B3">
            <w:pPr>
              <w:spacing w:after="60" w:line="240"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1</w:t>
            </w:r>
          </w:p>
        </w:tc>
        <w:tc>
          <w:tcPr>
            <w:tcW w:w="5036" w:type="dxa"/>
            <w:tcBorders>
              <w:top w:val="nil"/>
              <w:left w:val="nil"/>
              <w:bottom w:val="nil"/>
              <w:right w:val="nil"/>
            </w:tcBorders>
            <w:shd w:val="clear" w:color="auto" w:fill="auto"/>
            <w:vAlign w:val="center"/>
            <w:hideMark/>
          </w:tcPr>
          <w:p w14:paraId="1FFD5EE8" w14:textId="77777777" w:rsidR="00F36197" w:rsidRPr="00646254" w:rsidRDefault="00F36197" w:rsidP="007236B3">
            <w:pPr>
              <w:spacing w:after="60" w:line="240" w:lineRule="auto"/>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ЈП „Електропривреда Србије” - Ревитализација хидроелектране „Ђердап 2”</w:t>
            </w:r>
          </w:p>
        </w:tc>
        <w:tc>
          <w:tcPr>
            <w:tcW w:w="1488" w:type="dxa"/>
            <w:tcBorders>
              <w:top w:val="nil"/>
              <w:left w:val="nil"/>
              <w:bottom w:val="nil"/>
              <w:right w:val="nil"/>
            </w:tcBorders>
            <w:shd w:val="clear" w:color="auto" w:fill="auto"/>
            <w:hideMark/>
          </w:tcPr>
          <w:p w14:paraId="562EB356" w14:textId="77777777" w:rsidR="00F36197" w:rsidRPr="00646254" w:rsidRDefault="00F36197" w:rsidP="00F95294">
            <w:pPr>
              <w:spacing w:after="60" w:line="240"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23.780.000.000</w:t>
            </w:r>
          </w:p>
        </w:tc>
        <w:tc>
          <w:tcPr>
            <w:tcW w:w="1131" w:type="dxa"/>
            <w:tcBorders>
              <w:top w:val="nil"/>
              <w:left w:val="nil"/>
              <w:bottom w:val="nil"/>
              <w:right w:val="nil"/>
            </w:tcBorders>
            <w:shd w:val="clear" w:color="auto" w:fill="auto"/>
            <w:hideMark/>
          </w:tcPr>
          <w:p w14:paraId="58A2C7E7" w14:textId="77777777" w:rsidR="00F36197" w:rsidRPr="00646254" w:rsidRDefault="00F36197" w:rsidP="00F95294">
            <w:pPr>
              <w:spacing w:after="60" w:line="240" w:lineRule="auto"/>
              <w:jc w:val="center"/>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EUR</w:t>
            </w:r>
          </w:p>
        </w:tc>
        <w:tc>
          <w:tcPr>
            <w:tcW w:w="1417" w:type="dxa"/>
            <w:tcBorders>
              <w:top w:val="nil"/>
              <w:left w:val="nil"/>
              <w:bottom w:val="nil"/>
              <w:right w:val="nil"/>
            </w:tcBorders>
            <w:shd w:val="clear" w:color="auto" w:fill="auto"/>
            <w:hideMark/>
          </w:tcPr>
          <w:p w14:paraId="77DBC4B4" w14:textId="77777777" w:rsidR="00F36197" w:rsidRPr="00646254" w:rsidRDefault="00F36197" w:rsidP="00F95294">
            <w:pPr>
              <w:spacing w:after="60" w:line="240"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200.000.000</w:t>
            </w:r>
          </w:p>
        </w:tc>
      </w:tr>
      <w:tr w:rsidR="00F36197" w:rsidRPr="00646254" w14:paraId="1946F578" w14:textId="77777777" w:rsidTr="00F95294">
        <w:trPr>
          <w:trHeight w:val="20"/>
          <w:jc w:val="center"/>
        </w:trPr>
        <w:tc>
          <w:tcPr>
            <w:tcW w:w="567" w:type="dxa"/>
            <w:tcBorders>
              <w:top w:val="nil"/>
              <w:left w:val="nil"/>
              <w:bottom w:val="nil"/>
              <w:right w:val="nil"/>
            </w:tcBorders>
            <w:shd w:val="clear" w:color="auto" w:fill="auto"/>
            <w:hideMark/>
          </w:tcPr>
          <w:p w14:paraId="7C0E7259" w14:textId="77777777" w:rsidR="00F36197" w:rsidRPr="00646254" w:rsidRDefault="00F36197" w:rsidP="007236B3">
            <w:pPr>
              <w:spacing w:after="60" w:line="240" w:lineRule="auto"/>
              <w:jc w:val="right"/>
              <w:rPr>
                <w:rFonts w:eastAsia="MS PGothic" w:cstheme="minorHAnsi"/>
                <w:color w:val="002060"/>
                <w:sz w:val="18"/>
                <w:szCs w:val="18"/>
                <w:lang w:val="sr-Cyrl-CS" w:eastAsia="ja-JP"/>
              </w:rPr>
            </w:pPr>
          </w:p>
        </w:tc>
        <w:tc>
          <w:tcPr>
            <w:tcW w:w="5036" w:type="dxa"/>
            <w:tcBorders>
              <w:top w:val="nil"/>
              <w:left w:val="nil"/>
              <w:bottom w:val="nil"/>
              <w:right w:val="nil"/>
            </w:tcBorders>
            <w:shd w:val="clear" w:color="auto" w:fill="auto"/>
            <w:vAlign w:val="center"/>
            <w:hideMark/>
          </w:tcPr>
          <w:p w14:paraId="5145BEA9" w14:textId="77777777" w:rsidR="00F36197" w:rsidRPr="00646254" w:rsidRDefault="00F36197" w:rsidP="007236B3">
            <w:pPr>
              <w:spacing w:after="60" w:line="240" w:lineRule="auto"/>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Укупно:</w:t>
            </w:r>
          </w:p>
        </w:tc>
        <w:tc>
          <w:tcPr>
            <w:tcW w:w="1488" w:type="dxa"/>
            <w:tcBorders>
              <w:top w:val="nil"/>
              <w:left w:val="nil"/>
              <w:bottom w:val="nil"/>
              <w:right w:val="nil"/>
            </w:tcBorders>
            <w:shd w:val="clear" w:color="auto" w:fill="auto"/>
            <w:hideMark/>
          </w:tcPr>
          <w:p w14:paraId="7BB03CD2" w14:textId="77777777" w:rsidR="00F36197" w:rsidRPr="00646254" w:rsidRDefault="00F36197" w:rsidP="00F95294">
            <w:pPr>
              <w:spacing w:after="60" w:line="240"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23.780.000.000</w:t>
            </w:r>
          </w:p>
        </w:tc>
        <w:tc>
          <w:tcPr>
            <w:tcW w:w="1131" w:type="dxa"/>
            <w:tcBorders>
              <w:top w:val="nil"/>
              <w:left w:val="nil"/>
              <w:bottom w:val="nil"/>
              <w:right w:val="nil"/>
            </w:tcBorders>
            <w:shd w:val="clear" w:color="auto" w:fill="auto"/>
            <w:hideMark/>
          </w:tcPr>
          <w:p w14:paraId="331A45EB" w14:textId="77777777" w:rsidR="00F36197" w:rsidRPr="00646254" w:rsidRDefault="00F36197" w:rsidP="00F95294">
            <w:pPr>
              <w:spacing w:after="60" w:line="240" w:lineRule="auto"/>
              <w:jc w:val="center"/>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EUR</w:t>
            </w:r>
          </w:p>
        </w:tc>
        <w:tc>
          <w:tcPr>
            <w:tcW w:w="1417" w:type="dxa"/>
            <w:tcBorders>
              <w:top w:val="nil"/>
              <w:left w:val="nil"/>
              <w:bottom w:val="nil"/>
              <w:right w:val="nil"/>
            </w:tcBorders>
            <w:shd w:val="clear" w:color="auto" w:fill="auto"/>
            <w:hideMark/>
          </w:tcPr>
          <w:p w14:paraId="11F90524" w14:textId="77777777" w:rsidR="00F36197" w:rsidRPr="00646254" w:rsidRDefault="00F36197" w:rsidP="00F95294">
            <w:pPr>
              <w:spacing w:after="60" w:line="240"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200.000.000</w:t>
            </w:r>
          </w:p>
        </w:tc>
      </w:tr>
      <w:tr w:rsidR="00F36197" w:rsidRPr="00646254" w14:paraId="32324F6A" w14:textId="77777777" w:rsidTr="00F95294">
        <w:trPr>
          <w:trHeight w:val="20"/>
          <w:jc w:val="center"/>
        </w:trPr>
        <w:tc>
          <w:tcPr>
            <w:tcW w:w="567" w:type="dxa"/>
            <w:tcBorders>
              <w:top w:val="nil"/>
              <w:left w:val="nil"/>
              <w:bottom w:val="nil"/>
              <w:right w:val="nil"/>
            </w:tcBorders>
            <w:shd w:val="clear" w:color="000000" w:fill="E7E6E6"/>
            <w:vAlign w:val="center"/>
            <w:hideMark/>
          </w:tcPr>
          <w:p w14:paraId="5243C9B2" w14:textId="77777777" w:rsidR="00F36197" w:rsidRPr="00646254" w:rsidRDefault="00F36197" w:rsidP="007236B3">
            <w:pPr>
              <w:spacing w:after="60" w:line="240" w:lineRule="auto"/>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VI.</w:t>
            </w:r>
          </w:p>
        </w:tc>
        <w:tc>
          <w:tcPr>
            <w:tcW w:w="5036" w:type="dxa"/>
            <w:tcBorders>
              <w:top w:val="nil"/>
              <w:left w:val="nil"/>
              <w:bottom w:val="nil"/>
              <w:right w:val="nil"/>
            </w:tcBorders>
            <w:shd w:val="clear" w:color="000000" w:fill="E7E6E6"/>
            <w:vAlign w:val="center"/>
            <w:hideMark/>
          </w:tcPr>
          <w:p w14:paraId="0D9D87FC" w14:textId="77777777" w:rsidR="00F36197" w:rsidRPr="00646254" w:rsidRDefault="00F36197" w:rsidP="007236B3">
            <w:pPr>
              <w:spacing w:after="60" w:line="240" w:lineRule="auto"/>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Републици Француској (Трезор)</w:t>
            </w:r>
          </w:p>
        </w:tc>
        <w:tc>
          <w:tcPr>
            <w:tcW w:w="1488" w:type="dxa"/>
            <w:tcBorders>
              <w:top w:val="nil"/>
              <w:left w:val="nil"/>
              <w:bottom w:val="nil"/>
              <w:right w:val="nil"/>
            </w:tcBorders>
            <w:shd w:val="clear" w:color="000000" w:fill="E7E6E6"/>
            <w:hideMark/>
          </w:tcPr>
          <w:p w14:paraId="6F768B9C" w14:textId="77777777" w:rsidR="00F36197" w:rsidRPr="00646254" w:rsidRDefault="00F36197" w:rsidP="00F95294">
            <w:pPr>
              <w:spacing w:after="60" w:line="240"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 </w:t>
            </w:r>
          </w:p>
        </w:tc>
        <w:tc>
          <w:tcPr>
            <w:tcW w:w="1131" w:type="dxa"/>
            <w:tcBorders>
              <w:top w:val="nil"/>
              <w:left w:val="nil"/>
              <w:bottom w:val="nil"/>
              <w:right w:val="nil"/>
            </w:tcBorders>
            <w:shd w:val="clear" w:color="000000" w:fill="E7E6E6"/>
            <w:hideMark/>
          </w:tcPr>
          <w:p w14:paraId="31D6E14D" w14:textId="77777777" w:rsidR="00F36197" w:rsidRPr="00646254" w:rsidRDefault="00F36197" w:rsidP="00F95294">
            <w:pPr>
              <w:spacing w:after="60" w:line="240" w:lineRule="auto"/>
              <w:jc w:val="center"/>
              <w:rPr>
                <w:rFonts w:eastAsia="MS PGothic" w:cstheme="minorHAnsi"/>
                <w:color w:val="002060"/>
                <w:sz w:val="18"/>
                <w:szCs w:val="18"/>
                <w:lang w:val="sr-Cyrl-CS" w:eastAsia="ja-JP"/>
              </w:rPr>
            </w:pPr>
          </w:p>
        </w:tc>
        <w:tc>
          <w:tcPr>
            <w:tcW w:w="1417" w:type="dxa"/>
            <w:tcBorders>
              <w:top w:val="nil"/>
              <w:left w:val="nil"/>
              <w:bottom w:val="nil"/>
              <w:right w:val="nil"/>
            </w:tcBorders>
            <w:shd w:val="clear" w:color="000000" w:fill="E7E6E6"/>
            <w:hideMark/>
          </w:tcPr>
          <w:p w14:paraId="1B8E03BE" w14:textId="77777777" w:rsidR="00F36197" w:rsidRPr="00646254" w:rsidRDefault="00F36197" w:rsidP="00F95294">
            <w:pPr>
              <w:spacing w:after="60" w:line="240"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 </w:t>
            </w:r>
          </w:p>
        </w:tc>
      </w:tr>
      <w:tr w:rsidR="00F36197" w:rsidRPr="00646254" w14:paraId="6CF6F84D" w14:textId="77777777" w:rsidTr="00F95294">
        <w:trPr>
          <w:trHeight w:val="20"/>
          <w:jc w:val="center"/>
        </w:trPr>
        <w:tc>
          <w:tcPr>
            <w:tcW w:w="567" w:type="dxa"/>
            <w:tcBorders>
              <w:top w:val="nil"/>
              <w:left w:val="nil"/>
              <w:bottom w:val="nil"/>
              <w:right w:val="nil"/>
            </w:tcBorders>
            <w:shd w:val="clear" w:color="auto" w:fill="auto"/>
            <w:hideMark/>
          </w:tcPr>
          <w:p w14:paraId="4F1D629C" w14:textId="77777777" w:rsidR="00F36197" w:rsidRPr="00646254" w:rsidRDefault="00F36197" w:rsidP="007236B3">
            <w:pPr>
              <w:spacing w:after="60" w:line="240"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1</w:t>
            </w:r>
          </w:p>
        </w:tc>
        <w:tc>
          <w:tcPr>
            <w:tcW w:w="5036" w:type="dxa"/>
            <w:tcBorders>
              <w:top w:val="nil"/>
              <w:left w:val="nil"/>
              <w:bottom w:val="nil"/>
              <w:right w:val="nil"/>
            </w:tcBorders>
            <w:shd w:val="clear" w:color="auto" w:fill="auto"/>
            <w:vAlign w:val="center"/>
            <w:hideMark/>
          </w:tcPr>
          <w:p w14:paraId="355CD0FE" w14:textId="77777777" w:rsidR="00F36197" w:rsidRPr="00646254" w:rsidRDefault="00F36197" w:rsidP="007236B3">
            <w:pPr>
              <w:spacing w:after="60" w:line="240" w:lineRule="auto"/>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„Електродистрибуција Србије” д.о.о. Београд - Пројекат аутоматизације средњенапонске дистрибутивне мреже</w:t>
            </w:r>
          </w:p>
        </w:tc>
        <w:tc>
          <w:tcPr>
            <w:tcW w:w="1488" w:type="dxa"/>
            <w:tcBorders>
              <w:top w:val="nil"/>
              <w:left w:val="nil"/>
              <w:bottom w:val="nil"/>
              <w:right w:val="nil"/>
            </w:tcBorders>
            <w:shd w:val="clear" w:color="auto" w:fill="auto"/>
            <w:hideMark/>
          </w:tcPr>
          <w:p w14:paraId="44CA5D57" w14:textId="77777777" w:rsidR="00F36197" w:rsidRPr="00646254" w:rsidRDefault="00F36197" w:rsidP="00F95294">
            <w:pPr>
              <w:spacing w:after="60" w:line="240"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2.895.009.541</w:t>
            </w:r>
          </w:p>
        </w:tc>
        <w:tc>
          <w:tcPr>
            <w:tcW w:w="1131" w:type="dxa"/>
            <w:tcBorders>
              <w:top w:val="nil"/>
              <w:left w:val="nil"/>
              <w:bottom w:val="nil"/>
              <w:right w:val="nil"/>
            </w:tcBorders>
            <w:shd w:val="clear" w:color="auto" w:fill="auto"/>
            <w:hideMark/>
          </w:tcPr>
          <w:p w14:paraId="226BADDF" w14:textId="77777777" w:rsidR="00F36197" w:rsidRPr="00646254" w:rsidRDefault="00F36197" w:rsidP="00F95294">
            <w:pPr>
              <w:spacing w:after="60" w:line="240" w:lineRule="auto"/>
              <w:jc w:val="center"/>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EUR</w:t>
            </w:r>
          </w:p>
        </w:tc>
        <w:tc>
          <w:tcPr>
            <w:tcW w:w="1417" w:type="dxa"/>
            <w:tcBorders>
              <w:top w:val="nil"/>
              <w:left w:val="nil"/>
              <w:bottom w:val="nil"/>
              <w:right w:val="nil"/>
            </w:tcBorders>
            <w:shd w:val="clear" w:color="auto" w:fill="auto"/>
            <w:hideMark/>
          </w:tcPr>
          <w:p w14:paraId="17FA00A2" w14:textId="77777777" w:rsidR="00F36197" w:rsidRPr="00646254" w:rsidRDefault="00F36197" w:rsidP="00F95294">
            <w:pPr>
              <w:spacing w:after="60" w:line="240"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24.348.272</w:t>
            </w:r>
          </w:p>
        </w:tc>
      </w:tr>
      <w:tr w:rsidR="00F36197" w:rsidRPr="00646254" w14:paraId="07DCC5F3" w14:textId="77777777" w:rsidTr="00F95294">
        <w:trPr>
          <w:trHeight w:val="20"/>
          <w:jc w:val="center"/>
        </w:trPr>
        <w:tc>
          <w:tcPr>
            <w:tcW w:w="567" w:type="dxa"/>
            <w:tcBorders>
              <w:top w:val="nil"/>
              <w:left w:val="nil"/>
              <w:bottom w:val="nil"/>
              <w:right w:val="nil"/>
            </w:tcBorders>
            <w:shd w:val="clear" w:color="auto" w:fill="auto"/>
            <w:hideMark/>
          </w:tcPr>
          <w:p w14:paraId="59A09DAE" w14:textId="77777777" w:rsidR="00F36197" w:rsidRPr="00646254" w:rsidRDefault="00F36197" w:rsidP="007236B3">
            <w:pPr>
              <w:spacing w:after="60" w:line="240" w:lineRule="auto"/>
              <w:jc w:val="right"/>
              <w:rPr>
                <w:rFonts w:eastAsia="MS PGothic" w:cstheme="minorHAnsi"/>
                <w:color w:val="002060"/>
                <w:sz w:val="18"/>
                <w:szCs w:val="18"/>
                <w:lang w:val="sr-Cyrl-CS" w:eastAsia="ja-JP"/>
              </w:rPr>
            </w:pPr>
          </w:p>
        </w:tc>
        <w:tc>
          <w:tcPr>
            <w:tcW w:w="5036" w:type="dxa"/>
            <w:tcBorders>
              <w:top w:val="nil"/>
              <w:left w:val="nil"/>
              <w:bottom w:val="nil"/>
              <w:right w:val="nil"/>
            </w:tcBorders>
            <w:shd w:val="clear" w:color="auto" w:fill="auto"/>
            <w:vAlign w:val="center"/>
            <w:hideMark/>
          </w:tcPr>
          <w:p w14:paraId="01CDF1DC" w14:textId="77777777" w:rsidR="00F36197" w:rsidRPr="00646254" w:rsidRDefault="00F36197" w:rsidP="007236B3">
            <w:pPr>
              <w:spacing w:after="60" w:line="240" w:lineRule="auto"/>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Укупно:</w:t>
            </w:r>
          </w:p>
        </w:tc>
        <w:tc>
          <w:tcPr>
            <w:tcW w:w="1488" w:type="dxa"/>
            <w:tcBorders>
              <w:top w:val="nil"/>
              <w:left w:val="nil"/>
              <w:bottom w:val="nil"/>
              <w:right w:val="nil"/>
            </w:tcBorders>
            <w:shd w:val="clear" w:color="auto" w:fill="auto"/>
            <w:hideMark/>
          </w:tcPr>
          <w:p w14:paraId="54C429A3" w14:textId="77777777" w:rsidR="00F36197" w:rsidRPr="00646254" w:rsidRDefault="00F36197" w:rsidP="00F95294">
            <w:pPr>
              <w:spacing w:after="60" w:line="240"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2.895.009.541</w:t>
            </w:r>
          </w:p>
        </w:tc>
        <w:tc>
          <w:tcPr>
            <w:tcW w:w="1131" w:type="dxa"/>
            <w:tcBorders>
              <w:top w:val="nil"/>
              <w:left w:val="nil"/>
              <w:bottom w:val="nil"/>
              <w:right w:val="nil"/>
            </w:tcBorders>
            <w:shd w:val="clear" w:color="auto" w:fill="auto"/>
            <w:hideMark/>
          </w:tcPr>
          <w:p w14:paraId="047E2C36" w14:textId="77777777" w:rsidR="00F36197" w:rsidRPr="00646254" w:rsidRDefault="00F36197" w:rsidP="00F95294">
            <w:pPr>
              <w:spacing w:after="60" w:line="240" w:lineRule="auto"/>
              <w:jc w:val="center"/>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EUR</w:t>
            </w:r>
          </w:p>
        </w:tc>
        <w:tc>
          <w:tcPr>
            <w:tcW w:w="1417" w:type="dxa"/>
            <w:tcBorders>
              <w:top w:val="nil"/>
              <w:left w:val="nil"/>
              <w:bottom w:val="nil"/>
              <w:right w:val="nil"/>
            </w:tcBorders>
            <w:shd w:val="clear" w:color="auto" w:fill="auto"/>
            <w:hideMark/>
          </w:tcPr>
          <w:p w14:paraId="7772BD80" w14:textId="77777777" w:rsidR="00F36197" w:rsidRPr="00646254" w:rsidRDefault="00F36197" w:rsidP="00F95294">
            <w:pPr>
              <w:spacing w:after="60" w:line="240"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24.348.272</w:t>
            </w:r>
          </w:p>
        </w:tc>
      </w:tr>
      <w:tr w:rsidR="00F36197" w:rsidRPr="00646254" w14:paraId="7EC0FA1A" w14:textId="77777777" w:rsidTr="00F95294">
        <w:trPr>
          <w:trHeight w:val="20"/>
          <w:jc w:val="center"/>
        </w:trPr>
        <w:tc>
          <w:tcPr>
            <w:tcW w:w="567" w:type="dxa"/>
            <w:tcBorders>
              <w:top w:val="nil"/>
              <w:left w:val="nil"/>
              <w:bottom w:val="nil"/>
              <w:right w:val="nil"/>
            </w:tcBorders>
            <w:shd w:val="clear" w:color="000000" w:fill="E7E6E6"/>
            <w:vAlign w:val="center"/>
            <w:hideMark/>
          </w:tcPr>
          <w:p w14:paraId="3BA2A4DD" w14:textId="77777777" w:rsidR="00F36197" w:rsidRPr="00646254" w:rsidRDefault="00F36197" w:rsidP="007236B3">
            <w:pPr>
              <w:spacing w:after="60" w:line="240" w:lineRule="auto"/>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 </w:t>
            </w:r>
          </w:p>
        </w:tc>
        <w:tc>
          <w:tcPr>
            <w:tcW w:w="5036" w:type="dxa"/>
            <w:tcBorders>
              <w:top w:val="nil"/>
              <w:left w:val="nil"/>
              <w:bottom w:val="nil"/>
              <w:right w:val="nil"/>
            </w:tcBorders>
            <w:shd w:val="clear" w:color="000000" w:fill="E7E6E6"/>
            <w:vAlign w:val="center"/>
            <w:hideMark/>
          </w:tcPr>
          <w:p w14:paraId="699B84DB" w14:textId="77777777" w:rsidR="00F36197" w:rsidRPr="00646254" w:rsidRDefault="00F36197" w:rsidP="007236B3">
            <w:pPr>
              <w:spacing w:after="60" w:line="240" w:lineRule="auto"/>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УКУПНО:</w:t>
            </w:r>
          </w:p>
        </w:tc>
        <w:tc>
          <w:tcPr>
            <w:tcW w:w="1488" w:type="dxa"/>
            <w:tcBorders>
              <w:top w:val="nil"/>
              <w:left w:val="nil"/>
              <w:bottom w:val="nil"/>
              <w:right w:val="nil"/>
            </w:tcBorders>
            <w:shd w:val="clear" w:color="000000" w:fill="E7E6E6"/>
            <w:hideMark/>
          </w:tcPr>
          <w:p w14:paraId="0E44A5D8" w14:textId="77777777" w:rsidR="00F36197" w:rsidRPr="00646254" w:rsidRDefault="00F36197" w:rsidP="00F95294">
            <w:pPr>
              <w:spacing w:after="60" w:line="240"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 133.584.150.000</w:t>
            </w:r>
          </w:p>
        </w:tc>
        <w:tc>
          <w:tcPr>
            <w:tcW w:w="1131" w:type="dxa"/>
            <w:tcBorders>
              <w:top w:val="nil"/>
              <w:left w:val="nil"/>
              <w:bottom w:val="nil"/>
              <w:right w:val="nil"/>
            </w:tcBorders>
            <w:shd w:val="clear" w:color="000000" w:fill="E7E6E6"/>
            <w:hideMark/>
          </w:tcPr>
          <w:p w14:paraId="7A9B129A" w14:textId="77777777" w:rsidR="00F36197" w:rsidRPr="00646254" w:rsidRDefault="00F36197" w:rsidP="00F95294">
            <w:pPr>
              <w:spacing w:after="60" w:line="240" w:lineRule="auto"/>
              <w:jc w:val="center"/>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EUR</w:t>
            </w:r>
          </w:p>
        </w:tc>
        <w:tc>
          <w:tcPr>
            <w:tcW w:w="1417" w:type="dxa"/>
            <w:tcBorders>
              <w:top w:val="nil"/>
              <w:left w:val="nil"/>
              <w:bottom w:val="nil"/>
              <w:right w:val="nil"/>
            </w:tcBorders>
            <w:shd w:val="clear" w:color="000000" w:fill="E7E6E6"/>
            <w:hideMark/>
          </w:tcPr>
          <w:p w14:paraId="2A25948F" w14:textId="77777777" w:rsidR="00F36197" w:rsidRPr="00646254" w:rsidRDefault="00F36197" w:rsidP="00F95294">
            <w:pPr>
              <w:spacing w:after="60" w:line="240"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1.123.500.000</w:t>
            </w:r>
          </w:p>
        </w:tc>
      </w:tr>
    </w:tbl>
    <w:p w14:paraId="4C47B493" w14:textId="77777777" w:rsidR="00F36197" w:rsidRPr="00646254" w:rsidRDefault="00F36197" w:rsidP="008265F0">
      <w:pPr>
        <w:spacing w:after="120" w:line="276" w:lineRule="auto"/>
        <w:rPr>
          <w:rFonts w:eastAsia="MS PGothic" w:cstheme="minorHAnsi"/>
          <w:sz w:val="16"/>
          <w:szCs w:val="16"/>
          <w:lang w:val="sr-Cyrl-CS" w:eastAsia="ja-JP"/>
        </w:rPr>
        <w:sectPr w:rsidR="00F36197" w:rsidRPr="00646254" w:rsidSect="009B76B2">
          <w:type w:val="continuous"/>
          <w:pgSz w:w="12240" w:h="15840" w:code="1"/>
          <w:pgMar w:top="1440" w:right="1440" w:bottom="1440" w:left="1440" w:header="720" w:footer="720" w:gutter="0"/>
          <w:cols w:space="720"/>
          <w:docGrid w:linePitch="360"/>
        </w:sectPr>
      </w:pPr>
      <w:r w:rsidRPr="00646254">
        <w:rPr>
          <w:rFonts w:eastAsia="MS PGothic" w:cstheme="minorHAnsi"/>
          <w:sz w:val="16"/>
          <w:szCs w:val="16"/>
          <w:lang w:val="sr-Cyrl-CS" w:eastAsia="ja-JP"/>
        </w:rPr>
        <w:t>Извор: Министарство финансија</w:t>
      </w:r>
    </w:p>
    <w:p w14:paraId="75E7526D" w14:textId="77777777" w:rsidR="00F36197" w:rsidRPr="00646254" w:rsidRDefault="00F36197" w:rsidP="008E67C1">
      <w:pPr>
        <w:rPr>
          <w:rFonts w:eastAsia="MS PGothic" w:cstheme="minorHAnsi"/>
          <w:szCs w:val="20"/>
          <w:lang w:val="sr-Cyrl-CS" w:eastAsia="ja-JP"/>
        </w:rPr>
      </w:pPr>
      <w:r w:rsidRPr="00646254">
        <w:rPr>
          <w:rFonts w:eastAsia="MS PGothic" w:cstheme="minorHAnsi"/>
          <w:szCs w:val="20"/>
          <w:lang w:val="sr-Cyrl-CS" w:eastAsia="ja-JP"/>
        </w:rPr>
        <w:t>У наредним годинама није планиран значајнији раст ове категорије расхода. Учешће ових расхода у БДП креће се у просеку око 0,2% БДП у средњем року.</w:t>
      </w:r>
    </w:p>
    <w:p w14:paraId="4652166F" w14:textId="77777777" w:rsidR="00F36197" w:rsidRPr="00646254" w:rsidRDefault="00F36197" w:rsidP="008E67C1">
      <w:pPr>
        <w:rPr>
          <w:rFonts w:eastAsia="MS PGothic" w:cstheme="minorHAnsi"/>
          <w:szCs w:val="20"/>
          <w:lang w:val="sr-Cyrl-CS" w:eastAsia="ja-JP"/>
        </w:rPr>
      </w:pPr>
      <w:r w:rsidRPr="00646254">
        <w:rPr>
          <w:rFonts w:eastAsia="MS PGothic" w:cstheme="minorHAnsi"/>
          <w:szCs w:val="20"/>
          <w:lang w:val="sr-Cyrl-CS" w:eastAsia="ja-JP"/>
        </w:rPr>
        <w:t>Структурне реформе јавних и државних предузећа, њихово оспособљавање за тржишну утакмицу и финансијску одрживост, с једне стране, и ограничено и циљано издавање нових гаранција, с друге стране, допринеће умањењу фискалних ризика по овом основу и одржавању расхода у планираним, тј. пројектованим оквирима у наредном средњорочном периоду.</w:t>
      </w:r>
    </w:p>
    <w:p w14:paraId="56337D76" w14:textId="77777777" w:rsidR="00F36197" w:rsidRPr="00646254" w:rsidRDefault="00F36197" w:rsidP="008E67C1">
      <w:pPr>
        <w:rPr>
          <w:rFonts w:cstheme="minorHAnsi"/>
          <w:b/>
          <w:bCs/>
          <w:color w:val="2F5496" w:themeColor="accent1" w:themeShade="BF"/>
          <w:sz w:val="22"/>
          <w:szCs w:val="20"/>
          <w:lang w:val="sr-Cyrl-CS"/>
        </w:rPr>
      </w:pPr>
      <w:r w:rsidRPr="00646254">
        <w:rPr>
          <w:rFonts w:cstheme="minorHAnsi"/>
          <w:b/>
          <w:bCs/>
          <w:color w:val="2F5496" w:themeColor="accent1" w:themeShade="BF"/>
          <w:sz w:val="22"/>
          <w:szCs w:val="20"/>
          <w:lang w:val="sr-Cyrl-CS"/>
        </w:rPr>
        <w:t>Јавна предузећа</w:t>
      </w:r>
    </w:p>
    <w:p w14:paraId="1060E93E" w14:textId="77777777" w:rsidR="00F36197" w:rsidRPr="00646254" w:rsidRDefault="00F36197" w:rsidP="008E67C1">
      <w:pPr>
        <w:rPr>
          <w:rFonts w:eastAsia="MS PGothic" w:cstheme="minorHAnsi"/>
          <w:szCs w:val="20"/>
          <w:lang w:val="sr-Cyrl-CS" w:eastAsia="ja-JP"/>
        </w:rPr>
      </w:pPr>
      <w:r w:rsidRPr="00646254">
        <w:rPr>
          <w:rFonts w:eastAsia="MS PGothic" w:cstheme="minorHAnsi"/>
          <w:szCs w:val="20"/>
          <w:lang w:val="sr-Cyrl-CS" w:eastAsia="ja-JP"/>
        </w:rPr>
        <w:t>Пословање јавних предузећа представља значајан извор фискалних ризика, како на страни буџетских прихода, тако и на страни расхода. Јавна предузећа се у пословању суочавају са бројним проблемима, од наплате потраживања, до редовног измиривања обавеза према повериоцима, држави и запосленима и сл. Држава као оснивач и њихов једини власник је одговорна за пословање и њихово је последње уточиште у случају неликвидности. Постоји неколико канала кроз које се могу материјализовати фискални ризици везани за пословање јавних предузећа. Највећи, али не и једини ризик, су државне гаранције дате за кредите јавних предузећа. Одрживост, ефикасност и профитабилност јавних предузећа утичу на приходе буџета, односно на износ добити коју уплаћују у буџет. Квалитет производа и услуга које обезбеђују јавна предузећа утичу на ефикасност и профитабилност приватног сектора и у крајњој инстанци на ниво пореза које уплаћују у буџет.</w:t>
      </w:r>
    </w:p>
    <w:p w14:paraId="70E0AD09" w14:textId="49C94A23" w:rsidR="00F36197" w:rsidRPr="00646254" w:rsidRDefault="00F36197" w:rsidP="008E67C1">
      <w:pPr>
        <w:rPr>
          <w:rFonts w:eastAsia="MS PGothic" w:cstheme="minorHAnsi"/>
          <w:szCs w:val="20"/>
          <w:lang w:val="sr-Cyrl-CS" w:eastAsia="ja-JP"/>
        </w:rPr>
      </w:pPr>
      <w:r w:rsidRPr="00646254">
        <w:rPr>
          <w:rFonts w:eastAsia="MS PGothic" w:cstheme="minorHAnsi"/>
          <w:szCs w:val="20"/>
          <w:lang w:val="sr-Cyrl-CS" w:eastAsia="ja-JP"/>
        </w:rPr>
        <w:t>Јавна предузећа представљају значајан сегмент српске привр</w:t>
      </w:r>
      <w:r w:rsidR="00281B51" w:rsidRPr="00646254">
        <w:rPr>
          <w:rFonts w:eastAsia="MS PGothic" w:cstheme="minorHAnsi"/>
          <w:szCs w:val="20"/>
          <w:lang w:val="sr-Cyrl-CS" w:eastAsia="ja-JP"/>
        </w:rPr>
        <w:t>еде који запошљава око 81 хиљаду</w:t>
      </w:r>
      <w:r w:rsidRPr="00646254">
        <w:rPr>
          <w:rFonts w:eastAsia="MS PGothic" w:cstheme="minorHAnsi"/>
          <w:szCs w:val="20"/>
          <w:lang w:val="sr-Cyrl-CS" w:eastAsia="ja-JP"/>
        </w:rPr>
        <w:t xml:space="preserve"> људи. Јавна предузећа се оснивају као друштва за обављање делатности од општег интереса. Њихов рад уређен је Законом о јавним предузећима, који је усвојен у фебруару 2016. године, као и подсекторским законима који дефинишу специфична подручја која нису обухваћена Законом о јавним предузећима (Закон о енергетици, Закон о привредним друштвима и др).</w:t>
      </w:r>
    </w:p>
    <w:p w14:paraId="765B3757" w14:textId="77777777" w:rsidR="00F36197" w:rsidRPr="00646254" w:rsidRDefault="00F36197" w:rsidP="008E67C1">
      <w:pPr>
        <w:rPr>
          <w:rFonts w:cstheme="minorHAnsi"/>
          <w:b/>
          <w:bCs/>
          <w:color w:val="2F5496" w:themeColor="accent1" w:themeShade="BF"/>
          <w:sz w:val="22"/>
          <w:szCs w:val="20"/>
          <w:lang w:val="sr-Cyrl-CS"/>
        </w:rPr>
      </w:pPr>
      <w:r w:rsidRPr="00646254">
        <w:rPr>
          <w:rFonts w:cstheme="minorHAnsi"/>
          <w:b/>
          <w:bCs/>
          <w:color w:val="2F5496" w:themeColor="accent1" w:themeShade="BF"/>
          <w:sz w:val="22"/>
          <w:szCs w:val="20"/>
          <w:lang w:val="sr-Cyrl-CS"/>
        </w:rPr>
        <w:t>Кључни финансијски показатељи пословања јавних предузећа</w:t>
      </w:r>
    </w:p>
    <w:p w14:paraId="2466F53A" w14:textId="77777777" w:rsidR="00F36197" w:rsidRPr="00646254" w:rsidRDefault="00F36197" w:rsidP="008E67C1">
      <w:pPr>
        <w:jc w:val="left"/>
        <w:rPr>
          <w:b/>
          <w:color w:val="2F5496" w:themeColor="accent1" w:themeShade="BF"/>
          <w:lang w:val="sr-Cyrl-CS"/>
        </w:rPr>
      </w:pPr>
      <w:r w:rsidRPr="00646254">
        <w:rPr>
          <w:b/>
          <w:color w:val="2F5496" w:themeColor="accent1" w:themeShade="BF"/>
          <w:lang w:val="sr-Cyrl-CS"/>
        </w:rPr>
        <w:t>Резултати пословања јавних предузећа у 2020. години</w:t>
      </w:r>
    </w:p>
    <w:p w14:paraId="1CDA65D9" w14:textId="77777777" w:rsidR="00F36197" w:rsidRPr="00646254" w:rsidRDefault="00F36197" w:rsidP="008E67C1">
      <w:pPr>
        <w:rPr>
          <w:rFonts w:eastAsia="MS PGothic" w:cstheme="minorHAnsi"/>
          <w:szCs w:val="20"/>
          <w:lang w:val="sr-Cyrl-CS" w:eastAsia="ja-JP"/>
        </w:rPr>
      </w:pPr>
      <w:r w:rsidRPr="00646254">
        <w:rPr>
          <w:rFonts w:eastAsia="MS PGothic" w:cstheme="minorHAnsi"/>
          <w:szCs w:val="20"/>
          <w:lang w:val="sr-Cyrl-CS" w:eastAsia="ja-JP"/>
        </w:rPr>
        <w:t>Укупна имовина републичких јавних предузећа на крају 2020. године износио је 2.654 млрд динара, док је као крајњи резултат остварен нето резултат у износу од 15,2 млрд динара.</w:t>
      </w:r>
    </w:p>
    <w:p w14:paraId="0181FD05" w14:textId="77777777" w:rsidR="00F36197" w:rsidRPr="00646254" w:rsidRDefault="00F36197" w:rsidP="008E67C1">
      <w:pPr>
        <w:jc w:val="center"/>
        <w:rPr>
          <w:rFonts w:eastAsia="MS PGothic" w:cstheme="minorHAnsi"/>
          <w:b/>
          <w:bCs/>
          <w:color w:val="002060"/>
          <w:szCs w:val="20"/>
          <w:lang w:val="sr-Cyrl-CS" w:eastAsia="ja-JP"/>
        </w:rPr>
      </w:pPr>
      <w:r w:rsidRPr="00646254">
        <w:rPr>
          <w:rFonts w:eastAsia="MS PGothic" w:cstheme="minorHAnsi"/>
          <w:b/>
          <w:bCs/>
          <w:color w:val="002060"/>
          <w:szCs w:val="20"/>
          <w:lang w:val="sr-Cyrl-CS" w:eastAsia="ja-JP"/>
        </w:rPr>
        <w:t>Табела 17. Главни финансијски показатељи пословања јавних предузећа, млрд дин.</w:t>
      </w:r>
    </w:p>
    <w:tbl>
      <w:tblPr>
        <w:tblW w:w="0" w:type="auto"/>
        <w:jc w:val="center"/>
        <w:tblLook w:val="04A0" w:firstRow="1" w:lastRow="0" w:firstColumn="1" w:lastColumn="0" w:noHBand="0" w:noVBand="1"/>
      </w:tblPr>
      <w:tblGrid>
        <w:gridCol w:w="2931"/>
        <w:gridCol w:w="627"/>
        <w:gridCol w:w="627"/>
      </w:tblGrid>
      <w:tr w:rsidR="00F36197" w:rsidRPr="00646254" w14:paraId="2A9A7F53" w14:textId="77777777" w:rsidTr="008E67C1">
        <w:trPr>
          <w:trHeight w:hRule="exact" w:val="227"/>
          <w:jc w:val="center"/>
        </w:trPr>
        <w:tc>
          <w:tcPr>
            <w:tcW w:w="0" w:type="auto"/>
            <w:tcBorders>
              <w:top w:val="single" w:sz="8" w:space="0" w:color="002060"/>
              <w:left w:val="nil"/>
              <w:bottom w:val="single" w:sz="8" w:space="0" w:color="002060"/>
              <w:right w:val="nil"/>
            </w:tcBorders>
            <w:shd w:val="clear" w:color="auto" w:fill="auto"/>
            <w:noWrap/>
            <w:vAlign w:val="center"/>
            <w:hideMark/>
          </w:tcPr>
          <w:p w14:paraId="72D44B5B" w14:textId="77777777" w:rsidR="00F36197" w:rsidRPr="00646254" w:rsidRDefault="00F36197" w:rsidP="008265F0">
            <w:pPr>
              <w:spacing w:after="120" w:line="276" w:lineRule="auto"/>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Опис</w:t>
            </w:r>
          </w:p>
        </w:tc>
        <w:tc>
          <w:tcPr>
            <w:tcW w:w="0" w:type="auto"/>
            <w:tcBorders>
              <w:top w:val="single" w:sz="8" w:space="0" w:color="002060"/>
              <w:left w:val="nil"/>
              <w:bottom w:val="single" w:sz="8" w:space="0" w:color="002060"/>
              <w:right w:val="nil"/>
            </w:tcBorders>
            <w:shd w:val="clear" w:color="auto" w:fill="auto"/>
            <w:noWrap/>
            <w:vAlign w:val="center"/>
            <w:hideMark/>
          </w:tcPr>
          <w:p w14:paraId="555BD825" w14:textId="77777777" w:rsidR="00F36197" w:rsidRPr="00646254" w:rsidRDefault="00F36197" w:rsidP="008265F0">
            <w:pPr>
              <w:spacing w:after="120" w:line="276"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2019</w:t>
            </w:r>
          </w:p>
        </w:tc>
        <w:tc>
          <w:tcPr>
            <w:tcW w:w="0" w:type="auto"/>
            <w:tcBorders>
              <w:top w:val="single" w:sz="8" w:space="0" w:color="002060"/>
              <w:left w:val="nil"/>
              <w:bottom w:val="single" w:sz="8" w:space="0" w:color="002060"/>
              <w:right w:val="nil"/>
            </w:tcBorders>
            <w:shd w:val="clear" w:color="auto" w:fill="auto"/>
            <w:noWrap/>
            <w:vAlign w:val="center"/>
            <w:hideMark/>
          </w:tcPr>
          <w:p w14:paraId="3F7FF303" w14:textId="77777777" w:rsidR="00F36197" w:rsidRPr="00646254" w:rsidRDefault="00F36197" w:rsidP="008265F0">
            <w:pPr>
              <w:spacing w:after="120" w:line="276"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2020</w:t>
            </w:r>
          </w:p>
        </w:tc>
      </w:tr>
      <w:tr w:rsidR="00F36197" w:rsidRPr="00646254" w14:paraId="40047B9B" w14:textId="77777777" w:rsidTr="008E67C1">
        <w:trPr>
          <w:trHeight w:hRule="exact" w:val="227"/>
          <w:jc w:val="center"/>
        </w:trPr>
        <w:tc>
          <w:tcPr>
            <w:tcW w:w="0" w:type="auto"/>
            <w:tcBorders>
              <w:top w:val="nil"/>
              <w:left w:val="nil"/>
              <w:bottom w:val="nil"/>
              <w:right w:val="nil"/>
            </w:tcBorders>
            <w:shd w:val="clear" w:color="auto" w:fill="auto"/>
            <w:noWrap/>
            <w:vAlign w:val="center"/>
            <w:hideMark/>
          </w:tcPr>
          <w:p w14:paraId="041366B4" w14:textId="77777777" w:rsidR="00F36197" w:rsidRPr="00646254" w:rsidRDefault="00F36197" w:rsidP="008265F0">
            <w:pPr>
              <w:spacing w:after="120" w:line="276" w:lineRule="auto"/>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Укупна имовина</w:t>
            </w:r>
          </w:p>
        </w:tc>
        <w:tc>
          <w:tcPr>
            <w:tcW w:w="0" w:type="auto"/>
            <w:tcBorders>
              <w:top w:val="nil"/>
              <w:left w:val="nil"/>
              <w:bottom w:val="nil"/>
              <w:right w:val="nil"/>
            </w:tcBorders>
            <w:shd w:val="clear" w:color="auto" w:fill="auto"/>
            <w:noWrap/>
            <w:vAlign w:val="center"/>
            <w:hideMark/>
          </w:tcPr>
          <w:p w14:paraId="7757A8CE" w14:textId="77777777" w:rsidR="00F36197" w:rsidRPr="00646254" w:rsidRDefault="00F36197" w:rsidP="008265F0">
            <w:pPr>
              <w:spacing w:after="120" w:line="276"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2.854</w:t>
            </w:r>
          </w:p>
        </w:tc>
        <w:tc>
          <w:tcPr>
            <w:tcW w:w="0" w:type="auto"/>
            <w:tcBorders>
              <w:top w:val="nil"/>
              <w:left w:val="nil"/>
              <w:bottom w:val="nil"/>
              <w:right w:val="nil"/>
            </w:tcBorders>
            <w:shd w:val="clear" w:color="auto" w:fill="auto"/>
            <w:noWrap/>
            <w:vAlign w:val="center"/>
            <w:hideMark/>
          </w:tcPr>
          <w:p w14:paraId="78F3E77C" w14:textId="77777777" w:rsidR="00F36197" w:rsidRPr="00646254" w:rsidRDefault="00F36197" w:rsidP="008265F0">
            <w:pPr>
              <w:spacing w:after="120" w:line="276"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2.654</w:t>
            </w:r>
          </w:p>
        </w:tc>
      </w:tr>
      <w:tr w:rsidR="00F36197" w:rsidRPr="00646254" w14:paraId="43F2EA46" w14:textId="77777777" w:rsidTr="008E67C1">
        <w:trPr>
          <w:trHeight w:hRule="exact" w:val="227"/>
          <w:jc w:val="center"/>
        </w:trPr>
        <w:tc>
          <w:tcPr>
            <w:tcW w:w="0" w:type="auto"/>
            <w:tcBorders>
              <w:top w:val="nil"/>
              <w:left w:val="nil"/>
              <w:bottom w:val="nil"/>
              <w:right w:val="nil"/>
            </w:tcBorders>
            <w:shd w:val="clear" w:color="auto" w:fill="auto"/>
            <w:noWrap/>
            <w:vAlign w:val="center"/>
            <w:hideMark/>
          </w:tcPr>
          <w:p w14:paraId="0706B105" w14:textId="77777777" w:rsidR="00F36197" w:rsidRPr="00646254" w:rsidRDefault="00F36197" w:rsidP="008265F0">
            <w:pPr>
              <w:spacing w:after="120" w:line="276" w:lineRule="auto"/>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Сопствени капитал</w:t>
            </w:r>
          </w:p>
        </w:tc>
        <w:tc>
          <w:tcPr>
            <w:tcW w:w="0" w:type="auto"/>
            <w:tcBorders>
              <w:top w:val="nil"/>
              <w:left w:val="nil"/>
              <w:bottom w:val="nil"/>
              <w:right w:val="nil"/>
            </w:tcBorders>
            <w:shd w:val="clear" w:color="auto" w:fill="auto"/>
            <w:noWrap/>
            <w:vAlign w:val="center"/>
            <w:hideMark/>
          </w:tcPr>
          <w:p w14:paraId="26C1B9C6" w14:textId="77777777" w:rsidR="00F36197" w:rsidRPr="00646254" w:rsidRDefault="00F36197" w:rsidP="008265F0">
            <w:pPr>
              <w:spacing w:after="120" w:line="276"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1.751</w:t>
            </w:r>
          </w:p>
        </w:tc>
        <w:tc>
          <w:tcPr>
            <w:tcW w:w="0" w:type="auto"/>
            <w:tcBorders>
              <w:top w:val="nil"/>
              <w:left w:val="nil"/>
              <w:bottom w:val="nil"/>
              <w:right w:val="nil"/>
            </w:tcBorders>
            <w:shd w:val="clear" w:color="auto" w:fill="auto"/>
            <w:noWrap/>
            <w:vAlign w:val="center"/>
            <w:hideMark/>
          </w:tcPr>
          <w:p w14:paraId="7100BA2B" w14:textId="77777777" w:rsidR="00F36197" w:rsidRPr="00646254" w:rsidRDefault="00F36197" w:rsidP="008265F0">
            <w:pPr>
              <w:spacing w:after="120" w:line="276"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1.033</w:t>
            </w:r>
          </w:p>
        </w:tc>
      </w:tr>
      <w:tr w:rsidR="00F36197" w:rsidRPr="00646254" w14:paraId="3E7E128A" w14:textId="77777777" w:rsidTr="008E67C1">
        <w:trPr>
          <w:trHeight w:hRule="exact" w:val="227"/>
          <w:jc w:val="center"/>
        </w:trPr>
        <w:tc>
          <w:tcPr>
            <w:tcW w:w="0" w:type="auto"/>
            <w:tcBorders>
              <w:top w:val="nil"/>
              <w:left w:val="nil"/>
              <w:bottom w:val="nil"/>
              <w:right w:val="nil"/>
            </w:tcBorders>
            <w:shd w:val="clear" w:color="auto" w:fill="auto"/>
            <w:noWrap/>
            <w:vAlign w:val="center"/>
            <w:hideMark/>
          </w:tcPr>
          <w:p w14:paraId="59125393" w14:textId="77777777" w:rsidR="00F36197" w:rsidRPr="00646254" w:rsidRDefault="00F36197" w:rsidP="008265F0">
            <w:pPr>
              <w:spacing w:after="120" w:line="276" w:lineRule="auto"/>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Укупни приходи</w:t>
            </w:r>
          </w:p>
        </w:tc>
        <w:tc>
          <w:tcPr>
            <w:tcW w:w="0" w:type="auto"/>
            <w:tcBorders>
              <w:top w:val="nil"/>
              <w:left w:val="nil"/>
              <w:bottom w:val="nil"/>
              <w:right w:val="nil"/>
            </w:tcBorders>
            <w:shd w:val="clear" w:color="auto" w:fill="auto"/>
            <w:noWrap/>
            <w:vAlign w:val="center"/>
            <w:hideMark/>
          </w:tcPr>
          <w:p w14:paraId="2F1D0792" w14:textId="77777777" w:rsidR="00F36197" w:rsidRPr="00646254" w:rsidRDefault="00F36197" w:rsidP="008265F0">
            <w:pPr>
              <w:spacing w:after="120" w:line="276"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524,3</w:t>
            </w:r>
          </w:p>
        </w:tc>
        <w:tc>
          <w:tcPr>
            <w:tcW w:w="0" w:type="auto"/>
            <w:tcBorders>
              <w:top w:val="nil"/>
              <w:left w:val="nil"/>
              <w:bottom w:val="nil"/>
              <w:right w:val="nil"/>
            </w:tcBorders>
            <w:shd w:val="clear" w:color="auto" w:fill="auto"/>
            <w:noWrap/>
            <w:vAlign w:val="center"/>
            <w:hideMark/>
          </w:tcPr>
          <w:p w14:paraId="07B8255D" w14:textId="77777777" w:rsidR="00F36197" w:rsidRPr="00646254" w:rsidRDefault="00F36197" w:rsidP="008265F0">
            <w:pPr>
              <w:spacing w:after="120" w:line="276"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536,4</w:t>
            </w:r>
          </w:p>
        </w:tc>
      </w:tr>
      <w:tr w:rsidR="00F36197" w:rsidRPr="00646254" w14:paraId="38D674E9" w14:textId="77777777" w:rsidTr="008E67C1">
        <w:trPr>
          <w:trHeight w:hRule="exact" w:val="227"/>
          <w:jc w:val="center"/>
        </w:trPr>
        <w:tc>
          <w:tcPr>
            <w:tcW w:w="0" w:type="auto"/>
            <w:tcBorders>
              <w:top w:val="nil"/>
              <w:left w:val="nil"/>
              <w:bottom w:val="nil"/>
              <w:right w:val="nil"/>
            </w:tcBorders>
            <w:shd w:val="clear" w:color="auto" w:fill="auto"/>
            <w:noWrap/>
            <w:vAlign w:val="center"/>
            <w:hideMark/>
          </w:tcPr>
          <w:p w14:paraId="059A02FD" w14:textId="77777777" w:rsidR="00F36197" w:rsidRPr="00646254" w:rsidRDefault="00F36197" w:rsidP="008265F0">
            <w:pPr>
              <w:spacing w:after="120" w:line="276" w:lineRule="auto"/>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Нето резултат</w:t>
            </w:r>
          </w:p>
        </w:tc>
        <w:tc>
          <w:tcPr>
            <w:tcW w:w="0" w:type="auto"/>
            <w:tcBorders>
              <w:top w:val="nil"/>
              <w:left w:val="nil"/>
              <w:bottom w:val="nil"/>
              <w:right w:val="nil"/>
            </w:tcBorders>
            <w:shd w:val="clear" w:color="auto" w:fill="auto"/>
            <w:noWrap/>
            <w:vAlign w:val="center"/>
            <w:hideMark/>
          </w:tcPr>
          <w:p w14:paraId="00716900" w14:textId="77777777" w:rsidR="00F36197" w:rsidRPr="00646254" w:rsidRDefault="00F36197" w:rsidP="008265F0">
            <w:pPr>
              <w:spacing w:after="120" w:line="276"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-18,1</w:t>
            </w:r>
          </w:p>
        </w:tc>
        <w:tc>
          <w:tcPr>
            <w:tcW w:w="0" w:type="auto"/>
            <w:tcBorders>
              <w:top w:val="nil"/>
              <w:left w:val="nil"/>
              <w:bottom w:val="nil"/>
              <w:right w:val="nil"/>
            </w:tcBorders>
            <w:shd w:val="clear" w:color="auto" w:fill="auto"/>
            <w:noWrap/>
            <w:vAlign w:val="center"/>
            <w:hideMark/>
          </w:tcPr>
          <w:p w14:paraId="19D5C43F" w14:textId="77777777" w:rsidR="00F36197" w:rsidRPr="00646254" w:rsidRDefault="00F36197" w:rsidP="008265F0">
            <w:pPr>
              <w:spacing w:after="120" w:line="276"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15,2</w:t>
            </w:r>
          </w:p>
        </w:tc>
      </w:tr>
      <w:tr w:rsidR="00F36197" w:rsidRPr="00646254" w14:paraId="05C5B149" w14:textId="77777777" w:rsidTr="008E67C1">
        <w:trPr>
          <w:trHeight w:hRule="exact" w:val="227"/>
          <w:jc w:val="center"/>
        </w:trPr>
        <w:tc>
          <w:tcPr>
            <w:tcW w:w="0" w:type="auto"/>
            <w:tcBorders>
              <w:top w:val="nil"/>
              <w:left w:val="nil"/>
              <w:bottom w:val="nil"/>
              <w:right w:val="nil"/>
            </w:tcBorders>
            <w:shd w:val="clear" w:color="auto" w:fill="auto"/>
            <w:noWrap/>
            <w:vAlign w:val="center"/>
            <w:hideMark/>
          </w:tcPr>
          <w:p w14:paraId="164FF3B0" w14:textId="77777777" w:rsidR="00F36197" w:rsidRPr="00646254" w:rsidRDefault="00F36197" w:rsidP="008265F0">
            <w:pPr>
              <w:spacing w:after="120" w:line="276" w:lineRule="auto"/>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Субвенције</w:t>
            </w:r>
          </w:p>
        </w:tc>
        <w:tc>
          <w:tcPr>
            <w:tcW w:w="0" w:type="auto"/>
            <w:tcBorders>
              <w:top w:val="nil"/>
              <w:left w:val="nil"/>
              <w:bottom w:val="nil"/>
              <w:right w:val="nil"/>
            </w:tcBorders>
            <w:shd w:val="clear" w:color="auto" w:fill="auto"/>
            <w:noWrap/>
            <w:vAlign w:val="center"/>
            <w:hideMark/>
          </w:tcPr>
          <w:p w14:paraId="14446B6D" w14:textId="77777777" w:rsidR="00F36197" w:rsidRPr="00646254" w:rsidRDefault="00F36197" w:rsidP="008265F0">
            <w:pPr>
              <w:spacing w:after="120" w:line="276"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33,4</w:t>
            </w:r>
          </w:p>
        </w:tc>
        <w:tc>
          <w:tcPr>
            <w:tcW w:w="0" w:type="auto"/>
            <w:tcBorders>
              <w:top w:val="nil"/>
              <w:left w:val="nil"/>
              <w:bottom w:val="nil"/>
              <w:right w:val="nil"/>
            </w:tcBorders>
            <w:shd w:val="clear" w:color="auto" w:fill="auto"/>
            <w:noWrap/>
            <w:vAlign w:val="center"/>
            <w:hideMark/>
          </w:tcPr>
          <w:p w14:paraId="1FD9E8D3" w14:textId="77777777" w:rsidR="00F36197" w:rsidRPr="00646254" w:rsidRDefault="00F36197" w:rsidP="008265F0">
            <w:pPr>
              <w:spacing w:after="120" w:line="276"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66,7</w:t>
            </w:r>
          </w:p>
        </w:tc>
      </w:tr>
      <w:tr w:rsidR="00F36197" w:rsidRPr="00646254" w14:paraId="595B8384" w14:textId="77777777" w:rsidTr="008E67C1">
        <w:trPr>
          <w:trHeight w:hRule="exact" w:val="227"/>
          <w:jc w:val="center"/>
        </w:trPr>
        <w:tc>
          <w:tcPr>
            <w:tcW w:w="0" w:type="auto"/>
            <w:tcBorders>
              <w:top w:val="nil"/>
              <w:left w:val="nil"/>
              <w:bottom w:val="single" w:sz="8" w:space="0" w:color="002060"/>
              <w:right w:val="nil"/>
            </w:tcBorders>
            <w:shd w:val="clear" w:color="auto" w:fill="auto"/>
            <w:noWrap/>
            <w:vAlign w:val="center"/>
            <w:hideMark/>
          </w:tcPr>
          <w:p w14:paraId="0C2EEDB4" w14:textId="77777777" w:rsidR="00F36197" w:rsidRPr="00646254" w:rsidRDefault="00F36197" w:rsidP="008265F0">
            <w:pPr>
              <w:spacing w:after="120" w:line="276" w:lineRule="auto"/>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Субвенције, без ЈП „Путеви Србије”</w:t>
            </w:r>
          </w:p>
        </w:tc>
        <w:tc>
          <w:tcPr>
            <w:tcW w:w="0" w:type="auto"/>
            <w:tcBorders>
              <w:top w:val="nil"/>
              <w:left w:val="nil"/>
              <w:bottom w:val="single" w:sz="8" w:space="0" w:color="002060"/>
              <w:right w:val="nil"/>
            </w:tcBorders>
            <w:shd w:val="clear" w:color="auto" w:fill="auto"/>
            <w:noWrap/>
            <w:vAlign w:val="center"/>
            <w:hideMark/>
          </w:tcPr>
          <w:p w14:paraId="7F61BDFF" w14:textId="77777777" w:rsidR="00F36197" w:rsidRPr="00646254" w:rsidRDefault="00F36197" w:rsidP="008265F0">
            <w:pPr>
              <w:spacing w:after="120" w:line="276"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24,3</w:t>
            </w:r>
          </w:p>
        </w:tc>
        <w:tc>
          <w:tcPr>
            <w:tcW w:w="0" w:type="auto"/>
            <w:tcBorders>
              <w:top w:val="nil"/>
              <w:left w:val="nil"/>
              <w:bottom w:val="single" w:sz="8" w:space="0" w:color="002060"/>
              <w:right w:val="nil"/>
            </w:tcBorders>
            <w:shd w:val="clear" w:color="auto" w:fill="auto"/>
            <w:noWrap/>
            <w:vAlign w:val="center"/>
            <w:hideMark/>
          </w:tcPr>
          <w:p w14:paraId="63C2D4E6" w14:textId="77777777" w:rsidR="00F36197" w:rsidRPr="00646254" w:rsidRDefault="00F36197" w:rsidP="008265F0">
            <w:pPr>
              <w:spacing w:after="120" w:line="276"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39,6</w:t>
            </w:r>
          </w:p>
          <w:p w14:paraId="446E5FBC" w14:textId="77777777" w:rsidR="00F36197" w:rsidRPr="00646254" w:rsidRDefault="00F36197" w:rsidP="008265F0">
            <w:pPr>
              <w:spacing w:after="120" w:line="276" w:lineRule="auto"/>
              <w:jc w:val="right"/>
              <w:rPr>
                <w:rFonts w:eastAsia="MS PGothic" w:cstheme="minorHAnsi"/>
                <w:color w:val="002060"/>
                <w:sz w:val="18"/>
                <w:szCs w:val="18"/>
                <w:lang w:val="sr-Cyrl-CS" w:eastAsia="ja-JP"/>
              </w:rPr>
            </w:pPr>
          </w:p>
        </w:tc>
      </w:tr>
    </w:tbl>
    <w:p w14:paraId="26D13F17" w14:textId="77777777" w:rsidR="00F36197" w:rsidRPr="00646254" w:rsidRDefault="00F36197" w:rsidP="008E67C1">
      <w:pPr>
        <w:spacing w:after="120" w:line="276" w:lineRule="auto"/>
        <w:ind w:left="57"/>
        <w:rPr>
          <w:rFonts w:eastAsia="MS PGothic" w:cstheme="minorHAnsi"/>
          <w:sz w:val="16"/>
          <w:szCs w:val="16"/>
          <w:vertAlign w:val="superscript"/>
          <w:lang w:val="sr-Cyrl-CS" w:eastAsia="ja-JP"/>
        </w:rPr>
      </w:pPr>
      <w:r w:rsidRPr="00646254">
        <w:rPr>
          <w:rFonts w:eastAsia="MS PGothic" w:cstheme="minorHAnsi"/>
          <w:sz w:val="16"/>
          <w:szCs w:val="16"/>
          <w:lang w:val="sr-Cyrl-CS" w:eastAsia="ja-JP"/>
        </w:rPr>
        <w:t>Извор: Финансијски извештаји за 2019. и 2020. годину</w:t>
      </w:r>
    </w:p>
    <w:p w14:paraId="446E0A8E" w14:textId="77777777" w:rsidR="00F36197" w:rsidRPr="00646254" w:rsidRDefault="00F36197" w:rsidP="008E67C1">
      <w:pPr>
        <w:rPr>
          <w:rFonts w:eastAsia="MS PGothic" w:cstheme="minorHAnsi"/>
          <w:szCs w:val="20"/>
          <w:lang w:val="sr-Cyrl-CS" w:eastAsia="ja-JP"/>
        </w:rPr>
        <w:sectPr w:rsidR="00F36197" w:rsidRPr="00646254" w:rsidSect="009B76B2">
          <w:type w:val="continuous"/>
          <w:pgSz w:w="12240" w:h="15840" w:code="1"/>
          <w:pgMar w:top="1440" w:right="1440" w:bottom="1440" w:left="1440" w:header="720" w:footer="720" w:gutter="0"/>
          <w:cols w:num="2" w:space="720"/>
          <w:docGrid w:linePitch="360"/>
        </w:sectPr>
      </w:pPr>
      <w:r w:rsidRPr="00646254">
        <w:rPr>
          <w:rFonts w:eastAsia="MS PGothic" w:cstheme="minorHAnsi"/>
          <w:szCs w:val="20"/>
          <w:lang w:val="sr-Cyrl-CS" w:eastAsia="ja-JP"/>
        </w:rPr>
        <w:t>У 2020. години субвенције су, изражене у проценту укупних прихода, на вишем нивоу у односу на претходну годину и чине 12,4% укупних прихода јавних предузећа. Одређене субвенције имају капитални карактер као што су субвенције за ЈП „Путеви Србије</w:t>
      </w:r>
      <w:r w:rsidRPr="00646254">
        <w:rPr>
          <w:rFonts w:eastAsia="MS PGothic" w:cstheme="minorHAnsi"/>
          <w:bCs/>
          <w:szCs w:val="20"/>
          <w:lang w:val="sr-Cyrl-CS" w:eastAsia="ja-JP"/>
        </w:rPr>
        <w:t>”</w:t>
      </w:r>
      <w:r w:rsidRPr="00646254">
        <w:rPr>
          <w:rFonts w:eastAsia="MS PGothic" w:cstheme="minorHAnsi"/>
          <w:szCs w:val="20"/>
          <w:lang w:val="sr-Cyrl-CS" w:eastAsia="ja-JP"/>
        </w:rPr>
        <w:t>, које су намењене реконструкцији путне инфраструктуре.</w:t>
      </w:r>
    </w:p>
    <w:p w14:paraId="4C97C213" w14:textId="77777777" w:rsidR="00F36197" w:rsidRPr="00646254" w:rsidRDefault="00F36197" w:rsidP="008E67C1">
      <w:pPr>
        <w:rPr>
          <w:rFonts w:eastAsia="MS PGothic" w:cstheme="minorHAnsi"/>
          <w:szCs w:val="20"/>
          <w:lang w:val="sr-Cyrl-CS" w:eastAsia="ja-JP"/>
        </w:rPr>
      </w:pPr>
    </w:p>
    <w:p w14:paraId="74FD4098" w14:textId="77777777" w:rsidR="00F36197" w:rsidRPr="00646254" w:rsidRDefault="00F36197">
      <w:pPr>
        <w:jc w:val="left"/>
        <w:rPr>
          <w:b/>
          <w:color w:val="2F5496" w:themeColor="accent1" w:themeShade="BF"/>
          <w:lang w:val="sr-Cyrl-CS"/>
        </w:rPr>
      </w:pPr>
      <w:r w:rsidRPr="00646254">
        <w:rPr>
          <w:b/>
          <w:color w:val="2F5496" w:themeColor="accent1" w:themeShade="BF"/>
          <w:lang w:val="sr-Cyrl-CS"/>
        </w:rPr>
        <w:br w:type="page"/>
      </w:r>
    </w:p>
    <w:p w14:paraId="32A4046D" w14:textId="77777777" w:rsidR="00F36197" w:rsidRPr="00646254" w:rsidRDefault="00F36197" w:rsidP="008E67C1">
      <w:pPr>
        <w:jc w:val="left"/>
        <w:rPr>
          <w:b/>
          <w:color w:val="2F5496" w:themeColor="accent1" w:themeShade="BF"/>
          <w:lang w:val="sr-Cyrl-CS"/>
        </w:rPr>
      </w:pPr>
      <w:r w:rsidRPr="00646254">
        <w:rPr>
          <w:b/>
          <w:color w:val="2F5496" w:themeColor="accent1" w:themeShade="BF"/>
          <w:lang w:val="sr-Cyrl-CS"/>
        </w:rPr>
        <w:t>Резултати пословања јавних предузећа у другом кварталу 2021. године</w:t>
      </w:r>
    </w:p>
    <w:p w14:paraId="594A9127" w14:textId="77777777" w:rsidR="00F36197" w:rsidRPr="00646254" w:rsidRDefault="00F36197" w:rsidP="00C6085C">
      <w:pPr>
        <w:spacing w:after="360"/>
        <w:rPr>
          <w:rFonts w:eastAsia="MS PGothic" w:cstheme="minorHAnsi"/>
          <w:szCs w:val="20"/>
          <w:lang w:val="sr-Cyrl-CS" w:eastAsia="ja-JP"/>
        </w:rPr>
      </w:pPr>
      <w:r w:rsidRPr="00646254">
        <w:rPr>
          <w:rFonts w:eastAsia="MS PGothic" w:cstheme="minorHAnsi"/>
          <w:szCs w:val="20"/>
          <w:lang w:val="sr-Cyrl-CS" w:eastAsia="ja-JP"/>
        </w:rPr>
        <w:t>Укупан нето резултат утврђен у првој половини 2021. године је добит у износу од 14,7 млрд динара. Резултат текуће године је прецењен за трошкове амортизације ЈП „Путеви Србије</w:t>
      </w:r>
      <w:r w:rsidRPr="00646254">
        <w:rPr>
          <w:rFonts w:eastAsia="MS PGothic" w:cstheme="minorHAnsi"/>
          <w:bCs/>
          <w:szCs w:val="20"/>
          <w:lang w:val="sr-Cyrl-CS" w:eastAsia="ja-JP"/>
        </w:rPr>
        <w:t>”</w:t>
      </w:r>
      <w:r w:rsidRPr="00646254">
        <w:rPr>
          <w:rFonts w:eastAsia="MS PGothic" w:cstheme="minorHAnsi"/>
          <w:szCs w:val="20"/>
          <w:lang w:val="sr-Cyrl-CS" w:eastAsia="ja-JP"/>
        </w:rPr>
        <w:t>, јер предузеће ове трошкове књижи тек на крају године у целокупном износу за дату годину.</w:t>
      </w:r>
    </w:p>
    <w:p w14:paraId="1CAF70EB" w14:textId="77777777" w:rsidR="00F36197" w:rsidRPr="00646254" w:rsidRDefault="00F36197" w:rsidP="008265F0">
      <w:pPr>
        <w:spacing w:after="120" w:line="276" w:lineRule="auto"/>
        <w:rPr>
          <w:rFonts w:eastAsia="MS PGothic" w:cstheme="minorHAnsi"/>
          <w:szCs w:val="20"/>
          <w:lang w:val="sr-Cyrl-CS" w:eastAsia="ja-JP"/>
        </w:rPr>
        <w:sectPr w:rsidR="00F36197" w:rsidRPr="00646254" w:rsidSect="009B76B2">
          <w:type w:val="continuous"/>
          <w:pgSz w:w="12240" w:h="15840" w:code="1"/>
          <w:pgMar w:top="1440" w:right="1440" w:bottom="1440" w:left="1440" w:header="720" w:footer="720" w:gutter="0"/>
          <w:cols w:num="2" w:space="720"/>
          <w:docGrid w:linePitch="360"/>
        </w:sectPr>
      </w:pPr>
    </w:p>
    <w:p w14:paraId="118BA27E" w14:textId="77777777" w:rsidR="00F36197" w:rsidRPr="00646254" w:rsidRDefault="00F36197" w:rsidP="00594453">
      <w:pPr>
        <w:spacing w:after="120" w:line="276" w:lineRule="auto"/>
        <w:jc w:val="center"/>
        <w:rPr>
          <w:rFonts w:eastAsia="MS PGothic" w:cstheme="minorHAnsi"/>
          <w:b/>
          <w:bCs/>
          <w:color w:val="002060"/>
          <w:szCs w:val="20"/>
          <w:lang w:val="sr-Cyrl-CS" w:eastAsia="ja-JP"/>
        </w:rPr>
      </w:pPr>
      <w:r w:rsidRPr="00646254">
        <w:rPr>
          <w:rFonts w:eastAsia="MS PGothic" w:cstheme="minorHAnsi"/>
          <w:b/>
          <w:bCs/>
          <w:color w:val="002060"/>
          <w:szCs w:val="20"/>
          <w:lang w:val="sr-Cyrl-CS" w:eastAsia="ja-JP"/>
        </w:rPr>
        <w:t>Табела 18. Основни показатељи пословања ЈП на дан 30.6.2021. године, у млрд динара</w:t>
      </w:r>
    </w:p>
    <w:tbl>
      <w:tblPr>
        <w:tblW w:w="9239" w:type="dxa"/>
        <w:tblLayout w:type="fixed"/>
        <w:tblLook w:val="04A0" w:firstRow="1" w:lastRow="0" w:firstColumn="1" w:lastColumn="0" w:noHBand="0" w:noVBand="1"/>
      </w:tblPr>
      <w:tblGrid>
        <w:gridCol w:w="3119"/>
        <w:gridCol w:w="2040"/>
        <w:gridCol w:w="2040"/>
        <w:gridCol w:w="2040"/>
      </w:tblGrid>
      <w:tr w:rsidR="00F36197" w:rsidRPr="00646254" w14:paraId="528E545B" w14:textId="77777777" w:rsidTr="009825ED">
        <w:trPr>
          <w:trHeight w:hRule="exact" w:val="227"/>
          <w:tblHeader/>
        </w:trPr>
        <w:tc>
          <w:tcPr>
            <w:tcW w:w="3119" w:type="dxa"/>
            <w:tcBorders>
              <w:top w:val="single" w:sz="8" w:space="0" w:color="002060"/>
              <w:left w:val="nil"/>
              <w:bottom w:val="single" w:sz="8" w:space="0" w:color="002060"/>
              <w:right w:val="nil"/>
            </w:tcBorders>
            <w:shd w:val="clear" w:color="auto" w:fill="auto"/>
            <w:noWrap/>
            <w:vAlign w:val="center"/>
            <w:hideMark/>
          </w:tcPr>
          <w:p w14:paraId="34E57B50" w14:textId="77777777" w:rsidR="00F36197" w:rsidRPr="00646254" w:rsidRDefault="00F36197" w:rsidP="00CD7EDF">
            <w:pPr>
              <w:spacing w:after="120" w:line="276" w:lineRule="auto"/>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Показатељи пословања</w:t>
            </w:r>
          </w:p>
        </w:tc>
        <w:tc>
          <w:tcPr>
            <w:tcW w:w="2040" w:type="dxa"/>
            <w:tcBorders>
              <w:top w:val="single" w:sz="8" w:space="0" w:color="002060"/>
              <w:left w:val="nil"/>
              <w:bottom w:val="single" w:sz="8" w:space="0" w:color="002060"/>
              <w:right w:val="nil"/>
            </w:tcBorders>
            <w:shd w:val="clear" w:color="auto" w:fill="auto"/>
            <w:noWrap/>
            <w:vAlign w:val="center"/>
            <w:hideMark/>
          </w:tcPr>
          <w:p w14:paraId="62B88719" w14:textId="77777777" w:rsidR="00F36197" w:rsidRPr="00646254" w:rsidRDefault="00F36197" w:rsidP="008265F0">
            <w:pPr>
              <w:spacing w:after="120" w:line="276"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2019</w:t>
            </w:r>
          </w:p>
        </w:tc>
        <w:tc>
          <w:tcPr>
            <w:tcW w:w="2040" w:type="dxa"/>
            <w:tcBorders>
              <w:top w:val="single" w:sz="8" w:space="0" w:color="002060"/>
              <w:left w:val="nil"/>
              <w:bottom w:val="single" w:sz="8" w:space="0" w:color="002060"/>
              <w:right w:val="nil"/>
            </w:tcBorders>
            <w:shd w:val="clear" w:color="auto" w:fill="auto"/>
            <w:noWrap/>
            <w:vAlign w:val="center"/>
            <w:hideMark/>
          </w:tcPr>
          <w:p w14:paraId="5C23BE85" w14:textId="77777777" w:rsidR="00F36197" w:rsidRPr="00646254" w:rsidRDefault="00F36197" w:rsidP="008265F0">
            <w:pPr>
              <w:spacing w:after="120" w:line="276"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2020</w:t>
            </w:r>
          </w:p>
        </w:tc>
        <w:tc>
          <w:tcPr>
            <w:tcW w:w="2040" w:type="dxa"/>
            <w:tcBorders>
              <w:top w:val="single" w:sz="8" w:space="0" w:color="002060"/>
              <w:left w:val="nil"/>
              <w:bottom w:val="single" w:sz="8" w:space="0" w:color="002060"/>
              <w:right w:val="nil"/>
            </w:tcBorders>
            <w:shd w:val="clear" w:color="auto" w:fill="auto"/>
            <w:noWrap/>
            <w:vAlign w:val="center"/>
            <w:hideMark/>
          </w:tcPr>
          <w:p w14:paraId="6250D87E" w14:textId="77777777" w:rsidR="00F36197" w:rsidRPr="00646254" w:rsidRDefault="00F36197" w:rsidP="008265F0">
            <w:pPr>
              <w:spacing w:after="120" w:line="276"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01.01–30.06.2021.</w:t>
            </w:r>
          </w:p>
        </w:tc>
      </w:tr>
      <w:tr w:rsidR="00F36197" w:rsidRPr="00646254" w14:paraId="41321F56" w14:textId="77777777" w:rsidTr="009825ED">
        <w:trPr>
          <w:trHeight w:hRule="exact" w:val="227"/>
        </w:trPr>
        <w:tc>
          <w:tcPr>
            <w:tcW w:w="3119" w:type="dxa"/>
            <w:tcBorders>
              <w:top w:val="nil"/>
              <w:left w:val="nil"/>
              <w:bottom w:val="nil"/>
              <w:right w:val="nil"/>
            </w:tcBorders>
            <w:shd w:val="clear" w:color="auto" w:fill="auto"/>
            <w:noWrap/>
            <w:vAlign w:val="center"/>
            <w:hideMark/>
          </w:tcPr>
          <w:p w14:paraId="39470731" w14:textId="77777777" w:rsidR="00F36197" w:rsidRPr="00646254" w:rsidRDefault="00F36197" w:rsidP="008265F0">
            <w:pPr>
              <w:spacing w:after="120" w:line="276" w:lineRule="auto"/>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Пословни приходи</w:t>
            </w:r>
          </w:p>
        </w:tc>
        <w:tc>
          <w:tcPr>
            <w:tcW w:w="2040" w:type="dxa"/>
            <w:tcBorders>
              <w:top w:val="nil"/>
              <w:left w:val="nil"/>
              <w:bottom w:val="nil"/>
              <w:right w:val="nil"/>
            </w:tcBorders>
            <w:shd w:val="clear" w:color="auto" w:fill="auto"/>
            <w:noWrap/>
            <w:vAlign w:val="center"/>
            <w:hideMark/>
          </w:tcPr>
          <w:p w14:paraId="74EBBE5C" w14:textId="77777777" w:rsidR="00F36197" w:rsidRPr="00646254" w:rsidRDefault="00F36197" w:rsidP="008265F0">
            <w:pPr>
              <w:spacing w:after="120" w:line="276"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 xml:space="preserve"> 496,7 </w:t>
            </w:r>
          </w:p>
        </w:tc>
        <w:tc>
          <w:tcPr>
            <w:tcW w:w="2040" w:type="dxa"/>
            <w:tcBorders>
              <w:top w:val="nil"/>
              <w:left w:val="nil"/>
              <w:bottom w:val="nil"/>
              <w:right w:val="nil"/>
            </w:tcBorders>
            <w:shd w:val="clear" w:color="auto" w:fill="auto"/>
            <w:noWrap/>
            <w:vAlign w:val="center"/>
            <w:hideMark/>
          </w:tcPr>
          <w:p w14:paraId="12F2CE47" w14:textId="77777777" w:rsidR="00F36197" w:rsidRPr="00646254" w:rsidRDefault="00F36197" w:rsidP="008265F0">
            <w:pPr>
              <w:spacing w:after="120" w:line="276"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504,5</w:t>
            </w:r>
          </w:p>
        </w:tc>
        <w:tc>
          <w:tcPr>
            <w:tcW w:w="2040" w:type="dxa"/>
            <w:tcBorders>
              <w:top w:val="nil"/>
              <w:left w:val="nil"/>
              <w:bottom w:val="nil"/>
              <w:right w:val="nil"/>
            </w:tcBorders>
            <w:shd w:val="clear" w:color="auto" w:fill="auto"/>
            <w:noWrap/>
            <w:vAlign w:val="center"/>
            <w:hideMark/>
          </w:tcPr>
          <w:p w14:paraId="07E04134" w14:textId="77777777" w:rsidR="00F36197" w:rsidRPr="00646254" w:rsidRDefault="00F36197" w:rsidP="008265F0">
            <w:pPr>
              <w:spacing w:after="120" w:line="276"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271,9</w:t>
            </w:r>
          </w:p>
        </w:tc>
      </w:tr>
      <w:tr w:rsidR="00F36197" w:rsidRPr="00646254" w14:paraId="79E82D11" w14:textId="77777777" w:rsidTr="009825ED">
        <w:trPr>
          <w:trHeight w:hRule="exact" w:val="227"/>
        </w:trPr>
        <w:tc>
          <w:tcPr>
            <w:tcW w:w="3119" w:type="dxa"/>
            <w:tcBorders>
              <w:top w:val="nil"/>
              <w:left w:val="nil"/>
              <w:bottom w:val="nil"/>
              <w:right w:val="nil"/>
            </w:tcBorders>
            <w:shd w:val="clear" w:color="auto" w:fill="auto"/>
            <w:noWrap/>
            <w:vAlign w:val="center"/>
            <w:hideMark/>
          </w:tcPr>
          <w:p w14:paraId="3AE90FF7" w14:textId="77777777" w:rsidR="00F36197" w:rsidRPr="00646254" w:rsidRDefault="00F36197" w:rsidP="008265F0">
            <w:pPr>
              <w:spacing w:after="120" w:line="276" w:lineRule="auto"/>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Пословни расходи</w:t>
            </w:r>
          </w:p>
        </w:tc>
        <w:tc>
          <w:tcPr>
            <w:tcW w:w="2040" w:type="dxa"/>
            <w:tcBorders>
              <w:top w:val="nil"/>
              <w:left w:val="nil"/>
              <w:bottom w:val="nil"/>
              <w:right w:val="nil"/>
            </w:tcBorders>
            <w:shd w:val="clear" w:color="auto" w:fill="auto"/>
            <w:noWrap/>
            <w:vAlign w:val="center"/>
            <w:hideMark/>
          </w:tcPr>
          <w:p w14:paraId="1A165BE3" w14:textId="77777777" w:rsidR="00F36197" w:rsidRPr="00646254" w:rsidRDefault="00F36197" w:rsidP="008265F0">
            <w:pPr>
              <w:spacing w:after="120" w:line="276"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 xml:space="preserve"> 490,9 </w:t>
            </w:r>
          </w:p>
        </w:tc>
        <w:tc>
          <w:tcPr>
            <w:tcW w:w="2040" w:type="dxa"/>
            <w:tcBorders>
              <w:top w:val="nil"/>
              <w:left w:val="nil"/>
              <w:bottom w:val="nil"/>
              <w:right w:val="nil"/>
            </w:tcBorders>
            <w:shd w:val="clear" w:color="auto" w:fill="auto"/>
            <w:noWrap/>
            <w:vAlign w:val="center"/>
            <w:hideMark/>
          </w:tcPr>
          <w:p w14:paraId="66CFCF2E" w14:textId="77777777" w:rsidR="00F36197" w:rsidRPr="00646254" w:rsidRDefault="00F36197" w:rsidP="008265F0">
            <w:pPr>
              <w:spacing w:after="120" w:line="276"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468,2</w:t>
            </w:r>
          </w:p>
        </w:tc>
        <w:tc>
          <w:tcPr>
            <w:tcW w:w="2040" w:type="dxa"/>
            <w:tcBorders>
              <w:top w:val="nil"/>
              <w:left w:val="nil"/>
              <w:bottom w:val="nil"/>
              <w:right w:val="nil"/>
            </w:tcBorders>
            <w:shd w:val="clear" w:color="auto" w:fill="auto"/>
            <w:noWrap/>
            <w:vAlign w:val="center"/>
            <w:hideMark/>
          </w:tcPr>
          <w:p w14:paraId="4D4C0EFF" w14:textId="77777777" w:rsidR="00F36197" w:rsidRPr="00646254" w:rsidRDefault="00F36197" w:rsidP="008265F0">
            <w:pPr>
              <w:spacing w:after="120" w:line="276"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248,2</w:t>
            </w:r>
          </w:p>
        </w:tc>
      </w:tr>
      <w:tr w:rsidR="00F36197" w:rsidRPr="00646254" w14:paraId="403A8BDD" w14:textId="77777777" w:rsidTr="009825ED">
        <w:trPr>
          <w:trHeight w:hRule="exact" w:val="227"/>
        </w:trPr>
        <w:tc>
          <w:tcPr>
            <w:tcW w:w="3119" w:type="dxa"/>
            <w:tcBorders>
              <w:top w:val="nil"/>
              <w:left w:val="nil"/>
              <w:bottom w:val="nil"/>
              <w:right w:val="nil"/>
            </w:tcBorders>
            <w:shd w:val="clear" w:color="auto" w:fill="auto"/>
            <w:noWrap/>
            <w:vAlign w:val="center"/>
            <w:hideMark/>
          </w:tcPr>
          <w:p w14:paraId="5B15DC9C" w14:textId="77777777" w:rsidR="00F36197" w:rsidRPr="00646254" w:rsidRDefault="00F36197" w:rsidP="008265F0">
            <w:pPr>
              <w:spacing w:after="120" w:line="276" w:lineRule="auto"/>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Пословна добит</w:t>
            </w:r>
          </w:p>
        </w:tc>
        <w:tc>
          <w:tcPr>
            <w:tcW w:w="2040" w:type="dxa"/>
            <w:tcBorders>
              <w:top w:val="nil"/>
              <w:left w:val="nil"/>
              <w:bottom w:val="nil"/>
              <w:right w:val="nil"/>
            </w:tcBorders>
            <w:shd w:val="clear" w:color="auto" w:fill="auto"/>
            <w:noWrap/>
            <w:vAlign w:val="center"/>
            <w:hideMark/>
          </w:tcPr>
          <w:p w14:paraId="70BD3B30" w14:textId="77777777" w:rsidR="00F36197" w:rsidRPr="00646254" w:rsidRDefault="00F36197" w:rsidP="008265F0">
            <w:pPr>
              <w:spacing w:after="120" w:line="276"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6</w:t>
            </w:r>
          </w:p>
        </w:tc>
        <w:tc>
          <w:tcPr>
            <w:tcW w:w="2040" w:type="dxa"/>
            <w:tcBorders>
              <w:top w:val="nil"/>
              <w:left w:val="nil"/>
              <w:bottom w:val="nil"/>
              <w:right w:val="nil"/>
            </w:tcBorders>
            <w:shd w:val="clear" w:color="auto" w:fill="auto"/>
            <w:noWrap/>
            <w:vAlign w:val="center"/>
            <w:hideMark/>
          </w:tcPr>
          <w:p w14:paraId="26949D92" w14:textId="77777777" w:rsidR="00F36197" w:rsidRPr="00646254" w:rsidRDefault="00F36197" w:rsidP="008265F0">
            <w:pPr>
              <w:spacing w:after="120" w:line="276"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36,1</w:t>
            </w:r>
          </w:p>
        </w:tc>
        <w:tc>
          <w:tcPr>
            <w:tcW w:w="2040" w:type="dxa"/>
            <w:tcBorders>
              <w:top w:val="nil"/>
              <w:left w:val="nil"/>
              <w:bottom w:val="nil"/>
              <w:right w:val="nil"/>
            </w:tcBorders>
            <w:shd w:val="clear" w:color="auto" w:fill="auto"/>
            <w:noWrap/>
            <w:vAlign w:val="center"/>
            <w:hideMark/>
          </w:tcPr>
          <w:p w14:paraId="2E6DAAB4" w14:textId="77777777" w:rsidR="00F36197" w:rsidRPr="00646254" w:rsidRDefault="00F36197" w:rsidP="008265F0">
            <w:pPr>
              <w:spacing w:after="120" w:line="276"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23,7</w:t>
            </w:r>
          </w:p>
        </w:tc>
      </w:tr>
      <w:tr w:rsidR="00F36197" w:rsidRPr="00646254" w14:paraId="685AC552" w14:textId="77777777" w:rsidTr="009825ED">
        <w:trPr>
          <w:trHeight w:hRule="exact" w:val="227"/>
        </w:trPr>
        <w:tc>
          <w:tcPr>
            <w:tcW w:w="3119" w:type="dxa"/>
            <w:tcBorders>
              <w:top w:val="nil"/>
              <w:left w:val="nil"/>
              <w:bottom w:val="nil"/>
              <w:right w:val="nil"/>
            </w:tcBorders>
            <w:shd w:val="clear" w:color="auto" w:fill="auto"/>
            <w:noWrap/>
            <w:vAlign w:val="center"/>
            <w:hideMark/>
          </w:tcPr>
          <w:p w14:paraId="21147A46" w14:textId="77777777" w:rsidR="00F36197" w:rsidRPr="00646254" w:rsidRDefault="00F36197" w:rsidP="008265F0">
            <w:pPr>
              <w:spacing w:after="120" w:line="276" w:lineRule="auto"/>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Нето резултат</w:t>
            </w:r>
          </w:p>
        </w:tc>
        <w:tc>
          <w:tcPr>
            <w:tcW w:w="2040" w:type="dxa"/>
            <w:tcBorders>
              <w:top w:val="nil"/>
              <w:left w:val="nil"/>
              <w:bottom w:val="nil"/>
              <w:right w:val="nil"/>
            </w:tcBorders>
            <w:shd w:val="clear" w:color="auto" w:fill="auto"/>
            <w:noWrap/>
            <w:vAlign w:val="center"/>
            <w:hideMark/>
          </w:tcPr>
          <w:p w14:paraId="29A392DE" w14:textId="77777777" w:rsidR="00F36197" w:rsidRPr="00646254" w:rsidRDefault="00F36197" w:rsidP="008265F0">
            <w:pPr>
              <w:spacing w:after="120" w:line="276"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-18,1</w:t>
            </w:r>
          </w:p>
        </w:tc>
        <w:tc>
          <w:tcPr>
            <w:tcW w:w="2040" w:type="dxa"/>
            <w:tcBorders>
              <w:top w:val="nil"/>
              <w:left w:val="nil"/>
              <w:bottom w:val="nil"/>
              <w:right w:val="nil"/>
            </w:tcBorders>
            <w:shd w:val="clear" w:color="auto" w:fill="auto"/>
            <w:noWrap/>
            <w:vAlign w:val="center"/>
            <w:hideMark/>
          </w:tcPr>
          <w:p w14:paraId="03461469" w14:textId="77777777" w:rsidR="00F36197" w:rsidRPr="00646254" w:rsidRDefault="00F36197" w:rsidP="008265F0">
            <w:pPr>
              <w:spacing w:after="120" w:line="276"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15,2</w:t>
            </w:r>
          </w:p>
        </w:tc>
        <w:tc>
          <w:tcPr>
            <w:tcW w:w="2040" w:type="dxa"/>
            <w:tcBorders>
              <w:top w:val="nil"/>
              <w:left w:val="nil"/>
              <w:bottom w:val="nil"/>
              <w:right w:val="nil"/>
            </w:tcBorders>
            <w:shd w:val="clear" w:color="auto" w:fill="auto"/>
            <w:noWrap/>
            <w:vAlign w:val="center"/>
            <w:hideMark/>
          </w:tcPr>
          <w:p w14:paraId="3289B7BE" w14:textId="77777777" w:rsidR="00F36197" w:rsidRPr="00646254" w:rsidRDefault="00F36197" w:rsidP="008265F0">
            <w:pPr>
              <w:spacing w:after="120" w:line="276"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14,7</w:t>
            </w:r>
          </w:p>
        </w:tc>
      </w:tr>
      <w:tr w:rsidR="00F36197" w:rsidRPr="00646254" w14:paraId="43B62555" w14:textId="77777777" w:rsidTr="009825ED">
        <w:trPr>
          <w:trHeight w:hRule="exact" w:val="227"/>
        </w:trPr>
        <w:tc>
          <w:tcPr>
            <w:tcW w:w="3119" w:type="dxa"/>
            <w:tcBorders>
              <w:top w:val="nil"/>
              <w:left w:val="nil"/>
              <w:bottom w:val="nil"/>
              <w:right w:val="nil"/>
            </w:tcBorders>
            <w:shd w:val="clear" w:color="auto" w:fill="auto"/>
            <w:noWrap/>
            <w:vAlign w:val="center"/>
            <w:hideMark/>
          </w:tcPr>
          <w:p w14:paraId="7D50CEB3" w14:textId="77777777" w:rsidR="00F36197" w:rsidRPr="00646254" w:rsidRDefault="00F36197" w:rsidP="008265F0">
            <w:pPr>
              <w:spacing w:after="120" w:line="276" w:lineRule="auto"/>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Трошкови зарада*</w:t>
            </w:r>
          </w:p>
        </w:tc>
        <w:tc>
          <w:tcPr>
            <w:tcW w:w="2040" w:type="dxa"/>
            <w:tcBorders>
              <w:top w:val="nil"/>
              <w:left w:val="nil"/>
              <w:bottom w:val="nil"/>
              <w:right w:val="nil"/>
            </w:tcBorders>
            <w:shd w:val="clear" w:color="auto" w:fill="auto"/>
            <w:noWrap/>
            <w:vAlign w:val="center"/>
            <w:hideMark/>
          </w:tcPr>
          <w:p w14:paraId="2016A928" w14:textId="77777777" w:rsidR="00F36197" w:rsidRPr="00646254" w:rsidRDefault="00F36197" w:rsidP="008265F0">
            <w:pPr>
              <w:spacing w:after="120" w:line="276"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 xml:space="preserve"> 111,9 </w:t>
            </w:r>
          </w:p>
        </w:tc>
        <w:tc>
          <w:tcPr>
            <w:tcW w:w="2040" w:type="dxa"/>
            <w:tcBorders>
              <w:top w:val="nil"/>
              <w:left w:val="nil"/>
              <w:bottom w:val="nil"/>
              <w:right w:val="nil"/>
            </w:tcBorders>
            <w:shd w:val="clear" w:color="auto" w:fill="auto"/>
            <w:noWrap/>
            <w:vAlign w:val="center"/>
            <w:hideMark/>
          </w:tcPr>
          <w:p w14:paraId="20642E63" w14:textId="77777777" w:rsidR="00F36197" w:rsidRPr="00646254" w:rsidRDefault="00F36197" w:rsidP="008265F0">
            <w:pPr>
              <w:spacing w:after="120" w:line="276"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110,8</w:t>
            </w:r>
          </w:p>
        </w:tc>
        <w:tc>
          <w:tcPr>
            <w:tcW w:w="2040" w:type="dxa"/>
            <w:tcBorders>
              <w:top w:val="nil"/>
              <w:left w:val="nil"/>
              <w:bottom w:val="nil"/>
              <w:right w:val="nil"/>
            </w:tcBorders>
            <w:shd w:val="clear" w:color="auto" w:fill="auto"/>
            <w:noWrap/>
            <w:vAlign w:val="center"/>
            <w:hideMark/>
          </w:tcPr>
          <w:p w14:paraId="3E54510D" w14:textId="77777777" w:rsidR="00F36197" w:rsidRPr="00646254" w:rsidRDefault="00F36197" w:rsidP="008265F0">
            <w:pPr>
              <w:spacing w:after="120" w:line="276"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49,3</w:t>
            </w:r>
          </w:p>
        </w:tc>
      </w:tr>
      <w:tr w:rsidR="00F36197" w:rsidRPr="00646254" w14:paraId="33602E52" w14:textId="77777777" w:rsidTr="009825ED">
        <w:trPr>
          <w:trHeight w:hRule="exact" w:val="215"/>
        </w:trPr>
        <w:tc>
          <w:tcPr>
            <w:tcW w:w="3119" w:type="dxa"/>
            <w:tcBorders>
              <w:top w:val="nil"/>
              <w:left w:val="nil"/>
              <w:bottom w:val="single" w:sz="8" w:space="0" w:color="002060"/>
              <w:right w:val="nil"/>
            </w:tcBorders>
            <w:shd w:val="clear" w:color="auto" w:fill="auto"/>
            <w:noWrap/>
            <w:vAlign w:val="center"/>
            <w:hideMark/>
          </w:tcPr>
          <w:p w14:paraId="3DC2FDE7" w14:textId="77777777" w:rsidR="00F36197" w:rsidRPr="00646254" w:rsidRDefault="00F36197" w:rsidP="008265F0">
            <w:pPr>
              <w:spacing w:after="120" w:line="276" w:lineRule="auto"/>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 xml:space="preserve">Број ЈП која су остварила добит </w:t>
            </w:r>
          </w:p>
        </w:tc>
        <w:tc>
          <w:tcPr>
            <w:tcW w:w="2040" w:type="dxa"/>
            <w:tcBorders>
              <w:top w:val="nil"/>
              <w:left w:val="nil"/>
              <w:bottom w:val="single" w:sz="8" w:space="0" w:color="002060"/>
              <w:right w:val="nil"/>
            </w:tcBorders>
            <w:shd w:val="clear" w:color="auto" w:fill="auto"/>
            <w:noWrap/>
            <w:vAlign w:val="center"/>
            <w:hideMark/>
          </w:tcPr>
          <w:p w14:paraId="7C936074" w14:textId="77777777" w:rsidR="00F36197" w:rsidRPr="00646254" w:rsidRDefault="00F36197" w:rsidP="008265F0">
            <w:pPr>
              <w:spacing w:after="120" w:line="276"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25</w:t>
            </w:r>
          </w:p>
        </w:tc>
        <w:tc>
          <w:tcPr>
            <w:tcW w:w="2040" w:type="dxa"/>
            <w:tcBorders>
              <w:top w:val="nil"/>
              <w:left w:val="nil"/>
              <w:bottom w:val="single" w:sz="8" w:space="0" w:color="002060"/>
              <w:right w:val="nil"/>
            </w:tcBorders>
            <w:shd w:val="clear" w:color="auto" w:fill="auto"/>
            <w:noWrap/>
            <w:vAlign w:val="center"/>
            <w:hideMark/>
          </w:tcPr>
          <w:p w14:paraId="3CE844AB" w14:textId="77777777" w:rsidR="00F36197" w:rsidRPr="00646254" w:rsidRDefault="00F36197" w:rsidP="008265F0">
            <w:pPr>
              <w:spacing w:after="120" w:line="276"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25</w:t>
            </w:r>
          </w:p>
        </w:tc>
        <w:tc>
          <w:tcPr>
            <w:tcW w:w="2040" w:type="dxa"/>
            <w:tcBorders>
              <w:top w:val="nil"/>
              <w:left w:val="nil"/>
              <w:bottom w:val="single" w:sz="8" w:space="0" w:color="002060"/>
              <w:right w:val="nil"/>
            </w:tcBorders>
            <w:shd w:val="clear" w:color="auto" w:fill="auto"/>
            <w:noWrap/>
            <w:vAlign w:val="center"/>
            <w:hideMark/>
          </w:tcPr>
          <w:p w14:paraId="359F17C8" w14:textId="77777777" w:rsidR="00F36197" w:rsidRPr="00646254" w:rsidRDefault="00F36197" w:rsidP="008265F0">
            <w:pPr>
              <w:spacing w:after="120" w:line="276" w:lineRule="auto"/>
              <w:jc w:val="right"/>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22</w:t>
            </w:r>
          </w:p>
        </w:tc>
      </w:tr>
    </w:tbl>
    <w:p w14:paraId="0BDDD164" w14:textId="77777777" w:rsidR="00F36197" w:rsidRPr="00646254" w:rsidRDefault="00F36197" w:rsidP="00594453">
      <w:pPr>
        <w:spacing w:before="40" w:after="0" w:line="276" w:lineRule="auto"/>
        <w:rPr>
          <w:rFonts w:eastAsia="MS PGothic" w:cstheme="minorHAnsi"/>
          <w:sz w:val="16"/>
          <w:szCs w:val="16"/>
          <w:lang w:val="sr-Cyrl-CS" w:eastAsia="ja-JP"/>
        </w:rPr>
      </w:pPr>
      <w:r w:rsidRPr="00646254">
        <w:rPr>
          <w:rFonts w:eastAsia="MS PGothic" w:cstheme="minorHAnsi"/>
          <w:sz w:val="16"/>
          <w:szCs w:val="16"/>
          <w:lang w:val="sr-Cyrl-CS" w:eastAsia="ja-JP"/>
        </w:rPr>
        <w:t>*Трошкови зарада, накнада зарада и остали лични расходи</w:t>
      </w:r>
    </w:p>
    <w:p w14:paraId="57B69563" w14:textId="77777777" w:rsidR="00F36197" w:rsidRPr="00646254" w:rsidRDefault="00F36197" w:rsidP="008265F0">
      <w:pPr>
        <w:spacing w:after="120" w:line="276" w:lineRule="auto"/>
        <w:rPr>
          <w:rFonts w:eastAsia="MS PGothic" w:cstheme="minorHAnsi"/>
          <w:sz w:val="16"/>
          <w:szCs w:val="16"/>
          <w:lang w:val="sr-Cyrl-CS" w:eastAsia="ja-JP"/>
        </w:rPr>
      </w:pPr>
      <w:r w:rsidRPr="00646254">
        <w:rPr>
          <w:rFonts w:eastAsia="MS PGothic" w:cstheme="minorHAnsi"/>
          <w:sz w:val="16"/>
          <w:szCs w:val="16"/>
          <w:lang w:val="sr-Cyrl-CS" w:eastAsia="ja-JP"/>
        </w:rPr>
        <w:t>Извор: Финансијски извештаји за 2019. и 2020. годину и квартални извештаји Министарства привреде за 2021. годину</w:t>
      </w:r>
    </w:p>
    <w:p w14:paraId="128DC950" w14:textId="77777777" w:rsidR="00F36197" w:rsidRPr="00646254" w:rsidRDefault="00F36197" w:rsidP="008265F0">
      <w:pPr>
        <w:spacing w:after="120" w:line="276" w:lineRule="auto"/>
        <w:rPr>
          <w:rFonts w:eastAsia="MS PGothic" w:cstheme="minorHAnsi"/>
          <w:sz w:val="4"/>
          <w:szCs w:val="20"/>
          <w:lang w:val="sr-Cyrl-CS" w:eastAsia="ja-JP"/>
        </w:rPr>
        <w:sectPr w:rsidR="00F36197" w:rsidRPr="00646254" w:rsidSect="009B76B2">
          <w:type w:val="continuous"/>
          <w:pgSz w:w="12240" w:h="15840" w:code="1"/>
          <w:pgMar w:top="1440" w:right="1440" w:bottom="1440" w:left="1440" w:header="720" w:footer="720" w:gutter="0"/>
          <w:cols w:space="720"/>
          <w:docGrid w:linePitch="360"/>
        </w:sectPr>
      </w:pPr>
    </w:p>
    <w:p w14:paraId="6470CD70" w14:textId="77777777" w:rsidR="00F36197" w:rsidRPr="00646254" w:rsidRDefault="00F36197" w:rsidP="008E67C1">
      <w:pPr>
        <w:rPr>
          <w:rFonts w:eastAsia="MS PGothic" w:cstheme="minorHAnsi"/>
          <w:b/>
          <w:szCs w:val="20"/>
          <w:lang w:val="sr-Cyrl-CS" w:eastAsia="ja-JP"/>
        </w:rPr>
      </w:pPr>
      <w:r w:rsidRPr="00646254">
        <w:rPr>
          <w:rFonts w:eastAsia="MS PGothic" w:cstheme="minorHAnsi"/>
          <w:szCs w:val="20"/>
          <w:lang w:val="sr-Cyrl-CS" w:eastAsia="ja-JP"/>
        </w:rPr>
        <w:t xml:space="preserve">У првој половини текуће године добит је остварило 22 предузећа у укупном износу од 18,5 млрд динара, то је више у односу на планирано (9,8 млрд динара). Највећи утицај на позитиван нето резултат у посматраном периоду има ЈП „ЕПС”, које је остварило нето добит у износу од 11,2 млрд динара. </w:t>
      </w:r>
    </w:p>
    <w:p w14:paraId="5686378C" w14:textId="77777777" w:rsidR="00F36197" w:rsidRPr="00646254" w:rsidRDefault="00F36197" w:rsidP="008265F0">
      <w:pPr>
        <w:spacing w:after="120" w:line="276" w:lineRule="auto"/>
        <w:rPr>
          <w:rFonts w:eastAsia="MS PGothic" w:cstheme="minorHAnsi"/>
          <w:b/>
          <w:szCs w:val="20"/>
          <w:lang w:val="sr-Cyrl-CS" w:eastAsia="ja-JP"/>
        </w:rPr>
        <w:sectPr w:rsidR="00F36197" w:rsidRPr="00646254" w:rsidSect="009B76B2">
          <w:type w:val="continuous"/>
          <w:pgSz w:w="12240" w:h="15840" w:code="1"/>
          <w:pgMar w:top="1440" w:right="1440" w:bottom="1440" w:left="1440" w:header="720" w:footer="720" w:gutter="0"/>
          <w:cols w:num="2" w:space="720"/>
          <w:docGrid w:linePitch="360"/>
        </w:sectPr>
      </w:pPr>
    </w:p>
    <w:p w14:paraId="760DEB58" w14:textId="77777777" w:rsidR="00F36197" w:rsidRPr="00646254" w:rsidRDefault="00F36197" w:rsidP="008265F0">
      <w:pPr>
        <w:spacing w:after="120" w:line="276" w:lineRule="auto"/>
        <w:rPr>
          <w:rFonts w:eastAsia="MS PGothic" w:cstheme="minorHAnsi"/>
          <w:b/>
          <w:bCs/>
          <w:sz w:val="6"/>
          <w:szCs w:val="20"/>
          <w:lang w:val="sr-Cyrl-CS" w:eastAsia="ja-JP"/>
        </w:rPr>
      </w:pPr>
    </w:p>
    <w:p w14:paraId="0F0A87FB" w14:textId="77777777" w:rsidR="00F36197" w:rsidRPr="00646254" w:rsidRDefault="00F36197" w:rsidP="008265F0">
      <w:pPr>
        <w:spacing w:after="120" w:line="276" w:lineRule="auto"/>
        <w:rPr>
          <w:rFonts w:eastAsia="MS PGothic" w:cstheme="minorHAnsi"/>
          <w:b/>
          <w:bCs/>
          <w:color w:val="002060"/>
          <w:szCs w:val="20"/>
          <w:lang w:val="sr-Cyrl-CS" w:eastAsia="ja-JP"/>
        </w:rPr>
      </w:pPr>
      <w:bookmarkStart w:id="39" w:name="OLE_LINK1"/>
      <w:r w:rsidRPr="00646254">
        <w:rPr>
          <w:rFonts w:eastAsia="MS PGothic" w:cstheme="minorHAnsi"/>
          <w:b/>
          <w:bCs/>
          <w:color w:val="002060"/>
          <w:szCs w:val="20"/>
          <w:lang w:val="sr-Cyrl-CS" w:eastAsia="ja-JP"/>
        </w:rPr>
        <w:t>Табела 19. Јавна предузећа која су остварила нето добит у периоду 01.01–30.06.2021. године, у хиљ. динара</w:t>
      </w:r>
    </w:p>
    <w:tbl>
      <w:tblPr>
        <w:tblW w:w="9388" w:type="dxa"/>
        <w:tblLook w:val="04A0" w:firstRow="1" w:lastRow="0" w:firstColumn="1" w:lastColumn="0" w:noHBand="0" w:noVBand="1"/>
      </w:tblPr>
      <w:tblGrid>
        <w:gridCol w:w="3445"/>
        <w:gridCol w:w="1981"/>
        <w:gridCol w:w="1981"/>
        <w:gridCol w:w="1981"/>
      </w:tblGrid>
      <w:tr w:rsidR="00F36197" w:rsidRPr="00646254" w14:paraId="67769116" w14:textId="77777777" w:rsidTr="008265F0">
        <w:trPr>
          <w:trHeight w:hRule="exact" w:val="227"/>
          <w:tblHeader/>
        </w:trPr>
        <w:tc>
          <w:tcPr>
            <w:tcW w:w="3445" w:type="dxa"/>
            <w:vMerge w:val="restart"/>
            <w:tcBorders>
              <w:top w:val="single" w:sz="8" w:space="0" w:color="002060"/>
              <w:left w:val="nil"/>
              <w:bottom w:val="single" w:sz="8" w:space="0" w:color="002060"/>
              <w:right w:val="nil"/>
            </w:tcBorders>
            <w:shd w:val="clear" w:color="auto" w:fill="auto"/>
            <w:noWrap/>
            <w:vAlign w:val="center"/>
            <w:hideMark/>
          </w:tcPr>
          <w:p w14:paraId="220F6926" w14:textId="77777777" w:rsidR="00F36197" w:rsidRPr="00646254" w:rsidRDefault="00F36197" w:rsidP="008265F0">
            <w:pPr>
              <w:spacing w:after="120" w:line="276" w:lineRule="auto"/>
              <w:jc w:val="center"/>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Предузеће</w:t>
            </w:r>
          </w:p>
        </w:tc>
        <w:tc>
          <w:tcPr>
            <w:tcW w:w="1981" w:type="dxa"/>
            <w:tcBorders>
              <w:top w:val="single" w:sz="8" w:space="0" w:color="002060"/>
              <w:left w:val="nil"/>
              <w:bottom w:val="nil"/>
              <w:right w:val="nil"/>
            </w:tcBorders>
            <w:shd w:val="clear" w:color="auto" w:fill="auto"/>
            <w:vAlign w:val="center"/>
            <w:hideMark/>
          </w:tcPr>
          <w:p w14:paraId="44419CCA" w14:textId="77777777" w:rsidR="00F36197" w:rsidRPr="00646254" w:rsidRDefault="00F36197" w:rsidP="008265F0">
            <w:pPr>
              <w:spacing w:after="120" w:line="276" w:lineRule="auto"/>
              <w:jc w:val="center"/>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Реализација</w:t>
            </w:r>
          </w:p>
        </w:tc>
        <w:tc>
          <w:tcPr>
            <w:tcW w:w="1981" w:type="dxa"/>
            <w:tcBorders>
              <w:top w:val="single" w:sz="8" w:space="0" w:color="002060"/>
              <w:left w:val="nil"/>
              <w:bottom w:val="nil"/>
              <w:right w:val="nil"/>
            </w:tcBorders>
            <w:shd w:val="clear" w:color="auto" w:fill="auto"/>
            <w:vAlign w:val="center"/>
            <w:hideMark/>
          </w:tcPr>
          <w:p w14:paraId="2428BDE3" w14:textId="77777777" w:rsidR="00F36197" w:rsidRPr="00646254" w:rsidRDefault="00F36197" w:rsidP="008265F0">
            <w:pPr>
              <w:spacing w:after="120" w:line="276" w:lineRule="auto"/>
              <w:jc w:val="center"/>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План</w:t>
            </w:r>
          </w:p>
        </w:tc>
        <w:tc>
          <w:tcPr>
            <w:tcW w:w="1981" w:type="dxa"/>
            <w:tcBorders>
              <w:top w:val="single" w:sz="8" w:space="0" w:color="002060"/>
              <w:left w:val="nil"/>
              <w:bottom w:val="nil"/>
              <w:right w:val="nil"/>
            </w:tcBorders>
            <w:shd w:val="clear" w:color="auto" w:fill="auto"/>
            <w:vAlign w:val="center"/>
            <w:hideMark/>
          </w:tcPr>
          <w:p w14:paraId="4A097266" w14:textId="77777777" w:rsidR="00F36197" w:rsidRPr="00646254" w:rsidRDefault="00F36197" w:rsidP="008265F0">
            <w:pPr>
              <w:spacing w:after="120" w:line="276" w:lineRule="auto"/>
              <w:jc w:val="center"/>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Реализација</w:t>
            </w:r>
          </w:p>
        </w:tc>
      </w:tr>
      <w:tr w:rsidR="00F36197" w:rsidRPr="00646254" w14:paraId="749933C4" w14:textId="77777777" w:rsidTr="008E5519">
        <w:trPr>
          <w:trHeight w:hRule="exact" w:val="309"/>
          <w:tblHeader/>
        </w:trPr>
        <w:tc>
          <w:tcPr>
            <w:tcW w:w="3445" w:type="dxa"/>
            <w:vMerge/>
            <w:tcBorders>
              <w:top w:val="single" w:sz="8" w:space="0" w:color="002060"/>
              <w:left w:val="nil"/>
              <w:bottom w:val="single" w:sz="8" w:space="0" w:color="002060"/>
              <w:right w:val="nil"/>
            </w:tcBorders>
            <w:vAlign w:val="center"/>
            <w:hideMark/>
          </w:tcPr>
          <w:p w14:paraId="4AA8F79F" w14:textId="77777777" w:rsidR="00F36197" w:rsidRPr="00646254" w:rsidRDefault="00F36197" w:rsidP="008265F0">
            <w:pPr>
              <w:spacing w:after="120" w:line="276" w:lineRule="auto"/>
              <w:jc w:val="center"/>
              <w:rPr>
                <w:rFonts w:eastAsia="MS PGothic" w:cstheme="minorHAnsi"/>
                <w:color w:val="002060"/>
                <w:sz w:val="18"/>
                <w:szCs w:val="18"/>
                <w:lang w:val="sr-Cyrl-CS" w:eastAsia="ja-JP"/>
              </w:rPr>
            </w:pPr>
          </w:p>
        </w:tc>
        <w:tc>
          <w:tcPr>
            <w:tcW w:w="1981" w:type="dxa"/>
            <w:tcBorders>
              <w:top w:val="nil"/>
              <w:left w:val="nil"/>
              <w:bottom w:val="single" w:sz="8" w:space="0" w:color="002060"/>
              <w:right w:val="nil"/>
            </w:tcBorders>
            <w:shd w:val="clear" w:color="auto" w:fill="auto"/>
            <w:vAlign w:val="center"/>
            <w:hideMark/>
          </w:tcPr>
          <w:p w14:paraId="4F30678D" w14:textId="77777777" w:rsidR="00F36197" w:rsidRPr="00646254" w:rsidRDefault="00F36197" w:rsidP="008265F0">
            <w:pPr>
              <w:spacing w:after="120" w:line="276" w:lineRule="auto"/>
              <w:jc w:val="center"/>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2020. година</w:t>
            </w:r>
          </w:p>
        </w:tc>
        <w:tc>
          <w:tcPr>
            <w:tcW w:w="1981" w:type="dxa"/>
            <w:tcBorders>
              <w:top w:val="nil"/>
              <w:left w:val="nil"/>
              <w:bottom w:val="single" w:sz="8" w:space="0" w:color="002060"/>
              <w:right w:val="nil"/>
            </w:tcBorders>
            <w:shd w:val="clear" w:color="auto" w:fill="auto"/>
            <w:vAlign w:val="center"/>
            <w:hideMark/>
          </w:tcPr>
          <w:p w14:paraId="0F016F6E" w14:textId="77777777" w:rsidR="00F36197" w:rsidRPr="00646254" w:rsidRDefault="00F36197" w:rsidP="008265F0">
            <w:pPr>
              <w:spacing w:after="120" w:line="276" w:lineRule="auto"/>
              <w:jc w:val="center"/>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01.01–30.06.2021.</w:t>
            </w:r>
          </w:p>
        </w:tc>
        <w:tc>
          <w:tcPr>
            <w:tcW w:w="1981" w:type="dxa"/>
            <w:tcBorders>
              <w:top w:val="nil"/>
              <w:left w:val="nil"/>
              <w:bottom w:val="single" w:sz="8" w:space="0" w:color="002060"/>
              <w:right w:val="nil"/>
            </w:tcBorders>
            <w:shd w:val="clear" w:color="auto" w:fill="auto"/>
            <w:vAlign w:val="center"/>
            <w:hideMark/>
          </w:tcPr>
          <w:p w14:paraId="451C9552" w14:textId="77777777" w:rsidR="00F36197" w:rsidRPr="00646254" w:rsidRDefault="00F36197" w:rsidP="008265F0">
            <w:pPr>
              <w:spacing w:after="120" w:line="276" w:lineRule="auto"/>
              <w:jc w:val="center"/>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01.01–30.06.2021.</w:t>
            </w:r>
          </w:p>
        </w:tc>
      </w:tr>
      <w:tr w:rsidR="00F36197" w:rsidRPr="00646254" w14:paraId="45803C4F" w14:textId="77777777" w:rsidTr="008E5519">
        <w:trPr>
          <w:trHeight w:hRule="exact" w:val="227"/>
        </w:trPr>
        <w:tc>
          <w:tcPr>
            <w:tcW w:w="3445" w:type="dxa"/>
            <w:tcBorders>
              <w:top w:val="single" w:sz="8" w:space="0" w:color="002060"/>
              <w:left w:val="nil"/>
              <w:bottom w:val="nil"/>
              <w:right w:val="nil"/>
            </w:tcBorders>
            <w:shd w:val="clear" w:color="auto" w:fill="auto"/>
            <w:noWrap/>
            <w:vAlign w:val="center"/>
          </w:tcPr>
          <w:p w14:paraId="3463E342" w14:textId="339DDE13" w:rsidR="00F36197" w:rsidRPr="00646254" w:rsidRDefault="00F36197" w:rsidP="008E5519">
            <w:pPr>
              <w:spacing w:after="120" w:line="276" w:lineRule="auto"/>
              <w:rPr>
                <w:rFonts w:eastAsia="MS PGothic" w:cstheme="minorHAnsi"/>
                <w:color w:val="002060"/>
                <w:sz w:val="18"/>
                <w:szCs w:val="18"/>
                <w:lang w:val="sr-Cyrl-CS" w:eastAsia="ja-JP"/>
              </w:rPr>
            </w:pPr>
            <w:r w:rsidRPr="00646254">
              <w:rPr>
                <w:rFonts w:ascii="Calibri" w:hAnsi="Calibri" w:cs="Calibri"/>
                <w:color w:val="002060"/>
                <w:sz w:val="18"/>
                <w:szCs w:val="18"/>
                <w:lang w:val="sr-Cyrl-CS"/>
              </w:rPr>
              <w:t xml:space="preserve">JП </w:t>
            </w:r>
            <w:r w:rsidR="002A35D9" w:rsidRPr="00646254">
              <w:rPr>
                <w:rFonts w:ascii="Calibri" w:hAnsi="Calibri" w:cs="Calibri"/>
                <w:color w:val="002060"/>
                <w:sz w:val="18"/>
                <w:szCs w:val="18"/>
                <w:lang w:val="sr-Cyrl-CS"/>
              </w:rPr>
              <w:t>„</w:t>
            </w:r>
            <w:r w:rsidRPr="00646254">
              <w:rPr>
                <w:rFonts w:ascii="Calibri" w:hAnsi="Calibri" w:cs="Calibri"/>
                <w:color w:val="002060"/>
                <w:sz w:val="18"/>
                <w:szCs w:val="18"/>
                <w:lang w:val="sr-Cyrl-CS"/>
              </w:rPr>
              <w:t>Србијагас</w:t>
            </w:r>
            <w:r w:rsidR="002A35D9" w:rsidRPr="00646254">
              <w:rPr>
                <w:rFonts w:ascii="Calibri" w:hAnsi="Calibri" w:cs="Calibri"/>
                <w:color w:val="002060"/>
                <w:sz w:val="18"/>
                <w:szCs w:val="18"/>
                <w:lang w:val="sr-Cyrl-CS"/>
              </w:rPr>
              <w:t>”</w:t>
            </w:r>
          </w:p>
        </w:tc>
        <w:tc>
          <w:tcPr>
            <w:tcW w:w="1981" w:type="dxa"/>
            <w:tcBorders>
              <w:top w:val="single" w:sz="8" w:space="0" w:color="002060"/>
              <w:left w:val="nil"/>
              <w:bottom w:val="nil"/>
              <w:right w:val="nil"/>
            </w:tcBorders>
            <w:shd w:val="clear" w:color="auto" w:fill="auto"/>
            <w:noWrap/>
            <w:vAlign w:val="center"/>
          </w:tcPr>
          <w:p w14:paraId="77123AF5" w14:textId="37008CFC" w:rsidR="00F36197" w:rsidRPr="00646254" w:rsidRDefault="00F36197" w:rsidP="008E5519">
            <w:pPr>
              <w:spacing w:after="120" w:line="276" w:lineRule="auto"/>
              <w:jc w:val="right"/>
              <w:rPr>
                <w:rFonts w:eastAsia="MS PGothic" w:cstheme="minorHAnsi"/>
                <w:color w:val="002060"/>
                <w:sz w:val="18"/>
                <w:szCs w:val="18"/>
                <w:lang w:val="sr-Cyrl-CS" w:eastAsia="ja-JP"/>
              </w:rPr>
            </w:pPr>
            <w:r w:rsidRPr="00646254">
              <w:rPr>
                <w:rFonts w:ascii="Calibri" w:hAnsi="Calibri" w:cs="Calibri"/>
                <w:color w:val="002060"/>
                <w:sz w:val="18"/>
                <w:szCs w:val="18"/>
                <w:lang w:val="sr-Cyrl-CS"/>
              </w:rPr>
              <w:t>2</w:t>
            </w:r>
            <w:r w:rsidR="00480E7C" w:rsidRPr="00646254">
              <w:rPr>
                <w:rFonts w:ascii="Calibri" w:hAnsi="Calibri" w:cs="Calibri"/>
                <w:color w:val="002060"/>
                <w:sz w:val="18"/>
                <w:szCs w:val="18"/>
                <w:lang w:val="sr-Cyrl-CS"/>
              </w:rPr>
              <w:t>.</w:t>
            </w:r>
            <w:r w:rsidRPr="00646254">
              <w:rPr>
                <w:rFonts w:ascii="Calibri" w:hAnsi="Calibri" w:cs="Calibri"/>
                <w:color w:val="002060"/>
                <w:sz w:val="18"/>
                <w:szCs w:val="18"/>
                <w:lang w:val="sr-Cyrl-CS"/>
              </w:rPr>
              <w:t>990</w:t>
            </w:r>
            <w:r w:rsidR="00480E7C" w:rsidRPr="00646254">
              <w:rPr>
                <w:rFonts w:ascii="Calibri" w:hAnsi="Calibri" w:cs="Calibri"/>
                <w:color w:val="002060"/>
                <w:sz w:val="18"/>
                <w:szCs w:val="18"/>
                <w:lang w:val="sr-Cyrl-CS"/>
              </w:rPr>
              <w:t>.</w:t>
            </w:r>
            <w:r w:rsidRPr="00646254">
              <w:rPr>
                <w:rFonts w:ascii="Calibri" w:hAnsi="Calibri" w:cs="Calibri"/>
                <w:color w:val="002060"/>
                <w:sz w:val="18"/>
                <w:szCs w:val="18"/>
                <w:lang w:val="sr-Cyrl-CS"/>
              </w:rPr>
              <w:t>053</w:t>
            </w:r>
          </w:p>
        </w:tc>
        <w:tc>
          <w:tcPr>
            <w:tcW w:w="1981" w:type="dxa"/>
            <w:tcBorders>
              <w:top w:val="single" w:sz="8" w:space="0" w:color="002060"/>
              <w:left w:val="nil"/>
              <w:bottom w:val="nil"/>
              <w:right w:val="nil"/>
            </w:tcBorders>
            <w:shd w:val="clear" w:color="auto" w:fill="auto"/>
            <w:noWrap/>
            <w:vAlign w:val="center"/>
          </w:tcPr>
          <w:p w14:paraId="116CBCFF" w14:textId="63731225" w:rsidR="00F36197" w:rsidRPr="00646254" w:rsidRDefault="00F36197" w:rsidP="008E5519">
            <w:pPr>
              <w:spacing w:after="120" w:line="276" w:lineRule="auto"/>
              <w:jc w:val="right"/>
              <w:rPr>
                <w:rFonts w:eastAsia="MS PGothic" w:cstheme="minorHAnsi"/>
                <w:color w:val="002060"/>
                <w:sz w:val="18"/>
                <w:szCs w:val="18"/>
                <w:lang w:val="sr-Cyrl-CS" w:eastAsia="ja-JP"/>
              </w:rPr>
            </w:pPr>
            <w:r w:rsidRPr="00646254">
              <w:rPr>
                <w:rFonts w:ascii="Calibri" w:hAnsi="Calibri" w:cs="Calibri"/>
                <w:color w:val="002060"/>
                <w:sz w:val="18"/>
                <w:szCs w:val="18"/>
                <w:lang w:val="sr-Cyrl-CS"/>
              </w:rPr>
              <w:t>5</w:t>
            </w:r>
            <w:r w:rsidR="00480E7C" w:rsidRPr="00646254">
              <w:rPr>
                <w:rFonts w:ascii="Calibri" w:hAnsi="Calibri" w:cs="Calibri"/>
                <w:color w:val="002060"/>
                <w:sz w:val="18"/>
                <w:szCs w:val="18"/>
                <w:lang w:val="sr-Cyrl-CS"/>
              </w:rPr>
              <w:t>.</w:t>
            </w:r>
            <w:r w:rsidRPr="00646254">
              <w:rPr>
                <w:rFonts w:ascii="Calibri" w:hAnsi="Calibri" w:cs="Calibri"/>
                <w:color w:val="002060"/>
                <w:sz w:val="18"/>
                <w:szCs w:val="18"/>
                <w:lang w:val="sr-Cyrl-CS"/>
              </w:rPr>
              <w:t>050</w:t>
            </w:r>
            <w:r w:rsidR="00480E7C" w:rsidRPr="00646254">
              <w:rPr>
                <w:rFonts w:ascii="Calibri" w:hAnsi="Calibri" w:cs="Calibri"/>
                <w:color w:val="002060"/>
                <w:sz w:val="18"/>
                <w:szCs w:val="18"/>
                <w:lang w:val="sr-Cyrl-CS"/>
              </w:rPr>
              <w:t>.</w:t>
            </w:r>
            <w:r w:rsidRPr="00646254">
              <w:rPr>
                <w:rFonts w:ascii="Calibri" w:hAnsi="Calibri" w:cs="Calibri"/>
                <w:color w:val="002060"/>
                <w:sz w:val="18"/>
                <w:szCs w:val="18"/>
                <w:lang w:val="sr-Cyrl-CS"/>
              </w:rPr>
              <w:t>195</w:t>
            </w:r>
          </w:p>
        </w:tc>
        <w:tc>
          <w:tcPr>
            <w:tcW w:w="1981" w:type="dxa"/>
            <w:tcBorders>
              <w:top w:val="single" w:sz="8" w:space="0" w:color="002060"/>
              <w:left w:val="nil"/>
              <w:bottom w:val="nil"/>
              <w:right w:val="nil"/>
            </w:tcBorders>
            <w:shd w:val="clear" w:color="auto" w:fill="auto"/>
            <w:noWrap/>
            <w:vAlign w:val="center"/>
          </w:tcPr>
          <w:p w14:paraId="139B3D02" w14:textId="10A402D0" w:rsidR="00F36197" w:rsidRPr="00646254" w:rsidRDefault="00F36197" w:rsidP="008E5519">
            <w:pPr>
              <w:spacing w:after="120" w:line="276" w:lineRule="auto"/>
              <w:jc w:val="right"/>
              <w:rPr>
                <w:rFonts w:eastAsia="MS PGothic" w:cstheme="minorHAnsi"/>
                <w:color w:val="002060"/>
                <w:sz w:val="18"/>
                <w:szCs w:val="18"/>
                <w:lang w:val="sr-Cyrl-CS" w:eastAsia="ja-JP"/>
              </w:rPr>
            </w:pPr>
            <w:r w:rsidRPr="00646254">
              <w:rPr>
                <w:rFonts w:ascii="Calibri" w:hAnsi="Calibri" w:cs="Calibri"/>
                <w:color w:val="002060"/>
                <w:sz w:val="18"/>
                <w:szCs w:val="18"/>
                <w:lang w:val="sr-Cyrl-CS"/>
              </w:rPr>
              <w:t>1</w:t>
            </w:r>
            <w:r w:rsidR="00480E7C" w:rsidRPr="00646254">
              <w:rPr>
                <w:rFonts w:ascii="Calibri" w:hAnsi="Calibri" w:cs="Calibri"/>
                <w:color w:val="002060"/>
                <w:sz w:val="18"/>
                <w:szCs w:val="18"/>
                <w:lang w:val="sr-Cyrl-CS"/>
              </w:rPr>
              <w:t>.</w:t>
            </w:r>
            <w:r w:rsidRPr="00646254">
              <w:rPr>
                <w:rFonts w:ascii="Calibri" w:hAnsi="Calibri" w:cs="Calibri"/>
                <w:color w:val="002060"/>
                <w:sz w:val="18"/>
                <w:szCs w:val="18"/>
                <w:lang w:val="sr-Cyrl-CS"/>
              </w:rPr>
              <w:t>875</w:t>
            </w:r>
            <w:r w:rsidR="00480E7C" w:rsidRPr="00646254">
              <w:rPr>
                <w:rFonts w:ascii="Calibri" w:hAnsi="Calibri" w:cs="Calibri"/>
                <w:color w:val="002060"/>
                <w:sz w:val="18"/>
                <w:szCs w:val="18"/>
                <w:lang w:val="sr-Cyrl-CS"/>
              </w:rPr>
              <w:t>.</w:t>
            </w:r>
            <w:r w:rsidRPr="00646254">
              <w:rPr>
                <w:rFonts w:ascii="Calibri" w:hAnsi="Calibri" w:cs="Calibri"/>
                <w:color w:val="002060"/>
                <w:sz w:val="18"/>
                <w:szCs w:val="18"/>
                <w:lang w:val="sr-Cyrl-CS"/>
              </w:rPr>
              <w:t>760</w:t>
            </w:r>
          </w:p>
        </w:tc>
      </w:tr>
      <w:tr w:rsidR="00F36197" w:rsidRPr="00646254" w14:paraId="2678EF4A" w14:textId="77777777" w:rsidTr="008E5519">
        <w:trPr>
          <w:trHeight w:hRule="exact" w:val="227"/>
        </w:trPr>
        <w:tc>
          <w:tcPr>
            <w:tcW w:w="3445" w:type="dxa"/>
            <w:tcBorders>
              <w:top w:val="nil"/>
              <w:left w:val="nil"/>
              <w:bottom w:val="nil"/>
              <w:right w:val="nil"/>
            </w:tcBorders>
            <w:shd w:val="clear" w:color="auto" w:fill="auto"/>
            <w:noWrap/>
            <w:vAlign w:val="center"/>
          </w:tcPr>
          <w:p w14:paraId="63968095" w14:textId="7427BDF8" w:rsidR="00F36197" w:rsidRPr="00646254" w:rsidRDefault="00F36197" w:rsidP="008E5519">
            <w:pPr>
              <w:spacing w:after="120" w:line="276" w:lineRule="auto"/>
              <w:rPr>
                <w:rFonts w:eastAsia="MS PGothic" w:cstheme="minorHAnsi"/>
                <w:color w:val="002060"/>
                <w:sz w:val="18"/>
                <w:szCs w:val="18"/>
                <w:lang w:val="sr-Cyrl-CS" w:eastAsia="ja-JP"/>
              </w:rPr>
            </w:pPr>
            <w:r w:rsidRPr="00646254">
              <w:rPr>
                <w:rFonts w:ascii="Calibri" w:hAnsi="Calibri" w:cs="Calibri"/>
                <w:color w:val="002060"/>
                <w:sz w:val="18"/>
                <w:szCs w:val="18"/>
                <w:lang w:val="sr-Cyrl-CS"/>
              </w:rPr>
              <w:t xml:space="preserve">ЈП </w:t>
            </w:r>
            <w:r w:rsidR="00281B51" w:rsidRPr="00646254">
              <w:rPr>
                <w:rFonts w:ascii="Times New Roman" w:hAnsi="Times New Roman" w:cs="Times New Roman"/>
                <w:color w:val="002060"/>
                <w:sz w:val="18"/>
                <w:szCs w:val="18"/>
                <w:lang w:val="sr-Cyrl-CS"/>
              </w:rPr>
              <w:t>„</w:t>
            </w:r>
            <w:r w:rsidRPr="00646254">
              <w:rPr>
                <w:rFonts w:ascii="Calibri" w:hAnsi="Calibri" w:cs="Calibri"/>
                <w:color w:val="002060"/>
                <w:sz w:val="18"/>
                <w:szCs w:val="18"/>
                <w:lang w:val="sr-Cyrl-CS"/>
              </w:rPr>
              <w:t>Мрежа мост</w:t>
            </w:r>
            <w:r w:rsidR="00281B51" w:rsidRPr="00646254">
              <w:rPr>
                <w:rFonts w:ascii="Times New Roman" w:hAnsi="Times New Roman" w:cs="Times New Roman"/>
                <w:color w:val="002060"/>
                <w:sz w:val="18"/>
                <w:szCs w:val="18"/>
                <w:lang w:val="sr-Cyrl-CS"/>
              </w:rPr>
              <w:t>ˮ</w:t>
            </w:r>
          </w:p>
        </w:tc>
        <w:tc>
          <w:tcPr>
            <w:tcW w:w="1981" w:type="dxa"/>
            <w:tcBorders>
              <w:top w:val="nil"/>
              <w:left w:val="nil"/>
              <w:bottom w:val="nil"/>
              <w:right w:val="nil"/>
            </w:tcBorders>
            <w:shd w:val="clear" w:color="auto" w:fill="auto"/>
            <w:noWrap/>
            <w:vAlign w:val="center"/>
          </w:tcPr>
          <w:p w14:paraId="1FCFC4D3" w14:textId="21692588" w:rsidR="00F36197" w:rsidRPr="00646254" w:rsidRDefault="00F36197" w:rsidP="008E5519">
            <w:pPr>
              <w:spacing w:after="120" w:line="276" w:lineRule="auto"/>
              <w:jc w:val="right"/>
              <w:rPr>
                <w:rFonts w:eastAsia="MS PGothic" w:cstheme="minorHAnsi"/>
                <w:color w:val="002060"/>
                <w:sz w:val="18"/>
                <w:szCs w:val="18"/>
                <w:lang w:val="sr-Cyrl-CS" w:eastAsia="ja-JP"/>
              </w:rPr>
            </w:pPr>
            <w:r w:rsidRPr="00646254">
              <w:rPr>
                <w:rFonts w:ascii="Calibri" w:hAnsi="Calibri" w:cs="Calibri"/>
                <w:color w:val="002060"/>
                <w:sz w:val="18"/>
                <w:szCs w:val="18"/>
                <w:lang w:val="sr-Cyrl-CS"/>
              </w:rPr>
              <w:t>7</w:t>
            </w:r>
            <w:r w:rsidR="00480E7C" w:rsidRPr="00646254">
              <w:rPr>
                <w:rFonts w:ascii="Calibri" w:hAnsi="Calibri" w:cs="Calibri"/>
                <w:color w:val="002060"/>
                <w:sz w:val="18"/>
                <w:szCs w:val="18"/>
                <w:lang w:val="sr-Cyrl-CS"/>
              </w:rPr>
              <w:t>.</w:t>
            </w:r>
            <w:r w:rsidRPr="00646254">
              <w:rPr>
                <w:rFonts w:ascii="Calibri" w:hAnsi="Calibri" w:cs="Calibri"/>
                <w:color w:val="002060"/>
                <w:sz w:val="18"/>
                <w:szCs w:val="18"/>
                <w:lang w:val="sr-Cyrl-CS"/>
              </w:rPr>
              <w:t>863</w:t>
            </w:r>
          </w:p>
        </w:tc>
        <w:tc>
          <w:tcPr>
            <w:tcW w:w="1981" w:type="dxa"/>
            <w:tcBorders>
              <w:top w:val="nil"/>
              <w:left w:val="nil"/>
              <w:bottom w:val="nil"/>
              <w:right w:val="nil"/>
            </w:tcBorders>
            <w:shd w:val="clear" w:color="auto" w:fill="auto"/>
            <w:noWrap/>
            <w:vAlign w:val="center"/>
          </w:tcPr>
          <w:p w14:paraId="00BE8D53" w14:textId="77777777" w:rsidR="00F36197" w:rsidRPr="00646254" w:rsidRDefault="00F36197" w:rsidP="008E5519">
            <w:pPr>
              <w:spacing w:after="120" w:line="276" w:lineRule="auto"/>
              <w:jc w:val="right"/>
              <w:rPr>
                <w:rFonts w:eastAsia="MS PGothic" w:cstheme="minorHAnsi"/>
                <w:color w:val="002060"/>
                <w:sz w:val="18"/>
                <w:szCs w:val="18"/>
                <w:lang w:val="sr-Cyrl-CS" w:eastAsia="ja-JP"/>
              </w:rPr>
            </w:pPr>
            <w:r w:rsidRPr="00646254">
              <w:rPr>
                <w:rFonts w:ascii="Calibri" w:hAnsi="Calibri" w:cs="Calibri"/>
                <w:color w:val="002060"/>
                <w:sz w:val="18"/>
                <w:szCs w:val="18"/>
                <w:lang w:val="sr-Cyrl-CS"/>
              </w:rPr>
              <w:t>0</w:t>
            </w:r>
          </w:p>
        </w:tc>
        <w:tc>
          <w:tcPr>
            <w:tcW w:w="1981" w:type="dxa"/>
            <w:tcBorders>
              <w:top w:val="nil"/>
              <w:left w:val="nil"/>
              <w:bottom w:val="nil"/>
              <w:right w:val="nil"/>
            </w:tcBorders>
            <w:shd w:val="clear" w:color="auto" w:fill="auto"/>
            <w:noWrap/>
            <w:vAlign w:val="center"/>
          </w:tcPr>
          <w:p w14:paraId="2940653F" w14:textId="5803EA03" w:rsidR="00F36197" w:rsidRPr="00646254" w:rsidRDefault="00F36197" w:rsidP="008E5519">
            <w:pPr>
              <w:spacing w:after="120" w:line="276" w:lineRule="auto"/>
              <w:jc w:val="right"/>
              <w:rPr>
                <w:rFonts w:eastAsia="MS PGothic" w:cstheme="minorHAnsi"/>
                <w:color w:val="002060"/>
                <w:sz w:val="18"/>
                <w:szCs w:val="18"/>
                <w:lang w:val="sr-Cyrl-CS" w:eastAsia="ja-JP"/>
              </w:rPr>
            </w:pPr>
            <w:r w:rsidRPr="00646254">
              <w:rPr>
                <w:rFonts w:ascii="Calibri" w:hAnsi="Calibri" w:cs="Calibri"/>
                <w:color w:val="002060"/>
                <w:sz w:val="18"/>
                <w:szCs w:val="18"/>
                <w:lang w:val="sr-Cyrl-CS"/>
              </w:rPr>
              <w:t>5</w:t>
            </w:r>
            <w:r w:rsidR="00480E7C" w:rsidRPr="00646254">
              <w:rPr>
                <w:rFonts w:ascii="Calibri" w:hAnsi="Calibri" w:cs="Calibri"/>
                <w:color w:val="002060"/>
                <w:sz w:val="18"/>
                <w:szCs w:val="18"/>
                <w:lang w:val="sr-Cyrl-CS"/>
              </w:rPr>
              <w:t>.</w:t>
            </w:r>
            <w:r w:rsidRPr="00646254">
              <w:rPr>
                <w:rFonts w:ascii="Calibri" w:hAnsi="Calibri" w:cs="Calibri"/>
                <w:color w:val="002060"/>
                <w:sz w:val="18"/>
                <w:szCs w:val="18"/>
                <w:lang w:val="sr-Cyrl-CS"/>
              </w:rPr>
              <w:t>299</w:t>
            </w:r>
          </w:p>
        </w:tc>
      </w:tr>
      <w:tr w:rsidR="00F36197" w:rsidRPr="00646254" w14:paraId="2DC5E8F0" w14:textId="77777777" w:rsidTr="008E5519">
        <w:trPr>
          <w:trHeight w:hRule="exact" w:val="227"/>
        </w:trPr>
        <w:tc>
          <w:tcPr>
            <w:tcW w:w="3445" w:type="dxa"/>
            <w:tcBorders>
              <w:top w:val="nil"/>
              <w:left w:val="nil"/>
              <w:bottom w:val="nil"/>
              <w:right w:val="nil"/>
            </w:tcBorders>
            <w:shd w:val="clear" w:color="auto" w:fill="auto"/>
            <w:noWrap/>
            <w:vAlign w:val="center"/>
          </w:tcPr>
          <w:p w14:paraId="0880C137" w14:textId="0BA36D3A" w:rsidR="00F36197" w:rsidRPr="00646254" w:rsidRDefault="00F36197" w:rsidP="008E5519">
            <w:pPr>
              <w:spacing w:after="120" w:line="276" w:lineRule="auto"/>
              <w:rPr>
                <w:rFonts w:eastAsia="MS PGothic" w:cstheme="minorHAnsi"/>
                <w:color w:val="002060"/>
                <w:sz w:val="18"/>
                <w:szCs w:val="18"/>
                <w:lang w:val="sr-Cyrl-CS" w:eastAsia="ja-JP"/>
              </w:rPr>
            </w:pPr>
            <w:r w:rsidRPr="00646254">
              <w:rPr>
                <w:rFonts w:ascii="Calibri" w:hAnsi="Calibri" w:cs="Calibri"/>
                <w:color w:val="002060"/>
                <w:sz w:val="18"/>
                <w:szCs w:val="18"/>
                <w:lang w:val="sr-Cyrl-CS"/>
              </w:rPr>
              <w:t xml:space="preserve">JП </w:t>
            </w:r>
            <w:r w:rsidR="002A35D9" w:rsidRPr="00646254">
              <w:rPr>
                <w:rFonts w:ascii="Calibri" w:hAnsi="Calibri" w:cs="Calibri"/>
                <w:color w:val="002060"/>
                <w:sz w:val="18"/>
                <w:szCs w:val="18"/>
                <w:lang w:val="sr-Cyrl-CS"/>
              </w:rPr>
              <w:t>„</w:t>
            </w:r>
            <w:r w:rsidRPr="00646254">
              <w:rPr>
                <w:rFonts w:ascii="Calibri" w:hAnsi="Calibri" w:cs="Calibri"/>
                <w:color w:val="002060"/>
                <w:sz w:val="18"/>
                <w:szCs w:val="18"/>
                <w:lang w:val="sr-Cyrl-CS"/>
              </w:rPr>
              <w:t>НП Ђердап</w:t>
            </w:r>
            <w:r w:rsidR="002A35D9" w:rsidRPr="00646254">
              <w:rPr>
                <w:rFonts w:ascii="Calibri" w:hAnsi="Calibri" w:cs="Calibri"/>
                <w:color w:val="002060"/>
                <w:sz w:val="18"/>
                <w:szCs w:val="18"/>
                <w:lang w:val="sr-Cyrl-CS"/>
              </w:rPr>
              <w:t>”</w:t>
            </w:r>
          </w:p>
        </w:tc>
        <w:tc>
          <w:tcPr>
            <w:tcW w:w="1981" w:type="dxa"/>
            <w:tcBorders>
              <w:top w:val="nil"/>
              <w:left w:val="nil"/>
              <w:bottom w:val="nil"/>
              <w:right w:val="nil"/>
            </w:tcBorders>
            <w:shd w:val="clear" w:color="auto" w:fill="auto"/>
            <w:noWrap/>
            <w:vAlign w:val="center"/>
          </w:tcPr>
          <w:p w14:paraId="4E811636" w14:textId="7D9A8CB3" w:rsidR="00F36197" w:rsidRPr="00646254" w:rsidRDefault="00F36197" w:rsidP="008E5519">
            <w:pPr>
              <w:spacing w:after="120" w:line="276" w:lineRule="auto"/>
              <w:jc w:val="right"/>
              <w:rPr>
                <w:rFonts w:eastAsia="MS PGothic" w:cstheme="minorHAnsi"/>
                <w:color w:val="002060"/>
                <w:sz w:val="18"/>
                <w:szCs w:val="18"/>
                <w:lang w:val="sr-Cyrl-CS" w:eastAsia="ja-JP"/>
              </w:rPr>
            </w:pPr>
            <w:r w:rsidRPr="00646254">
              <w:rPr>
                <w:rFonts w:ascii="Calibri" w:hAnsi="Calibri" w:cs="Calibri"/>
                <w:color w:val="002060"/>
                <w:sz w:val="18"/>
                <w:szCs w:val="18"/>
                <w:lang w:val="sr-Cyrl-CS"/>
              </w:rPr>
              <w:t>9</w:t>
            </w:r>
            <w:r w:rsidR="00480E7C" w:rsidRPr="00646254">
              <w:rPr>
                <w:rFonts w:ascii="Calibri" w:hAnsi="Calibri" w:cs="Calibri"/>
                <w:color w:val="002060"/>
                <w:sz w:val="18"/>
                <w:szCs w:val="18"/>
                <w:lang w:val="sr-Cyrl-CS"/>
              </w:rPr>
              <w:t>.</w:t>
            </w:r>
            <w:r w:rsidRPr="00646254">
              <w:rPr>
                <w:rFonts w:ascii="Calibri" w:hAnsi="Calibri" w:cs="Calibri"/>
                <w:color w:val="002060"/>
                <w:sz w:val="18"/>
                <w:szCs w:val="18"/>
                <w:lang w:val="sr-Cyrl-CS"/>
              </w:rPr>
              <w:t>165</w:t>
            </w:r>
          </w:p>
        </w:tc>
        <w:tc>
          <w:tcPr>
            <w:tcW w:w="1981" w:type="dxa"/>
            <w:tcBorders>
              <w:top w:val="nil"/>
              <w:left w:val="nil"/>
              <w:bottom w:val="nil"/>
              <w:right w:val="nil"/>
            </w:tcBorders>
            <w:shd w:val="clear" w:color="auto" w:fill="auto"/>
            <w:noWrap/>
            <w:vAlign w:val="center"/>
          </w:tcPr>
          <w:p w14:paraId="493DF2CA" w14:textId="0A90DED8" w:rsidR="00F36197" w:rsidRPr="00646254" w:rsidRDefault="00F36197" w:rsidP="008E5519">
            <w:pPr>
              <w:spacing w:after="120" w:line="276" w:lineRule="auto"/>
              <w:jc w:val="right"/>
              <w:rPr>
                <w:rFonts w:eastAsia="MS PGothic" w:cstheme="minorHAnsi"/>
                <w:color w:val="002060"/>
                <w:sz w:val="18"/>
                <w:szCs w:val="18"/>
                <w:lang w:val="sr-Cyrl-CS" w:eastAsia="ja-JP"/>
              </w:rPr>
            </w:pPr>
            <w:r w:rsidRPr="00646254">
              <w:rPr>
                <w:rFonts w:ascii="Calibri" w:hAnsi="Calibri" w:cs="Calibri"/>
                <w:color w:val="002060"/>
                <w:sz w:val="18"/>
                <w:szCs w:val="18"/>
                <w:lang w:val="sr-Cyrl-CS"/>
              </w:rPr>
              <w:t>5</w:t>
            </w:r>
            <w:r w:rsidR="00480E7C" w:rsidRPr="00646254">
              <w:rPr>
                <w:rFonts w:ascii="Calibri" w:hAnsi="Calibri" w:cs="Calibri"/>
                <w:color w:val="002060"/>
                <w:sz w:val="18"/>
                <w:szCs w:val="18"/>
                <w:lang w:val="sr-Cyrl-CS"/>
              </w:rPr>
              <w:t>.</w:t>
            </w:r>
            <w:r w:rsidRPr="00646254">
              <w:rPr>
                <w:rFonts w:ascii="Calibri" w:hAnsi="Calibri" w:cs="Calibri"/>
                <w:color w:val="002060"/>
                <w:sz w:val="18"/>
                <w:szCs w:val="18"/>
                <w:lang w:val="sr-Cyrl-CS"/>
              </w:rPr>
              <w:t>287</w:t>
            </w:r>
          </w:p>
        </w:tc>
        <w:tc>
          <w:tcPr>
            <w:tcW w:w="1981" w:type="dxa"/>
            <w:tcBorders>
              <w:top w:val="nil"/>
              <w:left w:val="nil"/>
              <w:bottom w:val="nil"/>
              <w:right w:val="nil"/>
            </w:tcBorders>
            <w:shd w:val="clear" w:color="auto" w:fill="auto"/>
            <w:noWrap/>
            <w:vAlign w:val="center"/>
          </w:tcPr>
          <w:p w14:paraId="68981762" w14:textId="0C7E334E" w:rsidR="00F36197" w:rsidRPr="00646254" w:rsidRDefault="00F36197" w:rsidP="008E5519">
            <w:pPr>
              <w:spacing w:after="120" w:line="276" w:lineRule="auto"/>
              <w:jc w:val="right"/>
              <w:rPr>
                <w:rFonts w:eastAsia="MS PGothic" w:cstheme="minorHAnsi"/>
                <w:color w:val="002060"/>
                <w:sz w:val="18"/>
                <w:szCs w:val="18"/>
                <w:lang w:val="sr-Cyrl-CS" w:eastAsia="ja-JP"/>
              </w:rPr>
            </w:pPr>
            <w:r w:rsidRPr="00646254">
              <w:rPr>
                <w:rFonts w:ascii="Calibri" w:hAnsi="Calibri" w:cs="Calibri"/>
                <w:color w:val="002060"/>
                <w:sz w:val="18"/>
                <w:szCs w:val="18"/>
                <w:lang w:val="sr-Cyrl-CS"/>
              </w:rPr>
              <w:t>6</w:t>
            </w:r>
            <w:r w:rsidR="00480E7C" w:rsidRPr="00646254">
              <w:rPr>
                <w:rFonts w:ascii="Calibri" w:hAnsi="Calibri" w:cs="Calibri"/>
                <w:color w:val="002060"/>
                <w:sz w:val="18"/>
                <w:szCs w:val="18"/>
                <w:lang w:val="sr-Cyrl-CS"/>
              </w:rPr>
              <w:t>.</w:t>
            </w:r>
            <w:r w:rsidRPr="00646254">
              <w:rPr>
                <w:rFonts w:ascii="Calibri" w:hAnsi="Calibri" w:cs="Calibri"/>
                <w:color w:val="002060"/>
                <w:sz w:val="18"/>
                <w:szCs w:val="18"/>
                <w:lang w:val="sr-Cyrl-CS"/>
              </w:rPr>
              <w:t>325</w:t>
            </w:r>
          </w:p>
        </w:tc>
      </w:tr>
      <w:tr w:rsidR="00F36197" w:rsidRPr="00646254" w14:paraId="7F191C00" w14:textId="77777777" w:rsidTr="008E5519">
        <w:trPr>
          <w:trHeight w:hRule="exact" w:val="227"/>
        </w:trPr>
        <w:tc>
          <w:tcPr>
            <w:tcW w:w="3445" w:type="dxa"/>
            <w:tcBorders>
              <w:top w:val="nil"/>
              <w:left w:val="nil"/>
              <w:bottom w:val="nil"/>
              <w:right w:val="nil"/>
            </w:tcBorders>
            <w:shd w:val="clear" w:color="auto" w:fill="auto"/>
            <w:vAlign w:val="center"/>
          </w:tcPr>
          <w:p w14:paraId="1C860CF7" w14:textId="27A03DEC" w:rsidR="00F36197" w:rsidRPr="00646254" w:rsidRDefault="00F36197" w:rsidP="008E5519">
            <w:pPr>
              <w:spacing w:after="120" w:line="276" w:lineRule="auto"/>
              <w:rPr>
                <w:rFonts w:eastAsia="MS PGothic" w:cstheme="minorHAnsi"/>
                <w:color w:val="002060"/>
                <w:sz w:val="18"/>
                <w:szCs w:val="18"/>
                <w:lang w:val="sr-Cyrl-CS" w:eastAsia="ja-JP"/>
              </w:rPr>
            </w:pPr>
            <w:r w:rsidRPr="00646254">
              <w:rPr>
                <w:rFonts w:ascii="Calibri" w:hAnsi="Calibri" w:cs="Calibri"/>
                <w:color w:val="002060"/>
                <w:sz w:val="18"/>
                <w:szCs w:val="18"/>
                <w:lang w:val="sr-Cyrl-CS"/>
              </w:rPr>
              <w:t xml:space="preserve">JП </w:t>
            </w:r>
            <w:r w:rsidR="002A35D9" w:rsidRPr="00646254">
              <w:rPr>
                <w:rFonts w:ascii="Calibri" w:hAnsi="Calibri" w:cs="Calibri"/>
                <w:color w:val="002060"/>
                <w:sz w:val="18"/>
                <w:szCs w:val="18"/>
                <w:lang w:val="sr-Cyrl-CS"/>
              </w:rPr>
              <w:t>„</w:t>
            </w:r>
            <w:r w:rsidRPr="00646254">
              <w:rPr>
                <w:rFonts w:ascii="Calibri" w:hAnsi="Calibri" w:cs="Calibri"/>
                <w:color w:val="002060"/>
                <w:sz w:val="18"/>
                <w:szCs w:val="18"/>
                <w:lang w:val="sr-Cyrl-CS"/>
              </w:rPr>
              <w:t>Скијалишта Србије</w:t>
            </w:r>
            <w:r w:rsidR="002A35D9" w:rsidRPr="00646254">
              <w:rPr>
                <w:rFonts w:ascii="Calibri" w:hAnsi="Calibri" w:cs="Calibri"/>
                <w:color w:val="002060"/>
                <w:sz w:val="18"/>
                <w:szCs w:val="18"/>
                <w:lang w:val="sr-Cyrl-CS"/>
              </w:rPr>
              <w:t>”</w:t>
            </w:r>
          </w:p>
        </w:tc>
        <w:tc>
          <w:tcPr>
            <w:tcW w:w="1981" w:type="dxa"/>
            <w:tcBorders>
              <w:top w:val="nil"/>
              <w:left w:val="nil"/>
              <w:bottom w:val="nil"/>
              <w:right w:val="nil"/>
            </w:tcBorders>
            <w:shd w:val="clear" w:color="auto" w:fill="auto"/>
            <w:vAlign w:val="center"/>
          </w:tcPr>
          <w:p w14:paraId="5DAC2809" w14:textId="1AE12EF1" w:rsidR="00F36197" w:rsidRPr="00646254" w:rsidRDefault="00F36197" w:rsidP="008E5519">
            <w:pPr>
              <w:spacing w:after="120" w:line="276" w:lineRule="auto"/>
              <w:jc w:val="right"/>
              <w:rPr>
                <w:rFonts w:eastAsia="MS PGothic" w:cstheme="minorHAnsi"/>
                <w:color w:val="002060"/>
                <w:sz w:val="18"/>
                <w:szCs w:val="18"/>
                <w:lang w:val="sr-Cyrl-CS" w:eastAsia="ja-JP"/>
              </w:rPr>
            </w:pPr>
            <w:r w:rsidRPr="00646254">
              <w:rPr>
                <w:rFonts w:ascii="Calibri" w:hAnsi="Calibri" w:cs="Calibri"/>
                <w:color w:val="002060"/>
                <w:sz w:val="18"/>
                <w:szCs w:val="18"/>
                <w:lang w:val="sr-Cyrl-CS"/>
              </w:rPr>
              <w:t>214</w:t>
            </w:r>
            <w:r w:rsidR="00480E7C" w:rsidRPr="00646254">
              <w:rPr>
                <w:rFonts w:ascii="Calibri" w:hAnsi="Calibri" w:cs="Calibri"/>
                <w:color w:val="002060"/>
                <w:sz w:val="18"/>
                <w:szCs w:val="18"/>
                <w:lang w:val="sr-Cyrl-CS"/>
              </w:rPr>
              <w:t>.</w:t>
            </w:r>
            <w:r w:rsidRPr="00646254">
              <w:rPr>
                <w:rFonts w:ascii="Calibri" w:hAnsi="Calibri" w:cs="Calibri"/>
                <w:color w:val="002060"/>
                <w:sz w:val="18"/>
                <w:szCs w:val="18"/>
                <w:lang w:val="sr-Cyrl-CS"/>
              </w:rPr>
              <w:t>221</w:t>
            </w:r>
          </w:p>
        </w:tc>
        <w:tc>
          <w:tcPr>
            <w:tcW w:w="1981" w:type="dxa"/>
            <w:tcBorders>
              <w:top w:val="nil"/>
              <w:left w:val="nil"/>
              <w:bottom w:val="nil"/>
              <w:right w:val="nil"/>
            </w:tcBorders>
            <w:shd w:val="clear" w:color="auto" w:fill="auto"/>
            <w:noWrap/>
            <w:vAlign w:val="center"/>
          </w:tcPr>
          <w:p w14:paraId="3088C5F9" w14:textId="692DCB36" w:rsidR="00F36197" w:rsidRPr="00646254" w:rsidRDefault="00F36197" w:rsidP="008E5519">
            <w:pPr>
              <w:spacing w:after="120" w:line="276" w:lineRule="auto"/>
              <w:jc w:val="right"/>
              <w:rPr>
                <w:rFonts w:eastAsia="MS PGothic" w:cstheme="minorHAnsi"/>
                <w:color w:val="002060"/>
                <w:sz w:val="18"/>
                <w:szCs w:val="18"/>
                <w:lang w:val="sr-Cyrl-CS" w:eastAsia="ja-JP"/>
              </w:rPr>
            </w:pPr>
            <w:r w:rsidRPr="00646254">
              <w:rPr>
                <w:rFonts w:ascii="Calibri" w:hAnsi="Calibri" w:cs="Calibri"/>
                <w:color w:val="002060"/>
                <w:sz w:val="18"/>
                <w:szCs w:val="18"/>
                <w:lang w:val="sr-Cyrl-CS"/>
              </w:rPr>
              <w:t>568</w:t>
            </w:r>
            <w:r w:rsidR="00480E7C" w:rsidRPr="00646254">
              <w:rPr>
                <w:rFonts w:ascii="Calibri" w:hAnsi="Calibri" w:cs="Calibri"/>
                <w:color w:val="002060"/>
                <w:sz w:val="18"/>
                <w:szCs w:val="18"/>
                <w:lang w:val="sr-Cyrl-CS"/>
              </w:rPr>
              <w:t>.</w:t>
            </w:r>
            <w:r w:rsidRPr="00646254">
              <w:rPr>
                <w:rFonts w:ascii="Calibri" w:hAnsi="Calibri" w:cs="Calibri"/>
                <w:color w:val="002060"/>
                <w:sz w:val="18"/>
                <w:szCs w:val="18"/>
                <w:lang w:val="sr-Cyrl-CS"/>
              </w:rPr>
              <w:t>554</w:t>
            </w:r>
          </w:p>
        </w:tc>
        <w:tc>
          <w:tcPr>
            <w:tcW w:w="1981" w:type="dxa"/>
            <w:tcBorders>
              <w:top w:val="nil"/>
              <w:left w:val="nil"/>
              <w:bottom w:val="nil"/>
              <w:right w:val="nil"/>
            </w:tcBorders>
            <w:shd w:val="clear" w:color="auto" w:fill="auto"/>
            <w:noWrap/>
            <w:vAlign w:val="center"/>
          </w:tcPr>
          <w:p w14:paraId="0A1FC018" w14:textId="66B505C7" w:rsidR="00F36197" w:rsidRPr="00646254" w:rsidRDefault="00F36197" w:rsidP="008E5519">
            <w:pPr>
              <w:spacing w:after="120" w:line="276" w:lineRule="auto"/>
              <w:jc w:val="right"/>
              <w:rPr>
                <w:rFonts w:eastAsia="MS PGothic" w:cstheme="minorHAnsi"/>
                <w:color w:val="002060"/>
                <w:sz w:val="18"/>
                <w:szCs w:val="18"/>
                <w:lang w:val="sr-Cyrl-CS" w:eastAsia="ja-JP"/>
              </w:rPr>
            </w:pPr>
            <w:r w:rsidRPr="00646254">
              <w:rPr>
                <w:rFonts w:ascii="Calibri" w:hAnsi="Calibri" w:cs="Calibri"/>
                <w:color w:val="002060"/>
                <w:sz w:val="18"/>
                <w:szCs w:val="18"/>
                <w:lang w:val="sr-Cyrl-CS"/>
              </w:rPr>
              <w:t>693</w:t>
            </w:r>
            <w:r w:rsidR="00480E7C" w:rsidRPr="00646254">
              <w:rPr>
                <w:rFonts w:ascii="Calibri" w:hAnsi="Calibri" w:cs="Calibri"/>
                <w:color w:val="002060"/>
                <w:sz w:val="18"/>
                <w:szCs w:val="18"/>
                <w:lang w:val="sr-Cyrl-CS"/>
              </w:rPr>
              <w:t>.</w:t>
            </w:r>
            <w:r w:rsidRPr="00646254">
              <w:rPr>
                <w:rFonts w:ascii="Calibri" w:hAnsi="Calibri" w:cs="Calibri"/>
                <w:color w:val="002060"/>
                <w:sz w:val="18"/>
                <w:szCs w:val="18"/>
                <w:lang w:val="sr-Cyrl-CS"/>
              </w:rPr>
              <w:t>606</w:t>
            </w:r>
          </w:p>
        </w:tc>
      </w:tr>
      <w:tr w:rsidR="00F36197" w:rsidRPr="00646254" w14:paraId="19CBA8E8" w14:textId="77777777" w:rsidTr="008E5519">
        <w:trPr>
          <w:trHeight w:hRule="exact" w:val="227"/>
        </w:trPr>
        <w:tc>
          <w:tcPr>
            <w:tcW w:w="3445" w:type="dxa"/>
            <w:tcBorders>
              <w:top w:val="nil"/>
              <w:left w:val="nil"/>
              <w:bottom w:val="nil"/>
              <w:right w:val="nil"/>
            </w:tcBorders>
            <w:shd w:val="clear" w:color="auto" w:fill="auto"/>
            <w:noWrap/>
            <w:vAlign w:val="center"/>
          </w:tcPr>
          <w:p w14:paraId="0154308D" w14:textId="3823F52A" w:rsidR="00F36197" w:rsidRPr="00646254" w:rsidRDefault="00F36197" w:rsidP="008E5519">
            <w:pPr>
              <w:spacing w:after="120" w:line="276" w:lineRule="auto"/>
              <w:rPr>
                <w:rFonts w:eastAsia="MS PGothic" w:cstheme="minorHAnsi"/>
                <w:color w:val="002060"/>
                <w:sz w:val="18"/>
                <w:szCs w:val="18"/>
                <w:lang w:val="sr-Cyrl-CS" w:eastAsia="ja-JP"/>
              </w:rPr>
            </w:pPr>
            <w:r w:rsidRPr="00646254">
              <w:rPr>
                <w:rFonts w:ascii="Calibri" w:hAnsi="Calibri" w:cs="Calibri"/>
                <w:color w:val="002060"/>
                <w:sz w:val="18"/>
                <w:szCs w:val="18"/>
                <w:lang w:val="sr-Cyrl-CS"/>
              </w:rPr>
              <w:t xml:space="preserve">JП </w:t>
            </w:r>
            <w:r w:rsidR="002A35D9" w:rsidRPr="00646254">
              <w:rPr>
                <w:rFonts w:ascii="Calibri" w:hAnsi="Calibri" w:cs="Calibri"/>
                <w:color w:val="002060"/>
                <w:sz w:val="18"/>
                <w:szCs w:val="18"/>
                <w:lang w:val="sr-Cyrl-CS"/>
              </w:rPr>
              <w:t>„</w:t>
            </w:r>
            <w:r w:rsidRPr="00646254">
              <w:rPr>
                <w:rFonts w:ascii="Calibri" w:hAnsi="Calibri" w:cs="Calibri"/>
                <w:color w:val="002060"/>
                <w:sz w:val="18"/>
                <w:szCs w:val="18"/>
                <w:lang w:val="sr-Cyrl-CS"/>
              </w:rPr>
              <w:t>Стара планина</w:t>
            </w:r>
            <w:r w:rsidR="002A35D9" w:rsidRPr="00646254">
              <w:rPr>
                <w:rFonts w:ascii="Calibri" w:hAnsi="Calibri" w:cs="Calibri"/>
                <w:color w:val="002060"/>
                <w:sz w:val="18"/>
                <w:szCs w:val="18"/>
                <w:lang w:val="sr-Cyrl-CS"/>
              </w:rPr>
              <w:t>”</w:t>
            </w:r>
          </w:p>
        </w:tc>
        <w:tc>
          <w:tcPr>
            <w:tcW w:w="1981" w:type="dxa"/>
            <w:tcBorders>
              <w:top w:val="nil"/>
              <w:left w:val="nil"/>
              <w:bottom w:val="nil"/>
              <w:right w:val="nil"/>
            </w:tcBorders>
            <w:shd w:val="clear" w:color="auto" w:fill="auto"/>
            <w:noWrap/>
            <w:vAlign w:val="center"/>
          </w:tcPr>
          <w:p w14:paraId="15D75124" w14:textId="54DABCC7" w:rsidR="00F36197" w:rsidRPr="00646254" w:rsidRDefault="00F36197" w:rsidP="008E5519">
            <w:pPr>
              <w:spacing w:after="120" w:line="276" w:lineRule="auto"/>
              <w:jc w:val="right"/>
              <w:rPr>
                <w:rFonts w:eastAsia="MS PGothic" w:cstheme="minorHAnsi"/>
                <w:color w:val="002060"/>
                <w:sz w:val="18"/>
                <w:szCs w:val="18"/>
                <w:lang w:val="sr-Cyrl-CS" w:eastAsia="ja-JP"/>
              </w:rPr>
            </w:pPr>
            <w:r w:rsidRPr="00646254">
              <w:rPr>
                <w:rFonts w:ascii="Calibri" w:hAnsi="Calibri" w:cs="Calibri"/>
                <w:color w:val="002060"/>
                <w:sz w:val="18"/>
                <w:szCs w:val="18"/>
                <w:lang w:val="sr-Cyrl-CS"/>
              </w:rPr>
              <w:t>-900</w:t>
            </w:r>
            <w:r w:rsidR="00480E7C" w:rsidRPr="00646254">
              <w:rPr>
                <w:rFonts w:ascii="Calibri" w:hAnsi="Calibri" w:cs="Calibri"/>
                <w:color w:val="002060"/>
                <w:sz w:val="18"/>
                <w:szCs w:val="18"/>
                <w:lang w:val="sr-Cyrl-CS"/>
              </w:rPr>
              <w:t>.</w:t>
            </w:r>
            <w:r w:rsidRPr="00646254">
              <w:rPr>
                <w:rFonts w:ascii="Calibri" w:hAnsi="Calibri" w:cs="Calibri"/>
                <w:color w:val="002060"/>
                <w:sz w:val="18"/>
                <w:szCs w:val="18"/>
                <w:lang w:val="sr-Cyrl-CS"/>
              </w:rPr>
              <w:t>504</w:t>
            </w:r>
          </w:p>
        </w:tc>
        <w:tc>
          <w:tcPr>
            <w:tcW w:w="1981" w:type="dxa"/>
            <w:tcBorders>
              <w:top w:val="nil"/>
              <w:left w:val="nil"/>
              <w:bottom w:val="nil"/>
              <w:right w:val="nil"/>
            </w:tcBorders>
            <w:shd w:val="clear" w:color="auto" w:fill="auto"/>
            <w:noWrap/>
            <w:vAlign w:val="center"/>
          </w:tcPr>
          <w:p w14:paraId="0050833D" w14:textId="32952024" w:rsidR="00F36197" w:rsidRPr="00646254" w:rsidRDefault="00F36197" w:rsidP="008E5519">
            <w:pPr>
              <w:spacing w:after="120" w:line="276" w:lineRule="auto"/>
              <w:jc w:val="right"/>
              <w:rPr>
                <w:rFonts w:eastAsia="MS PGothic" w:cstheme="minorHAnsi"/>
                <w:color w:val="002060"/>
                <w:sz w:val="18"/>
                <w:szCs w:val="18"/>
                <w:lang w:val="sr-Cyrl-CS" w:eastAsia="ja-JP"/>
              </w:rPr>
            </w:pPr>
            <w:r w:rsidRPr="00646254">
              <w:rPr>
                <w:rFonts w:ascii="Calibri" w:hAnsi="Calibri" w:cs="Calibri"/>
                <w:color w:val="002060"/>
                <w:sz w:val="18"/>
                <w:szCs w:val="18"/>
                <w:lang w:val="sr-Cyrl-CS"/>
              </w:rPr>
              <w:t>3</w:t>
            </w:r>
            <w:r w:rsidR="00480E7C" w:rsidRPr="00646254">
              <w:rPr>
                <w:rFonts w:ascii="Calibri" w:hAnsi="Calibri" w:cs="Calibri"/>
                <w:color w:val="002060"/>
                <w:sz w:val="18"/>
                <w:szCs w:val="18"/>
                <w:lang w:val="sr-Cyrl-CS"/>
              </w:rPr>
              <w:t>.</w:t>
            </w:r>
            <w:r w:rsidRPr="00646254">
              <w:rPr>
                <w:rFonts w:ascii="Calibri" w:hAnsi="Calibri" w:cs="Calibri"/>
                <w:color w:val="002060"/>
                <w:sz w:val="18"/>
                <w:szCs w:val="18"/>
                <w:lang w:val="sr-Cyrl-CS"/>
              </w:rPr>
              <w:t>877</w:t>
            </w:r>
          </w:p>
        </w:tc>
        <w:tc>
          <w:tcPr>
            <w:tcW w:w="1981" w:type="dxa"/>
            <w:tcBorders>
              <w:top w:val="nil"/>
              <w:left w:val="nil"/>
              <w:bottom w:val="nil"/>
              <w:right w:val="nil"/>
            </w:tcBorders>
            <w:shd w:val="clear" w:color="auto" w:fill="auto"/>
            <w:noWrap/>
            <w:vAlign w:val="center"/>
          </w:tcPr>
          <w:p w14:paraId="2BC759C5" w14:textId="54D4B963" w:rsidR="00F36197" w:rsidRPr="00646254" w:rsidRDefault="00F36197" w:rsidP="008E5519">
            <w:pPr>
              <w:spacing w:after="120" w:line="276" w:lineRule="auto"/>
              <w:jc w:val="right"/>
              <w:rPr>
                <w:rFonts w:eastAsia="MS PGothic" w:cstheme="minorHAnsi"/>
                <w:color w:val="002060"/>
                <w:sz w:val="18"/>
                <w:szCs w:val="18"/>
                <w:lang w:val="sr-Cyrl-CS" w:eastAsia="ja-JP"/>
              </w:rPr>
            </w:pPr>
            <w:r w:rsidRPr="00646254">
              <w:rPr>
                <w:rFonts w:ascii="Calibri" w:hAnsi="Calibri" w:cs="Calibri"/>
                <w:color w:val="002060"/>
                <w:sz w:val="18"/>
                <w:szCs w:val="18"/>
                <w:lang w:val="sr-Cyrl-CS"/>
              </w:rPr>
              <w:t>5</w:t>
            </w:r>
            <w:r w:rsidR="00480E7C" w:rsidRPr="00646254">
              <w:rPr>
                <w:rFonts w:ascii="Calibri" w:hAnsi="Calibri" w:cs="Calibri"/>
                <w:color w:val="002060"/>
                <w:sz w:val="18"/>
                <w:szCs w:val="18"/>
                <w:lang w:val="sr-Cyrl-CS"/>
              </w:rPr>
              <w:t>.</w:t>
            </w:r>
            <w:r w:rsidRPr="00646254">
              <w:rPr>
                <w:rFonts w:ascii="Calibri" w:hAnsi="Calibri" w:cs="Calibri"/>
                <w:color w:val="002060"/>
                <w:sz w:val="18"/>
                <w:szCs w:val="18"/>
                <w:lang w:val="sr-Cyrl-CS"/>
              </w:rPr>
              <w:t>396</w:t>
            </w:r>
          </w:p>
        </w:tc>
      </w:tr>
      <w:tr w:rsidR="00F36197" w:rsidRPr="00646254" w14:paraId="6D7311CC" w14:textId="77777777" w:rsidTr="008E5519">
        <w:trPr>
          <w:trHeight w:hRule="exact" w:val="227"/>
        </w:trPr>
        <w:tc>
          <w:tcPr>
            <w:tcW w:w="3445" w:type="dxa"/>
            <w:tcBorders>
              <w:top w:val="nil"/>
              <w:left w:val="nil"/>
              <w:bottom w:val="nil"/>
              <w:right w:val="nil"/>
            </w:tcBorders>
            <w:shd w:val="clear" w:color="auto" w:fill="auto"/>
            <w:vAlign w:val="center"/>
          </w:tcPr>
          <w:p w14:paraId="351B9DB1" w14:textId="464F97D6" w:rsidR="00F36197" w:rsidRPr="00646254" w:rsidRDefault="002A35D9" w:rsidP="008E5519">
            <w:pPr>
              <w:spacing w:after="120" w:line="276" w:lineRule="auto"/>
              <w:rPr>
                <w:rFonts w:eastAsia="MS PGothic" w:cstheme="minorHAnsi"/>
                <w:color w:val="002060"/>
                <w:sz w:val="18"/>
                <w:szCs w:val="18"/>
                <w:lang w:val="sr-Cyrl-CS" w:eastAsia="ja-JP"/>
              </w:rPr>
            </w:pPr>
            <w:r w:rsidRPr="00646254">
              <w:rPr>
                <w:rFonts w:ascii="Calibri" w:hAnsi="Calibri" w:cs="Calibri"/>
                <w:color w:val="002060"/>
                <w:sz w:val="18"/>
                <w:szCs w:val="18"/>
                <w:lang w:val="sr-Cyrl-CS"/>
              </w:rPr>
              <w:t>„</w:t>
            </w:r>
            <w:r w:rsidR="00F36197" w:rsidRPr="00646254">
              <w:rPr>
                <w:rFonts w:ascii="Calibri" w:hAnsi="Calibri" w:cs="Calibri"/>
                <w:color w:val="002060"/>
                <w:sz w:val="18"/>
                <w:szCs w:val="18"/>
                <w:lang w:val="sr-Cyrl-CS"/>
              </w:rPr>
              <w:t>Коридори Србије</w:t>
            </w:r>
            <w:r w:rsidRPr="00646254">
              <w:rPr>
                <w:rFonts w:ascii="Calibri" w:hAnsi="Calibri" w:cs="Calibri"/>
                <w:color w:val="002060"/>
                <w:sz w:val="18"/>
                <w:szCs w:val="18"/>
                <w:lang w:val="sr-Cyrl-CS"/>
              </w:rPr>
              <w:t>”</w:t>
            </w:r>
            <w:r w:rsidR="00F36197" w:rsidRPr="00646254">
              <w:rPr>
                <w:rFonts w:ascii="Calibri" w:hAnsi="Calibri" w:cs="Calibri"/>
                <w:color w:val="002060"/>
                <w:sz w:val="18"/>
                <w:szCs w:val="18"/>
                <w:lang w:val="sr-Cyrl-CS"/>
              </w:rPr>
              <w:t xml:space="preserve"> д.о.о.</w:t>
            </w:r>
          </w:p>
        </w:tc>
        <w:tc>
          <w:tcPr>
            <w:tcW w:w="1981" w:type="dxa"/>
            <w:tcBorders>
              <w:top w:val="nil"/>
              <w:left w:val="nil"/>
              <w:bottom w:val="nil"/>
              <w:right w:val="nil"/>
            </w:tcBorders>
            <w:shd w:val="clear" w:color="auto" w:fill="auto"/>
            <w:vAlign w:val="center"/>
          </w:tcPr>
          <w:p w14:paraId="7F7D637B" w14:textId="77777777" w:rsidR="00F36197" w:rsidRPr="00646254" w:rsidRDefault="00F36197" w:rsidP="008E5519">
            <w:pPr>
              <w:spacing w:after="120" w:line="276" w:lineRule="auto"/>
              <w:jc w:val="right"/>
              <w:rPr>
                <w:rFonts w:eastAsia="MS PGothic" w:cstheme="minorHAnsi"/>
                <w:color w:val="002060"/>
                <w:sz w:val="18"/>
                <w:szCs w:val="18"/>
                <w:lang w:val="sr-Cyrl-CS" w:eastAsia="ja-JP"/>
              </w:rPr>
            </w:pPr>
            <w:r w:rsidRPr="00646254">
              <w:rPr>
                <w:rFonts w:ascii="Calibri" w:hAnsi="Calibri" w:cs="Calibri"/>
                <w:color w:val="002060"/>
                <w:sz w:val="18"/>
                <w:szCs w:val="18"/>
                <w:lang w:val="sr-Cyrl-CS"/>
              </w:rPr>
              <w:t>0</w:t>
            </w:r>
          </w:p>
        </w:tc>
        <w:tc>
          <w:tcPr>
            <w:tcW w:w="1981" w:type="dxa"/>
            <w:tcBorders>
              <w:top w:val="nil"/>
              <w:left w:val="nil"/>
              <w:bottom w:val="nil"/>
              <w:right w:val="nil"/>
            </w:tcBorders>
            <w:shd w:val="clear" w:color="auto" w:fill="auto"/>
            <w:noWrap/>
            <w:vAlign w:val="center"/>
          </w:tcPr>
          <w:p w14:paraId="085E5585" w14:textId="77777777" w:rsidR="00F36197" w:rsidRPr="00646254" w:rsidRDefault="00F36197" w:rsidP="008E5519">
            <w:pPr>
              <w:spacing w:after="120" w:line="276" w:lineRule="auto"/>
              <w:jc w:val="right"/>
              <w:rPr>
                <w:rFonts w:eastAsia="MS PGothic" w:cstheme="minorHAnsi"/>
                <w:color w:val="002060"/>
                <w:sz w:val="18"/>
                <w:szCs w:val="18"/>
                <w:lang w:val="sr-Cyrl-CS" w:eastAsia="ja-JP"/>
              </w:rPr>
            </w:pPr>
            <w:r w:rsidRPr="00646254">
              <w:rPr>
                <w:rFonts w:ascii="Calibri" w:hAnsi="Calibri" w:cs="Calibri"/>
                <w:color w:val="002060"/>
                <w:sz w:val="18"/>
                <w:szCs w:val="18"/>
                <w:lang w:val="sr-Cyrl-CS"/>
              </w:rPr>
              <w:t>0</w:t>
            </w:r>
          </w:p>
        </w:tc>
        <w:tc>
          <w:tcPr>
            <w:tcW w:w="1981" w:type="dxa"/>
            <w:tcBorders>
              <w:top w:val="nil"/>
              <w:left w:val="nil"/>
              <w:bottom w:val="nil"/>
              <w:right w:val="nil"/>
            </w:tcBorders>
            <w:shd w:val="clear" w:color="auto" w:fill="auto"/>
            <w:noWrap/>
            <w:vAlign w:val="center"/>
          </w:tcPr>
          <w:p w14:paraId="26037382" w14:textId="42271DF8" w:rsidR="00F36197" w:rsidRPr="00646254" w:rsidRDefault="00F36197" w:rsidP="008E5519">
            <w:pPr>
              <w:spacing w:after="120" w:line="276" w:lineRule="auto"/>
              <w:jc w:val="right"/>
              <w:rPr>
                <w:rFonts w:eastAsia="MS PGothic" w:cstheme="minorHAnsi"/>
                <w:color w:val="002060"/>
                <w:sz w:val="18"/>
                <w:szCs w:val="18"/>
                <w:lang w:val="sr-Cyrl-CS" w:eastAsia="ja-JP"/>
              </w:rPr>
            </w:pPr>
            <w:r w:rsidRPr="00646254">
              <w:rPr>
                <w:rFonts w:ascii="Calibri" w:hAnsi="Calibri" w:cs="Calibri"/>
                <w:color w:val="002060"/>
                <w:sz w:val="18"/>
                <w:szCs w:val="18"/>
                <w:lang w:val="sr-Cyrl-CS"/>
              </w:rPr>
              <w:t>87</w:t>
            </w:r>
            <w:r w:rsidR="00480E7C" w:rsidRPr="00646254">
              <w:rPr>
                <w:rFonts w:ascii="Calibri" w:hAnsi="Calibri" w:cs="Calibri"/>
                <w:color w:val="002060"/>
                <w:sz w:val="18"/>
                <w:szCs w:val="18"/>
                <w:lang w:val="sr-Cyrl-CS"/>
              </w:rPr>
              <w:t>.</w:t>
            </w:r>
            <w:r w:rsidRPr="00646254">
              <w:rPr>
                <w:rFonts w:ascii="Calibri" w:hAnsi="Calibri" w:cs="Calibri"/>
                <w:color w:val="002060"/>
                <w:sz w:val="18"/>
                <w:szCs w:val="18"/>
                <w:lang w:val="sr-Cyrl-CS"/>
              </w:rPr>
              <w:t>030</w:t>
            </w:r>
          </w:p>
        </w:tc>
      </w:tr>
      <w:tr w:rsidR="00F36197" w:rsidRPr="00646254" w14:paraId="50F06FA8" w14:textId="77777777" w:rsidTr="008E5519">
        <w:trPr>
          <w:trHeight w:hRule="exact" w:val="227"/>
        </w:trPr>
        <w:tc>
          <w:tcPr>
            <w:tcW w:w="3445" w:type="dxa"/>
            <w:tcBorders>
              <w:top w:val="nil"/>
              <w:left w:val="nil"/>
              <w:bottom w:val="nil"/>
              <w:right w:val="nil"/>
            </w:tcBorders>
            <w:shd w:val="clear" w:color="auto" w:fill="auto"/>
            <w:noWrap/>
            <w:vAlign w:val="center"/>
          </w:tcPr>
          <w:p w14:paraId="727EBB90" w14:textId="3787B1CA" w:rsidR="00F36197" w:rsidRPr="00646254" w:rsidRDefault="002A35D9" w:rsidP="008E5519">
            <w:pPr>
              <w:spacing w:after="120" w:line="276" w:lineRule="auto"/>
              <w:rPr>
                <w:rFonts w:eastAsia="MS PGothic" w:cstheme="minorHAnsi"/>
                <w:color w:val="002060"/>
                <w:sz w:val="18"/>
                <w:szCs w:val="18"/>
                <w:lang w:val="sr-Cyrl-CS" w:eastAsia="ja-JP"/>
              </w:rPr>
            </w:pPr>
            <w:r w:rsidRPr="00646254">
              <w:rPr>
                <w:rFonts w:ascii="Calibri" w:hAnsi="Calibri" w:cs="Calibri"/>
                <w:color w:val="002060"/>
                <w:sz w:val="18"/>
                <w:szCs w:val="18"/>
                <w:lang w:val="sr-Cyrl-CS"/>
              </w:rPr>
              <w:t>„</w:t>
            </w:r>
            <w:r w:rsidR="00F36197" w:rsidRPr="00646254">
              <w:rPr>
                <w:rFonts w:ascii="Calibri" w:hAnsi="Calibri" w:cs="Calibri"/>
                <w:color w:val="002060"/>
                <w:sz w:val="18"/>
                <w:szCs w:val="18"/>
                <w:lang w:val="sr-Cyrl-CS"/>
              </w:rPr>
              <w:t>Tранснафта</w:t>
            </w:r>
            <w:r w:rsidRPr="00646254">
              <w:rPr>
                <w:rFonts w:ascii="Calibri" w:hAnsi="Calibri" w:cs="Calibri"/>
                <w:color w:val="002060"/>
                <w:sz w:val="18"/>
                <w:szCs w:val="18"/>
                <w:lang w:val="sr-Cyrl-CS"/>
              </w:rPr>
              <w:t>”</w:t>
            </w:r>
            <w:r w:rsidR="00F36197" w:rsidRPr="00646254">
              <w:rPr>
                <w:rFonts w:ascii="Calibri" w:hAnsi="Calibri" w:cs="Calibri"/>
                <w:color w:val="002060"/>
                <w:sz w:val="18"/>
                <w:szCs w:val="18"/>
                <w:lang w:val="sr-Cyrl-CS"/>
              </w:rPr>
              <w:t xml:space="preserve"> а.д.</w:t>
            </w:r>
          </w:p>
        </w:tc>
        <w:tc>
          <w:tcPr>
            <w:tcW w:w="1981" w:type="dxa"/>
            <w:tcBorders>
              <w:top w:val="nil"/>
              <w:left w:val="nil"/>
              <w:bottom w:val="nil"/>
              <w:right w:val="nil"/>
            </w:tcBorders>
            <w:shd w:val="clear" w:color="auto" w:fill="auto"/>
            <w:noWrap/>
            <w:vAlign w:val="center"/>
          </w:tcPr>
          <w:p w14:paraId="02EE7848" w14:textId="5CCA000C" w:rsidR="00F36197" w:rsidRPr="00646254" w:rsidRDefault="00F36197" w:rsidP="008E5519">
            <w:pPr>
              <w:spacing w:after="120" w:line="276" w:lineRule="auto"/>
              <w:jc w:val="right"/>
              <w:rPr>
                <w:rFonts w:eastAsia="MS PGothic" w:cstheme="minorHAnsi"/>
                <w:color w:val="002060"/>
                <w:sz w:val="18"/>
                <w:szCs w:val="18"/>
                <w:lang w:val="sr-Cyrl-CS" w:eastAsia="ja-JP"/>
              </w:rPr>
            </w:pPr>
            <w:r w:rsidRPr="00646254">
              <w:rPr>
                <w:rFonts w:ascii="Calibri" w:hAnsi="Calibri" w:cs="Calibri"/>
                <w:color w:val="002060"/>
                <w:sz w:val="18"/>
                <w:szCs w:val="18"/>
                <w:lang w:val="sr-Cyrl-CS"/>
              </w:rPr>
              <w:t>158</w:t>
            </w:r>
            <w:r w:rsidR="00480E7C" w:rsidRPr="00646254">
              <w:rPr>
                <w:rFonts w:ascii="Calibri" w:hAnsi="Calibri" w:cs="Calibri"/>
                <w:color w:val="002060"/>
                <w:sz w:val="18"/>
                <w:szCs w:val="18"/>
                <w:lang w:val="sr-Cyrl-CS"/>
              </w:rPr>
              <w:t>.</w:t>
            </w:r>
            <w:r w:rsidRPr="00646254">
              <w:rPr>
                <w:rFonts w:ascii="Calibri" w:hAnsi="Calibri" w:cs="Calibri"/>
                <w:color w:val="002060"/>
                <w:sz w:val="18"/>
                <w:szCs w:val="18"/>
                <w:lang w:val="sr-Cyrl-CS"/>
              </w:rPr>
              <w:t>981</w:t>
            </w:r>
          </w:p>
        </w:tc>
        <w:tc>
          <w:tcPr>
            <w:tcW w:w="1981" w:type="dxa"/>
            <w:tcBorders>
              <w:top w:val="nil"/>
              <w:left w:val="nil"/>
              <w:bottom w:val="nil"/>
              <w:right w:val="nil"/>
            </w:tcBorders>
            <w:shd w:val="clear" w:color="auto" w:fill="auto"/>
            <w:noWrap/>
            <w:vAlign w:val="center"/>
          </w:tcPr>
          <w:p w14:paraId="1189041A" w14:textId="1A42B194" w:rsidR="00F36197" w:rsidRPr="00646254" w:rsidRDefault="00F36197" w:rsidP="008E5519">
            <w:pPr>
              <w:spacing w:after="120" w:line="276" w:lineRule="auto"/>
              <w:jc w:val="right"/>
              <w:rPr>
                <w:rFonts w:eastAsia="MS PGothic" w:cstheme="minorHAnsi"/>
                <w:color w:val="002060"/>
                <w:sz w:val="18"/>
                <w:szCs w:val="18"/>
                <w:lang w:val="sr-Cyrl-CS" w:eastAsia="ja-JP"/>
              </w:rPr>
            </w:pPr>
            <w:r w:rsidRPr="00646254">
              <w:rPr>
                <w:rFonts w:ascii="Calibri" w:hAnsi="Calibri" w:cs="Calibri"/>
                <w:color w:val="002060"/>
                <w:sz w:val="18"/>
                <w:szCs w:val="18"/>
                <w:lang w:val="sr-Cyrl-CS"/>
              </w:rPr>
              <w:t>19</w:t>
            </w:r>
            <w:r w:rsidR="00480E7C" w:rsidRPr="00646254">
              <w:rPr>
                <w:rFonts w:ascii="Calibri" w:hAnsi="Calibri" w:cs="Calibri"/>
                <w:color w:val="002060"/>
                <w:sz w:val="18"/>
                <w:szCs w:val="18"/>
                <w:lang w:val="sr-Cyrl-CS"/>
              </w:rPr>
              <w:t>.</w:t>
            </w:r>
            <w:r w:rsidRPr="00646254">
              <w:rPr>
                <w:rFonts w:ascii="Calibri" w:hAnsi="Calibri" w:cs="Calibri"/>
                <w:color w:val="002060"/>
                <w:sz w:val="18"/>
                <w:szCs w:val="18"/>
                <w:lang w:val="sr-Cyrl-CS"/>
              </w:rPr>
              <w:t>164</w:t>
            </w:r>
          </w:p>
        </w:tc>
        <w:tc>
          <w:tcPr>
            <w:tcW w:w="1981" w:type="dxa"/>
            <w:tcBorders>
              <w:top w:val="nil"/>
              <w:left w:val="nil"/>
              <w:bottom w:val="nil"/>
              <w:right w:val="nil"/>
            </w:tcBorders>
            <w:shd w:val="clear" w:color="auto" w:fill="auto"/>
            <w:noWrap/>
            <w:vAlign w:val="center"/>
          </w:tcPr>
          <w:p w14:paraId="506F17CA" w14:textId="112E6FCC" w:rsidR="00F36197" w:rsidRPr="00646254" w:rsidRDefault="00F36197" w:rsidP="008E5519">
            <w:pPr>
              <w:spacing w:after="120" w:line="276" w:lineRule="auto"/>
              <w:jc w:val="right"/>
              <w:rPr>
                <w:rFonts w:eastAsia="MS PGothic" w:cstheme="minorHAnsi"/>
                <w:color w:val="002060"/>
                <w:sz w:val="18"/>
                <w:szCs w:val="18"/>
                <w:lang w:val="sr-Cyrl-CS" w:eastAsia="ja-JP"/>
              </w:rPr>
            </w:pPr>
            <w:r w:rsidRPr="00646254">
              <w:rPr>
                <w:rFonts w:ascii="Calibri" w:hAnsi="Calibri" w:cs="Calibri"/>
                <w:color w:val="002060"/>
                <w:sz w:val="18"/>
                <w:szCs w:val="18"/>
                <w:lang w:val="sr-Cyrl-CS"/>
              </w:rPr>
              <w:t>34</w:t>
            </w:r>
            <w:r w:rsidR="00480E7C" w:rsidRPr="00646254">
              <w:rPr>
                <w:rFonts w:ascii="Calibri" w:hAnsi="Calibri" w:cs="Calibri"/>
                <w:color w:val="002060"/>
                <w:sz w:val="18"/>
                <w:szCs w:val="18"/>
                <w:lang w:val="sr-Cyrl-CS"/>
              </w:rPr>
              <w:t>.</w:t>
            </w:r>
            <w:r w:rsidRPr="00646254">
              <w:rPr>
                <w:rFonts w:ascii="Calibri" w:hAnsi="Calibri" w:cs="Calibri"/>
                <w:color w:val="002060"/>
                <w:sz w:val="18"/>
                <w:szCs w:val="18"/>
                <w:lang w:val="sr-Cyrl-CS"/>
              </w:rPr>
              <w:t>276</w:t>
            </w:r>
          </w:p>
        </w:tc>
      </w:tr>
      <w:tr w:rsidR="00F36197" w:rsidRPr="00646254" w14:paraId="112CFDD7" w14:textId="77777777" w:rsidTr="008E5519">
        <w:trPr>
          <w:trHeight w:hRule="exact" w:val="227"/>
        </w:trPr>
        <w:tc>
          <w:tcPr>
            <w:tcW w:w="3445" w:type="dxa"/>
            <w:tcBorders>
              <w:top w:val="nil"/>
              <w:left w:val="nil"/>
              <w:bottom w:val="nil"/>
              <w:right w:val="nil"/>
            </w:tcBorders>
            <w:shd w:val="clear" w:color="auto" w:fill="auto"/>
            <w:vAlign w:val="center"/>
          </w:tcPr>
          <w:p w14:paraId="32F8609D" w14:textId="5E38F4A6" w:rsidR="00F36197" w:rsidRPr="00646254" w:rsidRDefault="00F36197" w:rsidP="008E5519">
            <w:pPr>
              <w:spacing w:after="120" w:line="276" w:lineRule="auto"/>
              <w:rPr>
                <w:rFonts w:eastAsia="MS PGothic" w:cstheme="minorHAnsi"/>
                <w:color w:val="002060"/>
                <w:sz w:val="18"/>
                <w:szCs w:val="18"/>
                <w:lang w:val="sr-Cyrl-CS" w:eastAsia="ja-JP"/>
              </w:rPr>
            </w:pPr>
            <w:r w:rsidRPr="00646254">
              <w:rPr>
                <w:rFonts w:ascii="Calibri" w:hAnsi="Calibri" w:cs="Calibri"/>
                <w:color w:val="002060"/>
                <w:sz w:val="18"/>
                <w:szCs w:val="18"/>
                <w:lang w:val="sr-Cyrl-CS"/>
              </w:rPr>
              <w:t xml:space="preserve">JП </w:t>
            </w:r>
            <w:r w:rsidR="002A35D9" w:rsidRPr="00646254">
              <w:rPr>
                <w:rFonts w:ascii="Calibri" w:hAnsi="Calibri" w:cs="Calibri"/>
                <w:color w:val="002060"/>
                <w:sz w:val="18"/>
                <w:szCs w:val="18"/>
                <w:lang w:val="sr-Cyrl-CS"/>
              </w:rPr>
              <w:t>„</w:t>
            </w:r>
            <w:r w:rsidRPr="00646254">
              <w:rPr>
                <w:rFonts w:ascii="Calibri" w:hAnsi="Calibri" w:cs="Calibri"/>
                <w:color w:val="002060"/>
                <w:sz w:val="18"/>
                <w:szCs w:val="18"/>
                <w:lang w:val="sr-Cyrl-CS"/>
              </w:rPr>
              <w:t>Пошта Србије</w:t>
            </w:r>
            <w:r w:rsidR="002A35D9" w:rsidRPr="00646254">
              <w:rPr>
                <w:rFonts w:ascii="Calibri" w:hAnsi="Calibri" w:cs="Calibri"/>
                <w:color w:val="002060"/>
                <w:sz w:val="18"/>
                <w:szCs w:val="18"/>
                <w:lang w:val="sr-Cyrl-CS"/>
              </w:rPr>
              <w:t>”</w:t>
            </w:r>
          </w:p>
        </w:tc>
        <w:tc>
          <w:tcPr>
            <w:tcW w:w="1981" w:type="dxa"/>
            <w:tcBorders>
              <w:top w:val="nil"/>
              <w:left w:val="nil"/>
              <w:bottom w:val="nil"/>
              <w:right w:val="nil"/>
            </w:tcBorders>
            <w:shd w:val="clear" w:color="auto" w:fill="auto"/>
            <w:vAlign w:val="center"/>
          </w:tcPr>
          <w:p w14:paraId="7D9F460A" w14:textId="7EE2E8BE" w:rsidR="00F36197" w:rsidRPr="00646254" w:rsidRDefault="00F36197" w:rsidP="008E5519">
            <w:pPr>
              <w:spacing w:after="120" w:line="276" w:lineRule="auto"/>
              <w:jc w:val="right"/>
              <w:rPr>
                <w:rFonts w:eastAsia="MS PGothic" w:cstheme="minorHAnsi"/>
                <w:color w:val="002060"/>
                <w:sz w:val="18"/>
                <w:szCs w:val="18"/>
                <w:lang w:val="sr-Cyrl-CS" w:eastAsia="ja-JP"/>
              </w:rPr>
            </w:pPr>
            <w:r w:rsidRPr="00646254">
              <w:rPr>
                <w:rFonts w:ascii="Calibri" w:hAnsi="Calibri" w:cs="Calibri"/>
                <w:color w:val="002060"/>
                <w:sz w:val="18"/>
                <w:szCs w:val="18"/>
                <w:lang w:val="sr-Cyrl-CS"/>
              </w:rPr>
              <w:t>987</w:t>
            </w:r>
            <w:r w:rsidR="00480E7C" w:rsidRPr="00646254">
              <w:rPr>
                <w:rFonts w:ascii="Calibri" w:hAnsi="Calibri" w:cs="Calibri"/>
                <w:color w:val="002060"/>
                <w:sz w:val="18"/>
                <w:szCs w:val="18"/>
                <w:lang w:val="sr-Cyrl-CS"/>
              </w:rPr>
              <w:t>.</w:t>
            </w:r>
            <w:r w:rsidRPr="00646254">
              <w:rPr>
                <w:rFonts w:ascii="Calibri" w:hAnsi="Calibri" w:cs="Calibri"/>
                <w:color w:val="002060"/>
                <w:sz w:val="18"/>
                <w:szCs w:val="18"/>
                <w:lang w:val="sr-Cyrl-CS"/>
              </w:rPr>
              <w:t>316</w:t>
            </w:r>
          </w:p>
        </w:tc>
        <w:tc>
          <w:tcPr>
            <w:tcW w:w="1981" w:type="dxa"/>
            <w:tcBorders>
              <w:top w:val="nil"/>
              <w:left w:val="nil"/>
              <w:bottom w:val="nil"/>
              <w:right w:val="nil"/>
            </w:tcBorders>
            <w:shd w:val="clear" w:color="auto" w:fill="auto"/>
            <w:noWrap/>
            <w:vAlign w:val="center"/>
          </w:tcPr>
          <w:p w14:paraId="624EFA1F" w14:textId="5FC8D197" w:rsidR="00F36197" w:rsidRPr="00646254" w:rsidRDefault="00F36197" w:rsidP="008E5519">
            <w:pPr>
              <w:spacing w:after="120" w:line="276" w:lineRule="auto"/>
              <w:jc w:val="right"/>
              <w:rPr>
                <w:rFonts w:eastAsia="MS PGothic" w:cstheme="minorHAnsi"/>
                <w:color w:val="002060"/>
                <w:sz w:val="18"/>
                <w:szCs w:val="18"/>
                <w:lang w:val="sr-Cyrl-CS" w:eastAsia="ja-JP"/>
              </w:rPr>
            </w:pPr>
            <w:r w:rsidRPr="00646254">
              <w:rPr>
                <w:rFonts w:ascii="Calibri" w:hAnsi="Calibri" w:cs="Calibri"/>
                <w:color w:val="002060"/>
                <w:sz w:val="18"/>
                <w:szCs w:val="18"/>
                <w:lang w:val="sr-Cyrl-CS"/>
              </w:rPr>
              <w:t>-140</w:t>
            </w:r>
            <w:r w:rsidR="00480E7C" w:rsidRPr="00646254">
              <w:rPr>
                <w:rFonts w:ascii="Calibri" w:hAnsi="Calibri" w:cs="Calibri"/>
                <w:color w:val="002060"/>
                <w:sz w:val="18"/>
                <w:szCs w:val="18"/>
                <w:lang w:val="sr-Cyrl-CS"/>
              </w:rPr>
              <w:t>.</w:t>
            </w:r>
            <w:r w:rsidRPr="00646254">
              <w:rPr>
                <w:rFonts w:ascii="Calibri" w:hAnsi="Calibri" w:cs="Calibri"/>
                <w:color w:val="002060"/>
                <w:sz w:val="18"/>
                <w:szCs w:val="18"/>
                <w:lang w:val="sr-Cyrl-CS"/>
              </w:rPr>
              <w:t>423</w:t>
            </w:r>
          </w:p>
        </w:tc>
        <w:tc>
          <w:tcPr>
            <w:tcW w:w="1981" w:type="dxa"/>
            <w:tcBorders>
              <w:top w:val="nil"/>
              <w:left w:val="nil"/>
              <w:bottom w:val="nil"/>
              <w:right w:val="nil"/>
            </w:tcBorders>
            <w:shd w:val="clear" w:color="auto" w:fill="auto"/>
            <w:noWrap/>
            <w:vAlign w:val="center"/>
          </w:tcPr>
          <w:p w14:paraId="0ADE6748" w14:textId="026E06C8" w:rsidR="00F36197" w:rsidRPr="00646254" w:rsidRDefault="00F36197" w:rsidP="008E5519">
            <w:pPr>
              <w:spacing w:after="120" w:line="276" w:lineRule="auto"/>
              <w:jc w:val="right"/>
              <w:rPr>
                <w:rFonts w:eastAsia="MS PGothic" w:cstheme="minorHAnsi"/>
                <w:color w:val="002060"/>
                <w:sz w:val="18"/>
                <w:szCs w:val="18"/>
                <w:lang w:val="sr-Cyrl-CS" w:eastAsia="ja-JP"/>
              </w:rPr>
            </w:pPr>
            <w:r w:rsidRPr="00646254">
              <w:rPr>
                <w:rFonts w:ascii="Calibri" w:hAnsi="Calibri" w:cs="Calibri"/>
                <w:color w:val="002060"/>
                <w:sz w:val="18"/>
                <w:szCs w:val="18"/>
                <w:lang w:val="sr-Cyrl-CS"/>
              </w:rPr>
              <w:t>1</w:t>
            </w:r>
            <w:r w:rsidR="00480E7C" w:rsidRPr="00646254">
              <w:rPr>
                <w:rFonts w:ascii="Calibri" w:hAnsi="Calibri" w:cs="Calibri"/>
                <w:color w:val="002060"/>
                <w:sz w:val="18"/>
                <w:szCs w:val="18"/>
                <w:lang w:val="sr-Cyrl-CS"/>
              </w:rPr>
              <w:t>.</w:t>
            </w:r>
            <w:r w:rsidRPr="00646254">
              <w:rPr>
                <w:rFonts w:ascii="Calibri" w:hAnsi="Calibri" w:cs="Calibri"/>
                <w:color w:val="002060"/>
                <w:sz w:val="18"/>
                <w:szCs w:val="18"/>
                <w:lang w:val="sr-Cyrl-CS"/>
              </w:rPr>
              <w:t>660</w:t>
            </w:r>
            <w:r w:rsidR="00480E7C" w:rsidRPr="00646254">
              <w:rPr>
                <w:rFonts w:ascii="Calibri" w:hAnsi="Calibri" w:cs="Calibri"/>
                <w:color w:val="002060"/>
                <w:sz w:val="18"/>
                <w:szCs w:val="18"/>
                <w:lang w:val="sr-Cyrl-CS"/>
              </w:rPr>
              <w:t>.</w:t>
            </w:r>
            <w:r w:rsidRPr="00646254">
              <w:rPr>
                <w:rFonts w:ascii="Calibri" w:hAnsi="Calibri" w:cs="Calibri"/>
                <w:color w:val="002060"/>
                <w:sz w:val="18"/>
                <w:szCs w:val="18"/>
                <w:lang w:val="sr-Cyrl-CS"/>
              </w:rPr>
              <w:t>687</w:t>
            </w:r>
          </w:p>
        </w:tc>
      </w:tr>
      <w:tr w:rsidR="00F36197" w:rsidRPr="00646254" w14:paraId="07EE4182" w14:textId="77777777" w:rsidTr="008E5519">
        <w:trPr>
          <w:trHeight w:hRule="exact" w:val="227"/>
        </w:trPr>
        <w:tc>
          <w:tcPr>
            <w:tcW w:w="3445" w:type="dxa"/>
            <w:tcBorders>
              <w:top w:val="nil"/>
              <w:left w:val="nil"/>
              <w:bottom w:val="nil"/>
              <w:right w:val="nil"/>
            </w:tcBorders>
            <w:shd w:val="clear" w:color="auto" w:fill="auto"/>
            <w:vAlign w:val="center"/>
          </w:tcPr>
          <w:p w14:paraId="0612DBEE" w14:textId="7A51113A" w:rsidR="00F36197" w:rsidRPr="00646254" w:rsidRDefault="00F36197" w:rsidP="008E5519">
            <w:pPr>
              <w:spacing w:after="120" w:line="276" w:lineRule="auto"/>
              <w:rPr>
                <w:rFonts w:eastAsia="MS PGothic" w:cstheme="minorHAnsi"/>
                <w:color w:val="002060"/>
                <w:sz w:val="18"/>
                <w:szCs w:val="18"/>
                <w:lang w:val="sr-Cyrl-CS" w:eastAsia="ja-JP"/>
              </w:rPr>
            </w:pPr>
            <w:r w:rsidRPr="00646254">
              <w:rPr>
                <w:rFonts w:ascii="Calibri" w:hAnsi="Calibri" w:cs="Calibri"/>
                <w:color w:val="002060"/>
                <w:sz w:val="18"/>
                <w:szCs w:val="18"/>
                <w:lang w:val="sr-Cyrl-CS"/>
              </w:rPr>
              <w:t>„Резерват Увац</w:t>
            </w:r>
            <w:r w:rsidR="002A35D9" w:rsidRPr="00646254">
              <w:rPr>
                <w:rFonts w:ascii="Calibri" w:hAnsi="Calibri" w:cs="Calibri"/>
                <w:color w:val="002060"/>
                <w:sz w:val="18"/>
                <w:szCs w:val="18"/>
                <w:lang w:val="sr-Cyrl-CS"/>
              </w:rPr>
              <w:t>”</w:t>
            </w:r>
            <w:r w:rsidRPr="00646254">
              <w:rPr>
                <w:rFonts w:ascii="Calibri" w:hAnsi="Calibri" w:cs="Calibri"/>
                <w:color w:val="002060"/>
                <w:sz w:val="18"/>
                <w:szCs w:val="18"/>
                <w:lang w:val="sr-Cyrl-CS"/>
              </w:rPr>
              <w:t xml:space="preserve"> д.о.о.</w:t>
            </w:r>
          </w:p>
        </w:tc>
        <w:tc>
          <w:tcPr>
            <w:tcW w:w="1981" w:type="dxa"/>
            <w:tcBorders>
              <w:top w:val="nil"/>
              <w:left w:val="nil"/>
              <w:bottom w:val="nil"/>
              <w:right w:val="nil"/>
            </w:tcBorders>
            <w:shd w:val="clear" w:color="auto" w:fill="auto"/>
            <w:vAlign w:val="center"/>
          </w:tcPr>
          <w:p w14:paraId="1C8BDD21" w14:textId="6C04FADC" w:rsidR="00F36197" w:rsidRPr="00646254" w:rsidRDefault="00F36197" w:rsidP="008E5519">
            <w:pPr>
              <w:spacing w:after="120" w:line="276" w:lineRule="auto"/>
              <w:jc w:val="right"/>
              <w:rPr>
                <w:rFonts w:eastAsia="MS PGothic" w:cstheme="minorHAnsi"/>
                <w:color w:val="002060"/>
                <w:sz w:val="18"/>
                <w:szCs w:val="18"/>
                <w:lang w:val="sr-Cyrl-CS" w:eastAsia="ja-JP"/>
              </w:rPr>
            </w:pPr>
            <w:r w:rsidRPr="00646254">
              <w:rPr>
                <w:rFonts w:ascii="Calibri" w:hAnsi="Calibri" w:cs="Calibri"/>
                <w:color w:val="002060"/>
                <w:sz w:val="18"/>
                <w:szCs w:val="18"/>
                <w:lang w:val="sr-Cyrl-CS"/>
              </w:rPr>
              <w:t>2</w:t>
            </w:r>
            <w:r w:rsidR="00480E7C" w:rsidRPr="00646254">
              <w:rPr>
                <w:rFonts w:ascii="Calibri" w:hAnsi="Calibri" w:cs="Calibri"/>
                <w:color w:val="002060"/>
                <w:sz w:val="18"/>
                <w:szCs w:val="18"/>
                <w:lang w:val="sr-Cyrl-CS"/>
              </w:rPr>
              <w:t>.</w:t>
            </w:r>
            <w:r w:rsidRPr="00646254">
              <w:rPr>
                <w:rFonts w:ascii="Calibri" w:hAnsi="Calibri" w:cs="Calibri"/>
                <w:color w:val="002060"/>
                <w:sz w:val="18"/>
                <w:szCs w:val="18"/>
                <w:lang w:val="sr-Cyrl-CS"/>
              </w:rPr>
              <w:t>639</w:t>
            </w:r>
          </w:p>
        </w:tc>
        <w:tc>
          <w:tcPr>
            <w:tcW w:w="1981" w:type="dxa"/>
            <w:tcBorders>
              <w:top w:val="nil"/>
              <w:left w:val="nil"/>
              <w:bottom w:val="nil"/>
              <w:right w:val="nil"/>
            </w:tcBorders>
            <w:shd w:val="clear" w:color="auto" w:fill="auto"/>
            <w:noWrap/>
            <w:vAlign w:val="center"/>
          </w:tcPr>
          <w:p w14:paraId="3CAF0026" w14:textId="4DE15876" w:rsidR="00F36197" w:rsidRPr="00646254" w:rsidRDefault="00F36197" w:rsidP="008E5519">
            <w:pPr>
              <w:spacing w:after="120" w:line="276" w:lineRule="auto"/>
              <w:jc w:val="right"/>
              <w:rPr>
                <w:rFonts w:eastAsia="MS PGothic" w:cstheme="minorHAnsi"/>
                <w:color w:val="002060"/>
                <w:sz w:val="18"/>
                <w:szCs w:val="18"/>
                <w:lang w:val="sr-Cyrl-CS" w:eastAsia="ja-JP"/>
              </w:rPr>
            </w:pPr>
            <w:r w:rsidRPr="00646254">
              <w:rPr>
                <w:rFonts w:ascii="Calibri" w:hAnsi="Calibri" w:cs="Calibri"/>
                <w:color w:val="002060"/>
                <w:sz w:val="18"/>
                <w:szCs w:val="18"/>
                <w:lang w:val="sr-Cyrl-CS"/>
              </w:rPr>
              <w:t>1</w:t>
            </w:r>
            <w:r w:rsidR="00480E7C" w:rsidRPr="00646254">
              <w:rPr>
                <w:rFonts w:ascii="Calibri" w:hAnsi="Calibri" w:cs="Calibri"/>
                <w:color w:val="002060"/>
                <w:sz w:val="18"/>
                <w:szCs w:val="18"/>
                <w:lang w:val="sr-Cyrl-CS"/>
              </w:rPr>
              <w:t>.</w:t>
            </w:r>
            <w:r w:rsidRPr="00646254">
              <w:rPr>
                <w:rFonts w:ascii="Calibri" w:hAnsi="Calibri" w:cs="Calibri"/>
                <w:color w:val="002060"/>
                <w:sz w:val="18"/>
                <w:szCs w:val="18"/>
                <w:lang w:val="sr-Cyrl-CS"/>
              </w:rPr>
              <w:t>278</w:t>
            </w:r>
          </w:p>
        </w:tc>
        <w:tc>
          <w:tcPr>
            <w:tcW w:w="1981" w:type="dxa"/>
            <w:tcBorders>
              <w:top w:val="nil"/>
              <w:left w:val="nil"/>
              <w:bottom w:val="nil"/>
              <w:right w:val="nil"/>
            </w:tcBorders>
            <w:shd w:val="clear" w:color="auto" w:fill="auto"/>
            <w:noWrap/>
            <w:vAlign w:val="center"/>
          </w:tcPr>
          <w:p w14:paraId="20A57E62" w14:textId="2963D0C8" w:rsidR="00F36197" w:rsidRPr="00646254" w:rsidRDefault="00F36197" w:rsidP="008E5519">
            <w:pPr>
              <w:spacing w:after="120" w:line="276" w:lineRule="auto"/>
              <w:jc w:val="right"/>
              <w:rPr>
                <w:rFonts w:eastAsia="MS PGothic" w:cstheme="minorHAnsi"/>
                <w:color w:val="002060"/>
                <w:sz w:val="18"/>
                <w:szCs w:val="18"/>
                <w:lang w:val="sr-Cyrl-CS" w:eastAsia="ja-JP"/>
              </w:rPr>
            </w:pPr>
            <w:r w:rsidRPr="00646254">
              <w:rPr>
                <w:rFonts w:ascii="Calibri" w:hAnsi="Calibri" w:cs="Calibri"/>
                <w:color w:val="002060"/>
                <w:sz w:val="18"/>
                <w:szCs w:val="18"/>
                <w:lang w:val="sr-Cyrl-CS"/>
              </w:rPr>
              <w:t>2</w:t>
            </w:r>
            <w:r w:rsidR="00480E7C" w:rsidRPr="00646254">
              <w:rPr>
                <w:rFonts w:ascii="Calibri" w:hAnsi="Calibri" w:cs="Calibri"/>
                <w:color w:val="002060"/>
                <w:sz w:val="18"/>
                <w:szCs w:val="18"/>
                <w:lang w:val="sr-Cyrl-CS"/>
              </w:rPr>
              <w:t>.</w:t>
            </w:r>
            <w:r w:rsidRPr="00646254">
              <w:rPr>
                <w:rFonts w:ascii="Calibri" w:hAnsi="Calibri" w:cs="Calibri"/>
                <w:color w:val="002060"/>
                <w:sz w:val="18"/>
                <w:szCs w:val="18"/>
                <w:lang w:val="sr-Cyrl-CS"/>
              </w:rPr>
              <w:t>830</w:t>
            </w:r>
          </w:p>
        </w:tc>
      </w:tr>
      <w:tr w:rsidR="00F36197" w:rsidRPr="00646254" w14:paraId="4CD3E005" w14:textId="77777777" w:rsidTr="008E5519">
        <w:trPr>
          <w:trHeight w:hRule="exact" w:val="227"/>
        </w:trPr>
        <w:tc>
          <w:tcPr>
            <w:tcW w:w="3445" w:type="dxa"/>
            <w:tcBorders>
              <w:top w:val="nil"/>
              <w:left w:val="nil"/>
              <w:bottom w:val="nil"/>
              <w:right w:val="nil"/>
            </w:tcBorders>
            <w:shd w:val="clear" w:color="auto" w:fill="auto"/>
            <w:vAlign w:val="center"/>
          </w:tcPr>
          <w:p w14:paraId="5A53CBC7" w14:textId="35FEA09B" w:rsidR="00F36197" w:rsidRPr="00646254" w:rsidRDefault="002A35D9" w:rsidP="008E5519">
            <w:pPr>
              <w:spacing w:after="120" w:line="276" w:lineRule="auto"/>
              <w:rPr>
                <w:rFonts w:eastAsia="MS PGothic" w:cstheme="minorHAnsi"/>
                <w:color w:val="002060"/>
                <w:sz w:val="18"/>
                <w:szCs w:val="18"/>
                <w:lang w:val="sr-Cyrl-CS" w:eastAsia="ja-JP"/>
              </w:rPr>
            </w:pPr>
            <w:r w:rsidRPr="00646254">
              <w:rPr>
                <w:rFonts w:ascii="Calibri" w:hAnsi="Calibri" w:cs="Calibri"/>
                <w:color w:val="002060"/>
                <w:sz w:val="18"/>
                <w:szCs w:val="18"/>
                <w:lang w:val="sr-Cyrl-CS"/>
              </w:rPr>
              <w:t>„</w:t>
            </w:r>
            <w:r w:rsidR="00F36197" w:rsidRPr="00646254">
              <w:rPr>
                <w:rFonts w:ascii="Calibri" w:hAnsi="Calibri" w:cs="Calibri"/>
                <w:color w:val="002060"/>
                <w:sz w:val="18"/>
                <w:szCs w:val="18"/>
                <w:lang w:val="sr-Cyrl-CS"/>
              </w:rPr>
              <w:t>Просветни преглед</w:t>
            </w:r>
            <w:r w:rsidRPr="00646254">
              <w:rPr>
                <w:rFonts w:ascii="Calibri" w:hAnsi="Calibri" w:cs="Calibri"/>
                <w:color w:val="002060"/>
                <w:sz w:val="18"/>
                <w:szCs w:val="18"/>
                <w:lang w:val="sr-Cyrl-CS"/>
              </w:rPr>
              <w:t xml:space="preserve">” </w:t>
            </w:r>
            <w:r w:rsidR="00F36197" w:rsidRPr="00646254">
              <w:rPr>
                <w:rFonts w:ascii="Calibri" w:hAnsi="Calibri" w:cs="Calibri"/>
                <w:color w:val="002060"/>
                <w:sz w:val="18"/>
                <w:szCs w:val="18"/>
                <w:lang w:val="sr-Cyrl-CS"/>
              </w:rPr>
              <w:t>д.о.о.</w:t>
            </w:r>
          </w:p>
        </w:tc>
        <w:tc>
          <w:tcPr>
            <w:tcW w:w="1981" w:type="dxa"/>
            <w:tcBorders>
              <w:top w:val="nil"/>
              <w:left w:val="nil"/>
              <w:bottom w:val="nil"/>
              <w:right w:val="nil"/>
            </w:tcBorders>
            <w:shd w:val="clear" w:color="auto" w:fill="auto"/>
            <w:vAlign w:val="center"/>
          </w:tcPr>
          <w:p w14:paraId="5BBD69EF" w14:textId="31A0B826" w:rsidR="00F36197" w:rsidRPr="00646254" w:rsidRDefault="00F36197" w:rsidP="008E5519">
            <w:pPr>
              <w:spacing w:after="120" w:line="276" w:lineRule="auto"/>
              <w:jc w:val="right"/>
              <w:rPr>
                <w:rFonts w:eastAsia="MS PGothic" w:cstheme="minorHAnsi"/>
                <w:color w:val="002060"/>
                <w:sz w:val="18"/>
                <w:szCs w:val="18"/>
                <w:lang w:val="sr-Cyrl-CS" w:eastAsia="ja-JP"/>
              </w:rPr>
            </w:pPr>
            <w:r w:rsidRPr="00646254">
              <w:rPr>
                <w:rFonts w:ascii="Calibri" w:hAnsi="Calibri" w:cs="Calibri"/>
                <w:color w:val="002060"/>
                <w:sz w:val="18"/>
                <w:szCs w:val="18"/>
                <w:lang w:val="sr-Cyrl-CS"/>
              </w:rPr>
              <w:t>23</w:t>
            </w:r>
            <w:r w:rsidR="00480E7C" w:rsidRPr="00646254">
              <w:rPr>
                <w:rFonts w:ascii="Calibri" w:hAnsi="Calibri" w:cs="Calibri"/>
                <w:color w:val="002060"/>
                <w:sz w:val="18"/>
                <w:szCs w:val="18"/>
                <w:lang w:val="sr-Cyrl-CS"/>
              </w:rPr>
              <w:t>.</w:t>
            </w:r>
            <w:r w:rsidRPr="00646254">
              <w:rPr>
                <w:rFonts w:ascii="Calibri" w:hAnsi="Calibri" w:cs="Calibri"/>
                <w:color w:val="002060"/>
                <w:sz w:val="18"/>
                <w:szCs w:val="18"/>
                <w:lang w:val="sr-Cyrl-CS"/>
              </w:rPr>
              <w:t>431</w:t>
            </w:r>
          </w:p>
        </w:tc>
        <w:tc>
          <w:tcPr>
            <w:tcW w:w="1981" w:type="dxa"/>
            <w:tcBorders>
              <w:top w:val="nil"/>
              <w:left w:val="nil"/>
              <w:bottom w:val="nil"/>
              <w:right w:val="nil"/>
            </w:tcBorders>
            <w:shd w:val="clear" w:color="auto" w:fill="auto"/>
            <w:noWrap/>
            <w:vAlign w:val="center"/>
          </w:tcPr>
          <w:p w14:paraId="0C95CB19" w14:textId="198F36FA" w:rsidR="00F36197" w:rsidRPr="00646254" w:rsidRDefault="00F36197" w:rsidP="008E5519">
            <w:pPr>
              <w:spacing w:after="120" w:line="276" w:lineRule="auto"/>
              <w:jc w:val="right"/>
              <w:rPr>
                <w:rFonts w:eastAsia="MS PGothic" w:cstheme="minorHAnsi"/>
                <w:color w:val="002060"/>
                <w:sz w:val="18"/>
                <w:szCs w:val="18"/>
                <w:lang w:val="sr-Cyrl-CS" w:eastAsia="ja-JP"/>
              </w:rPr>
            </w:pPr>
            <w:r w:rsidRPr="00646254">
              <w:rPr>
                <w:rFonts w:ascii="Calibri" w:hAnsi="Calibri" w:cs="Calibri"/>
                <w:color w:val="002060"/>
                <w:sz w:val="18"/>
                <w:szCs w:val="18"/>
                <w:lang w:val="sr-Cyrl-CS"/>
              </w:rPr>
              <w:t>22</w:t>
            </w:r>
            <w:r w:rsidR="00480E7C" w:rsidRPr="00646254">
              <w:rPr>
                <w:rFonts w:ascii="Calibri" w:hAnsi="Calibri" w:cs="Calibri"/>
                <w:color w:val="002060"/>
                <w:sz w:val="18"/>
                <w:szCs w:val="18"/>
                <w:lang w:val="sr-Cyrl-CS"/>
              </w:rPr>
              <w:t>.</w:t>
            </w:r>
            <w:r w:rsidRPr="00646254">
              <w:rPr>
                <w:rFonts w:ascii="Calibri" w:hAnsi="Calibri" w:cs="Calibri"/>
                <w:color w:val="002060"/>
                <w:sz w:val="18"/>
                <w:szCs w:val="18"/>
                <w:lang w:val="sr-Cyrl-CS"/>
              </w:rPr>
              <w:t>965</w:t>
            </w:r>
          </w:p>
        </w:tc>
        <w:tc>
          <w:tcPr>
            <w:tcW w:w="1981" w:type="dxa"/>
            <w:tcBorders>
              <w:top w:val="nil"/>
              <w:left w:val="nil"/>
              <w:bottom w:val="nil"/>
              <w:right w:val="nil"/>
            </w:tcBorders>
            <w:shd w:val="clear" w:color="auto" w:fill="auto"/>
            <w:noWrap/>
            <w:vAlign w:val="center"/>
          </w:tcPr>
          <w:p w14:paraId="699D2651" w14:textId="06B44813" w:rsidR="00F36197" w:rsidRPr="00646254" w:rsidRDefault="00F36197" w:rsidP="008E5519">
            <w:pPr>
              <w:spacing w:after="120" w:line="276" w:lineRule="auto"/>
              <w:jc w:val="right"/>
              <w:rPr>
                <w:rFonts w:eastAsia="MS PGothic" w:cstheme="minorHAnsi"/>
                <w:color w:val="002060"/>
                <w:sz w:val="18"/>
                <w:szCs w:val="18"/>
                <w:lang w:val="sr-Cyrl-CS" w:eastAsia="ja-JP"/>
              </w:rPr>
            </w:pPr>
            <w:r w:rsidRPr="00646254">
              <w:rPr>
                <w:rFonts w:ascii="Calibri" w:hAnsi="Calibri" w:cs="Calibri"/>
                <w:color w:val="002060"/>
                <w:sz w:val="18"/>
                <w:szCs w:val="18"/>
                <w:lang w:val="sr-Cyrl-CS"/>
              </w:rPr>
              <w:t>21</w:t>
            </w:r>
            <w:r w:rsidR="00480E7C" w:rsidRPr="00646254">
              <w:rPr>
                <w:rFonts w:ascii="Calibri" w:hAnsi="Calibri" w:cs="Calibri"/>
                <w:color w:val="002060"/>
                <w:sz w:val="18"/>
                <w:szCs w:val="18"/>
                <w:lang w:val="sr-Cyrl-CS"/>
              </w:rPr>
              <w:t>.</w:t>
            </w:r>
            <w:r w:rsidRPr="00646254">
              <w:rPr>
                <w:rFonts w:ascii="Calibri" w:hAnsi="Calibri" w:cs="Calibri"/>
                <w:color w:val="002060"/>
                <w:sz w:val="18"/>
                <w:szCs w:val="18"/>
                <w:lang w:val="sr-Cyrl-CS"/>
              </w:rPr>
              <w:t>091</w:t>
            </w:r>
          </w:p>
        </w:tc>
      </w:tr>
      <w:tr w:rsidR="00F36197" w:rsidRPr="00646254" w14:paraId="26204BD3" w14:textId="77777777" w:rsidTr="008E5519">
        <w:trPr>
          <w:trHeight w:hRule="exact" w:val="227"/>
        </w:trPr>
        <w:tc>
          <w:tcPr>
            <w:tcW w:w="3445" w:type="dxa"/>
            <w:tcBorders>
              <w:top w:val="nil"/>
              <w:left w:val="nil"/>
              <w:bottom w:val="nil"/>
              <w:right w:val="nil"/>
            </w:tcBorders>
            <w:shd w:val="clear" w:color="auto" w:fill="auto"/>
            <w:noWrap/>
            <w:vAlign w:val="center"/>
          </w:tcPr>
          <w:p w14:paraId="7745FD8C" w14:textId="2B434138" w:rsidR="00F36197" w:rsidRPr="00646254" w:rsidRDefault="00F36197" w:rsidP="008E5519">
            <w:pPr>
              <w:spacing w:after="120" w:line="276" w:lineRule="auto"/>
              <w:rPr>
                <w:rFonts w:eastAsia="MS PGothic" w:cstheme="minorHAnsi"/>
                <w:color w:val="002060"/>
                <w:sz w:val="18"/>
                <w:szCs w:val="18"/>
                <w:lang w:val="sr-Cyrl-CS" w:eastAsia="ja-JP"/>
              </w:rPr>
            </w:pPr>
            <w:r w:rsidRPr="00646254">
              <w:rPr>
                <w:rFonts w:ascii="Calibri" w:hAnsi="Calibri" w:cs="Calibri"/>
                <w:color w:val="002060"/>
                <w:sz w:val="18"/>
                <w:szCs w:val="18"/>
                <w:lang w:val="sr-Cyrl-CS"/>
              </w:rPr>
              <w:t xml:space="preserve">JП </w:t>
            </w:r>
            <w:r w:rsidR="002A35D9" w:rsidRPr="00646254">
              <w:rPr>
                <w:rFonts w:ascii="Calibri" w:hAnsi="Calibri" w:cs="Calibri"/>
                <w:color w:val="002060"/>
                <w:sz w:val="18"/>
                <w:szCs w:val="18"/>
                <w:lang w:val="sr-Cyrl-CS"/>
              </w:rPr>
              <w:t>„</w:t>
            </w:r>
            <w:r w:rsidRPr="00646254">
              <w:rPr>
                <w:rFonts w:ascii="Calibri" w:hAnsi="Calibri" w:cs="Calibri"/>
                <w:color w:val="002060"/>
                <w:sz w:val="18"/>
                <w:szCs w:val="18"/>
                <w:lang w:val="sr-Cyrl-CS"/>
              </w:rPr>
              <w:t>НП Фрушка гора</w:t>
            </w:r>
            <w:r w:rsidR="002A35D9" w:rsidRPr="00646254">
              <w:rPr>
                <w:rFonts w:ascii="Calibri" w:hAnsi="Calibri" w:cs="Calibri"/>
                <w:color w:val="002060"/>
                <w:sz w:val="18"/>
                <w:szCs w:val="18"/>
                <w:lang w:val="sr-Cyrl-CS"/>
              </w:rPr>
              <w:t>”</w:t>
            </w:r>
          </w:p>
        </w:tc>
        <w:tc>
          <w:tcPr>
            <w:tcW w:w="1981" w:type="dxa"/>
            <w:tcBorders>
              <w:top w:val="nil"/>
              <w:left w:val="nil"/>
              <w:bottom w:val="nil"/>
              <w:right w:val="nil"/>
            </w:tcBorders>
            <w:shd w:val="clear" w:color="auto" w:fill="auto"/>
            <w:noWrap/>
            <w:vAlign w:val="center"/>
          </w:tcPr>
          <w:p w14:paraId="531CECFA" w14:textId="555FE656" w:rsidR="00F36197" w:rsidRPr="00646254" w:rsidRDefault="00F36197" w:rsidP="008E5519">
            <w:pPr>
              <w:spacing w:after="120" w:line="276" w:lineRule="auto"/>
              <w:jc w:val="right"/>
              <w:rPr>
                <w:rFonts w:eastAsia="MS PGothic" w:cstheme="minorHAnsi"/>
                <w:color w:val="002060"/>
                <w:sz w:val="18"/>
                <w:szCs w:val="18"/>
                <w:lang w:val="sr-Cyrl-CS" w:eastAsia="ja-JP"/>
              </w:rPr>
            </w:pPr>
            <w:r w:rsidRPr="00646254">
              <w:rPr>
                <w:rFonts w:ascii="Calibri" w:hAnsi="Calibri" w:cs="Calibri"/>
                <w:color w:val="002060"/>
                <w:sz w:val="18"/>
                <w:szCs w:val="18"/>
                <w:lang w:val="sr-Cyrl-CS"/>
              </w:rPr>
              <w:t>9</w:t>
            </w:r>
            <w:r w:rsidR="00480E7C" w:rsidRPr="00646254">
              <w:rPr>
                <w:rFonts w:ascii="Calibri" w:hAnsi="Calibri" w:cs="Calibri"/>
                <w:color w:val="002060"/>
                <w:sz w:val="18"/>
                <w:szCs w:val="18"/>
                <w:lang w:val="sr-Cyrl-CS"/>
              </w:rPr>
              <w:t>.</w:t>
            </w:r>
            <w:r w:rsidRPr="00646254">
              <w:rPr>
                <w:rFonts w:ascii="Calibri" w:hAnsi="Calibri" w:cs="Calibri"/>
                <w:color w:val="002060"/>
                <w:sz w:val="18"/>
                <w:szCs w:val="18"/>
                <w:lang w:val="sr-Cyrl-CS"/>
              </w:rPr>
              <w:t>048</w:t>
            </w:r>
          </w:p>
        </w:tc>
        <w:tc>
          <w:tcPr>
            <w:tcW w:w="1981" w:type="dxa"/>
            <w:tcBorders>
              <w:top w:val="nil"/>
              <w:left w:val="nil"/>
              <w:bottom w:val="nil"/>
              <w:right w:val="nil"/>
            </w:tcBorders>
            <w:shd w:val="clear" w:color="auto" w:fill="auto"/>
            <w:noWrap/>
            <w:vAlign w:val="center"/>
          </w:tcPr>
          <w:p w14:paraId="17BC1C3F" w14:textId="37E41005" w:rsidR="00F36197" w:rsidRPr="00646254" w:rsidRDefault="00F36197" w:rsidP="008E5519">
            <w:pPr>
              <w:spacing w:after="120" w:line="276" w:lineRule="auto"/>
              <w:jc w:val="right"/>
              <w:rPr>
                <w:rFonts w:eastAsia="MS PGothic" w:cstheme="minorHAnsi"/>
                <w:color w:val="002060"/>
                <w:sz w:val="18"/>
                <w:szCs w:val="18"/>
                <w:lang w:val="sr-Cyrl-CS" w:eastAsia="ja-JP"/>
              </w:rPr>
            </w:pPr>
            <w:r w:rsidRPr="00646254">
              <w:rPr>
                <w:rFonts w:ascii="Calibri" w:hAnsi="Calibri" w:cs="Calibri"/>
                <w:color w:val="002060"/>
                <w:sz w:val="18"/>
                <w:szCs w:val="18"/>
                <w:lang w:val="sr-Cyrl-CS"/>
              </w:rPr>
              <w:t>18</w:t>
            </w:r>
            <w:r w:rsidR="00480E7C" w:rsidRPr="00646254">
              <w:rPr>
                <w:rFonts w:ascii="Calibri" w:hAnsi="Calibri" w:cs="Calibri"/>
                <w:color w:val="002060"/>
                <w:sz w:val="18"/>
                <w:szCs w:val="18"/>
                <w:lang w:val="sr-Cyrl-CS"/>
              </w:rPr>
              <w:t>.</w:t>
            </w:r>
            <w:r w:rsidRPr="00646254">
              <w:rPr>
                <w:rFonts w:ascii="Calibri" w:hAnsi="Calibri" w:cs="Calibri"/>
                <w:color w:val="002060"/>
                <w:sz w:val="18"/>
                <w:szCs w:val="18"/>
                <w:lang w:val="sr-Cyrl-CS"/>
              </w:rPr>
              <w:t>810</w:t>
            </w:r>
          </w:p>
        </w:tc>
        <w:tc>
          <w:tcPr>
            <w:tcW w:w="1981" w:type="dxa"/>
            <w:tcBorders>
              <w:top w:val="nil"/>
              <w:left w:val="nil"/>
              <w:bottom w:val="nil"/>
              <w:right w:val="nil"/>
            </w:tcBorders>
            <w:shd w:val="clear" w:color="auto" w:fill="auto"/>
            <w:noWrap/>
            <w:vAlign w:val="center"/>
          </w:tcPr>
          <w:p w14:paraId="2694662B" w14:textId="26C6D708" w:rsidR="00F36197" w:rsidRPr="00646254" w:rsidRDefault="00F36197" w:rsidP="008E5519">
            <w:pPr>
              <w:spacing w:after="120" w:line="276" w:lineRule="auto"/>
              <w:jc w:val="right"/>
              <w:rPr>
                <w:rFonts w:eastAsia="MS PGothic" w:cstheme="minorHAnsi"/>
                <w:color w:val="002060"/>
                <w:sz w:val="18"/>
                <w:szCs w:val="18"/>
                <w:lang w:val="sr-Cyrl-CS" w:eastAsia="ja-JP"/>
              </w:rPr>
            </w:pPr>
            <w:r w:rsidRPr="00646254">
              <w:rPr>
                <w:rFonts w:ascii="Calibri" w:hAnsi="Calibri" w:cs="Calibri"/>
                <w:color w:val="002060"/>
                <w:sz w:val="18"/>
                <w:szCs w:val="18"/>
                <w:lang w:val="sr-Cyrl-CS"/>
              </w:rPr>
              <w:t>8</w:t>
            </w:r>
            <w:r w:rsidR="00480E7C" w:rsidRPr="00646254">
              <w:rPr>
                <w:rFonts w:ascii="Calibri" w:hAnsi="Calibri" w:cs="Calibri"/>
                <w:color w:val="002060"/>
                <w:sz w:val="18"/>
                <w:szCs w:val="18"/>
                <w:lang w:val="sr-Cyrl-CS"/>
              </w:rPr>
              <w:t>.</w:t>
            </w:r>
            <w:r w:rsidRPr="00646254">
              <w:rPr>
                <w:rFonts w:ascii="Calibri" w:hAnsi="Calibri" w:cs="Calibri"/>
                <w:color w:val="002060"/>
                <w:sz w:val="18"/>
                <w:szCs w:val="18"/>
                <w:lang w:val="sr-Cyrl-CS"/>
              </w:rPr>
              <w:t>473</w:t>
            </w:r>
          </w:p>
        </w:tc>
      </w:tr>
      <w:tr w:rsidR="00F36197" w:rsidRPr="00646254" w14:paraId="3681DE47" w14:textId="77777777" w:rsidTr="008E5519">
        <w:trPr>
          <w:trHeight w:hRule="exact" w:val="227"/>
        </w:trPr>
        <w:tc>
          <w:tcPr>
            <w:tcW w:w="3445" w:type="dxa"/>
            <w:tcBorders>
              <w:top w:val="nil"/>
              <w:left w:val="nil"/>
              <w:bottom w:val="nil"/>
              <w:right w:val="nil"/>
            </w:tcBorders>
            <w:shd w:val="clear" w:color="auto" w:fill="auto"/>
            <w:noWrap/>
            <w:vAlign w:val="center"/>
          </w:tcPr>
          <w:p w14:paraId="4009AD14" w14:textId="5C286A4F" w:rsidR="00F36197" w:rsidRPr="00646254" w:rsidRDefault="002A35D9" w:rsidP="008E5519">
            <w:pPr>
              <w:spacing w:after="120" w:line="276" w:lineRule="auto"/>
              <w:rPr>
                <w:rFonts w:eastAsia="MS PGothic" w:cstheme="minorHAnsi"/>
                <w:color w:val="002060"/>
                <w:sz w:val="18"/>
                <w:szCs w:val="18"/>
                <w:lang w:val="sr-Cyrl-CS" w:eastAsia="ja-JP"/>
              </w:rPr>
            </w:pPr>
            <w:r w:rsidRPr="00646254">
              <w:rPr>
                <w:rFonts w:ascii="Calibri" w:hAnsi="Calibri" w:cs="Calibri"/>
                <w:color w:val="002060"/>
                <w:sz w:val="18"/>
                <w:szCs w:val="18"/>
                <w:lang w:val="sr-Cyrl-CS"/>
              </w:rPr>
              <w:t>„</w:t>
            </w:r>
            <w:r w:rsidR="00F36197" w:rsidRPr="00646254">
              <w:rPr>
                <w:rFonts w:ascii="Calibri" w:hAnsi="Calibri" w:cs="Calibri"/>
                <w:color w:val="002060"/>
                <w:sz w:val="18"/>
                <w:szCs w:val="18"/>
                <w:lang w:val="sr-Cyrl-CS"/>
              </w:rPr>
              <w:t>Дипос</w:t>
            </w:r>
            <w:r w:rsidRPr="00646254">
              <w:rPr>
                <w:rFonts w:ascii="Calibri" w:hAnsi="Calibri" w:cs="Calibri"/>
                <w:color w:val="002060"/>
                <w:sz w:val="18"/>
                <w:szCs w:val="18"/>
                <w:lang w:val="sr-Cyrl-CS"/>
              </w:rPr>
              <w:t>”</w:t>
            </w:r>
            <w:r w:rsidR="00F36197" w:rsidRPr="00646254">
              <w:rPr>
                <w:rFonts w:ascii="Calibri" w:hAnsi="Calibri" w:cs="Calibri"/>
                <w:color w:val="002060"/>
                <w:sz w:val="18"/>
                <w:szCs w:val="18"/>
                <w:lang w:val="sr-Cyrl-CS"/>
              </w:rPr>
              <w:t xml:space="preserve"> д.o.o.</w:t>
            </w:r>
          </w:p>
        </w:tc>
        <w:tc>
          <w:tcPr>
            <w:tcW w:w="1981" w:type="dxa"/>
            <w:tcBorders>
              <w:top w:val="nil"/>
              <w:left w:val="nil"/>
              <w:bottom w:val="nil"/>
              <w:right w:val="nil"/>
            </w:tcBorders>
            <w:shd w:val="clear" w:color="auto" w:fill="auto"/>
            <w:noWrap/>
            <w:vAlign w:val="center"/>
          </w:tcPr>
          <w:p w14:paraId="4E41A06C" w14:textId="29CC3FC1" w:rsidR="00F36197" w:rsidRPr="00646254" w:rsidRDefault="00F36197" w:rsidP="008E5519">
            <w:pPr>
              <w:spacing w:after="120" w:line="276" w:lineRule="auto"/>
              <w:jc w:val="right"/>
              <w:rPr>
                <w:rFonts w:eastAsia="MS PGothic" w:cstheme="minorHAnsi"/>
                <w:color w:val="002060"/>
                <w:sz w:val="18"/>
                <w:szCs w:val="18"/>
                <w:lang w:val="sr-Cyrl-CS" w:eastAsia="ja-JP"/>
              </w:rPr>
            </w:pPr>
            <w:r w:rsidRPr="00646254">
              <w:rPr>
                <w:rFonts w:ascii="Calibri" w:hAnsi="Calibri" w:cs="Calibri"/>
                <w:color w:val="002060"/>
                <w:sz w:val="18"/>
                <w:szCs w:val="18"/>
                <w:lang w:val="sr-Cyrl-CS"/>
              </w:rPr>
              <w:t>124</w:t>
            </w:r>
            <w:r w:rsidR="00480E7C" w:rsidRPr="00646254">
              <w:rPr>
                <w:rFonts w:ascii="Calibri" w:hAnsi="Calibri" w:cs="Calibri"/>
                <w:color w:val="002060"/>
                <w:sz w:val="18"/>
                <w:szCs w:val="18"/>
                <w:lang w:val="sr-Cyrl-CS"/>
              </w:rPr>
              <w:t>.</w:t>
            </w:r>
            <w:r w:rsidRPr="00646254">
              <w:rPr>
                <w:rFonts w:ascii="Calibri" w:hAnsi="Calibri" w:cs="Calibri"/>
                <w:color w:val="002060"/>
                <w:sz w:val="18"/>
                <w:szCs w:val="18"/>
                <w:lang w:val="sr-Cyrl-CS"/>
              </w:rPr>
              <w:t>509</w:t>
            </w:r>
          </w:p>
        </w:tc>
        <w:tc>
          <w:tcPr>
            <w:tcW w:w="1981" w:type="dxa"/>
            <w:tcBorders>
              <w:top w:val="nil"/>
              <w:left w:val="nil"/>
              <w:bottom w:val="nil"/>
              <w:right w:val="nil"/>
            </w:tcBorders>
            <w:shd w:val="clear" w:color="auto" w:fill="auto"/>
            <w:noWrap/>
            <w:vAlign w:val="center"/>
          </w:tcPr>
          <w:p w14:paraId="46B42600" w14:textId="4765C25E" w:rsidR="00F36197" w:rsidRPr="00646254" w:rsidRDefault="00F36197" w:rsidP="008E5519">
            <w:pPr>
              <w:spacing w:after="120" w:line="276" w:lineRule="auto"/>
              <w:jc w:val="right"/>
              <w:rPr>
                <w:rFonts w:eastAsia="MS PGothic" w:cstheme="minorHAnsi"/>
                <w:color w:val="002060"/>
                <w:sz w:val="18"/>
                <w:szCs w:val="18"/>
                <w:lang w:val="sr-Cyrl-CS" w:eastAsia="ja-JP"/>
              </w:rPr>
            </w:pPr>
            <w:r w:rsidRPr="00646254">
              <w:rPr>
                <w:rFonts w:ascii="Calibri" w:hAnsi="Calibri" w:cs="Calibri"/>
                <w:color w:val="002060"/>
                <w:sz w:val="18"/>
                <w:szCs w:val="18"/>
                <w:lang w:val="sr-Cyrl-CS"/>
              </w:rPr>
              <w:t>35</w:t>
            </w:r>
            <w:r w:rsidR="00480E7C" w:rsidRPr="00646254">
              <w:rPr>
                <w:rFonts w:ascii="Calibri" w:hAnsi="Calibri" w:cs="Calibri"/>
                <w:color w:val="002060"/>
                <w:sz w:val="18"/>
                <w:szCs w:val="18"/>
                <w:lang w:val="sr-Cyrl-CS"/>
              </w:rPr>
              <w:t>.</w:t>
            </w:r>
            <w:r w:rsidRPr="00646254">
              <w:rPr>
                <w:rFonts w:ascii="Calibri" w:hAnsi="Calibri" w:cs="Calibri"/>
                <w:color w:val="002060"/>
                <w:sz w:val="18"/>
                <w:szCs w:val="18"/>
                <w:lang w:val="sr-Cyrl-CS"/>
              </w:rPr>
              <w:t>174</w:t>
            </w:r>
          </w:p>
        </w:tc>
        <w:tc>
          <w:tcPr>
            <w:tcW w:w="1981" w:type="dxa"/>
            <w:tcBorders>
              <w:top w:val="nil"/>
              <w:left w:val="nil"/>
              <w:bottom w:val="nil"/>
              <w:right w:val="nil"/>
            </w:tcBorders>
            <w:shd w:val="clear" w:color="auto" w:fill="auto"/>
            <w:noWrap/>
            <w:vAlign w:val="center"/>
          </w:tcPr>
          <w:p w14:paraId="0822B4E1" w14:textId="6066E2A6" w:rsidR="00F36197" w:rsidRPr="00646254" w:rsidRDefault="00F36197" w:rsidP="008E5519">
            <w:pPr>
              <w:spacing w:after="120" w:line="276" w:lineRule="auto"/>
              <w:jc w:val="right"/>
              <w:rPr>
                <w:rFonts w:eastAsia="MS PGothic" w:cstheme="minorHAnsi"/>
                <w:color w:val="002060"/>
                <w:sz w:val="18"/>
                <w:szCs w:val="18"/>
                <w:lang w:val="sr-Cyrl-CS" w:eastAsia="ja-JP"/>
              </w:rPr>
            </w:pPr>
            <w:r w:rsidRPr="00646254">
              <w:rPr>
                <w:rFonts w:ascii="Calibri" w:hAnsi="Calibri" w:cs="Calibri"/>
                <w:color w:val="002060"/>
                <w:sz w:val="18"/>
                <w:szCs w:val="18"/>
                <w:lang w:val="sr-Cyrl-CS"/>
              </w:rPr>
              <w:t>150</w:t>
            </w:r>
            <w:r w:rsidR="00480E7C" w:rsidRPr="00646254">
              <w:rPr>
                <w:rFonts w:ascii="Calibri" w:hAnsi="Calibri" w:cs="Calibri"/>
                <w:color w:val="002060"/>
                <w:sz w:val="18"/>
                <w:szCs w:val="18"/>
                <w:lang w:val="sr-Cyrl-CS"/>
              </w:rPr>
              <w:t>.</w:t>
            </w:r>
            <w:r w:rsidRPr="00646254">
              <w:rPr>
                <w:rFonts w:ascii="Calibri" w:hAnsi="Calibri" w:cs="Calibri"/>
                <w:color w:val="002060"/>
                <w:sz w:val="18"/>
                <w:szCs w:val="18"/>
                <w:lang w:val="sr-Cyrl-CS"/>
              </w:rPr>
              <w:t>441</w:t>
            </w:r>
          </w:p>
        </w:tc>
      </w:tr>
      <w:tr w:rsidR="00F36197" w:rsidRPr="00646254" w14:paraId="4E61B71E" w14:textId="77777777" w:rsidTr="008E5519">
        <w:trPr>
          <w:trHeight w:hRule="exact" w:val="227"/>
        </w:trPr>
        <w:tc>
          <w:tcPr>
            <w:tcW w:w="3445" w:type="dxa"/>
            <w:tcBorders>
              <w:top w:val="nil"/>
              <w:left w:val="nil"/>
              <w:bottom w:val="nil"/>
              <w:right w:val="nil"/>
            </w:tcBorders>
            <w:shd w:val="clear" w:color="auto" w:fill="auto"/>
            <w:noWrap/>
            <w:vAlign w:val="center"/>
          </w:tcPr>
          <w:p w14:paraId="2F3908A9" w14:textId="5CAA7AD2" w:rsidR="00F36197" w:rsidRPr="00646254" w:rsidRDefault="002A35D9" w:rsidP="008E5519">
            <w:pPr>
              <w:spacing w:after="120" w:line="276" w:lineRule="auto"/>
              <w:rPr>
                <w:rFonts w:eastAsia="MS PGothic" w:cstheme="minorHAnsi"/>
                <w:color w:val="002060"/>
                <w:sz w:val="18"/>
                <w:szCs w:val="18"/>
                <w:lang w:val="sr-Cyrl-CS" w:eastAsia="ja-JP"/>
              </w:rPr>
            </w:pPr>
            <w:r w:rsidRPr="00646254">
              <w:rPr>
                <w:rFonts w:ascii="Calibri" w:hAnsi="Calibri" w:cs="Calibri"/>
                <w:color w:val="002060"/>
                <w:sz w:val="18"/>
                <w:szCs w:val="18"/>
                <w:lang w:val="sr-Cyrl-CS"/>
              </w:rPr>
              <w:t>„</w:t>
            </w:r>
            <w:r w:rsidR="00F36197" w:rsidRPr="00646254">
              <w:rPr>
                <w:rFonts w:ascii="Calibri" w:hAnsi="Calibri" w:cs="Calibri"/>
                <w:color w:val="002060"/>
                <w:sz w:val="18"/>
                <w:szCs w:val="18"/>
                <w:lang w:val="sr-Cyrl-CS"/>
              </w:rPr>
              <w:t>Електромрежа Србије</w:t>
            </w:r>
            <w:r w:rsidRPr="00646254">
              <w:rPr>
                <w:rFonts w:ascii="Calibri" w:hAnsi="Calibri" w:cs="Calibri"/>
                <w:color w:val="002060"/>
                <w:sz w:val="18"/>
                <w:szCs w:val="18"/>
                <w:lang w:val="sr-Cyrl-CS"/>
              </w:rPr>
              <w:t>”</w:t>
            </w:r>
            <w:r w:rsidR="00F36197" w:rsidRPr="00646254">
              <w:rPr>
                <w:rFonts w:ascii="Calibri" w:hAnsi="Calibri" w:cs="Calibri"/>
                <w:color w:val="002060"/>
                <w:sz w:val="18"/>
                <w:szCs w:val="18"/>
                <w:lang w:val="sr-Cyrl-CS"/>
              </w:rPr>
              <w:t xml:space="preserve"> a.д.</w:t>
            </w:r>
          </w:p>
        </w:tc>
        <w:tc>
          <w:tcPr>
            <w:tcW w:w="1981" w:type="dxa"/>
            <w:tcBorders>
              <w:top w:val="nil"/>
              <w:left w:val="nil"/>
              <w:bottom w:val="nil"/>
              <w:right w:val="nil"/>
            </w:tcBorders>
            <w:shd w:val="clear" w:color="auto" w:fill="auto"/>
            <w:noWrap/>
            <w:vAlign w:val="center"/>
          </w:tcPr>
          <w:p w14:paraId="3A0DFE15" w14:textId="5914F24C" w:rsidR="00F36197" w:rsidRPr="00646254" w:rsidRDefault="00F36197" w:rsidP="008E5519">
            <w:pPr>
              <w:spacing w:after="120" w:line="276" w:lineRule="auto"/>
              <w:jc w:val="right"/>
              <w:rPr>
                <w:rFonts w:eastAsia="MS PGothic" w:cstheme="minorHAnsi"/>
                <w:color w:val="002060"/>
                <w:sz w:val="18"/>
                <w:szCs w:val="18"/>
                <w:lang w:val="sr-Cyrl-CS" w:eastAsia="ja-JP"/>
              </w:rPr>
            </w:pPr>
            <w:r w:rsidRPr="00646254">
              <w:rPr>
                <w:rFonts w:ascii="Calibri" w:hAnsi="Calibri" w:cs="Calibri"/>
                <w:color w:val="002060"/>
                <w:sz w:val="18"/>
                <w:szCs w:val="18"/>
                <w:lang w:val="sr-Cyrl-CS"/>
              </w:rPr>
              <w:t>677</w:t>
            </w:r>
            <w:r w:rsidR="00480E7C" w:rsidRPr="00646254">
              <w:rPr>
                <w:rFonts w:ascii="Calibri" w:hAnsi="Calibri" w:cs="Calibri"/>
                <w:color w:val="002060"/>
                <w:sz w:val="18"/>
                <w:szCs w:val="18"/>
                <w:lang w:val="sr-Cyrl-CS"/>
              </w:rPr>
              <w:t>.</w:t>
            </w:r>
            <w:r w:rsidRPr="00646254">
              <w:rPr>
                <w:rFonts w:ascii="Calibri" w:hAnsi="Calibri" w:cs="Calibri"/>
                <w:color w:val="002060"/>
                <w:sz w:val="18"/>
                <w:szCs w:val="18"/>
                <w:lang w:val="sr-Cyrl-CS"/>
              </w:rPr>
              <w:t>923</w:t>
            </w:r>
          </w:p>
        </w:tc>
        <w:tc>
          <w:tcPr>
            <w:tcW w:w="1981" w:type="dxa"/>
            <w:tcBorders>
              <w:top w:val="nil"/>
              <w:left w:val="nil"/>
              <w:bottom w:val="nil"/>
              <w:right w:val="nil"/>
            </w:tcBorders>
            <w:shd w:val="clear" w:color="auto" w:fill="auto"/>
            <w:noWrap/>
            <w:vAlign w:val="center"/>
          </w:tcPr>
          <w:p w14:paraId="45D9386E" w14:textId="02ABB1BA" w:rsidR="00F36197" w:rsidRPr="00646254" w:rsidRDefault="00F36197" w:rsidP="008E5519">
            <w:pPr>
              <w:spacing w:after="120" w:line="276" w:lineRule="auto"/>
              <w:jc w:val="right"/>
              <w:rPr>
                <w:rFonts w:eastAsia="MS PGothic" w:cstheme="minorHAnsi"/>
                <w:color w:val="002060"/>
                <w:sz w:val="18"/>
                <w:szCs w:val="18"/>
                <w:lang w:val="sr-Cyrl-CS" w:eastAsia="ja-JP"/>
              </w:rPr>
            </w:pPr>
            <w:r w:rsidRPr="00646254">
              <w:rPr>
                <w:rFonts w:ascii="Calibri" w:hAnsi="Calibri" w:cs="Calibri"/>
                <w:color w:val="002060"/>
                <w:sz w:val="18"/>
                <w:szCs w:val="18"/>
                <w:lang w:val="sr-Cyrl-CS"/>
              </w:rPr>
              <w:t>475</w:t>
            </w:r>
            <w:r w:rsidR="00480E7C" w:rsidRPr="00646254">
              <w:rPr>
                <w:rFonts w:ascii="Calibri" w:hAnsi="Calibri" w:cs="Calibri"/>
                <w:color w:val="002060"/>
                <w:sz w:val="18"/>
                <w:szCs w:val="18"/>
                <w:lang w:val="sr-Cyrl-CS"/>
              </w:rPr>
              <w:t>.</w:t>
            </w:r>
            <w:r w:rsidRPr="00646254">
              <w:rPr>
                <w:rFonts w:ascii="Calibri" w:hAnsi="Calibri" w:cs="Calibri"/>
                <w:color w:val="002060"/>
                <w:sz w:val="18"/>
                <w:szCs w:val="18"/>
                <w:lang w:val="sr-Cyrl-CS"/>
              </w:rPr>
              <w:t>735</w:t>
            </w:r>
          </w:p>
        </w:tc>
        <w:tc>
          <w:tcPr>
            <w:tcW w:w="1981" w:type="dxa"/>
            <w:tcBorders>
              <w:top w:val="nil"/>
              <w:left w:val="nil"/>
              <w:bottom w:val="nil"/>
              <w:right w:val="nil"/>
            </w:tcBorders>
            <w:shd w:val="clear" w:color="auto" w:fill="auto"/>
            <w:noWrap/>
            <w:vAlign w:val="center"/>
          </w:tcPr>
          <w:p w14:paraId="3956B4C5" w14:textId="60FAFDE6" w:rsidR="00F36197" w:rsidRPr="00646254" w:rsidRDefault="00F36197" w:rsidP="008E5519">
            <w:pPr>
              <w:spacing w:after="120" w:line="276" w:lineRule="auto"/>
              <w:jc w:val="right"/>
              <w:rPr>
                <w:rFonts w:eastAsia="MS PGothic" w:cstheme="minorHAnsi"/>
                <w:color w:val="002060"/>
                <w:sz w:val="18"/>
                <w:szCs w:val="18"/>
                <w:lang w:val="sr-Cyrl-CS" w:eastAsia="ja-JP"/>
              </w:rPr>
            </w:pPr>
            <w:r w:rsidRPr="00646254">
              <w:rPr>
                <w:rFonts w:ascii="Calibri" w:hAnsi="Calibri" w:cs="Calibri"/>
                <w:color w:val="002060"/>
                <w:sz w:val="18"/>
                <w:szCs w:val="18"/>
                <w:lang w:val="sr-Cyrl-CS"/>
              </w:rPr>
              <w:t>1</w:t>
            </w:r>
            <w:r w:rsidR="00480E7C" w:rsidRPr="00646254">
              <w:rPr>
                <w:rFonts w:ascii="Calibri" w:hAnsi="Calibri" w:cs="Calibri"/>
                <w:color w:val="002060"/>
                <w:sz w:val="18"/>
                <w:szCs w:val="18"/>
                <w:lang w:val="sr-Cyrl-CS"/>
              </w:rPr>
              <w:t>.</w:t>
            </w:r>
            <w:r w:rsidRPr="00646254">
              <w:rPr>
                <w:rFonts w:ascii="Calibri" w:hAnsi="Calibri" w:cs="Calibri"/>
                <w:color w:val="002060"/>
                <w:sz w:val="18"/>
                <w:szCs w:val="18"/>
                <w:lang w:val="sr-Cyrl-CS"/>
              </w:rPr>
              <w:t>348</w:t>
            </w:r>
            <w:r w:rsidR="00480E7C" w:rsidRPr="00646254">
              <w:rPr>
                <w:rFonts w:ascii="Calibri" w:hAnsi="Calibri" w:cs="Calibri"/>
                <w:color w:val="002060"/>
                <w:sz w:val="18"/>
                <w:szCs w:val="18"/>
                <w:lang w:val="sr-Cyrl-CS"/>
              </w:rPr>
              <w:t>.</w:t>
            </w:r>
            <w:r w:rsidRPr="00646254">
              <w:rPr>
                <w:rFonts w:ascii="Calibri" w:hAnsi="Calibri" w:cs="Calibri"/>
                <w:color w:val="002060"/>
                <w:sz w:val="18"/>
                <w:szCs w:val="18"/>
                <w:lang w:val="sr-Cyrl-CS"/>
              </w:rPr>
              <w:t>552</w:t>
            </w:r>
          </w:p>
        </w:tc>
      </w:tr>
      <w:tr w:rsidR="00F36197" w:rsidRPr="00646254" w14:paraId="108B5FA2" w14:textId="77777777" w:rsidTr="008E5519">
        <w:trPr>
          <w:trHeight w:hRule="exact" w:val="227"/>
        </w:trPr>
        <w:tc>
          <w:tcPr>
            <w:tcW w:w="3445" w:type="dxa"/>
            <w:tcBorders>
              <w:top w:val="nil"/>
              <w:left w:val="nil"/>
              <w:bottom w:val="nil"/>
              <w:right w:val="nil"/>
            </w:tcBorders>
            <w:shd w:val="clear" w:color="auto" w:fill="auto"/>
            <w:vAlign w:val="center"/>
          </w:tcPr>
          <w:p w14:paraId="15BAD3AA" w14:textId="2C1FF461" w:rsidR="00F36197" w:rsidRPr="00646254" w:rsidRDefault="00F36197" w:rsidP="008E5519">
            <w:pPr>
              <w:spacing w:after="120" w:line="276" w:lineRule="auto"/>
              <w:rPr>
                <w:rFonts w:eastAsia="MS PGothic" w:cstheme="minorHAnsi"/>
                <w:color w:val="002060"/>
                <w:sz w:val="18"/>
                <w:szCs w:val="18"/>
                <w:lang w:val="sr-Cyrl-CS" w:eastAsia="ja-JP"/>
              </w:rPr>
            </w:pPr>
            <w:r w:rsidRPr="00646254">
              <w:rPr>
                <w:rFonts w:ascii="Calibri" w:hAnsi="Calibri" w:cs="Calibri"/>
                <w:color w:val="002060"/>
                <w:sz w:val="18"/>
                <w:szCs w:val="18"/>
                <w:lang w:val="sr-Cyrl-CS"/>
              </w:rPr>
              <w:t xml:space="preserve">JП </w:t>
            </w:r>
            <w:r w:rsidR="002A35D9" w:rsidRPr="00646254">
              <w:rPr>
                <w:rFonts w:ascii="Calibri" w:hAnsi="Calibri" w:cs="Calibri"/>
                <w:color w:val="002060"/>
                <w:sz w:val="18"/>
                <w:szCs w:val="18"/>
                <w:lang w:val="sr-Cyrl-CS"/>
              </w:rPr>
              <w:t>„</w:t>
            </w:r>
            <w:r w:rsidRPr="00646254">
              <w:rPr>
                <w:rFonts w:ascii="Calibri" w:hAnsi="Calibri" w:cs="Calibri"/>
                <w:color w:val="002060"/>
                <w:sz w:val="18"/>
                <w:szCs w:val="18"/>
                <w:lang w:val="sr-Cyrl-CS"/>
              </w:rPr>
              <w:t>НП Копаоник</w:t>
            </w:r>
            <w:r w:rsidR="002A35D9" w:rsidRPr="00646254">
              <w:rPr>
                <w:rFonts w:ascii="Calibri" w:hAnsi="Calibri" w:cs="Calibri"/>
                <w:color w:val="002060"/>
                <w:sz w:val="18"/>
                <w:szCs w:val="18"/>
                <w:lang w:val="sr-Cyrl-CS"/>
              </w:rPr>
              <w:t>”</w:t>
            </w:r>
          </w:p>
        </w:tc>
        <w:tc>
          <w:tcPr>
            <w:tcW w:w="1981" w:type="dxa"/>
            <w:tcBorders>
              <w:top w:val="nil"/>
              <w:left w:val="nil"/>
              <w:bottom w:val="nil"/>
              <w:right w:val="nil"/>
            </w:tcBorders>
            <w:shd w:val="clear" w:color="auto" w:fill="auto"/>
            <w:vAlign w:val="center"/>
          </w:tcPr>
          <w:p w14:paraId="3B56EB76" w14:textId="3A733517" w:rsidR="00F36197" w:rsidRPr="00646254" w:rsidRDefault="00F36197" w:rsidP="008E5519">
            <w:pPr>
              <w:spacing w:after="120" w:line="276" w:lineRule="auto"/>
              <w:jc w:val="right"/>
              <w:rPr>
                <w:rFonts w:eastAsia="MS PGothic" w:cstheme="minorHAnsi"/>
                <w:color w:val="002060"/>
                <w:sz w:val="18"/>
                <w:szCs w:val="18"/>
                <w:lang w:val="sr-Cyrl-CS" w:eastAsia="ja-JP"/>
              </w:rPr>
            </w:pPr>
            <w:r w:rsidRPr="00646254">
              <w:rPr>
                <w:rFonts w:ascii="Calibri" w:hAnsi="Calibri" w:cs="Calibri"/>
                <w:color w:val="002060"/>
                <w:sz w:val="18"/>
                <w:szCs w:val="18"/>
                <w:lang w:val="sr-Cyrl-CS"/>
              </w:rPr>
              <w:t>18</w:t>
            </w:r>
            <w:r w:rsidR="00480E7C" w:rsidRPr="00646254">
              <w:rPr>
                <w:rFonts w:ascii="Calibri" w:hAnsi="Calibri" w:cs="Calibri"/>
                <w:color w:val="002060"/>
                <w:sz w:val="18"/>
                <w:szCs w:val="18"/>
                <w:lang w:val="sr-Cyrl-CS"/>
              </w:rPr>
              <w:t>.</w:t>
            </w:r>
            <w:r w:rsidRPr="00646254">
              <w:rPr>
                <w:rFonts w:ascii="Calibri" w:hAnsi="Calibri" w:cs="Calibri"/>
                <w:color w:val="002060"/>
                <w:sz w:val="18"/>
                <w:szCs w:val="18"/>
                <w:lang w:val="sr-Cyrl-CS"/>
              </w:rPr>
              <w:t>456</w:t>
            </w:r>
          </w:p>
        </w:tc>
        <w:tc>
          <w:tcPr>
            <w:tcW w:w="1981" w:type="dxa"/>
            <w:tcBorders>
              <w:top w:val="nil"/>
              <w:left w:val="nil"/>
              <w:bottom w:val="nil"/>
              <w:right w:val="nil"/>
            </w:tcBorders>
            <w:shd w:val="clear" w:color="auto" w:fill="auto"/>
            <w:noWrap/>
            <w:vAlign w:val="center"/>
          </w:tcPr>
          <w:p w14:paraId="1093EB62" w14:textId="5936A4D3" w:rsidR="00F36197" w:rsidRPr="00646254" w:rsidRDefault="00F36197" w:rsidP="008E5519">
            <w:pPr>
              <w:spacing w:after="120" w:line="276" w:lineRule="auto"/>
              <w:jc w:val="right"/>
              <w:rPr>
                <w:rFonts w:eastAsia="MS PGothic" w:cstheme="minorHAnsi"/>
                <w:color w:val="002060"/>
                <w:sz w:val="18"/>
                <w:szCs w:val="18"/>
                <w:lang w:val="sr-Cyrl-CS" w:eastAsia="ja-JP"/>
              </w:rPr>
            </w:pPr>
            <w:r w:rsidRPr="00646254">
              <w:rPr>
                <w:rFonts w:ascii="Calibri" w:hAnsi="Calibri" w:cs="Calibri"/>
                <w:color w:val="002060"/>
                <w:sz w:val="18"/>
                <w:szCs w:val="18"/>
                <w:lang w:val="sr-Cyrl-CS"/>
              </w:rPr>
              <w:t>28</w:t>
            </w:r>
            <w:r w:rsidR="00480E7C" w:rsidRPr="00646254">
              <w:rPr>
                <w:rFonts w:ascii="Calibri" w:hAnsi="Calibri" w:cs="Calibri"/>
                <w:color w:val="002060"/>
                <w:sz w:val="18"/>
                <w:szCs w:val="18"/>
                <w:lang w:val="sr-Cyrl-CS"/>
              </w:rPr>
              <w:t>.</w:t>
            </w:r>
            <w:r w:rsidRPr="00646254">
              <w:rPr>
                <w:rFonts w:ascii="Calibri" w:hAnsi="Calibri" w:cs="Calibri"/>
                <w:color w:val="002060"/>
                <w:sz w:val="18"/>
                <w:szCs w:val="18"/>
                <w:lang w:val="sr-Cyrl-CS"/>
              </w:rPr>
              <w:t>651</w:t>
            </w:r>
          </w:p>
        </w:tc>
        <w:tc>
          <w:tcPr>
            <w:tcW w:w="1981" w:type="dxa"/>
            <w:tcBorders>
              <w:top w:val="nil"/>
              <w:left w:val="nil"/>
              <w:bottom w:val="nil"/>
              <w:right w:val="nil"/>
            </w:tcBorders>
            <w:shd w:val="clear" w:color="auto" w:fill="auto"/>
            <w:noWrap/>
            <w:vAlign w:val="center"/>
          </w:tcPr>
          <w:p w14:paraId="15B9B617" w14:textId="56DDA3BB" w:rsidR="00F36197" w:rsidRPr="00646254" w:rsidRDefault="00F36197" w:rsidP="008E5519">
            <w:pPr>
              <w:spacing w:after="120" w:line="276" w:lineRule="auto"/>
              <w:jc w:val="right"/>
              <w:rPr>
                <w:rFonts w:eastAsia="MS PGothic" w:cstheme="minorHAnsi"/>
                <w:color w:val="002060"/>
                <w:sz w:val="18"/>
                <w:szCs w:val="18"/>
                <w:lang w:val="sr-Cyrl-CS" w:eastAsia="ja-JP"/>
              </w:rPr>
            </w:pPr>
            <w:r w:rsidRPr="00646254">
              <w:rPr>
                <w:rFonts w:ascii="Calibri" w:hAnsi="Calibri" w:cs="Calibri"/>
                <w:color w:val="002060"/>
                <w:sz w:val="18"/>
                <w:szCs w:val="18"/>
                <w:lang w:val="sr-Cyrl-CS"/>
              </w:rPr>
              <w:t>59</w:t>
            </w:r>
            <w:r w:rsidR="00480E7C" w:rsidRPr="00646254">
              <w:rPr>
                <w:rFonts w:ascii="Calibri" w:hAnsi="Calibri" w:cs="Calibri"/>
                <w:color w:val="002060"/>
                <w:sz w:val="18"/>
                <w:szCs w:val="18"/>
                <w:lang w:val="sr-Cyrl-CS"/>
              </w:rPr>
              <w:t>.</w:t>
            </w:r>
            <w:r w:rsidRPr="00646254">
              <w:rPr>
                <w:rFonts w:ascii="Calibri" w:hAnsi="Calibri" w:cs="Calibri"/>
                <w:color w:val="002060"/>
                <w:sz w:val="18"/>
                <w:szCs w:val="18"/>
                <w:lang w:val="sr-Cyrl-CS"/>
              </w:rPr>
              <w:t>741</w:t>
            </w:r>
          </w:p>
        </w:tc>
      </w:tr>
      <w:tr w:rsidR="00F36197" w:rsidRPr="00646254" w14:paraId="1013237D" w14:textId="77777777" w:rsidTr="008E5519">
        <w:trPr>
          <w:trHeight w:hRule="exact" w:val="227"/>
        </w:trPr>
        <w:tc>
          <w:tcPr>
            <w:tcW w:w="3445" w:type="dxa"/>
            <w:tcBorders>
              <w:top w:val="nil"/>
              <w:left w:val="nil"/>
              <w:bottom w:val="nil"/>
              <w:right w:val="nil"/>
            </w:tcBorders>
            <w:shd w:val="clear" w:color="auto" w:fill="auto"/>
            <w:vAlign w:val="center"/>
          </w:tcPr>
          <w:p w14:paraId="4DE08412" w14:textId="3AE795D0" w:rsidR="00F36197" w:rsidRPr="00646254" w:rsidRDefault="00F36197" w:rsidP="008E5519">
            <w:pPr>
              <w:spacing w:after="120" w:line="276" w:lineRule="auto"/>
              <w:rPr>
                <w:rFonts w:eastAsia="MS PGothic" w:cstheme="minorHAnsi"/>
                <w:color w:val="002060"/>
                <w:sz w:val="18"/>
                <w:szCs w:val="18"/>
                <w:lang w:val="sr-Cyrl-CS" w:eastAsia="ja-JP"/>
              </w:rPr>
            </w:pPr>
            <w:r w:rsidRPr="00646254">
              <w:rPr>
                <w:rFonts w:ascii="Calibri" w:hAnsi="Calibri" w:cs="Calibri"/>
                <w:color w:val="002060"/>
                <w:sz w:val="18"/>
                <w:szCs w:val="18"/>
                <w:lang w:val="sr-Cyrl-CS"/>
              </w:rPr>
              <w:t xml:space="preserve">Група JП </w:t>
            </w:r>
            <w:r w:rsidR="002A35D9" w:rsidRPr="00646254">
              <w:rPr>
                <w:rFonts w:ascii="Calibri" w:hAnsi="Calibri" w:cs="Calibri"/>
                <w:color w:val="002060"/>
                <w:sz w:val="18"/>
                <w:szCs w:val="18"/>
                <w:lang w:val="sr-Cyrl-CS"/>
              </w:rPr>
              <w:t>„</w:t>
            </w:r>
            <w:r w:rsidRPr="00646254">
              <w:rPr>
                <w:rFonts w:ascii="Calibri" w:hAnsi="Calibri" w:cs="Calibri"/>
                <w:color w:val="002060"/>
                <w:sz w:val="18"/>
                <w:szCs w:val="18"/>
                <w:lang w:val="sr-Cyrl-CS"/>
              </w:rPr>
              <w:t>EПС</w:t>
            </w:r>
            <w:r w:rsidR="002A35D9" w:rsidRPr="00646254">
              <w:rPr>
                <w:rFonts w:ascii="Calibri" w:hAnsi="Calibri" w:cs="Calibri"/>
                <w:color w:val="002060"/>
                <w:sz w:val="18"/>
                <w:szCs w:val="18"/>
                <w:lang w:val="sr-Cyrl-CS"/>
              </w:rPr>
              <w:t>”</w:t>
            </w:r>
          </w:p>
        </w:tc>
        <w:tc>
          <w:tcPr>
            <w:tcW w:w="1981" w:type="dxa"/>
            <w:tcBorders>
              <w:top w:val="nil"/>
              <w:left w:val="nil"/>
              <w:bottom w:val="nil"/>
              <w:right w:val="nil"/>
            </w:tcBorders>
            <w:shd w:val="clear" w:color="auto" w:fill="auto"/>
            <w:vAlign w:val="center"/>
          </w:tcPr>
          <w:p w14:paraId="3937858D" w14:textId="78426407" w:rsidR="00F36197" w:rsidRPr="00646254" w:rsidRDefault="00F36197" w:rsidP="008E5519">
            <w:pPr>
              <w:spacing w:after="120" w:line="276" w:lineRule="auto"/>
              <w:jc w:val="right"/>
              <w:rPr>
                <w:rFonts w:eastAsia="MS PGothic" w:cstheme="minorHAnsi"/>
                <w:color w:val="002060"/>
                <w:sz w:val="18"/>
                <w:szCs w:val="18"/>
                <w:lang w:val="sr-Cyrl-CS" w:eastAsia="ja-JP"/>
              </w:rPr>
            </w:pPr>
            <w:r w:rsidRPr="00646254">
              <w:rPr>
                <w:rFonts w:ascii="Calibri" w:hAnsi="Calibri" w:cs="Calibri"/>
                <w:color w:val="002060"/>
                <w:sz w:val="18"/>
                <w:szCs w:val="18"/>
                <w:lang w:val="sr-Cyrl-CS"/>
              </w:rPr>
              <w:t>11</w:t>
            </w:r>
            <w:r w:rsidR="00480E7C" w:rsidRPr="00646254">
              <w:rPr>
                <w:rFonts w:ascii="Calibri" w:hAnsi="Calibri" w:cs="Calibri"/>
                <w:color w:val="002060"/>
                <w:sz w:val="18"/>
                <w:szCs w:val="18"/>
                <w:lang w:val="sr-Cyrl-CS"/>
              </w:rPr>
              <w:t>.</w:t>
            </w:r>
            <w:r w:rsidRPr="00646254">
              <w:rPr>
                <w:rFonts w:ascii="Calibri" w:hAnsi="Calibri" w:cs="Calibri"/>
                <w:color w:val="002060"/>
                <w:sz w:val="18"/>
                <w:szCs w:val="18"/>
                <w:lang w:val="sr-Cyrl-CS"/>
              </w:rPr>
              <w:t>704</w:t>
            </w:r>
            <w:r w:rsidR="00480E7C" w:rsidRPr="00646254">
              <w:rPr>
                <w:rFonts w:ascii="Calibri" w:hAnsi="Calibri" w:cs="Calibri"/>
                <w:color w:val="002060"/>
                <w:sz w:val="18"/>
                <w:szCs w:val="18"/>
                <w:lang w:val="sr-Cyrl-CS"/>
              </w:rPr>
              <w:t>.</w:t>
            </w:r>
            <w:r w:rsidRPr="00646254">
              <w:rPr>
                <w:rFonts w:ascii="Calibri" w:hAnsi="Calibri" w:cs="Calibri"/>
                <w:color w:val="002060"/>
                <w:sz w:val="18"/>
                <w:szCs w:val="18"/>
                <w:lang w:val="sr-Cyrl-CS"/>
              </w:rPr>
              <w:t>025</w:t>
            </w:r>
          </w:p>
        </w:tc>
        <w:tc>
          <w:tcPr>
            <w:tcW w:w="1981" w:type="dxa"/>
            <w:tcBorders>
              <w:top w:val="nil"/>
              <w:left w:val="nil"/>
              <w:bottom w:val="nil"/>
              <w:right w:val="nil"/>
            </w:tcBorders>
            <w:shd w:val="clear" w:color="auto" w:fill="auto"/>
            <w:noWrap/>
            <w:vAlign w:val="center"/>
          </w:tcPr>
          <w:p w14:paraId="220B31FD" w14:textId="115C4D00" w:rsidR="00F36197" w:rsidRPr="00646254" w:rsidRDefault="00F36197" w:rsidP="008E5519">
            <w:pPr>
              <w:spacing w:after="120" w:line="276" w:lineRule="auto"/>
              <w:jc w:val="right"/>
              <w:rPr>
                <w:rFonts w:eastAsia="MS PGothic" w:cstheme="minorHAnsi"/>
                <w:color w:val="002060"/>
                <w:sz w:val="18"/>
                <w:szCs w:val="18"/>
                <w:lang w:val="sr-Cyrl-CS" w:eastAsia="ja-JP"/>
              </w:rPr>
            </w:pPr>
            <w:r w:rsidRPr="00646254">
              <w:rPr>
                <w:rFonts w:ascii="Calibri" w:hAnsi="Calibri" w:cs="Calibri"/>
                <w:color w:val="002060"/>
                <w:sz w:val="18"/>
                <w:szCs w:val="18"/>
                <w:lang w:val="sr-Cyrl-CS"/>
              </w:rPr>
              <w:t>762</w:t>
            </w:r>
            <w:r w:rsidR="00480E7C" w:rsidRPr="00646254">
              <w:rPr>
                <w:rFonts w:ascii="Calibri" w:hAnsi="Calibri" w:cs="Calibri"/>
                <w:color w:val="002060"/>
                <w:sz w:val="18"/>
                <w:szCs w:val="18"/>
                <w:lang w:val="sr-Cyrl-CS"/>
              </w:rPr>
              <w:t>.</w:t>
            </w:r>
            <w:r w:rsidRPr="00646254">
              <w:rPr>
                <w:rFonts w:ascii="Calibri" w:hAnsi="Calibri" w:cs="Calibri"/>
                <w:color w:val="002060"/>
                <w:sz w:val="18"/>
                <w:szCs w:val="18"/>
                <w:lang w:val="sr-Cyrl-CS"/>
              </w:rPr>
              <w:t>772</w:t>
            </w:r>
          </w:p>
        </w:tc>
        <w:tc>
          <w:tcPr>
            <w:tcW w:w="1981" w:type="dxa"/>
            <w:tcBorders>
              <w:top w:val="nil"/>
              <w:left w:val="nil"/>
              <w:bottom w:val="nil"/>
              <w:right w:val="nil"/>
            </w:tcBorders>
            <w:shd w:val="clear" w:color="auto" w:fill="auto"/>
            <w:noWrap/>
            <w:vAlign w:val="center"/>
          </w:tcPr>
          <w:p w14:paraId="2289807E" w14:textId="1AB0FE35" w:rsidR="00F36197" w:rsidRPr="00646254" w:rsidRDefault="00F36197" w:rsidP="008E5519">
            <w:pPr>
              <w:spacing w:after="120" w:line="276" w:lineRule="auto"/>
              <w:jc w:val="right"/>
              <w:rPr>
                <w:rFonts w:eastAsia="MS PGothic" w:cstheme="minorHAnsi"/>
                <w:color w:val="002060"/>
                <w:sz w:val="18"/>
                <w:szCs w:val="18"/>
                <w:lang w:val="sr-Cyrl-CS" w:eastAsia="ja-JP"/>
              </w:rPr>
            </w:pPr>
            <w:r w:rsidRPr="00646254">
              <w:rPr>
                <w:rFonts w:ascii="Calibri" w:hAnsi="Calibri" w:cs="Calibri"/>
                <w:color w:val="002060"/>
                <w:sz w:val="18"/>
                <w:szCs w:val="18"/>
                <w:lang w:val="sr-Cyrl-CS"/>
              </w:rPr>
              <w:t>11</w:t>
            </w:r>
            <w:r w:rsidR="00480E7C" w:rsidRPr="00646254">
              <w:rPr>
                <w:rFonts w:ascii="Calibri" w:hAnsi="Calibri" w:cs="Calibri"/>
                <w:color w:val="002060"/>
                <w:sz w:val="18"/>
                <w:szCs w:val="18"/>
                <w:lang w:val="sr-Cyrl-CS"/>
              </w:rPr>
              <w:t>.</w:t>
            </w:r>
            <w:r w:rsidRPr="00646254">
              <w:rPr>
                <w:rFonts w:ascii="Calibri" w:hAnsi="Calibri" w:cs="Calibri"/>
                <w:color w:val="002060"/>
                <w:sz w:val="18"/>
                <w:szCs w:val="18"/>
                <w:lang w:val="sr-Cyrl-CS"/>
              </w:rPr>
              <w:t>211</w:t>
            </w:r>
            <w:r w:rsidR="00480E7C" w:rsidRPr="00646254">
              <w:rPr>
                <w:rFonts w:ascii="Calibri" w:hAnsi="Calibri" w:cs="Calibri"/>
                <w:color w:val="002060"/>
                <w:sz w:val="18"/>
                <w:szCs w:val="18"/>
                <w:lang w:val="sr-Cyrl-CS"/>
              </w:rPr>
              <w:t>.</w:t>
            </w:r>
            <w:r w:rsidRPr="00646254">
              <w:rPr>
                <w:rFonts w:ascii="Calibri" w:hAnsi="Calibri" w:cs="Calibri"/>
                <w:color w:val="002060"/>
                <w:sz w:val="18"/>
                <w:szCs w:val="18"/>
                <w:lang w:val="sr-Cyrl-CS"/>
              </w:rPr>
              <w:t>021</w:t>
            </w:r>
          </w:p>
        </w:tc>
      </w:tr>
      <w:tr w:rsidR="00F36197" w:rsidRPr="00646254" w14:paraId="300D0939" w14:textId="77777777" w:rsidTr="008E5519">
        <w:trPr>
          <w:trHeight w:hRule="exact" w:val="227"/>
        </w:trPr>
        <w:tc>
          <w:tcPr>
            <w:tcW w:w="3445" w:type="dxa"/>
            <w:tcBorders>
              <w:top w:val="nil"/>
              <w:left w:val="nil"/>
              <w:bottom w:val="nil"/>
              <w:right w:val="nil"/>
            </w:tcBorders>
            <w:shd w:val="clear" w:color="auto" w:fill="auto"/>
            <w:vAlign w:val="center"/>
          </w:tcPr>
          <w:p w14:paraId="4945315A" w14:textId="77777777" w:rsidR="00F36197" w:rsidRPr="00646254" w:rsidRDefault="00F36197" w:rsidP="008E5519">
            <w:pPr>
              <w:spacing w:after="120" w:line="276" w:lineRule="auto"/>
              <w:rPr>
                <w:rFonts w:eastAsia="MS PGothic" w:cstheme="minorHAnsi"/>
                <w:color w:val="002060"/>
                <w:sz w:val="18"/>
                <w:szCs w:val="18"/>
                <w:lang w:val="sr-Cyrl-CS" w:eastAsia="ja-JP"/>
              </w:rPr>
            </w:pPr>
            <w:r w:rsidRPr="00646254">
              <w:rPr>
                <w:rFonts w:ascii="Calibri" w:hAnsi="Calibri" w:cs="Calibri"/>
                <w:color w:val="002060"/>
                <w:sz w:val="18"/>
                <w:szCs w:val="18"/>
                <w:lang w:val="sr-Cyrl-CS"/>
              </w:rPr>
              <w:t xml:space="preserve">Државна лутрија Србије д.o.o. </w:t>
            </w:r>
          </w:p>
        </w:tc>
        <w:tc>
          <w:tcPr>
            <w:tcW w:w="1981" w:type="dxa"/>
            <w:tcBorders>
              <w:top w:val="nil"/>
              <w:left w:val="nil"/>
              <w:bottom w:val="nil"/>
              <w:right w:val="nil"/>
            </w:tcBorders>
            <w:shd w:val="clear" w:color="auto" w:fill="auto"/>
            <w:vAlign w:val="center"/>
          </w:tcPr>
          <w:p w14:paraId="7E831359" w14:textId="25B16BC5" w:rsidR="00F36197" w:rsidRPr="00646254" w:rsidRDefault="00F36197" w:rsidP="008E5519">
            <w:pPr>
              <w:spacing w:after="120" w:line="276" w:lineRule="auto"/>
              <w:jc w:val="right"/>
              <w:rPr>
                <w:rFonts w:eastAsia="MS PGothic" w:cstheme="minorHAnsi"/>
                <w:color w:val="002060"/>
                <w:sz w:val="18"/>
                <w:szCs w:val="18"/>
                <w:lang w:val="sr-Cyrl-CS" w:eastAsia="ja-JP"/>
              </w:rPr>
            </w:pPr>
            <w:r w:rsidRPr="00646254">
              <w:rPr>
                <w:rFonts w:ascii="Calibri" w:hAnsi="Calibri" w:cs="Calibri"/>
                <w:color w:val="002060"/>
                <w:sz w:val="18"/>
                <w:szCs w:val="18"/>
                <w:lang w:val="sr-Cyrl-CS"/>
              </w:rPr>
              <w:t>112</w:t>
            </w:r>
            <w:r w:rsidR="00480E7C" w:rsidRPr="00646254">
              <w:rPr>
                <w:rFonts w:ascii="Calibri" w:hAnsi="Calibri" w:cs="Calibri"/>
                <w:color w:val="002060"/>
                <w:sz w:val="18"/>
                <w:szCs w:val="18"/>
                <w:lang w:val="sr-Cyrl-CS"/>
              </w:rPr>
              <w:t>.</w:t>
            </w:r>
            <w:r w:rsidRPr="00646254">
              <w:rPr>
                <w:rFonts w:ascii="Calibri" w:hAnsi="Calibri" w:cs="Calibri"/>
                <w:color w:val="002060"/>
                <w:sz w:val="18"/>
                <w:szCs w:val="18"/>
                <w:lang w:val="sr-Cyrl-CS"/>
              </w:rPr>
              <w:t>755</w:t>
            </w:r>
          </w:p>
        </w:tc>
        <w:tc>
          <w:tcPr>
            <w:tcW w:w="1981" w:type="dxa"/>
            <w:tcBorders>
              <w:top w:val="nil"/>
              <w:left w:val="nil"/>
              <w:bottom w:val="nil"/>
              <w:right w:val="nil"/>
            </w:tcBorders>
            <w:shd w:val="clear" w:color="auto" w:fill="auto"/>
            <w:noWrap/>
            <w:vAlign w:val="center"/>
          </w:tcPr>
          <w:p w14:paraId="058A2C61" w14:textId="29FE6EF3" w:rsidR="00F36197" w:rsidRPr="00646254" w:rsidRDefault="00F36197" w:rsidP="008E5519">
            <w:pPr>
              <w:spacing w:after="120" w:line="276" w:lineRule="auto"/>
              <w:jc w:val="right"/>
              <w:rPr>
                <w:rFonts w:eastAsia="MS PGothic" w:cstheme="minorHAnsi"/>
                <w:color w:val="002060"/>
                <w:sz w:val="18"/>
                <w:szCs w:val="18"/>
                <w:lang w:val="sr-Cyrl-CS" w:eastAsia="ja-JP"/>
              </w:rPr>
            </w:pPr>
            <w:r w:rsidRPr="00646254">
              <w:rPr>
                <w:rFonts w:ascii="Calibri" w:hAnsi="Calibri" w:cs="Calibri"/>
                <w:color w:val="002060"/>
                <w:sz w:val="18"/>
                <w:szCs w:val="18"/>
                <w:lang w:val="sr-Cyrl-CS"/>
              </w:rPr>
              <w:t>14</w:t>
            </w:r>
            <w:r w:rsidR="00480E7C" w:rsidRPr="00646254">
              <w:rPr>
                <w:rFonts w:ascii="Calibri" w:hAnsi="Calibri" w:cs="Calibri"/>
                <w:color w:val="002060"/>
                <w:sz w:val="18"/>
                <w:szCs w:val="18"/>
                <w:lang w:val="sr-Cyrl-CS"/>
              </w:rPr>
              <w:t>.</w:t>
            </w:r>
            <w:r w:rsidRPr="00646254">
              <w:rPr>
                <w:rFonts w:ascii="Calibri" w:hAnsi="Calibri" w:cs="Calibri"/>
                <w:color w:val="002060"/>
                <w:sz w:val="18"/>
                <w:szCs w:val="18"/>
                <w:lang w:val="sr-Cyrl-CS"/>
              </w:rPr>
              <w:t>480</w:t>
            </w:r>
          </w:p>
        </w:tc>
        <w:tc>
          <w:tcPr>
            <w:tcW w:w="1981" w:type="dxa"/>
            <w:tcBorders>
              <w:top w:val="nil"/>
              <w:left w:val="nil"/>
              <w:bottom w:val="nil"/>
              <w:right w:val="nil"/>
            </w:tcBorders>
            <w:shd w:val="clear" w:color="auto" w:fill="auto"/>
            <w:noWrap/>
            <w:vAlign w:val="center"/>
          </w:tcPr>
          <w:p w14:paraId="20D54036" w14:textId="2CF28F1E" w:rsidR="00F36197" w:rsidRPr="00646254" w:rsidRDefault="00F36197" w:rsidP="008E5519">
            <w:pPr>
              <w:spacing w:after="120" w:line="276" w:lineRule="auto"/>
              <w:jc w:val="right"/>
              <w:rPr>
                <w:rFonts w:eastAsia="MS PGothic" w:cstheme="minorHAnsi"/>
                <w:color w:val="002060"/>
                <w:sz w:val="18"/>
                <w:szCs w:val="18"/>
                <w:lang w:val="sr-Cyrl-CS" w:eastAsia="ja-JP"/>
              </w:rPr>
            </w:pPr>
            <w:r w:rsidRPr="00646254">
              <w:rPr>
                <w:rFonts w:ascii="Calibri" w:hAnsi="Calibri" w:cs="Calibri"/>
                <w:color w:val="002060"/>
                <w:sz w:val="18"/>
                <w:szCs w:val="18"/>
                <w:lang w:val="sr-Cyrl-CS"/>
              </w:rPr>
              <w:t>101</w:t>
            </w:r>
            <w:r w:rsidR="00480E7C" w:rsidRPr="00646254">
              <w:rPr>
                <w:rFonts w:ascii="Calibri" w:hAnsi="Calibri" w:cs="Calibri"/>
                <w:color w:val="002060"/>
                <w:sz w:val="18"/>
                <w:szCs w:val="18"/>
                <w:lang w:val="sr-Cyrl-CS"/>
              </w:rPr>
              <w:t>.</w:t>
            </w:r>
            <w:r w:rsidRPr="00646254">
              <w:rPr>
                <w:rFonts w:ascii="Calibri" w:hAnsi="Calibri" w:cs="Calibri"/>
                <w:color w:val="002060"/>
                <w:sz w:val="18"/>
                <w:szCs w:val="18"/>
                <w:lang w:val="sr-Cyrl-CS"/>
              </w:rPr>
              <w:t>325</w:t>
            </w:r>
          </w:p>
        </w:tc>
      </w:tr>
      <w:tr w:rsidR="00F36197" w:rsidRPr="00646254" w14:paraId="7DE8518F" w14:textId="77777777" w:rsidTr="008265F0">
        <w:trPr>
          <w:trHeight w:hRule="exact" w:val="227"/>
        </w:trPr>
        <w:tc>
          <w:tcPr>
            <w:tcW w:w="3445" w:type="dxa"/>
            <w:tcBorders>
              <w:top w:val="nil"/>
              <w:left w:val="nil"/>
              <w:bottom w:val="nil"/>
              <w:right w:val="nil"/>
            </w:tcBorders>
            <w:shd w:val="clear" w:color="auto" w:fill="auto"/>
            <w:vAlign w:val="center"/>
          </w:tcPr>
          <w:p w14:paraId="7F278C9F" w14:textId="1726199D" w:rsidR="00F36197" w:rsidRPr="00646254" w:rsidRDefault="00F36197" w:rsidP="008E5519">
            <w:pPr>
              <w:spacing w:after="120" w:line="276" w:lineRule="auto"/>
              <w:rPr>
                <w:rFonts w:eastAsia="MS PGothic" w:cstheme="minorHAnsi"/>
                <w:color w:val="002060"/>
                <w:sz w:val="18"/>
                <w:szCs w:val="18"/>
                <w:lang w:val="sr-Cyrl-CS" w:eastAsia="ja-JP"/>
              </w:rPr>
            </w:pPr>
            <w:r w:rsidRPr="00646254">
              <w:rPr>
                <w:rFonts w:ascii="Calibri" w:hAnsi="Calibri" w:cs="Calibri"/>
                <w:color w:val="002060"/>
                <w:sz w:val="18"/>
                <w:szCs w:val="18"/>
                <w:lang w:val="sr-Cyrl-CS"/>
              </w:rPr>
              <w:t xml:space="preserve">JП </w:t>
            </w:r>
            <w:r w:rsidR="002A35D9" w:rsidRPr="00646254">
              <w:rPr>
                <w:rFonts w:ascii="Calibri" w:hAnsi="Calibri" w:cs="Calibri"/>
                <w:color w:val="002060"/>
                <w:sz w:val="18"/>
                <w:szCs w:val="18"/>
                <w:lang w:val="sr-Cyrl-CS"/>
              </w:rPr>
              <w:t>„</w:t>
            </w:r>
            <w:r w:rsidRPr="00646254">
              <w:rPr>
                <w:rFonts w:ascii="Calibri" w:hAnsi="Calibri" w:cs="Calibri"/>
                <w:color w:val="002060"/>
                <w:sz w:val="18"/>
                <w:szCs w:val="18"/>
                <w:lang w:val="sr-Cyrl-CS"/>
              </w:rPr>
              <w:t>Национални парк Тара</w:t>
            </w:r>
            <w:r w:rsidR="002A35D9" w:rsidRPr="00646254">
              <w:rPr>
                <w:rFonts w:ascii="Calibri" w:hAnsi="Calibri" w:cs="Calibri"/>
                <w:color w:val="002060"/>
                <w:sz w:val="18"/>
                <w:szCs w:val="18"/>
                <w:lang w:val="sr-Cyrl-CS"/>
              </w:rPr>
              <w:t>”</w:t>
            </w:r>
          </w:p>
        </w:tc>
        <w:tc>
          <w:tcPr>
            <w:tcW w:w="1981" w:type="dxa"/>
            <w:tcBorders>
              <w:top w:val="nil"/>
              <w:left w:val="nil"/>
              <w:bottom w:val="nil"/>
              <w:right w:val="nil"/>
            </w:tcBorders>
            <w:shd w:val="clear" w:color="auto" w:fill="auto"/>
            <w:vAlign w:val="center"/>
          </w:tcPr>
          <w:p w14:paraId="2B4AA374" w14:textId="0F246A85" w:rsidR="00F36197" w:rsidRPr="00646254" w:rsidRDefault="00F36197" w:rsidP="008E5519">
            <w:pPr>
              <w:spacing w:after="120" w:line="276" w:lineRule="auto"/>
              <w:jc w:val="right"/>
              <w:rPr>
                <w:rFonts w:eastAsia="MS PGothic" w:cstheme="minorHAnsi"/>
                <w:color w:val="002060"/>
                <w:sz w:val="18"/>
                <w:szCs w:val="18"/>
                <w:lang w:val="sr-Cyrl-CS" w:eastAsia="ja-JP"/>
              </w:rPr>
            </w:pPr>
            <w:r w:rsidRPr="00646254">
              <w:rPr>
                <w:rFonts w:ascii="Calibri" w:hAnsi="Calibri" w:cs="Calibri"/>
                <w:color w:val="002060"/>
                <w:sz w:val="18"/>
                <w:szCs w:val="18"/>
                <w:lang w:val="sr-Cyrl-CS"/>
              </w:rPr>
              <w:t>37</w:t>
            </w:r>
            <w:r w:rsidR="00480E7C" w:rsidRPr="00646254">
              <w:rPr>
                <w:rFonts w:ascii="Calibri" w:hAnsi="Calibri" w:cs="Calibri"/>
                <w:color w:val="002060"/>
                <w:sz w:val="18"/>
                <w:szCs w:val="18"/>
                <w:lang w:val="sr-Cyrl-CS"/>
              </w:rPr>
              <w:t>.</w:t>
            </w:r>
            <w:r w:rsidRPr="00646254">
              <w:rPr>
                <w:rFonts w:ascii="Calibri" w:hAnsi="Calibri" w:cs="Calibri"/>
                <w:color w:val="002060"/>
                <w:sz w:val="18"/>
                <w:szCs w:val="18"/>
                <w:lang w:val="sr-Cyrl-CS"/>
              </w:rPr>
              <w:t>699</w:t>
            </w:r>
          </w:p>
        </w:tc>
        <w:tc>
          <w:tcPr>
            <w:tcW w:w="1981" w:type="dxa"/>
            <w:tcBorders>
              <w:top w:val="nil"/>
              <w:left w:val="nil"/>
              <w:bottom w:val="nil"/>
              <w:right w:val="nil"/>
            </w:tcBorders>
            <w:shd w:val="clear" w:color="auto" w:fill="auto"/>
            <w:noWrap/>
            <w:vAlign w:val="center"/>
          </w:tcPr>
          <w:p w14:paraId="696D5DFF" w14:textId="77777777" w:rsidR="00F36197" w:rsidRPr="00646254" w:rsidRDefault="00F36197" w:rsidP="008E5519">
            <w:pPr>
              <w:spacing w:after="120" w:line="276" w:lineRule="auto"/>
              <w:jc w:val="right"/>
              <w:rPr>
                <w:rFonts w:eastAsia="MS PGothic" w:cstheme="minorHAnsi"/>
                <w:color w:val="002060"/>
                <w:sz w:val="18"/>
                <w:szCs w:val="18"/>
                <w:lang w:val="sr-Cyrl-CS" w:eastAsia="ja-JP"/>
              </w:rPr>
            </w:pPr>
            <w:r w:rsidRPr="00646254">
              <w:rPr>
                <w:rFonts w:ascii="Calibri" w:hAnsi="Calibri" w:cs="Calibri"/>
                <w:color w:val="002060"/>
                <w:sz w:val="18"/>
                <w:szCs w:val="18"/>
                <w:lang w:val="sr-Cyrl-CS"/>
              </w:rPr>
              <w:t>140</w:t>
            </w:r>
          </w:p>
        </w:tc>
        <w:tc>
          <w:tcPr>
            <w:tcW w:w="1981" w:type="dxa"/>
            <w:tcBorders>
              <w:top w:val="nil"/>
              <w:left w:val="nil"/>
              <w:bottom w:val="nil"/>
              <w:right w:val="nil"/>
            </w:tcBorders>
            <w:shd w:val="clear" w:color="auto" w:fill="auto"/>
            <w:noWrap/>
            <w:vAlign w:val="center"/>
          </w:tcPr>
          <w:p w14:paraId="23BBFD12" w14:textId="2CDE50BA" w:rsidR="00F36197" w:rsidRPr="00646254" w:rsidRDefault="00F36197" w:rsidP="008E5519">
            <w:pPr>
              <w:spacing w:after="120" w:line="276" w:lineRule="auto"/>
              <w:jc w:val="right"/>
              <w:rPr>
                <w:rFonts w:eastAsia="MS PGothic" w:cstheme="minorHAnsi"/>
                <w:color w:val="002060"/>
                <w:sz w:val="18"/>
                <w:szCs w:val="18"/>
                <w:lang w:val="sr-Cyrl-CS" w:eastAsia="ja-JP"/>
              </w:rPr>
            </w:pPr>
            <w:r w:rsidRPr="00646254">
              <w:rPr>
                <w:rFonts w:ascii="Calibri" w:hAnsi="Calibri" w:cs="Calibri"/>
                <w:color w:val="002060"/>
                <w:sz w:val="18"/>
                <w:szCs w:val="18"/>
                <w:lang w:val="sr-Cyrl-CS"/>
              </w:rPr>
              <w:t>6</w:t>
            </w:r>
            <w:r w:rsidR="00480E7C" w:rsidRPr="00646254">
              <w:rPr>
                <w:rFonts w:ascii="Calibri" w:hAnsi="Calibri" w:cs="Calibri"/>
                <w:color w:val="002060"/>
                <w:sz w:val="18"/>
                <w:szCs w:val="18"/>
                <w:lang w:val="sr-Cyrl-CS"/>
              </w:rPr>
              <w:t>.</w:t>
            </w:r>
            <w:r w:rsidRPr="00646254">
              <w:rPr>
                <w:rFonts w:ascii="Calibri" w:hAnsi="Calibri" w:cs="Calibri"/>
                <w:color w:val="002060"/>
                <w:sz w:val="18"/>
                <w:szCs w:val="18"/>
                <w:lang w:val="sr-Cyrl-CS"/>
              </w:rPr>
              <w:t>750</w:t>
            </w:r>
          </w:p>
        </w:tc>
      </w:tr>
      <w:tr w:rsidR="00F36197" w:rsidRPr="00646254" w14:paraId="5DC0EE86" w14:textId="77777777" w:rsidTr="008265F0">
        <w:trPr>
          <w:trHeight w:hRule="exact" w:val="227"/>
        </w:trPr>
        <w:tc>
          <w:tcPr>
            <w:tcW w:w="3445" w:type="dxa"/>
            <w:tcBorders>
              <w:top w:val="nil"/>
              <w:left w:val="nil"/>
              <w:bottom w:val="nil"/>
              <w:right w:val="nil"/>
            </w:tcBorders>
            <w:shd w:val="clear" w:color="auto" w:fill="auto"/>
            <w:vAlign w:val="center"/>
          </w:tcPr>
          <w:p w14:paraId="548DD9BA" w14:textId="2CAE1AA5" w:rsidR="00F36197" w:rsidRPr="00646254" w:rsidRDefault="00F36197" w:rsidP="008E5519">
            <w:pPr>
              <w:spacing w:after="120" w:line="276" w:lineRule="auto"/>
              <w:rPr>
                <w:rFonts w:eastAsia="MS PGothic" w:cstheme="minorHAnsi"/>
                <w:color w:val="002060"/>
                <w:sz w:val="18"/>
                <w:szCs w:val="18"/>
                <w:lang w:val="sr-Cyrl-CS" w:eastAsia="ja-JP"/>
              </w:rPr>
            </w:pPr>
            <w:r w:rsidRPr="00646254">
              <w:rPr>
                <w:rFonts w:ascii="Calibri" w:hAnsi="Calibri" w:cs="Calibri"/>
                <w:color w:val="002060"/>
                <w:sz w:val="18"/>
                <w:szCs w:val="18"/>
                <w:lang w:val="sr-Cyrl-CS"/>
              </w:rPr>
              <w:t xml:space="preserve">JП </w:t>
            </w:r>
            <w:r w:rsidR="002A35D9" w:rsidRPr="00646254">
              <w:rPr>
                <w:rFonts w:ascii="Calibri" w:hAnsi="Calibri" w:cs="Calibri"/>
                <w:color w:val="002060"/>
                <w:sz w:val="18"/>
                <w:szCs w:val="18"/>
                <w:lang w:val="sr-Cyrl-CS"/>
              </w:rPr>
              <w:t>„</w:t>
            </w:r>
            <w:r w:rsidRPr="00646254">
              <w:rPr>
                <w:rFonts w:ascii="Calibri" w:hAnsi="Calibri" w:cs="Calibri"/>
                <w:color w:val="002060"/>
                <w:sz w:val="18"/>
                <w:szCs w:val="18"/>
                <w:lang w:val="sr-Cyrl-CS"/>
              </w:rPr>
              <w:t>Нуклеарни објекти Србије</w:t>
            </w:r>
            <w:r w:rsidR="002A35D9" w:rsidRPr="00646254">
              <w:rPr>
                <w:rFonts w:ascii="Calibri" w:hAnsi="Calibri" w:cs="Calibri"/>
                <w:color w:val="002060"/>
                <w:sz w:val="18"/>
                <w:szCs w:val="18"/>
                <w:lang w:val="sr-Cyrl-CS"/>
              </w:rPr>
              <w:t>”</w:t>
            </w:r>
            <w:r w:rsidRPr="00646254">
              <w:rPr>
                <w:rFonts w:ascii="Calibri" w:hAnsi="Calibri" w:cs="Calibri"/>
                <w:color w:val="002060"/>
                <w:sz w:val="18"/>
                <w:szCs w:val="18"/>
                <w:lang w:val="sr-Cyrl-CS"/>
              </w:rPr>
              <w:t xml:space="preserve"> ВИНЧА</w:t>
            </w:r>
          </w:p>
        </w:tc>
        <w:tc>
          <w:tcPr>
            <w:tcW w:w="1981" w:type="dxa"/>
            <w:tcBorders>
              <w:top w:val="nil"/>
              <w:left w:val="nil"/>
              <w:bottom w:val="nil"/>
              <w:right w:val="nil"/>
            </w:tcBorders>
            <w:shd w:val="clear" w:color="auto" w:fill="auto"/>
            <w:vAlign w:val="center"/>
          </w:tcPr>
          <w:p w14:paraId="60E69B4C" w14:textId="77777777" w:rsidR="00F36197" w:rsidRPr="00646254" w:rsidRDefault="00F36197" w:rsidP="008E5519">
            <w:pPr>
              <w:spacing w:after="120" w:line="276" w:lineRule="auto"/>
              <w:jc w:val="right"/>
              <w:rPr>
                <w:rFonts w:eastAsia="MS PGothic" w:cstheme="minorHAnsi"/>
                <w:color w:val="002060"/>
                <w:sz w:val="18"/>
                <w:szCs w:val="18"/>
                <w:lang w:val="sr-Cyrl-CS" w:eastAsia="ja-JP"/>
              </w:rPr>
            </w:pPr>
            <w:r w:rsidRPr="00646254">
              <w:rPr>
                <w:rFonts w:ascii="Calibri" w:hAnsi="Calibri" w:cs="Calibri"/>
                <w:color w:val="002060"/>
                <w:sz w:val="18"/>
                <w:szCs w:val="18"/>
                <w:lang w:val="sr-Cyrl-CS"/>
              </w:rPr>
              <w:t>249</w:t>
            </w:r>
          </w:p>
        </w:tc>
        <w:tc>
          <w:tcPr>
            <w:tcW w:w="1981" w:type="dxa"/>
            <w:tcBorders>
              <w:top w:val="nil"/>
              <w:left w:val="nil"/>
              <w:bottom w:val="nil"/>
              <w:right w:val="nil"/>
            </w:tcBorders>
            <w:shd w:val="clear" w:color="auto" w:fill="auto"/>
            <w:noWrap/>
            <w:vAlign w:val="center"/>
          </w:tcPr>
          <w:p w14:paraId="09E08D93" w14:textId="77777777" w:rsidR="00F36197" w:rsidRPr="00646254" w:rsidRDefault="00F36197" w:rsidP="008E5519">
            <w:pPr>
              <w:spacing w:after="120" w:line="276" w:lineRule="auto"/>
              <w:jc w:val="right"/>
              <w:rPr>
                <w:rFonts w:eastAsia="MS PGothic" w:cstheme="minorHAnsi"/>
                <w:color w:val="002060"/>
                <w:sz w:val="18"/>
                <w:szCs w:val="18"/>
                <w:lang w:val="sr-Cyrl-CS" w:eastAsia="ja-JP"/>
              </w:rPr>
            </w:pPr>
            <w:r w:rsidRPr="00646254">
              <w:rPr>
                <w:rFonts w:ascii="Calibri" w:hAnsi="Calibri" w:cs="Calibri"/>
                <w:color w:val="002060"/>
                <w:sz w:val="18"/>
                <w:szCs w:val="18"/>
                <w:lang w:val="sr-Cyrl-CS"/>
              </w:rPr>
              <w:t>528</w:t>
            </w:r>
          </w:p>
        </w:tc>
        <w:tc>
          <w:tcPr>
            <w:tcW w:w="1981" w:type="dxa"/>
            <w:tcBorders>
              <w:top w:val="nil"/>
              <w:left w:val="nil"/>
              <w:bottom w:val="nil"/>
              <w:right w:val="nil"/>
            </w:tcBorders>
            <w:shd w:val="clear" w:color="auto" w:fill="auto"/>
            <w:noWrap/>
            <w:vAlign w:val="center"/>
          </w:tcPr>
          <w:p w14:paraId="06A40783" w14:textId="0C2F1589" w:rsidR="00F36197" w:rsidRPr="00646254" w:rsidRDefault="00F36197" w:rsidP="008E5519">
            <w:pPr>
              <w:spacing w:after="120" w:line="276" w:lineRule="auto"/>
              <w:jc w:val="right"/>
              <w:rPr>
                <w:rFonts w:eastAsia="MS PGothic" w:cstheme="minorHAnsi"/>
                <w:color w:val="002060"/>
                <w:sz w:val="18"/>
                <w:szCs w:val="18"/>
                <w:lang w:val="sr-Cyrl-CS" w:eastAsia="ja-JP"/>
              </w:rPr>
            </w:pPr>
            <w:r w:rsidRPr="00646254">
              <w:rPr>
                <w:rFonts w:ascii="Calibri" w:hAnsi="Calibri" w:cs="Calibri"/>
                <w:color w:val="002060"/>
                <w:sz w:val="18"/>
                <w:szCs w:val="18"/>
                <w:lang w:val="sr-Cyrl-CS"/>
              </w:rPr>
              <w:t>8</w:t>
            </w:r>
            <w:r w:rsidR="00480E7C" w:rsidRPr="00646254">
              <w:rPr>
                <w:rFonts w:ascii="Calibri" w:hAnsi="Calibri" w:cs="Calibri"/>
                <w:color w:val="002060"/>
                <w:sz w:val="18"/>
                <w:szCs w:val="18"/>
                <w:lang w:val="sr-Cyrl-CS"/>
              </w:rPr>
              <w:t>.</w:t>
            </w:r>
            <w:r w:rsidRPr="00646254">
              <w:rPr>
                <w:rFonts w:ascii="Calibri" w:hAnsi="Calibri" w:cs="Calibri"/>
                <w:color w:val="002060"/>
                <w:sz w:val="18"/>
                <w:szCs w:val="18"/>
                <w:lang w:val="sr-Cyrl-CS"/>
              </w:rPr>
              <w:t>955</w:t>
            </w:r>
          </w:p>
        </w:tc>
      </w:tr>
      <w:tr w:rsidR="00F36197" w:rsidRPr="00646254" w14:paraId="7F21318E" w14:textId="77777777" w:rsidTr="008265F0">
        <w:trPr>
          <w:trHeight w:hRule="exact" w:val="227"/>
        </w:trPr>
        <w:tc>
          <w:tcPr>
            <w:tcW w:w="3445" w:type="dxa"/>
            <w:tcBorders>
              <w:top w:val="nil"/>
              <w:left w:val="nil"/>
              <w:bottom w:val="nil"/>
              <w:right w:val="nil"/>
            </w:tcBorders>
            <w:shd w:val="clear" w:color="auto" w:fill="auto"/>
            <w:vAlign w:val="center"/>
          </w:tcPr>
          <w:p w14:paraId="4D8B84E3" w14:textId="06694256" w:rsidR="00F36197" w:rsidRPr="00646254" w:rsidRDefault="0030346F" w:rsidP="008E5519">
            <w:pPr>
              <w:spacing w:after="120" w:line="276" w:lineRule="auto"/>
              <w:rPr>
                <w:rFonts w:eastAsia="MS PGothic" w:cstheme="minorHAnsi"/>
                <w:color w:val="002060"/>
                <w:sz w:val="18"/>
                <w:szCs w:val="18"/>
                <w:lang w:val="sr-Cyrl-CS" w:eastAsia="ja-JP"/>
              </w:rPr>
            </w:pPr>
            <w:r>
              <w:rPr>
                <w:rFonts w:ascii="Calibri" w:hAnsi="Calibri" w:cs="Calibri"/>
                <w:color w:val="002060"/>
                <w:sz w:val="18"/>
                <w:szCs w:val="18"/>
                <w:lang w:val="sr-Cyrl-CS"/>
              </w:rPr>
              <w:t>„</w:t>
            </w:r>
            <w:r w:rsidR="00F36197" w:rsidRPr="00646254">
              <w:rPr>
                <w:rFonts w:ascii="Calibri" w:hAnsi="Calibri" w:cs="Calibri"/>
                <w:color w:val="002060"/>
                <w:sz w:val="18"/>
                <w:szCs w:val="18"/>
                <w:lang w:val="sr-Cyrl-CS"/>
              </w:rPr>
              <w:t>Железнице Србије</w:t>
            </w:r>
            <w:r>
              <w:rPr>
                <w:rFonts w:ascii="Calibri" w:hAnsi="Calibri" w:cs="Calibri"/>
                <w:color w:val="002060"/>
                <w:sz w:val="18"/>
                <w:szCs w:val="18"/>
                <w:lang w:val="sr-Cyrl-CS"/>
              </w:rPr>
              <w:t>”</w:t>
            </w:r>
            <w:r w:rsidR="00F36197" w:rsidRPr="00646254">
              <w:rPr>
                <w:rFonts w:ascii="Calibri" w:hAnsi="Calibri" w:cs="Calibri"/>
                <w:color w:val="002060"/>
                <w:sz w:val="18"/>
                <w:szCs w:val="18"/>
                <w:lang w:val="sr-Cyrl-CS"/>
              </w:rPr>
              <w:t xml:space="preserve"> а.д</w:t>
            </w:r>
            <w:r>
              <w:rPr>
                <w:rFonts w:ascii="Calibri" w:hAnsi="Calibri" w:cs="Calibri"/>
                <w:color w:val="002060"/>
                <w:sz w:val="18"/>
                <w:szCs w:val="18"/>
                <w:lang w:val="sr-Cyrl-CS"/>
              </w:rPr>
              <w:t>.</w:t>
            </w:r>
          </w:p>
        </w:tc>
        <w:tc>
          <w:tcPr>
            <w:tcW w:w="1981" w:type="dxa"/>
            <w:tcBorders>
              <w:top w:val="nil"/>
              <w:left w:val="nil"/>
              <w:bottom w:val="nil"/>
              <w:right w:val="nil"/>
            </w:tcBorders>
            <w:shd w:val="clear" w:color="auto" w:fill="auto"/>
            <w:vAlign w:val="center"/>
          </w:tcPr>
          <w:p w14:paraId="7C75DC1E" w14:textId="63BC4A8C" w:rsidR="00F36197" w:rsidRPr="00646254" w:rsidRDefault="00F36197" w:rsidP="008E5519">
            <w:pPr>
              <w:spacing w:after="120" w:line="276" w:lineRule="auto"/>
              <w:jc w:val="right"/>
              <w:rPr>
                <w:rFonts w:eastAsia="MS PGothic" w:cstheme="minorHAnsi"/>
                <w:color w:val="002060"/>
                <w:sz w:val="18"/>
                <w:szCs w:val="18"/>
                <w:lang w:val="sr-Cyrl-CS" w:eastAsia="ja-JP"/>
              </w:rPr>
            </w:pPr>
            <w:r w:rsidRPr="00646254">
              <w:rPr>
                <w:rFonts w:ascii="Calibri" w:hAnsi="Calibri" w:cs="Calibri"/>
                <w:color w:val="002060"/>
                <w:sz w:val="18"/>
                <w:szCs w:val="18"/>
                <w:lang w:val="sr-Cyrl-CS"/>
              </w:rPr>
              <w:t>113</w:t>
            </w:r>
            <w:r w:rsidR="00480E7C" w:rsidRPr="00646254">
              <w:rPr>
                <w:rFonts w:ascii="Calibri" w:hAnsi="Calibri" w:cs="Calibri"/>
                <w:color w:val="002060"/>
                <w:sz w:val="18"/>
                <w:szCs w:val="18"/>
                <w:lang w:val="sr-Cyrl-CS"/>
              </w:rPr>
              <w:t>.</w:t>
            </w:r>
            <w:r w:rsidRPr="00646254">
              <w:rPr>
                <w:rFonts w:ascii="Calibri" w:hAnsi="Calibri" w:cs="Calibri"/>
                <w:color w:val="002060"/>
                <w:sz w:val="18"/>
                <w:szCs w:val="18"/>
                <w:lang w:val="sr-Cyrl-CS"/>
              </w:rPr>
              <w:t>837</w:t>
            </w:r>
          </w:p>
        </w:tc>
        <w:tc>
          <w:tcPr>
            <w:tcW w:w="1981" w:type="dxa"/>
            <w:tcBorders>
              <w:top w:val="nil"/>
              <w:left w:val="nil"/>
              <w:bottom w:val="nil"/>
              <w:right w:val="nil"/>
            </w:tcBorders>
            <w:shd w:val="clear" w:color="auto" w:fill="auto"/>
            <w:noWrap/>
            <w:vAlign w:val="center"/>
          </w:tcPr>
          <w:p w14:paraId="508A5B11" w14:textId="072A771F" w:rsidR="00F36197" w:rsidRPr="00646254" w:rsidRDefault="00F36197" w:rsidP="008E5519">
            <w:pPr>
              <w:spacing w:after="120" w:line="276" w:lineRule="auto"/>
              <w:jc w:val="right"/>
              <w:rPr>
                <w:rFonts w:eastAsia="MS PGothic" w:cstheme="minorHAnsi"/>
                <w:color w:val="002060"/>
                <w:sz w:val="18"/>
                <w:szCs w:val="18"/>
                <w:lang w:val="sr-Cyrl-CS" w:eastAsia="ja-JP"/>
              </w:rPr>
            </w:pPr>
            <w:r w:rsidRPr="00646254">
              <w:rPr>
                <w:rFonts w:ascii="Calibri" w:hAnsi="Calibri" w:cs="Calibri"/>
                <w:color w:val="002060"/>
                <w:sz w:val="18"/>
                <w:szCs w:val="18"/>
                <w:lang w:val="sr-Cyrl-CS"/>
              </w:rPr>
              <w:t>-159</w:t>
            </w:r>
            <w:r w:rsidR="00480E7C" w:rsidRPr="00646254">
              <w:rPr>
                <w:rFonts w:ascii="Calibri" w:hAnsi="Calibri" w:cs="Calibri"/>
                <w:color w:val="002060"/>
                <w:sz w:val="18"/>
                <w:szCs w:val="18"/>
                <w:lang w:val="sr-Cyrl-CS"/>
              </w:rPr>
              <w:t>.</w:t>
            </w:r>
            <w:r w:rsidRPr="00646254">
              <w:rPr>
                <w:rFonts w:ascii="Calibri" w:hAnsi="Calibri" w:cs="Calibri"/>
                <w:color w:val="002060"/>
                <w:sz w:val="18"/>
                <w:szCs w:val="18"/>
                <w:lang w:val="sr-Cyrl-CS"/>
              </w:rPr>
              <w:t>198</w:t>
            </w:r>
          </w:p>
        </w:tc>
        <w:tc>
          <w:tcPr>
            <w:tcW w:w="1981" w:type="dxa"/>
            <w:tcBorders>
              <w:top w:val="nil"/>
              <w:left w:val="nil"/>
              <w:bottom w:val="nil"/>
              <w:right w:val="nil"/>
            </w:tcBorders>
            <w:shd w:val="clear" w:color="auto" w:fill="auto"/>
            <w:noWrap/>
            <w:vAlign w:val="center"/>
          </w:tcPr>
          <w:p w14:paraId="66D471DE" w14:textId="457F396E" w:rsidR="00F36197" w:rsidRPr="00646254" w:rsidRDefault="00F36197" w:rsidP="008E5519">
            <w:pPr>
              <w:spacing w:after="120" w:line="276" w:lineRule="auto"/>
              <w:jc w:val="right"/>
              <w:rPr>
                <w:rFonts w:eastAsia="MS PGothic" w:cstheme="minorHAnsi"/>
                <w:color w:val="002060"/>
                <w:sz w:val="18"/>
                <w:szCs w:val="18"/>
                <w:lang w:val="sr-Cyrl-CS" w:eastAsia="ja-JP"/>
              </w:rPr>
            </w:pPr>
            <w:r w:rsidRPr="00646254">
              <w:rPr>
                <w:rFonts w:ascii="Calibri" w:hAnsi="Calibri" w:cs="Calibri"/>
                <w:color w:val="002060"/>
                <w:sz w:val="18"/>
                <w:szCs w:val="18"/>
                <w:lang w:val="sr-Cyrl-CS"/>
              </w:rPr>
              <w:t>16</w:t>
            </w:r>
            <w:r w:rsidR="00480E7C" w:rsidRPr="00646254">
              <w:rPr>
                <w:rFonts w:ascii="Calibri" w:hAnsi="Calibri" w:cs="Calibri"/>
                <w:color w:val="002060"/>
                <w:sz w:val="18"/>
                <w:szCs w:val="18"/>
                <w:lang w:val="sr-Cyrl-CS"/>
              </w:rPr>
              <w:t>.</w:t>
            </w:r>
            <w:r w:rsidRPr="00646254">
              <w:rPr>
                <w:rFonts w:ascii="Calibri" w:hAnsi="Calibri" w:cs="Calibri"/>
                <w:color w:val="002060"/>
                <w:sz w:val="18"/>
                <w:szCs w:val="18"/>
                <w:lang w:val="sr-Cyrl-CS"/>
              </w:rPr>
              <w:t>493</w:t>
            </w:r>
          </w:p>
        </w:tc>
      </w:tr>
      <w:tr w:rsidR="00F36197" w:rsidRPr="00646254" w14:paraId="22A43F2C" w14:textId="77777777" w:rsidTr="008265F0">
        <w:trPr>
          <w:trHeight w:hRule="exact" w:val="227"/>
        </w:trPr>
        <w:tc>
          <w:tcPr>
            <w:tcW w:w="3445" w:type="dxa"/>
            <w:tcBorders>
              <w:top w:val="nil"/>
              <w:left w:val="nil"/>
              <w:bottom w:val="nil"/>
              <w:right w:val="nil"/>
            </w:tcBorders>
            <w:shd w:val="clear" w:color="auto" w:fill="auto"/>
            <w:vAlign w:val="center"/>
          </w:tcPr>
          <w:p w14:paraId="3777019C" w14:textId="52FDA067" w:rsidR="00F36197" w:rsidRPr="00646254" w:rsidRDefault="00F36197" w:rsidP="008E5519">
            <w:pPr>
              <w:spacing w:after="120" w:line="276" w:lineRule="auto"/>
              <w:rPr>
                <w:rFonts w:eastAsia="MS PGothic" w:cstheme="minorHAnsi"/>
                <w:color w:val="002060"/>
                <w:sz w:val="18"/>
                <w:szCs w:val="18"/>
                <w:lang w:val="sr-Cyrl-CS" w:eastAsia="ja-JP"/>
              </w:rPr>
            </w:pPr>
            <w:r w:rsidRPr="00646254">
              <w:rPr>
                <w:rFonts w:ascii="Calibri" w:hAnsi="Calibri" w:cs="Calibri"/>
                <w:color w:val="002060"/>
                <w:sz w:val="18"/>
                <w:szCs w:val="18"/>
                <w:lang w:val="sr-Cyrl-CS"/>
              </w:rPr>
              <w:t xml:space="preserve">ЈП </w:t>
            </w:r>
            <w:r w:rsidR="002A35D9" w:rsidRPr="00646254">
              <w:rPr>
                <w:rFonts w:ascii="Calibri" w:hAnsi="Calibri" w:cs="Calibri"/>
                <w:color w:val="002060"/>
                <w:sz w:val="18"/>
                <w:szCs w:val="18"/>
                <w:lang w:val="sr-Cyrl-CS"/>
              </w:rPr>
              <w:t>„</w:t>
            </w:r>
            <w:r w:rsidRPr="00646254">
              <w:rPr>
                <w:rFonts w:ascii="Calibri" w:hAnsi="Calibri" w:cs="Calibri"/>
                <w:color w:val="002060"/>
                <w:sz w:val="18"/>
                <w:szCs w:val="18"/>
                <w:lang w:val="sr-Cyrl-CS"/>
              </w:rPr>
              <w:t>Србијашуме</w:t>
            </w:r>
            <w:r w:rsidR="002A35D9" w:rsidRPr="00646254">
              <w:rPr>
                <w:rFonts w:ascii="Calibri" w:hAnsi="Calibri" w:cs="Calibri"/>
                <w:color w:val="002060"/>
                <w:sz w:val="18"/>
                <w:szCs w:val="18"/>
                <w:lang w:val="sr-Cyrl-CS"/>
              </w:rPr>
              <w:t>”</w:t>
            </w:r>
          </w:p>
        </w:tc>
        <w:tc>
          <w:tcPr>
            <w:tcW w:w="1981" w:type="dxa"/>
            <w:tcBorders>
              <w:top w:val="nil"/>
              <w:left w:val="nil"/>
              <w:bottom w:val="nil"/>
              <w:right w:val="nil"/>
            </w:tcBorders>
            <w:shd w:val="clear" w:color="auto" w:fill="auto"/>
            <w:vAlign w:val="center"/>
          </w:tcPr>
          <w:p w14:paraId="6B857C3C" w14:textId="52ACB731" w:rsidR="00F36197" w:rsidRPr="00646254" w:rsidRDefault="00F36197" w:rsidP="008E5519">
            <w:pPr>
              <w:spacing w:after="120" w:line="276" w:lineRule="auto"/>
              <w:jc w:val="right"/>
              <w:rPr>
                <w:rFonts w:eastAsia="MS PGothic" w:cstheme="minorHAnsi"/>
                <w:color w:val="002060"/>
                <w:sz w:val="18"/>
                <w:szCs w:val="18"/>
                <w:lang w:val="sr-Cyrl-CS" w:eastAsia="ja-JP"/>
              </w:rPr>
            </w:pPr>
            <w:r w:rsidRPr="00646254">
              <w:rPr>
                <w:rFonts w:ascii="Calibri" w:hAnsi="Calibri" w:cs="Calibri"/>
                <w:color w:val="002060"/>
                <w:sz w:val="18"/>
                <w:szCs w:val="18"/>
                <w:lang w:val="sr-Cyrl-CS"/>
              </w:rPr>
              <w:t>474</w:t>
            </w:r>
            <w:r w:rsidR="00480E7C" w:rsidRPr="00646254">
              <w:rPr>
                <w:rFonts w:ascii="Calibri" w:hAnsi="Calibri" w:cs="Calibri"/>
                <w:color w:val="002060"/>
                <w:sz w:val="18"/>
                <w:szCs w:val="18"/>
                <w:lang w:val="sr-Cyrl-CS"/>
              </w:rPr>
              <w:t>.</w:t>
            </w:r>
            <w:r w:rsidRPr="00646254">
              <w:rPr>
                <w:rFonts w:ascii="Calibri" w:hAnsi="Calibri" w:cs="Calibri"/>
                <w:color w:val="002060"/>
                <w:sz w:val="18"/>
                <w:szCs w:val="18"/>
                <w:lang w:val="sr-Cyrl-CS"/>
              </w:rPr>
              <w:t>543</w:t>
            </w:r>
          </w:p>
        </w:tc>
        <w:tc>
          <w:tcPr>
            <w:tcW w:w="1981" w:type="dxa"/>
            <w:tcBorders>
              <w:top w:val="nil"/>
              <w:left w:val="nil"/>
              <w:bottom w:val="nil"/>
              <w:right w:val="nil"/>
            </w:tcBorders>
            <w:shd w:val="clear" w:color="auto" w:fill="auto"/>
            <w:noWrap/>
            <w:vAlign w:val="center"/>
          </w:tcPr>
          <w:p w14:paraId="7AFBFD55" w14:textId="68C8069B" w:rsidR="00F36197" w:rsidRPr="00646254" w:rsidRDefault="00F36197" w:rsidP="008E5519">
            <w:pPr>
              <w:spacing w:after="120" w:line="276" w:lineRule="auto"/>
              <w:jc w:val="right"/>
              <w:rPr>
                <w:rFonts w:eastAsia="MS PGothic" w:cstheme="minorHAnsi"/>
                <w:color w:val="002060"/>
                <w:sz w:val="18"/>
                <w:szCs w:val="18"/>
                <w:lang w:val="sr-Cyrl-CS" w:eastAsia="ja-JP"/>
              </w:rPr>
            </w:pPr>
            <w:r w:rsidRPr="00646254">
              <w:rPr>
                <w:rFonts w:ascii="Calibri" w:hAnsi="Calibri" w:cs="Calibri"/>
                <w:color w:val="002060"/>
                <w:sz w:val="18"/>
                <w:szCs w:val="18"/>
                <w:lang w:val="sr-Cyrl-CS"/>
              </w:rPr>
              <w:t>107</w:t>
            </w:r>
            <w:r w:rsidR="00480E7C" w:rsidRPr="00646254">
              <w:rPr>
                <w:rFonts w:ascii="Calibri" w:hAnsi="Calibri" w:cs="Calibri"/>
                <w:color w:val="002060"/>
                <w:sz w:val="18"/>
                <w:szCs w:val="18"/>
                <w:lang w:val="sr-Cyrl-CS"/>
              </w:rPr>
              <w:t>.</w:t>
            </w:r>
            <w:r w:rsidRPr="00646254">
              <w:rPr>
                <w:rFonts w:ascii="Calibri" w:hAnsi="Calibri" w:cs="Calibri"/>
                <w:color w:val="002060"/>
                <w:sz w:val="18"/>
                <w:szCs w:val="18"/>
                <w:lang w:val="sr-Cyrl-CS"/>
              </w:rPr>
              <w:t>137</w:t>
            </w:r>
          </w:p>
        </w:tc>
        <w:tc>
          <w:tcPr>
            <w:tcW w:w="1981" w:type="dxa"/>
            <w:tcBorders>
              <w:top w:val="nil"/>
              <w:left w:val="nil"/>
              <w:bottom w:val="nil"/>
              <w:right w:val="nil"/>
            </w:tcBorders>
            <w:shd w:val="clear" w:color="auto" w:fill="auto"/>
            <w:noWrap/>
            <w:vAlign w:val="center"/>
          </w:tcPr>
          <w:p w14:paraId="3032A9AE" w14:textId="42914493" w:rsidR="00F36197" w:rsidRPr="00646254" w:rsidRDefault="00F36197" w:rsidP="008E5519">
            <w:pPr>
              <w:spacing w:after="120" w:line="276" w:lineRule="auto"/>
              <w:jc w:val="right"/>
              <w:rPr>
                <w:rFonts w:eastAsia="MS PGothic" w:cstheme="minorHAnsi"/>
                <w:color w:val="002060"/>
                <w:sz w:val="18"/>
                <w:szCs w:val="18"/>
                <w:lang w:val="sr-Cyrl-CS" w:eastAsia="ja-JP"/>
              </w:rPr>
            </w:pPr>
            <w:r w:rsidRPr="00646254">
              <w:rPr>
                <w:rFonts w:ascii="Calibri" w:hAnsi="Calibri" w:cs="Calibri"/>
                <w:color w:val="002060"/>
                <w:sz w:val="18"/>
                <w:szCs w:val="18"/>
                <w:lang w:val="sr-Cyrl-CS"/>
              </w:rPr>
              <w:t>383</w:t>
            </w:r>
            <w:r w:rsidR="00480E7C" w:rsidRPr="00646254">
              <w:rPr>
                <w:rFonts w:ascii="Calibri" w:hAnsi="Calibri" w:cs="Calibri"/>
                <w:color w:val="002060"/>
                <w:sz w:val="18"/>
                <w:szCs w:val="18"/>
                <w:lang w:val="sr-Cyrl-CS"/>
              </w:rPr>
              <w:t>.</w:t>
            </w:r>
            <w:r w:rsidRPr="00646254">
              <w:rPr>
                <w:rFonts w:ascii="Calibri" w:hAnsi="Calibri" w:cs="Calibri"/>
                <w:color w:val="002060"/>
                <w:sz w:val="18"/>
                <w:szCs w:val="18"/>
                <w:lang w:val="sr-Cyrl-CS"/>
              </w:rPr>
              <w:t>760</w:t>
            </w:r>
          </w:p>
        </w:tc>
      </w:tr>
      <w:tr w:rsidR="00F36197" w:rsidRPr="00646254" w14:paraId="68E99A9D" w14:textId="77777777" w:rsidTr="008265F0">
        <w:trPr>
          <w:trHeight w:hRule="exact" w:val="227"/>
        </w:trPr>
        <w:tc>
          <w:tcPr>
            <w:tcW w:w="3445" w:type="dxa"/>
            <w:tcBorders>
              <w:top w:val="nil"/>
              <w:left w:val="nil"/>
              <w:bottom w:val="nil"/>
              <w:right w:val="nil"/>
            </w:tcBorders>
            <w:shd w:val="clear" w:color="auto" w:fill="auto"/>
            <w:vAlign w:val="center"/>
          </w:tcPr>
          <w:p w14:paraId="12182EFD" w14:textId="105BFF62" w:rsidR="00F36197" w:rsidRPr="00646254" w:rsidRDefault="00F36197" w:rsidP="008E5519">
            <w:pPr>
              <w:spacing w:after="120" w:line="276" w:lineRule="auto"/>
              <w:rPr>
                <w:rFonts w:ascii="Calibri" w:hAnsi="Calibri" w:cs="Calibri"/>
                <w:color w:val="002060"/>
                <w:sz w:val="18"/>
                <w:szCs w:val="18"/>
                <w:lang w:val="sr-Cyrl-CS"/>
              </w:rPr>
            </w:pPr>
            <w:r w:rsidRPr="00646254">
              <w:rPr>
                <w:rFonts w:ascii="Calibri" w:hAnsi="Calibri" w:cs="Calibri"/>
                <w:color w:val="002060"/>
                <w:sz w:val="18"/>
                <w:szCs w:val="18"/>
                <w:lang w:val="sr-Cyrl-CS"/>
              </w:rPr>
              <w:t>Ј</w:t>
            </w:r>
            <w:r w:rsidR="00F26771" w:rsidRPr="00646254">
              <w:rPr>
                <w:rFonts w:ascii="Calibri" w:hAnsi="Calibri" w:cs="Calibri"/>
                <w:color w:val="002060"/>
                <w:sz w:val="18"/>
                <w:szCs w:val="18"/>
                <w:lang w:val="sr-Cyrl-CS"/>
              </w:rPr>
              <w:t>В</w:t>
            </w:r>
            <w:r w:rsidRPr="00646254">
              <w:rPr>
                <w:rFonts w:ascii="Calibri" w:hAnsi="Calibri" w:cs="Calibri"/>
                <w:color w:val="002060"/>
                <w:sz w:val="18"/>
                <w:szCs w:val="18"/>
                <w:lang w:val="sr-Cyrl-CS"/>
              </w:rPr>
              <w:t xml:space="preserve">П </w:t>
            </w:r>
            <w:r w:rsidR="002A35D9" w:rsidRPr="00646254">
              <w:rPr>
                <w:rFonts w:ascii="Calibri" w:hAnsi="Calibri" w:cs="Calibri"/>
                <w:color w:val="002060"/>
                <w:sz w:val="18"/>
                <w:szCs w:val="18"/>
                <w:lang w:val="sr-Cyrl-CS"/>
              </w:rPr>
              <w:t>„</w:t>
            </w:r>
            <w:r w:rsidR="00F26771" w:rsidRPr="00646254">
              <w:rPr>
                <w:rFonts w:ascii="Calibri" w:hAnsi="Calibri" w:cs="Calibri"/>
                <w:color w:val="002060"/>
                <w:sz w:val="18"/>
                <w:szCs w:val="18"/>
                <w:lang w:val="sr-Cyrl-CS"/>
              </w:rPr>
              <w:t>Србија</w:t>
            </w:r>
            <w:r w:rsidRPr="00646254">
              <w:rPr>
                <w:rFonts w:ascii="Calibri" w:hAnsi="Calibri" w:cs="Calibri"/>
                <w:color w:val="002060"/>
                <w:sz w:val="18"/>
                <w:szCs w:val="18"/>
                <w:lang w:val="sr-Cyrl-CS"/>
              </w:rPr>
              <w:t>воде</w:t>
            </w:r>
            <w:r w:rsidR="002A35D9" w:rsidRPr="00646254">
              <w:rPr>
                <w:rFonts w:ascii="Calibri" w:hAnsi="Calibri" w:cs="Calibri"/>
                <w:color w:val="002060"/>
                <w:sz w:val="18"/>
                <w:szCs w:val="18"/>
                <w:lang w:val="sr-Cyrl-CS"/>
              </w:rPr>
              <w:t>”</w:t>
            </w:r>
          </w:p>
        </w:tc>
        <w:tc>
          <w:tcPr>
            <w:tcW w:w="1981" w:type="dxa"/>
            <w:tcBorders>
              <w:top w:val="nil"/>
              <w:left w:val="nil"/>
              <w:bottom w:val="nil"/>
              <w:right w:val="nil"/>
            </w:tcBorders>
            <w:shd w:val="clear" w:color="auto" w:fill="auto"/>
            <w:vAlign w:val="center"/>
          </w:tcPr>
          <w:p w14:paraId="44CF55A2" w14:textId="61D20F8F" w:rsidR="00F36197" w:rsidRPr="00646254" w:rsidRDefault="00F36197" w:rsidP="008E5519">
            <w:pPr>
              <w:spacing w:after="120" w:line="276" w:lineRule="auto"/>
              <w:jc w:val="right"/>
              <w:rPr>
                <w:rFonts w:ascii="Calibri" w:hAnsi="Calibri" w:cs="Calibri"/>
                <w:color w:val="002060"/>
                <w:sz w:val="18"/>
                <w:szCs w:val="18"/>
                <w:lang w:val="sr-Cyrl-CS"/>
              </w:rPr>
            </w:pPr>
            <w:r w:rsidRPr="00646254">
              <w:rPr>
                <w:rFonts w:ascii="Calibri" w:hAnsi="Calibri" w:cs="Calibri"/>
                <w:color w:val="002060"/>
                <w:sz w:val="18"/>
                <w:szCs w:val="18"/>
                <w:lang w:val="sr-Cyrl-CS"/>
              </w:rPr>
              <w:t>31</w:t>
            </w:r>
            <w:r w:rsidR="00480E7C" w:rsidRPr="00646254">
              <w:rPr>
                <w:rFonts w:ascii="Calibri" w:hAnsi="Calibri" w:cs="Calibri"/>
                <w:color w:val="002060"/>
                <w:sz w:val="18"/>
                <w:szCs w:val="18"/>
                <w:lang w:val="sr-Cyrl-CS"/>
              </w:rPr>
              <w:t>.</w:t>
            </w:r>
            <w:r w:rsidRPr="00646254">
              <w:rPr>
                <w:rFonts w:ascii="Calibri" w:hAnsi="Calibri" w:cs="Calibri"/>
                <w:color w:val="002060"/>
                <w:sz w:val="18"/>
                <w:szCs w:val="18"/>
                <w:lang w:val="sr-Cyrl-CS"/>
              </w:rPr>
              <w:t>371</w:t>
            </w:r>
          </w:p>
        </w:tc>
        <w:tc>
          <w:tcPr>
            <w:tcW w:w="1981" w:type="dxa"/>
            <w:tcBorders>
              <w:top w:val="nil"/>
              <w:left w:val="nil"/>
              <w:bottom w:val="nil"/>
              <w:right w:val="nil"/>
            </w:tcBorders>
            <w:shd w:val="clear" w:color="auto" w:fill="auto"/>
            <w:noWrap/>
            <w:vAlign w:val="center"/>
          </w:tcPr>
          <w:p w14:paraId="61150AC1" w14:textId="228E1905" w:rsidR="00F36197" w:rsidRPr="00646254" w:rsidRDefault="00F36197" w:rsidP="008E5519">
            <w:pPr>
              <w:spacing w:after="120" w:line="276" w:lineRule="auto"/>
              <w:jc w:val="right"/>
              <w:rPr>
                <w:rFonts w:ascii="Calibri" w:hAnsi="Calibri" w:cs="Calibri"/>
                <w:color w:val="002060"/>
                <w:sz w:val="18"/>
                <w:szCs w:val="18"/>
                <w:lang w:val="sr-Cyrl-CS"/>
              </w:rPr>
            </w:pPr>
            <w:r w:rsidRPr="00646254">
              <w:rPr>
                <w:rFonts w:ascii="Calibri" w:hAnsi="Calibri" w:cs="Calibri"/>
                <w:color w:val="002060"/>
                <w:sz w:val="18"/>
                <w:szCs w:val="18"/>
                <w:lang w:val="sr-Cyrl-CS"/>
              </w:rPr>
              <w:t>-2</w:t>
            </w:r>
            <w:r w:rsidR="00480E7C" w:rsidRPr="00646254">
              <w:rPr>
                <w:rFonts w:ascii="Calibri" w:hAnsi="Calibri" w:cs="Calibri"/>
                <w:color w:val="002060"/>
                <w:sz w:val="18"/>
                <w:szCs w:val="18"/>
                <w:lang w:val="sr-Cyrl-CS"/>
              </w:rPr>
              <w:t>.</w:t>
            </w:r>
            <w:r w:rsidRPr="00646254">
              <w:rPr>
                <w:rFonts w:ascii="Calibri" w:hAnsi="Calibri" w:cs="Calibri"/>
                <w:color w:val="002060"/>
                <w:sz w:val="18"/>
                <w:szCs w:val="18"/>
                <w:lang w:val="sr-Cyrl-CS"/>
              </w:rPr>
              <w:t>594</w:t>
            </w:r>
          </w:p>
        </w:tc>
        <w:tc>
          <w:tcPr>
            <w:tcW w:w="1981" w:type="dxa"/>
            <w:tcBorders>
              <w:top w:val="nil"/>
              <w:left w:val="nil"/>
              <w:bottom w:val="nil"/>
              <w:right w:val="nil"/>
            </w:tcBorders>
            <w:shd w:val="clear" w:color="auto" w:fill="auto"/>
            <w:noWrap/>
            <w:vAlign w:val="center"/>
          </w:tcPr>
          <w:p w14:paraId="7F4A8552" w14:textId="22EA8AB1" w:rsidR="00F36197" w:rsidRPr="00646254" w:rsidRDefault="00F36197" w:rsidP="008E5519">
            <w:pPr>
              <w:spacing w:after="120" w:line="276" w:lineRule="auto"/>
              <w:jc w:val="right"/>
              <w:rPr>
                <w:rFonts w:ascii="Calibri" w:hAnsi="Calibri" w:cs="Calibri"/>
                <w:color w:val="002060"/>
                <w:sz w:val="18"/>
                <w:szCs w:val="18"/>
                <w:lang w:val="sr-Cyrl-CS"/>
              </w:rPr>
            </w:pPr>
            <w:r w:rsidRPr="00646254">
              <w:rPr>
                <w:rFonts w:ascii="Calibri" w:hAnsi="Calibri" w:cs="Calibri"/>
                <w:color w:val="002060"/>
                <w:sz w:val="18"/>
                <w:szCs w:val="18"/>
                <w:lang w:val="sr-Cyrl-CS"/>
              </w:rPr>
              <w:t>19</w:t>
            </w:r>
            <w:r w:rsidR="00480E7C" w:rsidRPr="00646254">
              <w:rPr>
                <w:rFonts w:ascii="Calibri" w:hAnsi="Calibri" w:cs="Calibri"/>
                <w:color w:val="002060"/>
                <w:sz w:val="18"/>
                <w:szCs w:val="18"/>
                <w:lang w:val="sr-Cyrl-CS"/>
              </w:rPr>
              <w:t>.</w:t>
            </w:r>
            <w:r w:rsidRPr="00646254">
              <w:rPr>
                <w:rFonts w:ascii="Calibri" w:hAnsi="Calibri" w:cs="Calibri"/>
                <w:color w:val="002060"/>
                <w:sz w:val="18"/>
                <w:szCs w:val="18"/>
                <w:lang w:val="sr-Cyrl-CS"/>
              </w:rPr>
              <w:t>962</w:t>
            </w:r>
          </w:p>
        </w:tc>
      </w:tr>
      <w:tr w:rsidR="00F36197" w:rsidRPr="00646254" w14:paraId="05595A5D" w14:textId="77777777" w:rsidTr="008E5519">
        <w:trPr>
          <w:trHeight w:hRule="exact" w:val="227"/>
        </w:trPr>
        <w:tc>
          <w:tcPr>
            <w:tcW w:w="3445" w:type="dxa"/>
            <w:tcBorders>
              <w:top w:val="nil"/>
              <w:left w:val="nil"/>
              <w:bottom w:val="single" w:sz="4" w:space="0" w:color="auto"/>
              <w:right w:val="nil"/>
            </w:tcBorders>
            <w:shd w:val="clear" w:color="auto" w:fill="auto"/>
            <w:vAlign w:val="center"/>
          </w:tcPr>
          <w:p w14:paraId="64DD74BD" w14:textId="1335D4A8" w:rsidR="00F36197" w:rsidRPr="00646254" w:rsidRDefault="00F36197" w:rsidP="008E5519">
            <w:pPr>
              <w:spacing w:after="120" w:line="276" w:lineRule="auto"/>
              <w:rPr>
                <w:rFonts w:ascii="Calibri" w:hAnsi="Calibri" w:cs="Calibri"/>
                <w:color w:val="002060"/>
                <w:sz w:val="18"/>
                <w:szCs w:val="18"/>
                <w:lang w:val="sr-Cyrl-CS"/>
              </w:rPr>
            </w:pPr>
            <w:r w:rsidRPr="00646254">
              <w:rPr>
                <w:rFonts w:ascii="Calibri" w:hAnsi="Calibri" w:cs="Calibri"/>
                <w:color w:val="002060"/>
                <w:sz w:val="18"/>
                <w:szCs w:val="18"/>
                <w:lang w:val="sr-Cyrl-CS"/>
              </w:rPr>
              <w:t xml:space="preserve">ЈП </w:t>
            </w:r>
            <w:r w:rsidR="002A35D9" w:rsidRPr="00646254">
              <w:rPr>
                <w:rFonts w:ascii="Calibri" w:hAnsi="Calibri" w:cs="Calibri"/>
                <w:color w:val="002060"/>
                <w:sz w:val="18"/>
                <w:szCs w:val="18"/>
                <w:lang w:val="sr-Cyrl-CS"/>
              </w:rPr>
              <w:t>„</w:t>
            </w:r>
            <w:r w:rsidRPr="00646254">
              <w:rPr>
                <w:rFonts w:ascii="Calibri" w:hAnsi="Calibri" w:cs="Calibri"/>
                <w:color w:val="002060"/>
                <w:sz w:val="18"/>
                <w:szCs w:val="18"/>
                <w:lang w:val="sr-Cyrl-CS"/>
              </w:rPr>
              <w:t>Путеви Србије</w:t>
            </w:r>
            <w:r w:rsidR="002A35D9" w:rsidRPr="00646254">
              <w:rPr>
                <w:rFonts w:ascii="Calibri" w:hAnsi="Calibri" w:cs="Calibri"/>
                <w:color w:val="002060"/>
                <w:sz w:val="18"/>
                <w:szCs w:val="18"/>
                <w:lang w:val="sr-Cyrl-CS"/>
              </w:rPr>
              <w:t>”</w:t>
            </w:r>
          </w:p>
        </w:tc>
        <w:tc>
          <w:tcPr>
            <w:tcW w:w="1981" w:type="dxa"/>
            <w:tcBorders>
              <w:top w:val="nil"/>
              <w:left w:val="nil"/>
              <w:bottom w:val="single" w:sz="4" w:space="0" w:color="auto"/>
              <w:right w:val="nil"/>
            </w:tcBorders>
            <w:shd w:val="clear" w:color="auto" w:fill="auto"/>
            <w:vAlign w:val="center"/>
          </w:tcPr>
          <w:p w14:paraId="1ED47298" w14:textId="3B429871" w:rsidR="00F36197" w:rsidRPr="00646254" w:rsidRDefault="00F36197" w:rsidP="008E5519">
            <w:pPr>
              <w:spacing w:after="120" w:line="276" w:lineRule="auto"/>
              <w:jc w:val="right"/>
              <w:rPr>
                <w:rFonts w:ascii="Calibri" w:hAnsi="Calibri" w:cs="Calibri"/>
                <w:color w:val="002060"/>
                <w:sz w:val="18"/>
                <w:szCs w:val="18"/>
                <w:lang w:val="sr-Cyrl-CS"/>
              </w:rPr>
            </w:pPr>
            <w:r w:rsidRPr="00646254">
              <w:rPr>
                <w:rFonts w:ascii="Calibri" w:hAnsi="Calibri" w:cs="Calibri"/>
                <w:color w:val="002060"/>
                <w:sz w:val="18"/>
                <w:szCs w:val="18"/>
                <w:lang w:val="sr-Cyrl-CS"/>
              </w:rPr>
              <w:t>5</w:t>
            </w:r>
            <w:r w:rsidR="00480E7C" w:rsidRPr="00646254">
              <w:rPr>
                <w:rFonts w:ascii="Calibri" w:hAnsi="Calibri" w:cs="Calibri"/>
                <w:color w:val="002060"/>
                <w:sz w:val="18"/>
                <w:szCs w:val="18"/>
                <w:lang w:val="sr-Cyrl-CS"/>
              </w:rPr>
              <w:t>.</w:t>
            </w:r>
            <w:r w:rsidRPr="00646254">
              <w:rPr>
                <w:rFonts w:ascii="Calibri" w:hAnsi="Calibri" w:cs="Calibri"/>
                <w:color w:val="002060"/>
                <w:sz w:val="18"/>
                <w:szCs w:val="18"/>
                <w:lang w:val="sr-Cyrl-CS"/>
              </w:rPr>
              <w:t>147</w:t>
            </w:r>
            <w:r w:rsidR="00480E7C" w:rsidRPr="00646254">
              <w:rPr>
                <w:rFonts w:ascii="Calibri" w:hAnsi="Calibri" w:cs="Calibri"/>
                <w:color w:val="002060"/>
                <w:sz w:val="18"/>
                <w:szCs w:val="18"/>
                <w:lang w:val="sr-Cyrl-CS"/>
              </w:rPr>
              <w:t>.</w:t>
            </w:r>
            <w:r w:rsidRPr="00646254">
              <w:rPr>
                <w:rFonts w:ascii="Calibri" w:hAnsi="Calibri" w:cs="Calibri"/>
                <w:color w:val="002060"/>
                <w:sz w:val="18"/>
                <w:szCs w:val="18"/>
                <w:lang w:val="sr-Cyrl-CS"/>
              </w:rPr>
              <w:t>969</w:t>
            </w:r>
          </w:p>
        </w:tc>
        <w:tc>
          <w:tcPr>
            <w:tcW w:w="1981" w:type="dxa"/>
            <w:tcBorders>
              <w:top w:val="nil"/>
              <w:left w:val="nil"/>
              <w:bottom w:val="single" w:sz="4" w:space="0" w:color="auto"/>
              <w:right w:val="nil"/>
            </w:tcBorders>
            <w:shd w:val="clear" w:color="auto" w:fill="auto"/>
            <w:noWrap/>
            <w:vAlign w:val="center"/>
          </w:tcPr>
          <w:p w14:paraId="573CF554" w14:textId="4D4393F6" w:rsidR="00F36197" w:rsidRPr="00646254" w:rsidRDefault="00F36197" w:rsidP="008E5519">
            <w:pPr>
              <w:spacing w:after="120" w:line="276" w:lineRule="auto"/>
              <w:jc w:val="right"/>
              <w:rPr>
                <w:rFonts w:ascii="Calibri" w:hAnsi="Calibri" w:cs="Calibri"/>
                <w:color w:val="002060"/>
                <w:sz w:val="18"/>
                <w:szCs w:val="18"/>
                <w:lang w:val="sr-Cyrl-CS"/>
              </w:rPr>
            </w:pPr>
            <w:r w:rsidRPr="00646254">
              <w:rPr>
                <w:rFonts w:ascii="Calibri" w:hAnsi="Calibri" w:cs="Calibri"/>
                <w:color w:val="002060"/>
                <w:sz w:val="18"/>
                <w:szCs w:val="18"/>
                <w:lang w:val="sr-Cyrl-CS"/>
              </w:rPr>
              <w:t>3</w:t>
            </w:r>
            <w:r w:rsidR="00480E7C" w:rsidRPr="00646254">
              <w:rPr>
                <w:rFonts w:ascii="Calibri" w:hAnsi="Calibri" w:cs="Calibri"/>
                <w:color w:val="002060"/>
                <w:sz w:val="18"/>
                <w:szCs w:val="18"/>
                <w:lang w:val="sr-Cyrl-CS"/>
              </w:rPr>
              <w:t>.</w:t>
            </w:r>
            <w:r w:rsidRPr="00646254">
              <w:rPr>
                <w:rFonts w:ascii="Calibri" w:hAnsi="Calibri" w:cs="Calibri"/>
                <w:color w:val="002060"/>
                <w:sz w:val="18"/>
                <w:szCs w:val="18"/>
                <w:lang w:val="sr-Cyrl-CS"/>
              </w:rPr>
              <w:t>002</w:t>
            </w:r>
            <w:r w:rsidR="00480E7C" w:rsidRPr="00646254">
              <w:rPr>
                <w:rFonts w:ascii="Calibri" w:hAnsi="Calibri" w:cs="Calibri"/>
                <w:color w:val="002060"/>
                <w:sz w:val="18"/>
                <w:szCs w:val="18"/>
                <w:lang w:val="sr-Cyrl-CS"/>
              </w:rPr>
              <w:t>.</w:t>
            </w:r>
            <w:r w:rsidRPr="00646254">
              <w:rPr>
                <w:rFonts w:ascii="Calibri" w:hAnsi="Calibri" w:cs="Calibri"/>
                <w:color w:val="002060"/>
                <w:sz w:val="18"/>
                <w:szCs w:val="18"/>
                <w:lang w:val="sr-Cyrl-CS"/>
              </w:rPr>
              <w:t>406</w:t>
            </w:r>
          </w:p>
        </w:tc>
        <w:tc>
          <w:tcPr>
            <w:tcW w:w="1981" w:type="dxa"/>
            <w:tcBorders>
              <w:top w:val="nil"/>
              <w:left w:val="nil"/>
              <w:bottom w:val="single" w:sz="4" w:space="0" w:color="auto"/>
              <w:right w:val="nil"/>
            </w:tcBorders>
            <w:shd w:val="clear" w:color="auto" w:fill="auto"/>
            <w:noWrap/>
            <w:vAlign w:val="center"/>
          </w:tcPr>
          <w:p w14:paraId="589C75A0" w14:textId="19BDF397" w:rsidR="00F36197" w:rsidRPr="00646254" w:rsidRDefault="00F36197" w:rsidP="008E5519">
            <w:pPr>
              <w:spacing w:after="120" w:line="276" w:lineRule="auto"/>
              <w:jc w:val="right"/>
              <w:rPr>
                <w:rFonts w:ascii="Calibri" w:hAnsi="Calibri" w:cs="Calibri"/>
                <w:color w:val="002060"/>
                <w:sz w:val="18"/>
                <w:szCs w:val="18"/>
                <w:lang w:val="sr-Cyrl-CS"/>
              </w:rPr>
            </w:pPr>
            <w:r w:rsidRPr="00646254">
              <w:rPr>
                <w:rFonts w:ascii="Calibri" w:hAnsi="Calibri" w:cs="Calibri"/>
                <w:color w:val="002060"/>
                <w:sz w:val="18"/>
                <w:szCs w:val="18"/>
                <w:lang w:val="sr-Cyrl-CS"/>
              </w:rPr>
              <w:t>821</w:t>
            </w:r>
            <w:r w:rsidR="00480E7C" w:rsidRPr="00646254">
              <w:rPr>
                <w:rFonts w:ascii="Calibri" w:hAnsi="Calibri" w:cs="Calibri"/>
                <w:color w:val="002060"/>
                <w:sz w:val="18"/>
                <w:szCs w:val="18"/>
                <w:lang w:val="sr-Cyrl-CS"/>
              </w:rPr>
              <w:t>.</w:t>
            </w:r>
            <w:r w:rsidRPr="00646254">
              <w:rPr>
                <w:rFonts w:ascii="Calibri" w:hAnsi="Calibri" w:cs="Calibri"/>
                <w:color w:val="002060"/>
                <w:sz w:val="18"/>
                <w:szCs w:val="18"/>
                <w:lang w:val="sr-Cyrl-CS"/>
              </w:rPr>
              <w:t>706</w:t>
            </w:r>
          </w:p>
        </w:tc>
      </w:tr>
      <w:bookmarkEnd w:id="39"/>
    </w:tbl>
    <w:p w14:paraId="4FEC5017" w14:textId="77777777" w:rsidR="00F36197" w:rsidRPr="00646254" w:rsidRDefault="00F36197" w:rsidP="00594453">
      <w:pPr>
        <w:spacing w:after="0" w:line="276" w:lineRule="auto"/>
        <w:rPr>
          <w:rFonts w:eastAsia="MS PGothic" w:cstheme="minorHAnsi"/>
          <w:sz w:val="8"/>
          <w:szCs w:val="20"/>
          <w:lang w:val="sr-Cyrl-CS" w:eastAsia="ja-JP"/>
        </w:rPr>
      </w:pPr>
    </w:p>
    <w:p w14:paraId="37C965F0" w14:textId="77777777" w:rsidR="00F36197" w:rsidRPr="00646254" w:rsidRDefault="00F36197" w:rsidP="00594453">
      <w:pPr>
        <w:spacing w:after="0" w:line="276" w:lineRule="auto"/>
        <w:rPr>
          <w:rFonts w:eastAsia="MS PGothic" w:cstheme="minorHAnsi"/>
          <w:sz w:val="8"/>
          <w:szCs w:val="20"/>
          <w:lang w:val="sr-Cyrl-CS" w:eastAsia="ja-JP"/>
        </w:rPr>
        <w:sectPr w:rsidR="00F36197" w:rsidRPr="00646254" w:rsidSect="009B76B2">
          <w:type w:val="continuous"/>
          <w:pgSz w:w="12240" w:h="15840" w:code="1"/>
          <w:pgMar w:top="1440" w:right="1440" w:bottom="1440" w:left="1440" w:header="720" w:footer="720" w:gutter="0"/>
          <w:cols w:space="720"/>
          <w:docGrid w:linePitch="360"/>
        </w:sectPr>
      </w:pPr>
    </w:p>
    <w:p w14:paraId="44586B06" w14:textId="77777777" w:rsidR="00F36197" w:rsidRPr="00646254" w:rsidRDefault="00F36197" w:rsidP="008E5519">
      <w:pPr>
        <w:rPr>
          <w:rFonts w:eastAsia="MS PGothic" w:cstheme="minorHAnsi"/>
          <w:szCs w:val="20"/>
          <w:lang w:val="sr-Cyrl-CS" w:eastAsia="ja-JP"/>
        </w:rPr>
        <w:sectPr w:rsidR="00F36197" w:rsidRPr="00646254" w:rsidSect="009B76B2">
          <w:type w:val="continuous"/>
          <w:pgSz w:w="12240" w:h="15840" w:code="1"/>
          <w:pgMar w:top="1440" w:right="1440" w:bottom="1440" w:left="1440" w:header="720" w:footer="720" w:gutter="0"/>
          <w:cols w:num="2" w:space="720"/>
          <w:docGrid w:linePitch="360"/>
        </w:sectPr>
      </w:pPr>
      <w:r w:rsidRPr="00646254">
        <w:rPr>
          <w:rFonts w:eastAsia="MS PGothic" w:cstheme="minorHAnsi"/>
          <w:szCs w:val="20"/>
          <w:lang w:val="sr-Cyrl-CS" w:eastAsia="ja-JP"/>
        </w:rPr>
        <w:t>У првој половини текуће године 13 предузећа је остварило нето губитак у укупном износу од 3,8 млрд динара, што је мање у односу на планирано (5,6 млрд динара).</w:t>
      </w:r>
    </w:p>
    <w:p w14:paraId="0F0E9FEC" w14:textId="77777777" w:rsidR="00F36197" w:rsidRPr="00646254" w:rsidRDefault="00F36197">
      <w:pPr>
        <w:jc w:val="left"/>
        <w:rPr>
          <w:rFonts w:eastAsia="MS PGothic" w:cstheme="minorHAnsi"/>
          <w:b/>
          <w:bCs/>
          <w:color w:val="002060"/>
          <w:szCs w:val="20"/>
          <w:lang w:val="sr-Cyrl-CS" w:eastAsia="ja-JP"/>
        </w:rPr>
      </w:pPr>
      <w:r w:rsidRPr="00646254">
        <w:rPr>
          <w:rFonts w:eastAsia="MS PGothic" w:cstheme="minorHAnsi"/>
          <w:b/>
          <w:bCs/>
          <w:color w:val="002060"/>
          <w:szCs w:val="20"/>
          <w:lang w:val="sr-Cyrl-CS" w:eastAsia="ja-JP"/>
        </w:rPr>
        <w:br w:type="page"/>
      </w:r>
    </w:p>
    <w:p w14:paraId="3F19D2F0" w14:textId="77777777" w:rsidR="00F36197" w:rsidRPr="00646254" w:rsidRDefault="00F36197" w:rsidP="00EB6D77">
      <w:pPr>
        <w:spacing w:after="120" w:line="276" w:lineRule="auto"/>
        <w:jc w:val="center"/>
        <w:rPr>
          <w:rFonts w:eastAsia="MS PGothic" w:cstheme="minorHAnsi"/>
          <w:bCs/>
          <w:color w:val="002060"/>
          <w:spacing w:val="-4"/>
          <w:szCs w:val="20"/>
          <w:lang w:val="sr-Cyrl-CS" w:eastAsia="ja-JP"/>
        </w:rPr>
      </w:pPr>
      <w:r w:rsidRPr="00646254">
        <w:rPr>
          <w:rFonts w:eastAsia="MS PGothic" w:cstheme="minorHAnsi"/>
          <w:b/>
          <w:bCs/>
          <w:color w:val="002060"/>
          <w:spacing w:val="-4"/>
          <w:szCs w:val="20"/>
          <w:lang w:val="sr-Cyrl-CS" w:eastAsia="ja-JP"/>
        </w:rPr>
        <w:t>Табела 20. Јавна предузећа која су остварила нето губитак у периоду 01.01–30.06.2021. године, у хиљ. динара</w:t>
      </w:r>
    </w:p>
    <w:tbl>
      <w:tblPr>
        <w:tblW w:w="9481" w:type="dxa"/>
        <w:tblLayout w:type="fixed"/>
        <w:tblLook w:val="04A0" w:firstRow="1" w:lastRow="0" w:firstColumn="1" w:lastColumn="0" w:noHBand="0" w:noVBand="1"/>
      </w:tblPr>
      <w:tblGrid>
        <w:gridCol w:w="3591"/>
        <w:gridCol w:w="1963"/>
        <w:gridCol w:w="1963"/>
        <w:gridCol w:w="1964"/>
      </w:tblGrid>
      <w:tr w:rsidR="00F36197" w:rsidRPr="00646254" w14:paraId="71382A77" w14:textId="77777777" w:rsidTr="008E5519">
        <w:trPr>
          <w:trHeight w:hRule="exact" w:val="296"/>
          <w:tblHeader/>
        </w:trPr>
        <w:tc>
          <w:tcPr>
            <w:tcW w:w="3591" w:type="dxa"/>
            <w:vMerge w:val="restart"/>
            <w:tcBorders>
              <w:top w:val="single" w:sz="8" w:space="0" w:color="002060"/>
              <w:left w:val="nil"/>
              <w:bottom w:val="single" w:sz="8" w:space="0" w:color="002060"/>
              <w:right w:val="nil"/>
            </w:tcBorders>
            <w:shd w:val="clear" w:color="auto" w:fill="auto"/>
            <w:noWrap/>
            <w:vAlign w:val="center"/>
            <w:hideMark/>
          </w:tcPr>
          <w:p w14:paraId="5CBE0F7C" w14:textId="77777777" w:rsidR="00F36197" w:rsidRPr="00646254" w:rsidRDefault="00F36197" w:rsidP="008265F0">
            <w:pPr>
              <w:spacing w:after="120" w:line="276" w:lineRule="auto"/>
              <w:jc w:val="center"/>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Предузеће</w:t>
            </w:r>
          </w:p>
        </w:tc>
        <w:tc>
          <w:tcPr>
            <w:tcW w:w="1963" w:type="dxa"/>
            <w:vMerge w:val="restart"/>
            <w:tcBorders>
              <w:top w:val="single" w:sz="8" w:space="0" w:color="002060"/>
              <w:left w:val="nil"/>
              <w:bottom w:val="single" w:sz="8" w:space="0" w:color="002060"/>
              <w:right w:val="nil"/>
            </w:tcBorders>
            <w:shd w:val="clear" w:color="auto" w:fill="auto"/>
            <w:vAlign w:val="center"/>
            <w:hideMark/>
          </w:tcPr>
          <w:p w14:paraId="02650123" w14:textId="77777777" w:rsidR="00F36197" w:rsidRPr="00646254" w:rsidRDefault="00F36197" w:rsidP="00A958D8">
            <w:pPr>
              <w:spacing w:after="0" w:line="276" w:lineRule="auto"/>
              <w:jc w:val="center"/>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Реализација 2020. година</w:t>
            </w:r>
          </w:p>
        </w:tc>
        <w:tc>
          <w:tcPr>
            <w:tcW w:w="1963" w:type="dxa"/>
            <w:vMerge w:val="restart"/>
            <w:tcBorders>
              <w:top w:val="single" w:sz="8" w:space="0" w:color="002060"/>
              <w:left w:val="nil"/>
              <w:bottom w:val="single" w:sz="8" w:space="0" w:color="002060"/>
              <w:right w:val="nil"/>
            </w:tcBorders>
            <w:shd w:val="clear" w:color="auto" w:fill="auto"/>
            <w:vAlign w:val="center"/>
            <w:hideMark/>
          </w:tcPr>
          <w:p w14:paraId="77E93D34" w14:textId="77777777" w:rsidR="00F36197" w:rsidRPr="00646254" w:rsidRDefault="00F36197" w:rsidP="00A958D8">
            <w:pPr>
              <w:spacing w:after="0" w:line="276" w:lineRule="auto"/>
              <w:jc w:val="center"/>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План</w:t>
            </w:r>
          </w:p>
          <w:p w14:paraId="49DDFB83" w14:textId="77777777" w:rsidR="00F36197" w:rsidRPr="00646254" w:rsidRDefault="00F36197" w:rsidP="00A958D8">
            <w:pPr>
              <w:spacing w:after="0" w:line="276" w:lineRule="auto"/>
              <w:jc w:val="center"/>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01.01–30.06.2021.</w:t>
            </w:r>
          </w:p>
        </w:tc>
        <w:tc>
          <w:tcPr>
            <w:tcW w:w="1964" w:type="dxa"/>
            <w:vMerge w:val="restart"/>
            <w:tcBorders>
              <w:top w:val="single" w:sz="8" w:space="0" w:color="002060"/>
              <w:left w:val="nil"/>
              <w:bottom w:val="single" w:sz="8" w:space="0" w:color="002060"/>
              <w:right w:val="nil"/>
            </w:tcBorders>
            <w:shd w:val="clear" w:color="auto" w:fill="auto"/>
            <w:vAlign w:val="center"/>
            <w:hideMark/>
          </w:tcPr>
          <w:p w14:paraId="6406B8AA" w14:textId="77777777" w:rsidR="00F36197" w:rsidRPr="00646254" w:rsidRDefault="00F36197" w:rsidP="00A958D8">
            <w:pPr>
              <w:spacing w:after="0" w:line="276" w:lineRule="auto"/>
              <w:jc w:val="center"/>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Реализација</w:t>
            </w:r>
          </w:p>
          <w:p w14:paraId="70E7370F" w14:textId="77777777" w:rsidR="00F36197" w:rsidRPr="00646254" w:rsidRDefault="00F36197" w:rsidP="00A958D8">
            <w:pPr>
              <w:spacing w:after="0" w:line="276" w:lineRule="auto"/>
              <w:jc w:val="center"/>
              <w:rPr>
                <w:rFonts w:eastAsia="MS PGothic" w:cstheme="minorHAnsi"/>
                <w:color w:val="002060"/>
                <w:sz w:val="18"/>
                <w:szCs w:val="18"/>
                <w:lang w:val="sr-Cyrl-CS" w:eastAsia="ja-JP"/>
              </w:rPr>
            </w:pPr>
            <w:r w:rsidRPr="00646254">
              <w:rPr>
                <w:rFonts w:eastAsia="MS PGothic" w:cstheme="minorHAnsi"/>
                <w:color w:val="002060"/>
                <w:sz w:val="18"/>
                <w:szCs w:val="18"/>
                <w:lang w:val="sr-Cyrl-CS" w:eastAsia="ja-JP"/>
              </w:rPr>
              <w:t>01.01–30.06.2021.</w:t>
            </w:r>
          </w:p>
        </w:tc>
      </w:tr>
      <w:tr w:rsidR="00F36197" w:rsidRPr="00646254" w14:paraId="31A39964" w14:textId="77777777" w:rsidTr="008E5519">
        <w:trPr>
          <w:trHeight w:hRule="exact" w:val="484"/>
        </w:trPr>
        <w:tc>
          <w:tcPr>
            <w:tcW w:w="3591" w:type="dxa"/>
            <w:vMerge/>
            <w:tcBorders>
              <w:top w:val="single" w:sz="8" w:space="0" w:color="002060"/>
              <w:left w:val="nil"/>
              <w:bottom w:val="single" w:sz="8" w:space="0" w:color="002060"/>
              <w:right w:val="nil"/>
            </w:tcBorders>
            <w:vAlign w:val="center"/>
            <w:hideMark/>
          </w:tcPr>
          <w:p w14:paraId="12C2065A" w14:textId="77777777" w:rsidR="00F36197" w:rsidRPr="00646254" w:rsidRDefault="00F36197" w:rsidP="008265F0">
            <w:pPr>
              <w:spacing w:after="120" w:line="276" w:lineRule="auto"/>
              <w:rPr>
                <w:rFonts w:eastAsia="MS PGothic" w:cstheme="minorHAnsi"/>
                <w:color w:val="002060"/>
                <w:sz w:val="18"/>
                <w:szCs w:val="18"/>
                <w:lang w:val="sr-Cyrl-CS" w:eastAsia="ja-JP"/>
              </w:rPr>
            </w:pPr>
          </w:p>
        </w:tc>
        <w:tc>
          <w:tcPr>
            <w:tcW w:w="1963" w:type="dxa"/>
            <w:vMerge/>
            <w:tcBorders>
              <w:top w:val="single" w:sz="8" w:space="0" w:color="002060"/>
              <w:left w:val="nil"/>
              <w:bottom w:val="single" w:sz="8" w:space="0" w:color="002060"/>
              <w:right w:val="nil"/>
            </w:tcBorders>
            <w:vAlign w:val="center"/>
            <w:hideMark/>
          </w:tcPr>
          <w:p w14:paraId="387A6C8F" w14:textId="77777777" w:rsidR="00F36197" w:rsidRPr="00646254" w:rsidRDefault="00F36197" w:rsidP="008265F0">
            <w:pPr>
              <w:spacing w:after="120" w:line="276" w:lineRule="auto"/>
              <w:rPr>
                <w:rFonts w:eastAsia="MS PGothic" w:cstheme="minorHAnsi"/>
                <w:color w:val="002060"/>
                <w:sz w:val="18"/>
                <w:szCs w:val="18"/>
                <w:lang w:val="sr-Cyrl-CS" w:eastAsia="ja-JP"/>
              </w:rPr>
            </w:pPr>
          </w:p>
        </w:tc>
        <w:tc>
          <w:tcPr>
            <w:tcW w:w="1963" w:type="dxa"/>
            <w:vMerge/>
            <w:tcBorders>
              <w:top w:val="single" w:sz="8" w:space="0" w:color="002060"/>
              <w:left w:val="nil"/>
              <w:bottom w:val="single" w:sz="8" w:space="0" w:color="002060"/>
              <w:right w:val="nil"/>
            </w:tcBorders>
            <w:vAlign w:val="center"/>
            <w:hideMark/>
          </w:tcPr>
          <w:p w14:paraId="4BA376D3" w14:textId="77777777" w:rsidR="00F36197" w:rsidRPr="00646254" w:rsidRDefault="00F36197" w:rsidP="008265F0">
            <w:pPr>
              <w:spacing w:after="120" w:line="276" w:lineRule="auto"/>
              <w:rPr>
                <w:rFonts w:eastAsia="MS PGothic" w:cstheme="minorHAnsi"/>
                <w:color w:val="002060"/>
                <w:sz w:val="18"/>
                <w:szCs w:val="18"/>
                <w:lang w:val="sr-Cyrl-CS" w:eastAsia="ja-JP"/>
              </w:rPr>
            </w:pPr>
          </w:p>
        </w:tc>
        <w:tc>
          <w:tcPr>
            <w:tcW w:w="1964" w:type="dxa"/>
            <w:vMerge/>
            <w:tcBorders>
              <w:top w:val="single" w:sz="8" w:space="0" w:color="002060"/>
              <w:left w:val="nil"/>
              <w:bottom w:val="single" w:sz="8" w:space="0" w:color="002060"/>
              <w:right w:val="nil"/>
            </w:tcBorders>
            <w:vAlign w:val="center"/>
            <w:hideMark/>
          </w:tcPr>
          <w:p w14:paraId="5912646D" w14:textId="77777777" w:rsidR="00F36197" w:rsidRPr="00646254" w:rsidRDefault="00F36197" w:rsidP="008265F0">
            <w:pPr>
              <w:spacing w:after="120" w:line="276" w:lineRule="auto"/>
              <w:rPr>
                <w:rFonts w:eastAsia="MS PGothic" w:cstheme="minorHAnsi"/>
                <w:color w:val="002060"/>
                <w:sz w:val="18"/>
                <w:szCs w:val="18"/>
                <w:lang w:val="sr-Cyrl-CS" w:eastAsia="ja-JP"/>
              </w:rPr>
            </w:pPr>
          </w:p>
        </w:tc>
      </w:tr>
      <w:tr w:rsidR="00F36197" w:rsidRPr="00646254" w14:paraId="65FD2AEE" w14:textId="77777777" w:rsidTr="008E5519">
        <w:trPr>
          <w:trHeight w:hRule="exact" w:val="296"/>
        </w:trPr>
        <w:tc>
          <w:tcPr>
            <w:tcW w:w="3591" w:type="dxa"/>
            <w:tcBorders>
              <w:top w:val="single" w:sz="8" w:space="0" w:color="002060"/>
              <w:left w:val="nil"/>
              <w:bottom w:val="nil"/>
              <w:right w:val="nil"/>
            </w:tcBorders>
            <w:shd w:val="clear" w:color="auto" w:fill="auto"/>
            <w:vAlign w:val="center"/>
          </w:tcPr>
          <w:p w14:paraId="6C406B77" w14:textId="12086D8F" w:rsidR="00F36197" w:rsidRPr="00646254" w:rsidRDefault="00F36197" w:rsidP="008E5519">
            <w:pPr>
              <w:spacing w:after="120" w:line="240" w:lineRule="auto"/>
              <w:rPr>
                <w:rFonts w:eastAsia="MS PGothic" w:cstheme="minorHAnsi"/>
                <w:color w:val="002060"/>
                <w:sz w:val="18"/>
                <w:szCs w:val="18"/>
                <w:lang w:val="sr-Cyrl-CS" w:eastAsia="ja-JP"/>
              </w:rPr>
            </w:pPr>
            <w:r w:rsidRPr="00646254">
              <w:rPr>
                <w:rFonts w:ascii="Calibri" w:hAnsi="Calibri" w:cs="Calibri"/>
                <w:color w:val="002060"/>
                <w:sz w:val="18"/>
                <w:szCs w:val="18"/>
                <w:lang w:val="sr-Cyrl-CS"/>
              </w:rPr>
              <w:t>ЈП „Емисиона техника и везе</w:t>
            </w:r>
            <w:r w:rsidR="002A35D9" w:rsidRPr="00646254">
              <w:rPr>
                <w:rFonts w:ascii="Calibri" w:hAnsi="Calibri" w:cs="Calibri"/>
                <w:color w:val="002060"/>
                <w:sz w:val="18"/>
                <w:szCs w:val="18"/>
                <w:lang w:val="sr-Cyrl-CS"/>
              </w:rPr>
              <w:t>”</w:t>
            </w:r>
          </w:p>
        </w:tc>
        <w:tc>
          <w:tcPr>
            <w:tcW w:w="1963" w:type="dxa"/>
            <w:tcBorders>
              <w:top w:val="single" w:sz="8" w:space="0" w:color="002060"/>
              <w:left w:val="nil"/>
              <w:bottom w:val="nil"/>
              <w:right w:val="nil"/>
            </w:tcBorders>
            <w:shd w:val="clear" w:color="auto" w:fill="auto"/>
            <w:vAlign w:val="center"/>
          </w:tcPr>
          <w:p w14:paraId="7E67A1C6" w14:textId="0E46BC8E" w:rsidR="00F36197" w:rsidRPr="00646254" w:rsidRDefault="00F36197" w:rsidP="008E5519">
            <w:pPr>
              <w:spacing w:after="120" w:line="240" w:lineRule="auto"/>
              <w:jc w:val="right"/>
              <w:rPr>
                <w:rFonts w:eastAsia="MS PGothic" w:cstheme="minorHAnsi"/>
                <w:color w:val="002060"/>
                <w:sz w:val="18"/>
                <w:szCs w:val="18"/>
                <w:lang w:val="sr-Cyrl-CS" w:eastAsia="ja-JP"/>
              </w:rPr>
            </w:pPr>
            <w:r w:rsidRPr="00646254">
              <w:rPr>
                <w:rFonts w:ascii="Calibri" w:hAnsi="Calibri" w:cs="Calibri"/>
                <w:color w:val="002060"/>
                <w:sz w:val="18"/>
                <w:szCs w:val="18"/>
                <w:lang w:val="sr-Cyrl-CS"/>
              </w:rPr>
              <w:t>13</w:t>
            </w:r>
            <w:r w:rsidR="00480E7C" w:rsidRPr="00646254">
              <w:rPr>
                <w:rFonts w:ascii="Calibri" w:hAnsi="Calibri" w:cs="Calibri"/>
                <w:color w:val="002060"/>
                <w:sz w:val="18"/>
                <w:szCs w:val="18"/>
                <w:lang w:val="sr-Cyrl-CS"/>
              </w:rPr>
              <w:t>.</w:t>
            </w:r>
            <w:r w:rsidRPr="00646254">
              <w:rPr>
                <w:rFonts w:ascii="Calibri" w:hAnsi="Calibri" w:cs="Calibri"/>
                <w:color w:val="002060"/>
                <w:sz w:val="18"/>
                <w:szCs w:val="18"/>
                <w:lang w:val="sr-Cyrl-CS"/>
              </w:rPr>
              <w:t>578</w:t>
            </w:r>
          </w:p>
        </w:tc>
        <w:tc>
          <w:tcPr>
            <w:tcW w:w="1963" w:type="dxa"/>
            <w:tcBorders>
              <w:top w:val="single" w:sz="8" w:space="0" w:color="002060"/>
              <w:left w:val="nil"/>
              <w:bottom w:val="nil"/>
              <w:right w:val="nil"/>
            </w:tcBorders>
            <w:shd w:val="clear" w:color="auto" w:fill="auto"/>
            <w:noWrap/>
            <w:vAlign w:val="center"/>
          </w:tcPr>
          <w:p w14:paraId="68B61859" w14:textId="33B445D9" w:rsidR="00F36197" w:rsidRPr="00646254" w:rsidRDefault="00F36197" w:rsidP="008E5519">
            <w:pPr>
              <w:spacing w:after="120" w:line="240" w:lineRule="auto"/>
              <w:jc w:val="right"/>
              <w:rPr>
                <w:rFonts w:eastAsia="MS PGothic" w:cstheme="minorHAnsi"/>
                <w:color w:val="002060"/>
                <w:sz w:val="18"/>
                <w:szCs w:val="18"/>
                <w:lang w:val="sr-Cyrl-CS" w:eastAsia="ja-JP"/>
              </w:rPr>
            </w:pPr>
            <w:r w:rsidRPr="00646254">
              <w:rPr>
                <w:rFonts w:ascii="Calibri" w:hAnsi="Calibri" w:cs="Calibri"/>
                <w:color w:val="002060"/>
                <w:sz w:val="18"/>
                <w:szCs w:val="18"/>
                <w:lang w:val="sr-Cyrl-CS"/>
              </w:rPr>
              <w:t>-94</w:t>
            </w:r>
            <w:r w:rsidR="00480E7C" w:rsidRPr="00646254">
              <w:rPr>
                <w:rFonts w:ascii="Calibri" w:hAnsi="Calibri" w:cs="Calibri"/>
                <w:color w:val="002060"/>
                <w:sz w:val="18"/>
                <w:szCs w:val="18"/>
                <w:lang w:val="sr-Cyrl-CS"/>
              </w:rPr>
              <w:t>.</w:t>
            </w:r>
            <w:r w:rsidRPr="00646254">
              <w:rPr>
                <w:rFonts w:ascii="Calibri" w:hAnsi="Calibri" w:cs="Calibri"/>
                <w:color w:val="002060"/>
                <w:sz w:val="18"/>
                <w:szCs w:val="18"/>
                <w:lang w:val="sr-Cyrl-CS"/>
              </w:rPr>
              <w:t>729</w:t>
            </w:r>
          </w:p>
        </w:tc>
        <w:tc>
          <w:tcPr>
            <w:tcW w:w="1964" w:type="dxa"/>
            <w:tcBorders>
              <w:top w:val="single" w:sz="8" w:space="0" w:color="002060"/>
              <w:left w:val="nil"/>
              <w:bottom w:val="nil"/>
              <w:right w:val="nil"/>
            </w:tcBorders>
            <w:shd w:val="clear" w:color="auto" w:fill="auto"/>
            <w:noWrap/>
            <w:vAlign w:val="center"/>
          </w:tcPr>
          <w:p w14:paraId="2CD0EC12" w14:textId="5FCEF9A4" w:rsidR="00F36197" w:rsidRPr="00646254" w:rsidRDefault="00F36197" w:rsidP="008E5519">
            <w:pPr>
              <w:spacing w:after="120" w:line="240" w:lineRule="auto"/>
              <w:jc w:val="right"/>
              <w:rPr>
                <w:rFonts w:eastAsia="MS PGothic" w:cstheme="minorHAnsi"/>
                <w:color w:val="002060"/>
                <w:sz w:val="18"/>
                <w:szCs w:val="18"/>
                <w:lang w:val="sr-Cyrl-CS" w:eastAsia="ja-JP"/>
              </w:rPr>
            </w:pPr>
            <w:r w:rsidRPr="00646254">
              <w:rPr>
                <w:rFonts w:ascii="Calibri" w:hAnsi="Calibri" w:cs="Calibri"/>
                <w:color w:val="002060"/>
                <w:sz w:val="18"/>
                <w:szCs w:val="18"/>
                <w:lang w:val="sr-Cyrl-CS"/>
              </w:rPr>
              <w:t>-21</w:t>
            </w:r>
            <w:r w:rsidR="00480E7C" w:rsidRPr="00646254">
              <w:rPr>
                <w:rFonts w:ascii="Calibri" w:hAnsi="Calibri" w:cs="Calibri"/>
                <w:color w:val="002060"/>
                <w:sz w:val="18"/>
                <w:szCs w:val="18"/>
                <w:lang w:val="sr-Cyrl-CS"/>
              </w:rPr>
              <w:t>.</w:t>
            </w:r>
            <w:r w:rsidRPr="00646254">
              <w:rPr>
                <w:rFonts w:ascii="Calibri" w:hAnsi="Calibri" w:cs="Calibri"/>
                <w:color w:val="002060"/>
                <w:sz w:val="18"/>
                <w:szCs w:val="18"/>
                <w:lang w:val="sr-Cyrl-CS"/>
              </w:rPr>
              <w:t>530</w:t>
            </w:r>
          </w:p>
        </w:tc>
      </w:tr>
      <w:tr w:rsidR="00F36197" w:rsidRPr="00646254" w14:paraId="77F07C92" w14:textId="77777777" w:rsidTr="008E5519">
        <w:trPr>
          <w:trHeight w:hRule="exact" w:val="296"/>
        </w:trPr>
        <w:tc>
          <w:tcPr>
            <w:tcW w:w="3591" w:type="dxa"/>
            <w:tcBorders>
              <w:top w:val="nil"/>
              <w:left w:val="nil"/>
              <w:bottom w:val="nil"/>
              <w:right w:val="nil"/>
            </w:tcBorders>
            <w:shd w:val="clear" w:color="auto" w:fill="auto"/>
            <w:vAlign w:val="center"/>
          </w:tcPr>
          <w:p w14:paraId="3C64D5BC" w14:textId="6A53ADC0" w:rsidR="00F36197" w:rsidRPr="00646254" w:rsidRDefault="00F36197" w:rsidP="008E5519">
            <w:pPr>
              <w:spacing w:after="120" w:line="240" w:lineRule="auto"/>
              <w:rPr>
                <w:rFonts w:eastAsia="MS PGothic" w:cstheme="minorHAnsi"/>
                <w:color w:val="002060"/>
                <w:sz w:val="18"/>
                <w:szCs w:val="18"/>
                <w:lang w:val="sr-Cyrl-CS" w:eastAsia="ja-JP"/>
              </w:rPr>
            </w:pPr>
            <w:r w:rsidRPr="00646254">
              <w:rPr>
                <w:rFonts w:ascii="Calibri" w:hAnsi="Calibri" w:cs="Calibri"/>
                <w:color w:val="002060"/>
                <w:sz w:val="18"/>
                <w:szCs w:val="18"/>
                <w:lang w:val="sr-Cyrl-CS"/>
              </w:rPr>
              <w:t xml:space="preserve">JП ПЕУ </w:t>
            </w:r>
            <w:r w:rsidR="002A35D9" w:rsidRPr="00646254">
              <w:rPr>
                <w:rFonts w:ascii="Calibri" w:hAnsi="Calibri" w:cs="Calibri"/>
                <w:color w:val="002060"/>
                <w:sz w:val="18"/>
                <w:szCs w:val="18"/>
                <w:lang w:val="sr-Cyrl-CS"/>
              </w:rPr>
              <w:t>„</w:t>
            </w:r>
            <w:r w:rsidRPr="00646254">
              <w:rPr>
                <w:rFonts w:ascii="Calibri" w:hAnsi="Calibri" w:cs="Calibri"/>
                <w:color w:val="002060"/>
                <w:sz w:val="18"/>
                <w:szCs w:val="18"/>
                <w:lang w:val="sr-Cyrl-CS"/>
              </w:rPr>
              <w:t>Ресавица</w:t>
            </w:r>
            <w:r w:rsidR="002A35D9" w:rsidRPr="00646254">
              <w:rPr>
                <w:rFonts w:ascii="Calibri" w:hAnsi="Calibri" w:cs="Calibri"/>
                <w:color w:val="002060"/>
                <w:sz w:val="18"/>
                <w:szCs w:val="18"/>
                <w:lang w:val="sr-Cyrl-CS"/>
              </w:rPr>
              <w:t>”</w:t>
            </w:r>
          </w:p>
        </w:tc>
        <w:tc>
          <w:tcPr>
            <w:tcW w:w="1963" w:type="dxa"/>
            <w:tcBorders>
              <w:top w:val="nil"/>
              <w:left w:val="nil"/>
              <w:bottom w:val="nil"/>
              <w:right w:val="nil"/>
            </w:tcBorders>
            <w:shd w:val="clear" w:color="auto" w:fill="auto"/>
            <w:vAlign w:val="center"/>
          </w:tcPr>
          <w:p w14:paraId="03686F02" w14:textId="0DB861B9" w:rsidR="00F36197" w:rsidRPr="00646254" w:rsidRDefault="00F36197" w:rsidP="008E5519">
            <w:pPr>
              <w:spacing w:after="120" w:line="240" w:lineRule="auto"/>
              <w:jc w:val="right"/>
              <w:rPr>
                <w:rFonts w:eastAsia="MS PGothic" w:cstheme="minorHAnsi"/>
                <w:color w:val="002060"/>
                <w:sz w:val="18"/>
                <w:szCs w:val="18"/>
                <w:lang w:val="sr-Cyrl-CS" w:eastAsia="ja-JP"/>
              </w:rPr>
            </w:pPr>
            <w:r w:rsidRPr="00646254">
              <w:rPr>
                <w:rFonts w:ascii="Calibri" w:hAnsi="Calibri" w:cs="Calibri"/>
                <w:color w:val="002060"/>
                <w:sz w:val="18"/>
                <w:szCs w:val="18"/>
                <w:lang w:val="sr-Cyrl-CS"/>
              </w:rPr>
              <w:t>-2</w:t>
            </w:r>
            <w:r w:rsidR="00480E7C" w:rsidRPr="00646254">
              <w:rPr>
                <w:rFonts w:ascii="Calibri" w:hAnsi="Calibri" w:cs="Calibri"/>
                <w:color w:val="002060"/>
                <w:sz w:val="18"/>
                <w:szCs w:val="18"/>
                <w:lang w:val="sr-Cyrl-CS"/>
              </w:rPr>
              <w:t>.</w:t>
            </w:r>
            <w:r w:rsidRPr="00646254">
              <w:rPr>
                <w:rFonts w:ascii="Calibri" w:hAnsi="Calibri" w:cs="Calibri"/>
                <w:color w:val="002060"/>
                <w:sz w:val="18"/>
                <w:szCs w:val="18"/>
                <w:lang w:val="sr-Cyrl-CS"/>
              </w:rPr>
              <w:t>481</w:t>
            </w:r>
            <w:r w:rsidR="00480E7C" w:rsidRPr="00646254">
              <w:rPr>
                <w:rFonts w:ascii="Calibri" w:hAnsi="Calibri" w:cs="Calibri"/>
                <w:color w:val="002060"/>
                <w:sz w:val="18"/>
                <w:szCs w:val="18"/>
                <w:lang w:val="sr-Cyrl-CS"/>
              </w:rPr>
              <w:t>.</w:t>
            </w:r>
            <w:r w:rsidRPr="00646254">
              <w:rPr>
                <w:rFonts w:ascii="Calibri" w:hAnsi="Calibri" w:cs="Calibri"/>
                <w:color w:val="002060"/>
                <w:sz w:val="18"/>
                <w:szCs w:val="18"/>
                <w:lang w:val="sr-Cyrl-CS"/>
              </w:rPr>
              <w:t>390</w:t>
            </w:r>
          </w:p>
        </w:tc>
        <w:tc>
          <w:tcPr>
            <w:tcW w:w="1963" w:type="dxa"/>
            <w:tcBorders>
              <w:top w:val="nil"/>
              <w:left w:val="nil"/>
              <w:bottom w:val="nil"/>
              <w:right w:val="nil"/>
            </w:tcBorders>
            <w:shd w:val="clear" w:color="auto" w:fill="auto"/>
            <w:noWrap/>
            <w:vAlign w:val="center"/>
          </w:tcPr>
          <w:p w14:paraId="58774DCE" w14:textId="5C25866A" w:rsidR="00F36197" w:rsidRPr="00646254" w:rsidRDefault="00F36197" w:rsidP="008E5519">
            <w:pPr>
              <w:spacing w:after="120" w:line="240" w:lineRule="auto"/>
              <w:jc w:val="right"/>
              <w:rPr>
                <w:rFonts w:eastAsia="MS PGothic" w:cstheme="minorHAnsi"/>
                <w:color w:val="002060"/>
                <w:sz w:val="18"/>
                <w:szCs w:val="18"/>
                <w:lang w:val="sr-Cyrl-CS" w:eastAsia="ja-JP"/>
              </w:rPr>
            </w:pPr>
            <w:r w:rsidRPr="00646254">
              <w:rPr>
                <w:rFonts w:ascii="Calibri" w:hAnsi="Calibri" w:cs="Calibri"/>
                <w:color w:val="002060"/>
                <w:sz w:val="18"/>
                <w:szCs w:val="18"/>
                <w:lang w:val="sr-Cyrl-CS"/>
              </w:rPr>
              <w:t>-1</w:t>
            </w:r>
            <w:r w:rsidR="00480E7C" w:rsidRPr="00646254">
              <w:rPr>
                <w:rFonts w:ascii="Calibri" w:hAnsi="Calibri" w:cs="Calibri"/>
                <w:color w:val="002060"/>
                <w:sz w:val="18"/>
                <w:szCs w:val="18"/>
                <w:lang w:val="sr-Cyrl-CS"/>
              </w:rPr>
              <w:t>.</w:t>
            </w:r>
            <w:r w:rsidRPr="00646254">
              <w:rPr>
                <w:rFonts w:ascii="Calibri" w:hAnsi="Calibri" w:cs="Calibri"/>
                <w:color w:val="002060"/>
                <w:sz w:val="18"/>
                <w:szCs w:val="18"/>
                <w:lang w:val="sr-Cyrl-CS"/>
              </w:rPr>
              <w:t>000</w:t>
            </w:r>
            <w:r w:rsidR="00480E7C" w:rsidRPr="00646254">
              <w:rPr>
                <w:rFonts w:ascii="Calibri" w:hAnsi="Calibri" w:cs="Calibri"/>
                <w:color w:val="002060"/>
                <w:sz w:val="18"/>
                <w:szCs w:val="18"/>
                <w:lang w:val="sr-Cyrl-CS"/>
              </w:rPr>
              <w:t>.</w:t>
            </w:r>
            <w:r w:rsidRPr="00646254">
              <w:rPr>
                <w:rFonts w:ascii="Calibri" w:hAnsi="Calibri" w:cs="Calibri"/>
                <w:color w:val="002060"/>
                <w:sz w:val="18"/>
                <w:szCs w:val="18"/>
                <w:lang w:val="sr-Cyrl-CS"/>
              </w:rPr>
              <w:t>071</w:t>
            </w:r>
          </w:p>
        </w:tc>
        <w:tc>
          <w:tcPr>
            <w:tcW w:w="1964" w:type="dxa"/>
            <w:tcBorders>
              <w:top w:val="nil"/>
              <w:left w:val="nil"/>
              <w:bottom w:val="nil"/>
              <w:right w:val="nil"/>
            </w:tcBorders>
            <w:shd w:val="clear" w:color="auto" w:fill="auto"/>
            <w:noWrap/>
            <w:vAlign w:val="center"/>
          </w:tcPr>
          <w:p w14:paraId="73F0CCDF" w14:textId="400A67AD" w:rsidR="00F36197" w:rsidRPr="00646254" w:rsidRDefault="00F36197" w:rsidP="008E5519">
            <w:pPr>
              <w:spacing w:after="120" w:line="240" w:lineRule="auto"/>
              <w:jc w:val="right"/>
              <w:rPr>
                <w:rFonts w:eastAsia="MS PGothic" w:cstheme="minorHAnsi"/>
                <w:color w:val="002060"/>
                <w:sz w:val="18"/>
                <w:szCs w:val="18"/>
                <w:lang w:val="sr-Cyrl-CS" w:eastAsia="ja-JP"/>
              </w:rPr>
            </w:pPr>
            <w:r w:rsidRPr="00646254">
              <w:rPr>
                <w:rFonts w:ascii="Calibri" w:hAnsi="Calibri" w:cs="Calibri"/>
                <w:color w:val="002060"/>
                <w:sz w:val="18"/>
                <w:szCs w:val="18"/>
                <w:lang w:val="sr-Cyrl-CS"/>
              </w:rPr>
              <w:t>-626</w:t>
            </w:r>
            <w:r w:rsidR="00480E7C" w:rsidRPr="00646254">
              <w:rPr>
                <w:rFonts w:ascii="Calibri" w:hAnsi="Calibri" w:cs="Calibri"/>
                <w:color w:val="002060"/>
                <w:sz w:val="18"/>
                <w:szCs w:val="18"/>
                <w:lang w:val="sr-Cyrl-CS"/>
              </w:rPr>
              <w:t>.</w:t>
            </w:r>
            <w:r w:rsidRPr="00646254">
              <w:rPr>
                <w:rFonts w:ascii="Calibri" w:hAnsi="Calibri" w:cs="Calibri"/>
                <w:color w:val="002060"/>
                <w:sz w:val="18"/>
                <w:szCs w:val="18"/>
                <w:lang w:val="sr-Cyrl-CS"/>
              </w:rPr>
              <w:t>401</w:t>
            </w:r>
          </w:p>
        </w:tc>
      </w:tr>
      <w:tr w:rsidR="00F36197" w:rsidRPr="00646254" w14:paraId="49EB91C8" w14:textId="77777777" w:rsidTr="008E5519">
        <w:trPr>
          <w:trHeight w:hRule="exact" w:val="296"/>
        </w:trPr>
        <w:tc>
          <w:tcPr>
            <w:tcW w:w="3591" w:type="dxa"/>
            <w:tcBorders>
              <w:top w:val="nil"/>
              <w:left w:val="nil"/>
              <w:bottom w:val="nil"/>
              <w:right w:val="nil"/>
            </w:tcBorders>
            <w:shd w:val="clear" w:color="auto" w:fill="auto"/>
            <w:vAlign w:val="center"/>
          </w:tcPr>
          <w:p w14:paraId="5FE7ED17" w14:textId="0C3776DA" w:rsidR="00F36197" w:rsidRPr="00646254" w:rsidRDefault="002A35D9" w:rsidP="008E5519">
            <w:pPr>
              <w:spacing w:after="120" w:line="240" w:lineRule="auto"/>
              <w:rPr>
                <w:rFonts w:eastAsia="MS PGothic" w:cstheme="minorHAnsi"/>
                <w:color w:val="002060"/>
                <w:sz w:val="18"/>
                <w:szCs w:val="18"/>
                <w:lang w:val="sr-Cyrl-CS" w:eastAsia="ja-JP"/>
              </w:rPr>
            </w:pPr>
            <w:r w:rsidRPr="00646254">
              <w:rPr>
                <w:rFonts w:ascii="Calibri" w:hAnsi="Calibri" w:cs="Calibri"/>
                <w:color w:val="002060"/>
                <w:sz w:val="18"/>
                <w:szCs w:val="18"/>
                <w:lang w:val="sr-Cyrl-CS"/>
              </w:rPr>
              <w:t>„</w:t>
            </w:r>
            <w:r w:rsidR="00F36197" w:rsidRPr="00646254">
              <w:rPr>
                <w:rFonts w:ascii="Calibri" w:hAnsi="Calibri" w:cs="Calibri"/>
                <w:color w:val="002060"/>
                <w:sz w:val="18"/>
                <w:szCs w:val="18"/>
                <w:lang w:val="sr-Cyrl-CS"/>
              </w:rPr>
              <w:t>Србија Карго</w:t>
            </w:r>
            <w:r w:rsidRPr="00646254">
              <w:rPr>
                <w:rFonts w:ascii="Calibri" w:hAnsi="Calibri" w:cs="Calibri"/>
                <w:color w:val="002060"/>
                <w:sz w:val="18"/>
                <w:szCs w:val="18"/>
                <w:lang w:val="sr-Cyrl-CS"/>
              </w:rPr>
              <w:t>”</w:t>
            </w:r>
            <w:r w:rsidR="00F36197" w:rsidRPr="00646254">
              <w:rPr>
                <w:rFonts w:ascii="Calibri" w:hAnsi="Calibri" w:cs="Calibri"/>
                <w:color w:val="002060"/>
                <w:sz w:val="18"/>
                <w:szCs w:val="18"/>
                <w:lang w:val="sr-Cyrl-CS"/>
              </w:rPr>
              <w:t xml:space="preserve"> а.д.</w:t>
            </w:r>
          </w:p>
        </w:tc>
        <w:tc>
          <w:tcPr>
            <w:tcW w:w="1963" w:type="dxa"/>
            <w:tcBorders>
              <w:top w:val="nil"/>
              <w:left w:val="nil"/>
              <w:bottom w:val="nil"/>
              <w:right w:val="nil"/>
            </w:tcBorders>
            <w:shd w:val="clear" w:color="auto" w:fill="auto"/>
            <w:vAlign w:val="center"/>
          </w:tcPr>
          <w:p w14:paraId="5F7F7587" w14:textId="608079B7" w:rsidR="00F36197" w:rsidRPr="00646254" w:rsidRDefault="00F36197" w:rsidP="008E5519">
            <w:pPr>
              <w:spacing w:after="120" w:line="240" w:lineRule="auto"/>
              <w:jc w:val="right"/>
              <w:rPr>
                <w:rFonts w:eastAsia="MS PGothic" w:cstheme="minorHAnsi"/>
                <w:color w:val="002060"/>
                <w:sz w:val="18"/>
                <w:szCs w:val="18"/>
                <w:lang w:val="sr-Cyrl-CS" w:eastAsia="ja-JP"/>
              </w:rPr>
            </w:pPr>
            <w:r w:rsidRPr="00646254">
              <w:rPr>
                <w:rFonts w:ascii="Calibri" w:hAnsi="Calibri" w:cs="Calibri"/>
                <w:color w:val="002060"/>
                <w:sz w:val="18"/>
                <w:szCs w:val="18"/>
                <w:lang w:val="sr-Cyrl-CS"/>
              </w:rPr>
              <w:t>-2</w:t>
            </w:r>
            <w:r w:rsidR="00480E7C" w:rsidRPr="00646254">
              <w:rPr>
                <w:rFonts w:ascii="Calibri" w:hAnsi="Calibri" w:cs="Calibri"/>
                <w:color w:val="002060"/>
                <w:sz w:val="18"/>
                <w:szCs w:val="18"/>
                <w:lang w:val="sr-Cyrl-CS"/>
              </w:rPr>
              <w:t>.</w:t>
            </w:r>
            <w:r w:rsidRPr="00646254">
              <w:rPr>
                <w:rFonts w:ascii="Calibri" w:hAnsi="Calibri" w:cs="Calibri"/>
                <w:color w:val="002060"/>
                <w:sz w:val="18"/>
                <w:szCs w:val="18"/>
                <w:lang w:val="sr-Cyrl-CS"/>
              </w:rPr>
              <w:t>257</w:t>
            </w:r>
            <w:r w:rsidR="00480E7C" w:rsidRPr="00646254">
              <w:rPr>
                <w:rFonts w:ascii="Calibri" w:hAnsi="Calibri" w:cs="Calibri"/>
                <w:color w:val="002060"/>
                <w:sz w:val="18"/>
                <w:szCs w:val="18"/>
                <w:lang w:val="sr-Cyrl-CS"/>
              </w:rPr>
              <w:t>.</w:t>
            </w:r>
            <w:r w:rsidRPr="00646254">
              <w:rPr>
                <w:rFonts w:ascii="Calibri" w:hAnsi="Calibri" w:cs="Calibri"/>
                <w:color w:val="002060"/>
                <w:sz w:val="18"/>
                <w:szCs w:val="18"/>
                <w:lang w:val="sr-Cyrl-CS"/>
              </w:rPr>
              <w:t>393</w:t>
            </w:r>
          </w:p>
        </w:tc>
        <w:tc>
          <w:tcPr>
            <w:tcW w:w="1963" w:type="dxa"/>
            <w:tcBorders>
              <w:top w:val="nil"/>
              <w:left w:val="nil"/>
              <w:bottom w:val="nil"/>
              <w:right w:val="nil"/>
            </w:tcBorders>
            <w:shd w:val="clear" w:color="auto" w:fill="auto"/>
            <w:noWrap/>
            <w:vAlign w:val="center"/>
          </w:tcPr>
          <w:p w14:paraId="37CCA4A5" w14:textId="58AE8652" w:rsidR="00F36197" w:rsidRPr="00646254" w:rsidRDefault="00F36197" w:rsidP="008E5519">
            <w:pPr>
              <w:spacing w:after="120" w:line="240" w:lineRule="auto"/>
              <w:jc w:val="right"/>
              <w:rPr>
                <w:rFonts w:eastAsia="MS PGothic" w:cstheme="minorHAnsi"/>
                <w:color w:val="002060"/>
                <w:sz w:val="18"/>
                <w:szCs w:val="18"/>
                <w:lang w:val="sr-Cyrl-CS" w:eastAsia="ja-JP"/>
              </w:rPr>
            </w:pPr>
            <w:r w:rsidRPr="00646254">
              <w:rPr>
                <w:rFonts w:ascii="Calibri" w:hAnsi="Calibri" w:cs="Calibri"/>
                <w:color w:val="002060"/>
                <w:sz w:val="18"/>
                <w:szCs w:val="18"/>
                <w:lang w:val="sr-Cyrl-CS"/>
              </w:rPr>
              <w:t>-851</w:t>
            </w:r>
            <w:r w:rsidR="00480E7C" w:rsidRPr="00646254">
              <w:rPr>
                <w:rFonts w:ascii="Calibri" w:hAnsi="Calibri" w:cs="Calibri"/>
                <w:color w:val="002060"/>
                <w:sz w:val="18"/>
                <w:szCs w:val="18"/>
                <w:lang w:val="sr-Cyrl-CS"/>
              </w:rPr>
              <w:t>.</w:t>
            </w:r>
            <w:r w:rsidRPr="00646254">
              <w:rPr>
                <w:rFonts w:ascii="Calibri" w:hAnsi="Calibri" w:cs="Calibri"/>
                <w:color w:val="002060"/>
                <w:sz w:val="18"/>
                <w:szCs w:val="18"/>
                <w:lang w:val="sr-Cyrl-CS"/>
              </w:rPr>
              <w:t>547</w:t>
            </w:r>
          </w:p>
        </w:tc>
        <w:tc>
          <w:tcPr>
            <w:tcW w:w="1964" w:type="dxa"/>
            <w:tcBorders>
              <w:top w:val="nil"/>
              <w:left w:val="nil"/>
              <w:bottom w:val="nil"/>
              <w:right w:val="nil"/>
            </w:tcBorders>
            <w:shd w:val="clear" w:color="auto" w:fill="auto"/>
            <w:noWrap/>
            <w:vAlign w:val="center"/>
          </w:tcPr>
          <w:p w14:paraId="40D5174C" w14:textId="25987AB1" w:rsidR="00F36197" w:rsidRPr="00646254" w:rsidRDefault="00F36197" w:rsidP="008E5519">
            <w:pPr>
              <w:spacing w:after="120" w:line="240" w:lineRule="auto"/>
              <w:jc w:val="right"/>
              <w:rPr>
                <w:rFonts w:eastAsia="MS PGothic" w:cstheme="minorHAnsi"/>
                <w:color w:val="002060"/>
                <w:sz w:val="18"/>
                <w:szCs w:val="18"/>
                <w:lang w:val="sr-Cyrl-CS" w:eastAsia="ja-JP"/>
              </w:rPr>
            </w:pPr>
            <w:r w:rsidRPr="00646254">
              <w:rPr>
                <w:rFonts w:ascii="Calibri" w:hAnsi="Calibri" w:cs="Calibri"/>
                <w:color w:val="002060"/>
                <w:sz w:val="18"/>
                <w:szCs w:val="18"/>
                <w:lang w:val="sr-Cyrl-CS"/>
              </w:rPr>
              <w:t>-317</w:t>
            </w:r>
            <w:r w:rsidR="00480E7C" w:rsidRPr="00646254">
              <w:rPr>
                <w:rFonts w:ascii="Calibri" w:hAnsi="Calibri" w:cs="Calibri"/>
                <w:color w:val="002060"/>
                <w:sz w:val="18"/>
                <w:szCs w:val="18"/>
                <w:lang w:val="sr-Cyrl-CS"/>
              </w:rPr>
              <w:t>.</w:t>
            </w:r>
            <w:r w:rsidRPr="00646254">
              <w:rPr>
                <w:rFonts w:ascii="Calibri" w:hAnsi="Calibri" w:cs="Calibri"/>
                <w:color w:val="002060"/>
                <w:sz w:val="18"/>
                <w:szCs w:val="18"/>
                <w:lang w:val="sr-Cyrl-CS"/>
              </w:rPr>
              <w:t>569</w:t>
            </w:r>
          </w:p>
        </w:tc>
      </w:tr>
      <w:tr w:rsidR="00F36197" w:rsidRPr="00646254" w14:paraId="760C28AA" w14:textId="77777777" w:rsidTr="008E5519">
        <w:trPr>
          <w:trHeight w:hRule="exact" w:val="296"/>
        </w:trPr>
        <w:tc>
          <w:tcPr>
            <w:tcW w:w="3591" w:type="dxa"/>
            <w:tcBorders>
              <w:top w:val="nil"/>
              <w:left w:val="nil"/>
              <w:bottom w:val="nil"/>
              <w:right w:val="nil"/>
            </w:tcBorders>
            <w:shd w:val="clear" w:color="auto" w:fill="auto"/>
            <w:vAlign w:val="center"/>
          </w:tcPr>
          <w:p w14:paraId="6D4470F5" w14:textId="33B8F574" w:rsidR="00F36197" w:rsidRPr="00646254" w:rsidRDefault="002A35D9" w:rsidP="008E5519">
            <w:pPr>
              <w:spacing w:after="120" w:line="240" w:lineRule="auto"/>
              <w:rPr>
                <w:rFonts w:eastAsia="MS PGothic" w:cstheme="minorHAnsi"/>
                <w:color w:val="002060"/>
                <w:sz w:val="18"/>
                <w:szCs w:val="18"/>
                <w:lang w:val="sr-Cyrl-CS" w:eastAsia="ja-JP"/>
              </w:rPr>
            </w:pPr>
            <w:r w:rsidRPr="00646254">
              <w:rPr>
                <w:rFonts w:ascii="Calibri" w:hAnsi="Calibri" w:cs="Calibri"/>
                <w:color w:val="002060"/>
                <w:sz w:val="18"/>
                <w:szCs w:val="18"/>
                <w:lang w:val="sr-Cyrl-CS"/>
              </w:rPr>
              <w:t>„</w:t>
            </w:r>
            <w:r w:rsidR="00F36197" w:rsidRPr="00646254">
              <w:rPr>
                <w:rFonts w:ascii="Calibri" w:hAnsi="Calibri" w:cs="Calibri"/>
                <w:color w:val="002060"/>
                <w:sz w:val="18"/>
                <w:szCs w:val="18"/>
                <w:lang w:val="sr-Cyrl-CS"/>
              </w:rPr>
              <w:t>Србија</w:t>
            </w:r>
            <w:r w:rsidR="00281B51" w:rsidRPr="00646254">
              <w:rPr>
                <w:rFonts w:ascii="Calibri" w:hAnsi="Calibri" w:cs="Calibri"/>
                <w:color w:val="002060"/>
                <w:sz w:val="18"/>
                <w:szCs w:val="18"/>
                <w:lang w:val="sr-Cyrl-CS"/>
              </w:rPr>
              <w:t xml:space="preserve"> В</w:t>
            </w:r>
            <w:r w:rsidR="00F36197" w:rsidRPr="00646254">
              <w:rPr>
                <w:rFonts w:ascii="Calibri" w:hAnsi="Calibri" w:cs="Calibri"/>
                <w:color w:val="002060"/>
                <w:sz w:val="18"/>
                <w:szCs w:val="18"/>
                <w:lang w:val="sr-Cyrl-CS"/>
              </w:rPr>
              <w:t>оз</w:t>
            </w:r>
            <w:r w:rsidRPr="00646254">
              <w:rPr>
                <w:rFonts w:ascii="Calibri" w:hAnsi="Calibri" w:cs="Calibri"/>
                <w:color w:val="002060"/>
                <w:sz w:val="18"/>
                <w:szCs w:val="18"/>
                <w:lang w:val="sr-Cyrl-CS"/>
              </w:rPr>
              <w:t>”</w:t>
            </w:r>
            <w:r w:rsidR="00F36197" w:rsidRPr="00646254">
              <w:rPr>
                <w:rFonts w:ascii="Calibri" w:hAnsi="Calibri" w:cs="Calibri"/>
                <w:color w:val="002060"/>
                <w:sz w:val="18"/>
                <w:szCs w:val="18"/>
                <w:lang w:val="sr-Cyrl-CS"/>
              </w:rPr>
              <w:t xml:space="preserve"> а.д.</w:t>
            </w:r>
          </w:p>
        </w:tc>
        <w:tc>
          <w:tcPr>
            <w:tcW w:w="1963" w:type="dxa"/>
            <w:tcBorders>
              <w:top w:val="nil"/>
              <w:left w:val="nil"/>
              <w:bottom w:val="nil"/>
              <w:right w:val="nil"/>
            </w:tcBorders>
            <w:shd w:val="clear" w:color="auto" w:fill="auto"/>
            <w:vAlign w:val="center"/>
          </w:tcPr>
          <w:p w14:paraId="75AE55E5" w14:textId="56CAF6BF" w:rsidR="00F36197" w:rsidRPr="00646254" w:rsidRDefault="00F36197" w:rsidP="008E5519">
            <w:pPr>
              <w:spacing w:after="120" w:line="240" w:lineRule="auto"/>
              <w:jc w:val="right"/>
              <w:rPr>
                <w:rFonts w:eastAsia="MS PGothic" w:cstheme="minorHAnsi"/>
                <w:color w:val="002060"/>
                <w:sz w:val="18"/>
                <w:szCs w:val="18"/>
                <w:lang w:val="sr-Cyrl-CS" w:eastAsia="ja-JP"/>
              </w:rPr>
            </w:pPr>
            <w:r w:rsidRPr="00646254">
              <w:rPr>
                <w:rFonts w:ascii="Calibri" w:hAnsi="Calibri" w:cs="Calibri"/>
                <w:color w:val="002060"/>
                <w:sz w:val="18"/>
                <w:szCs w:val="18"/>
                <w:lang w:val="sr-Cyrl-CS"/>
              </w:rPr>
              <w:t>-1</w:t>
            </w:r>
            <w:r w:rsidR="00480E7C" w:rsidRPr="00646254">
              <w:rPr>
                <w:rFonts w:ascii="Calibri" w:hAnsi="Calibri" w:cs="Calibri"/>
                <w:color w:val="002060"/>
                <w:sz w:val="18"/>
                <w:szCs w:val="18"/>
                <w:lang w:val="sr-Cyrl-CS"/>
              </w:rPr>
              <w:t>.</w:t>
            </w:r>
            <w:r w:rsidRPr="00646254">
              <w:rPr>
                <w:rFonts w:ascii="Calibri" w:hAnsi="Calibri" w:cs="Calibri"/>
                <w:color w:val="002060"/>
                <w:sz w:val="18"/>
                <w:szCs w:val="18"/>
                <w:lang w:val="sr-Cyrl-CS"/>
              </w:rPr>
              <w:t>054</w:t>
            </w:r>
            <w:r w:rsidR="00480E7C" w:rsidRPr="00646254">
              <w:rPr>
                <w:rFonts w:ascii="Calibri" w:hAnsi="Calibri" w:cs="Calibri"/>
                <w:color w:val="002060"/>
                <w:sz w:val="18"/>
                <w:szCs w:val="18"/>
                <w:lang w:val="sr-Cyrl-CS"/>
              </w:rPr>
              <w:t>.</w:t>
            </w:r>
            <w:r w:rsidRPr="00646254">
              <w:rPr>
                <w:rFonts w:ascii="Calibri" w:hAnsi="Calibri" w:cs="Calibri"/>
                <w:color w:val="002060"/>
                <w:sz w:val="18"/>
                <w:szCs w:val="18"/>
                <w:lang w:val="sr-Cyrl-CS"/>
              </w:rPr>
              <w:t>587</w:t>
            </w:r>
          </w:p>
        </w:tc>
        <w:tc>
          <w:tcPr>
            <w:tcW w:w="1963" w:type="dxa"/>
            <w:tcBorders>
              <w:top w:val="nil"/>
              <w:left w:val="nil"/>
              <w:bottom w:val="nil"/>
              <w:right w:val="nil"/>
            </w:tcBorders>
            <w:shd w:val="clear" w:color="auto" w:fill="auto"/>
            <w:noWrap/>
            <w:vAlign w:val="center"/>
          </w:tcPr>
          <w:p w14:paraId="3C222BCD" w14:textId="28DBF4D2" w:rsidR="00F36197" w:rsidRPr="00646254" w:rsidRDefault="00F36197" w:rsidP="008E5519">
            <w:pPr>
              <w:spacing w:after="120" w:line="240" w:lineRule="auto"/>
              <w:jc w:val="right"/>
              <w:rPr>
                <w:rFonts w:eastAsia="MS PGothic" w:cstheme="minorHAnsi"/>
                <w:color w:val="002060"/>
                <w:sz w:val="18"/>
                <w:szCs w:val="18"/>
                <w:lang w:val="sr-Cyrl-CS" w:eastAsia="ja-JP"/>
              </w:rPr>
            </w:pPr>
            <w:r w:rsidRPr="00646254">
              <w:rPr>
                <w:rFonts w:ascii="Calibri" w:hAnsi="Calibri" w:cs="Calibri"/>
                <w:color w:val="002060"/>
                <w:sz w:val="18"/>
                <w:szCs w:val="18"/>
                <w:lang w:val="sr-Cyrl-CS"/>
              </w:rPr>
              <w:t>-873</w:t>
            </w:r>
            <w:r w:rsidR="00480E7C" w:rsidRPr="00646254">
              <w:rPr>
                <w:rFonts w:ascii="Calibri" w:hAnsi="Calibri" w:cs="Calibri"/>
                <w:color w:val="002060"/>
                <w:sz w:val="18"/>
                <w:szCs w:val="18"/>
                <w:lang w:val="sr-Cyrl-CS"/>
              </w:rPr>
              <w:t>.</w:t>
            </w:r>
            <w:r w:rsidRPr="00646254">
              <w:rPr>
                <w:rFonts w:ascii="Calibri" w:hAnsi="Calibri" w:cs="Calibri"/>
                <w:color w:val="002060"/>
                <w:sz w:val="18"/>
                <w:szCs w:val="18"/>
                <w:lang w:val="sr-Cyrl-CS"/>
              </w:rPr>
              <w:t>273</w:t>
            </w:r>
          </w:p>
        </w:tc>
        <w:tc>
          <w:tcPr>
            <w:tcW w:w="1964" w:type="dxa"/>
            <w:tcBorders>
              <w:top w:val="nil"/>
              <w:left w:val="nil"/>
              <w:bottom w:val="nil"/>
              <w:right w:val="nil"/>
            </w:tcBorders>
            <w:shd w:val="clear" w:color="auto" w:fill="auto"/>
            <w:noWrap/>
            <w:vAlign w:val="center"/>
          </w:tcPr>
          <w:p w14:paraId="05F729D3" w14:textId="0FBE5DBA" w:rsidR="00F36197" w:rsidRPr="00646254" w:rsidRDefault="00F36197" w:rsidP="008E5519">
            <w:pPr>
              <w:spacing w:after="120" w:line="240" w:lineRule="auto"/>
              <w:jc w:val="right"/>
              <w:rPr>
                <w:rFonts w:eastAsia="MS PGothic" w:cstheme="minorHAnsi"/>
                <w:color w:val="002060"/>
                <w:sz w:val="18"/>
                <w:szCs w:val="18"/>
                <w:lang w:val="sr-Cyrl-CS" w:eastAsia="ja-JP"/>
              </w:rPr>
            </w:pPr>
            <w:r w:rsidRPr="00646254">
              <w:rPr>
                <w:rFonts w:ascii="Calibri" w:hAnsi="Calibri" w:cs="Calibri"/>
                <w:color w:val="002060"/>
                <w:sz w:val="18"/>
                <w:szCs w:val="18"/>
                <w:lang w:val="sr-Cyrl-CS"/>
              </w:rPr>
              <w:t>-631</w:t>
            </w:r>
            <w:r w:rsidR="00480E7C" w:rsidRPr="00646254">
              <w:rPr>
                <w:rFonts w:ascii="Calibri" w:hAnsi="Calibri" w:cs="Calibri"/>
                <w:color w:val="002060"/>
                <w:sz w:val="18"/>
                <w:szCs w:val="18"/>
                <w:lang w:val="sr-Cyrl-CS"/>
              </w:rPr>
              <w:t>.</w:t>
            </w:r>
            <w:r w:rsidRPr="00646254">
              <w:rPr>
                <w:rFonts w:ascii="Calibri" w:hAnsi="Calibri" w:cs="Calibri"/>
                <w:color w:val="002060"/>
                <w:sz w:val="18"/>
                <w:szCs w:val="18"/>
                <w:lang w:val="sr-Cyrl-CS"/>
              </w:rPr>
              <w:t>813</w:t>
            </w:r>
          </w:p>
        </w:tc>
      </w:tr>
      <w:tr w:rsidR="00F36197" w:rsidRPr="00646254" w14:paraId="66C919D0" w14:textId="77777777" w:rsidTr="008E5519">
        <w:trPr>
          <w:trHeight w:hRule="exact" w:val="296"/>
        </w:trPr>
        <w:tc>
          <w:tcPr>
            <w:tcW w:w="3591" w:type="dxa"/>
            <w:tcBorders>
              <w:top w:val="nil"/>
              <w:left w:val="nil"/>
              <w:bottom w:val="nil"/>
              <w:right w:val="nil"/>
            </w:tcBorders>
            <w:shd w:val="clear" w:color="auto" w:fill="auto"/>
            <w:vAlign w:val="center"/>
          </w:tcPr>
          <w:p w14:paraId="4B80F79F" w14:textId="07FC2E1A" w:rsidR="00F36197" w:rsidRPr="00646254" w:rsidRDefault="002A35D9" w:rsidP="008E5519">
            <w:pPr>
              <w:spacing w:after="120" w:line="240" w:lineRule="auto"/>
              <w:rPr>
                <w:rFonts w:eastAsia="MS PGothic" w:cstheme="minorHAnsi"/>
                <w:color w:val="002060"/>
                <w:sz w:val="18"/>
                <w:szCs w:val="18"/>
                <w:lang w:val="sr-Cyrl-CS" w:eastAsia="ja-JP"/>
              </w:rPr>
            </w:pPr>
            <w:r w:rsidRPr="00646254">
              <w:rPr>
                <w:rFonts w:ascii="Calibri" w:hAnsi="Calibri" w:cs="Calibri"/>
                <w:color w:val="002060"/>
                <w:sz w:val="18"/>
                <w:szCs w:val="18"/>
                <w:lang w:val="sr-Cyrl-CS"/>
              </w:rPr>
              <w:t>„</w:t>
            </w:r>
            <w:r w:rsidR="00F36197" w:rsidRPr="00646254">
              <w:rPr>
                <w:rFonts w:ascii="Calibri" w:hAnsi="Calibri" w:cs="Calibri"/>
                <w:color w:val="002060"/>
                <w:sz w:val="18"/>
                <w:szCs w:val="18"/>
                <w:lang w:val="sr-Cyrl-CS"/>
              </w:rPr>
              <w:t>Метохија</w:t>
            </w:r>
            <w:r w:rsidRPr="00646254">
              <w:rPr>
                <w:rFonts w:ascii="Calibri" w:hAnsi="Calibri" w:cs="Calibri"/>
                <w:color w:val="002060"/>
                <w:sz w:val="18"/>
                <w:szCs w:val="18"/>
                <w:lang w:val="sr-Cyrl-CS"/>
              </w:rPr>
              <w:t>”</w:t>
            </w:r>
            <w:r w:rsidR="00F36197" w:rsidRPr="00646254">
              <w:rPr>
                <w:rFonts w:ascii="Calibri" w:hAnsi="Calibri" w:cs="Calibri"/>
                <w:color w:val="002060"/>
                <w:sz w:val="18"/>
                <w:szCs w:val="18"/>
                <w:lang w:val="sr-Cyrl-CS"/>
              </w:rPr>
              <w:t xml:space="preserve"> д.о.о.</w:t>
            </w:r>
          </w:p>
        </w:tc>
        <w:tc>
          <w:tcPr>
            <w:tcW w:w="1963" w:type="dxa"/>
            <w:tcBorders>
              <w:top w:val="nil"/>
              <w:left w:val="nil"/>
              <w:bottom w:val="nil"/>
              <w:right w:val="nil"/>
            </w:tcBorders>
            <w:shd w:val="clear" w:color="auto" w:fill="auto"/>
            <w:vAlign w:val="center"/>
          </w:tcPr>
          <w:p w14:paraId="2DA85DF6" w14:textId="77777777" w:rsidR="00F36197" w:rsidRPr="00646254" w:rsidRDefault="00F36197" w:rsidP="008E5519">
            <w:pPr>
              <w:spacing w:after="120" w:line="240" w:lineRule="auto"/>
              <w:jc w:val="right"/>
              <w:rPr>
                <w:rFonts w:eastAsia="MS PGothic" w:cstheme="minorHAnsi"/>
                <w:color w:val="002060"/>
                <w:sz w:val="18"/>
                <w:szCs w:val="18"/>
                <w:lang w:val="sr-Cyrl-CS" w:eastAsia="ja-JP"/>
              </w:rPr>
            </w:pPr>
            <w:r w:rsidRPr="00646254">
              <w:rPr>
                <w:rFonts w:ascii="Calibri" w:hAnsi="Calibri" w:cs="Calibri"/>
                <w:color w:val="002060"/>
                <w:sz w:val="18"/>
                <w:szCs w:val="18"/>
                <w:lang w:val="sr-Cyrl-CS"/>
              </w:rPr>
              <w:t>562</w:t>
            </w:r>
          </w:p>
        </w:tc>
        <w:tc>
          <w:tcPr>
            <w:tcW w:w="1963" w:type="dxa"/>
            <w:tcBorders>
              <w:top w:val="nil"/>
              <w:left w:val="nil"/>
              <w:bottom w:val="nil"/>
              <w:right w:val="nil"/>
            </w:tcBorders>
            <w:shd w:val="clear" w:color="auto" w:fill="auto"/>
            <w:noWrap/>
            <w:vAlign w:val="center"/>
          </w:tcPr>
          <w:p w14:paraId="2F297FFC" w14:textId="77777777" w:rsidR="00F36197" w:rsidRPr="00646254" w:rsidRDefault="00F36197" w:rsidP="008E5519">
            <w:pPr>
              <w:spacing w:after="120" w:line="240" w:lineRule="auto"/>
              <w:jc w:val="right"/>
              <w:rPr>
                <w:rFonts w:eastAsia="MS PGothic" w:cstheme="minorHAnsi"/>
                <w:color w:val="002060"/>
                <w:sz w:val="18"/>
                <w:szCs w:val="18"/>
                <w:lang w:val="sr-Cyrl-CS" w:eastAsia="ja-JP"/>
              </w:rPr>
            </w:pPr>
            <w:r w:rsidRPr="00646254">
              <w:rPr>
                <w:rFonts w:ascii="Calibri" w:hAnsi="Calibri" w:cs="Calibri"/>
                <w:color w:val="002060"/>
                <w:sz w:val="18"/>
                <w:szCs w:val="18"/>
                <w:lang w:val="sr-Cyrl-CS"/>
              </w:rPr>
              <w:t>849</w:t>
            </w:r>
          </w:p>
        </w:tc>
        <w:tc>
          <w:tcPr>
            <w:tcW w:w="1964" w:type="dxa"/>
            <w:tcBorders>
              <w:top w:val="nil"/>
              <w:left w:val="nil"/>
              <w:bottom w:val="nil"/>
              <w:right w:val="nil"/>
            </w:tcBorders>
            <w:shd w:val="clear" w:color="auto" w:fill="auto"/>
            <w:noWrap/>
            <w:vAlign w:val="center"/>
          </w:tcPr>
          <w:p w14:paraId="661FA350" w14:textId="77777777" w:rsidR="00F36197" w:rsidRPr="00646254" w:rsidRDefault="00F36197" w:rsidP="008E5519">
            <w:pPr>
              <w:spacing w:after="120" w:line="240" w:lineRule="auto"/>
              <w:jc w:val="right"/>
              <w:rPr>
                <w:rFonts w:eastAsia="MS PGothic" w:cstheme="minorHAnsi"/>
                <w:color w:val="002060"/>
                <w:sz w:val="18"/>
                <w:szCs w:val="18"/>
                <w:lang w:val="sr-Cyrl-CS" w:eastAsia="ja-JP"/>
              </w:rPr>
            </w:pPr>
            <w:r w:rsidRPr="00646254">
              <w:rPr>
                <w:rFonts w:ascii="Calibri" w:hAnsi="Calibri" w:cs="Calibri"/>
                <w:color w:val="002060"/>
                <w:sz w:val="18"/>
                <w:szCs w:val="18"/>
                <w:lang w:val="sr-Cyrl-CS"/>
              </w:rPr>
              <w:t>-439</w:t>
            </w:r>
          </w:p>
        </w:tc>
      </w:tr>
      <w:tr w:rsidR="00F36197" w:rsidRPr="00646254" w14:paraId="3D3905FC" w14:textId="77777777" w:rsidTr="008E5519">
        <w:trPr>
          <w:trHeight w:hRule="exact" w:val="296"/>
        </w:trPr>
        <w:tc>
          <w:tcPr>
            <w:tcW w:w="3591" w:type="dxa"/>
            <w:tcBorders>
              <w:top w:val="nil"/>
              <w:left w:val="nil"/>
              <w:bottom w:val="nil"/>
              <w:right w:val="nil"/>
            </w:tcBorders>
            <w:shd w:val="clear" w:color="auto" w:fill="auto"/>
            <w:vAlign w:val="center"/>
          </w:tcPr>
          <w:p w14:paraId="4BF03407" w14:textId="5C0EB101" w:rsidR="00F36197" w:rsidRPr="00646254" w:rsidRDefault="00F36197" w:rsidP="008E5519">
            <w:pPr>
              <w:spacing w:after="120" w:line="240" w:lineRule="auto"/>
              <w:rPr>
                <w:rFonts w:eastAsia="MS PGothic" w:cstheme="minorHAnsi"/>
                <w:color w:val="002060"/>
                <w:sz w:val="18"/>
                <w:szCs w:val="18"/>
                <w:lang w:val="sr-Cyrl-CS" w:eastAsia="ja-JP"/>
              </w:rPr>
            </w:pPr>
            <w:r w:rsidRPr="00646254">
              <w:rPr>
                <w:rFonts w:ascii="Calibri" w:hAnsi="Calibri" w:cs="Calibri"/>
                <w:color w:val="002060"/>
                <w:sz w:val="18"/>
                <w:szCs w:val="18"/>
                <w:lang w:val="sr-Cyrl-CS"/>
              </w:rPr>
              <w:t xml:space="preserve">JП </w:t>
            </w:r>
            <w:r w:rsidR="002A35D9" w:rsidRPr="00646254">
              <w:rPr>
                <w:rFonts w:ascii="Calibri" w:hAnsi="Calibri" w:cs="Calibri"/>
                <w:color w:val="002060"/>
                <w:sz w:val="18"/>
                <w:szCs w:val="18"/>
                <w:lang w:val="sr-Cyrl-CS"/>
              </w:rPr>
              <w:t>„</w:t>
            </w:r>
            <w:r w:rsidRPr="00646254">
              <w:rPr>
                <w:rFonts w:ascii="Calibri" w:hAnsi="Calibri" w:cs="Calibri"/>
                <w:color w:val="002060"/>
                <w:sz w:val="18"/>
                <w:szCs w:val="18"/>
                <w:lang w:val="sr-Cyrl-CS"/>
              </w:rPr>
              <w:t>Завод за уџбенике</w:t>
            </w:r>
            <w:r w:rsidR="002A35D9" w:rsidRPr="00646254">
              <w:rPr>
                <w:rFonts w:ascii="Calibri" w:hAnsi="Calibri" w:cs="Calibri"/>
                <w:color w:val="002060"/>
                <w:sz w:val="18"/>
                <w:szCs w:val="18"/>
                <w:lang w:val="sr-Cyrl-CS"/>
              </w:rPr>
              <w:t>”</w:t>
            </w:r>
          </w:p>
        </w:tc>
        <w:tc>
          <w:tcPr>
            <w:tcW w:w="1963" w:type="dxa"/>
            <w:tcBorders>
              <w:top w:val="nil"/>
              <w:left w:val="nil"/>
              <w:bottom w:val="nil"/>
              <w:right w:val="nil"/>
            </w:tcBorders>
            <w:shd w:val="clear" w:color="auto" w:fill="auto"/>
            <w:vAlign w:val="center"/>
          </w:tcPr>
          <w:p w14:paraId="5908C6DC" w14:textId="4A75D63E" w:rsidR="00F36197" w:rsidRPr="00646254" w:rsidRDefault="00F36197" w:rsidP="008E5519">
            <w:pPr>
              <w:spacing w:after="120" w:line="240" w:lineRule="auto"/>
              <w:jc w:val="right"/>
              <w:rPr>
                <w:rFonts w:eastAsia="MS PGothic" w:cstheme="minorHAnsi"/>
                <w:color w:val="002060"/>
                <w:sz w:val="18"/>
                <w:szCs w:val="18"/>
                <w:lang w:val="sr-Cyrl-CS" w:eastAsia="ja-JP"/>
              </w:rPr>
            </w:pPr>
            <w:r w:rsidRPr="00646254">
              <w:rPr>
                <w:rFonts w:ascii="Calibri" w:hAnsi="Calibri" w:cs="Calibri"/>
                <w:color w:val="002060"/>
                <w:sz w:val="18"/>
                <w:szCs w:val="18"/>
                <w:lang w:val="sr-Cyrl-CS"/>
              </w:rPr>
              <w:t>-256</w:t>
            </w:r>
            <w:r w:rsidR="00480E7C" w:rsidRPr="00646254">
              <w:rPr>
                <w:rFonts w:ascii="Calibri" w:hAnsi="Calibri" w:cs="Calibri"/>
                <w:color w:val="002060"/>
                <w:sz w:val="18"/>
                <w:szCs w:val="18"/>
                <w:lang w:val="sr-Cyrl-CS"/>
              </w:rPr>
              <w:t>.</w:t>
            </w:r>
            <w:r w:rsidRPr="00646254">
              <w:rPr>
                <w:rFonts w:ascii="Calibri" w:hAnsi="Calibri" w:cs="Calibri"/>
                <w:color w:val="002060"/>
                <w:sz w:val="18"/>
                <w:szCs w:val="18"/>
                <w:lang w:val="sr-Cyrl-CS"/>
              </w:rPr>
              <w:t>983</w:t>
            </w:r>
          </w:p>
        </w:tc>
        <w:tc>
          <w:tcPr>
            <w:tcW w:w="1963" w:type="dxa"/>
            <w:tcBorders>
              <w:top w:val="nil"/>
              <w:left w:val="nil"/>
              <w:bottom w:val="nil"/>
              <w:right w:val="nil"/>
            </w:tcBorders>
            <w:shd w:val="clear" w:color="auto" w:fill="auto"/>
            <w:noWrap/>
            <w:vAlign w:val="center"/>
          </w:tcPr>
          <w:p w14:paraId="40C1C95A" w14:textId="5E2E56DB" w:rsidR="00F36197" w:rsidRPr="00646254" w:rsidRDefault="00F36197" w:rsidP="008E5519">
            <w:pPr>
              <w:spacing w:after="120" w:line="240" w:lineRule="auto"/>
              <w:jc w:val="right"/>
              <w:rPr>
                <w:rFonts w:eastAsia="MS PGothic" w:cstheme="minorHAnsi"/>
                <w:color w:val="002060"/>
                <w:sz w:val="18"/>
                <w:szCs w:val="18"/>
                <w:lang w:val="sr-Cyrl-CS" w:eastAsia="ja-JP"/>
              </w:rPr>
            </w:pPr>
            <w:r w:rsidRPr="00646254">
              <w:rPr>
                <w:rFonts w:ascii="Calibri" w:hAnsi="Calibri" w:cs="Calibri"/>
                <w:color w:val="002060"/>
                <w:sz w:val="18"/>
                <w:szCs w:val="18"/>
                <w:lang w:val="sr-Cyrl-CS"/>
              </w:rPr>
              <w:t>-243</w:t>
            </w:r>
            <w:r w:rsidR="00480E7C" w:rsidRPr="00646254">
              <w:rPr>
                <w:rFonts w:ascii="Calibri" w:hAnsi="Calibri" w:cs="Calibri"/>
                <w:color w:val="002060"/>
                <w:sz w:val="18"/>
                <w:szCs w:val="18"/>
                <w:lang w:val="sr-Cyrl-CS"/>
              </w:rPr>
              <w:t>.</w:t>
            </w:r>
            <w:r w:rsidRPr="00646254">
              <w:rPr>
                <w:rFonts w:ascii="Calibri" w:hAnsi="Calibri" w:cs="Calibri"/>
                <w:color w:val="002060"/>
                <w:sz w:val="18"/>
                <w:szCs w:val="18"/>
                <w:lang w:val="sr-Cyrl-CS"/>
              </w:rPr>
              <w:t>898</w:t>
            </w:r>
          </w:p>
        </w:tc>
        <w:tc>
          <w:tcPr>
            <w:tcW w:w="1964" w:type="dxa"/>
            <w:tcBorders>
              <w:top w:val="nil"/>
              <w:left w:val="nil"/>
              <w:bottom w:val="nil"/>
              <w:right w:val="nil"/>
            </w:tcBorders>
            <w:shd w:val="clear" w:color="auto" w:fill="auto"/>
            <w:noWrap/>
            <w:vAlign w:val="center"/>
          </w:tcPr>
          <w:p w14:paraId="65565CF5" w14:textId="1755F8CD" w:rsidR="00F36197" w:rsidRPr="00646254" w:rsidRDefault="00F36197" w:rsidP="008E5519">
            <w:pPr>
              <w:spacing w:after="120" w:line="240" w:lineRule="auto"/>
              <w:jc w:val="right"/>
              <w:rPr>
                <w:rFonts w:eastAsia="MS PGothic" w:cstheme="minorHAnsi"/>
                <w:color w:val="002060"/>
                <w:sz w:val="18"/>
                <w:szCs w:val="18"/>
                <w:lang w:val="sr-Cyrl-CS" w:eastAsia="ja-JP"/>
              </w:rPr>
            </w:pPr>
            <w:r w:rsidRPr="00646254">
              <w:rPr>
                <w:rFonts w:ascii="Calibri" w:hAnsi="Calibri" w:cs="Calibri"/>
                <w:color w:val="002060"/>
                <w:sz w:val="18"/>
                <w:szCs w:val="18"/>
                <w:lang w:val="sr-Cyrl-CS"/>
              </w:rPr>
              <w:t>-139</w:t>
            </w:r>
            <w:r w:rsidR="00480E7C" w:rsidRPr="00646254">
              <w:rPr>
                <w:rFonts w:ascii="Calibri" w:hAnsi="Calibri" w:cs="Calibri"/>
                <w:color w:val="002060"/>
                <w:sz w:val="18"/>
                <w:szCs w:val="18"/>
                <w:lang w:val="sr-Cyrl-CS"/>
              </w:rPr>
              <w:t>.</w:t>
            </w:r>
            <w:r w:rsidRPr="00646254">
              <w:rPr>
                <w:rFonts w:ascii="Calibri" w:hAnsi="Calibri" w:cs="Calibri"/>
                <w:color w:val="002060"/>
                <w:sz w:val="18"/>
                <w:szCs w:val="18"/>
                <w:lang w:val="sr-Cyrl-CS"/>
              </w:rPr>
              <w:t>061</w:t>
            </w:r>
          </w:p>
        </w:tc>
      </w:tr>
      <w:tr w:rsidR="00F36197" w:rsidRPr="00646254" w14:paraId="18588B90" w14:textId="77777777" w:rsidTr="008E5519">
        <w:trPr>
          <w:trHeight w:hRule="exact" w:val="296"/>
        </w:trPr>
        <w:tc>
          <w:tcPr>
            <w:tcW w:w="3591" w:type="dxa"/>
            <w:tcBorders>
              <w:top w:val="nil"/>
              <w:left w:val="nil"/>
              <w:bottom w:val="nil"/>
              <w:right w:val="nil"/>
            </w:tcBorders>
            <w:shd w:val="clear" w:color="auto" w:fill="auto"/>
            <w:vAlign w:val="center"/>
          </w:tcPr>
          <w:p w14:paraId="4FA76C5D" w14:textId="47F32C5D" w:rsidR="00F36197" w:rsidRPr="00646254" w:rsidRDefault="002A35D9" w:rsidP="008E5519">
            <w:pPr>
              <w:spacing w:after="120" w:line="240" w:lineRule="auto"/>
              <w:rPr>
                <w:rFonts w:eastAsia="MS PGothic" w:cstheme="minorHAnsi"/>
                <w:color w:val="002060"/>
                <w:sz w:val="18"/>
                <w:szCs w:val="18"/>
                <w:lang w:val="sr-Cyrl-CS" w:eastAsia="ja-JP"/>
              </w:rPr>
            </w:pPr>
            <w:r w:rsidRPr="00646254">
              <w:rPr>
                <w:rFonts w:ascii="Calibri" w:hAnsi="Calibri" w:cs="Calibri"/>
                <w:color w:val="002060"/>
                <w:sz w:val="18"/>
                <w:szCs w:val="18"/>
                <w:lang w:val="sr-Cyrl-CS"/>
              </w:rPr>
              <w:t>„</w:t>
            </w:r>
            <w:r w:rsidR="00F36197" w:rsidRPr="00646254">
              <w:rPr>
                <w:rFonts w:ascii="Calibri" w:hAnsi="Calibri" w:cs="Calibri"/>
                <w:color w:val="002060"/>
                <w:sz w:val="18"/>
                <w:szCs w:val="18"/>
                <w:lang w:val="sr-Cyrl-CS"/>
              </w:rPr>
              <w:t>Мокра гора</w:t>
            </w:r>
            <w:r w:rsidRPr="00646254">
              <w:rPr>
                <w:rFonts w:ascii="Calibri" w:hAnsi="Calibri" w:cs="Calibri"/>
                <w:color w:val="002060"/>
                <w:sz w:val="18"/>
                <w:szCs w:val="18"/>
                <w:lang w:val="sr-Cyrl-CS"/>
              </w:rPr>
              <w:t>”</w:t>
            </w:r>
            <w:r w:rsidR="00F36197" w:rsidRPr="00646254">
              <w:rPr>
                <w:rFonts w:ascii="Calibri" w:hAnsi="Calibri" w:cs="Calibri"/>
                <w:color w:val="002060"/>
                <w:sz w:val="18"/>
                <w:szCs w:val="18"/>
                <w:lang w:val="sr-Cyrl-CS"/>
              </w:rPr>
              <w:t xml:space="preserve"> д.о.о.</w:t>
            </w:r>
          </w:p>
        </w:tc>
        <w:tc>
          <w:tcPr>
            <w:tcW w:w="1963" w:type="dxa"/>
            <w:tcBorders>
              <w:top w:val="nil"/>
              <w:left w:val="nil"/>
              <w:bottom w:val="nil"/>
              <w:right w:val="nil"/>
            </w:tcBorders>
            <w:shd w:val="clear" w:color="auto" w:fill="auto"/>
            <w:vAlign w:val="center"/>
          </w:tcPr>
          <w:p w14:paraId="64F50120" w14:textId="77777777" w:rsidR="00F36197" w:rsidRPr="00646254" w:rsidRDefault="00F36197" w:rsidP="008E5519">
            <w:pPr>
              <w:spacing w:after="120" w:line="240" w:lineRule="auto"/>
              <w:jc w:val="right"/>
              <w:rPr>
                <w:rFonts w:eastAsia="MS PGothic" w:cstheme="minorHAnsi"/>
                <w:color w:val="002060"/>
                <w:sz w:val="18"/>
                <w:szCs w:val="18"/>
                <w:lang w:val="sr-Cyrl-CS" w:eastAsia="ja-JP"/>
              </w:rPr>
            </w:pPr>
            <w:r w:rsidRPr="00646254">
              <w:rPr>
                <w:rFonts w:ascii="Calibri" w:hAnsi="Calibri" w:cs="Calibri"/>
                <w:color w:val="002060"/>
                <w:sz w:val="18"/>
                <w:szCs w:val="18"/>
                <w:lang w:val="sr-Cyrl-CS"/>
              </w:rPr>
              <w:t>141</w:t>
            </w:r>
          </w:p>
        </w:tc>
        <w:tc>
          <w:tcPr>
            <w:tcW w:w="1963" w:type="dxa"/>
            <w:tcBorders>
              <w:top w:val="nil"/>
              <w:left w:val="nil"/>
              <w:bottom w:val="nil"/>
              <w:right w:val="nil"/>
            </w:tcBorders>
            <w:shd w:val="clear" w:color="auto" w:fill="auto"/>
            <w:noWrap/>
            <w:vAlign w:val="center"/>
          </w:tcPr>
          <w:p w14:paraId="2639248F" w14:textId="4233C7A0" w:rsidR="00F36197" w:rsidRPr="00646254" w:rsidRDefault="00F36197" w:rsidP="008E5519">
            <w:pPr>
              <w:spacing w:after="120" w:line="240" w:lineRule="auto"/>
              <w:jc w:val="right"/>
              <w:rPr>
                <w:rFonts w:eastAsia="MS PGothic" w:cstheme="minorHAnsi"/>
                <w:color w:val="002060"/>
                <w:sz w:val="18"/>
                <w:szCs w:val="18"/>
                <w:lang w:val="sr-Cyrl-CS" w:eastAsia="ja-JP"/>
              </w:rPr>
            </w:pPr>
            <w:r w:rsidRPr="00646254">
              <w:rPr>
                <w:rFonts w:ascii="Calibri" w:hAnsi="Calibri" w:cs="Calibri"/>
                <w:color w:val="002060"/>
                <w:sz w:val="18"/>
                <w:szCs w:val="18"/>
                <w:lang w:val="sr-Cyrl-CS"/>
              </w:rPr>
              <w:t>29</w:t>
            </w:r>
            <w:r w:rsidR="00480E7C" w:rsidRPr="00646254">
              <w:rPr>
                <w:rFonts w:ascii="Calibri" w:hAnsi="Calibri" w:cs="Calibri"/>
                <w:color w:val="002060"/>
                <w:sz w:val="18"/>
                <w:szCs w:val="18"/>
                <w:lang w:val="sr-Cyrl-CS"/>
              </w:rPr>
              <w:t>.</w:t>
            </w:r>
            <w:r w:rsidRPr="00646254">
              <w:rPr>
                <w:rFonts w:ascii="Calibri" w:hAnsi="Calibri" w:cs="Calibri"/>
                <w:color w:val="002060"/>
                <w:sz w:val="18"/>
                <w:szCs w:val="18"/>
                <w:lang w:val="sr-Cyrl-CS"/>
              </w:rPr>
              <w:t>405</w:t>
            </w:r>
          </w:p>
        </w:tc>
        <w:tc>
          <w:tcPr>
            <w:tcW w:w="1964" w:type="dxa"/>
            <w:tcBorders>
              <w:top w:val="nil"/>
              <w:left w:val="nil"/>
              <w:bottom w:val="nil"/>
              <w:right w:val="nil"/>
            </w:tcBorders>
            <w:shd w:val="clear" w:color="auto" w:fill="auto"/>
            <w:noWrap/>
            <w:vAlign w:val="center"/>
          </w:tcPr>
          <w:p w14:paraId="793C460E" w14:textId="1C799B47" w:rsidR="00F36197" w:rsidRPr="00646254" w:rsidRDefault="00F36197" w:rsidP="008E5519">
            <w:pPr>
              <w:spacing w:after="120" w:line="240" w:lineRule="auto"/>
              <w:jc w:val="right"/>
              <w:rPr>
                <w:rFonts w:eastAsia="MS PGothic" w:cstheme="minorHAnsi"/>
                <w:color w:val="002060"/>
                <w:sz w:val="18"/>
                <w:szCs w:val="18"/>
                <w:lang w:val="sr-Cyrl-CS" w:eastAsia="ja-JP"/>
              </w:rPr>
            </w:pPr>
            <w:r w:rsidRPr="00646254">
              <w:rPr>
                <w:rFonts w:ascii="Calibri" w:hAnsi="Calibri" w:cs="Calibri"/>
                <w:color w:val="002060"/>
                <w:sz w:val="18"/>
                <w:szCs w:val="18"/>
                <w:lang w:val="sr-Cyrl-CS"/>
              </w:rPr>
              <w:t>-4</w:t>
            </w:r>
            <w:r w:rsidR="00480E7C" w:rsidRPr="00646254">
              <w:rPr>
                <w:rFonts w:ascii="Calibri" w:hAnsi="Calibri" w:cs="Calibri"/>
                <w:color w:val="002060"/>
                <w:sz w:val="18"/>
                <w:szCs w:val="18"/>
                <w:lang w:val="sr-Cyrl-CS"/>
              </w:rPr>
              <w:t>.</w:t>
            </w:r>
            <w:r w:rsidRPr="00646254">
              <w:rPr>
                <w:rFonts w:ascii="Calibri" w:hAnsi="Calibri" w:cs="Calibri"/>
                <w:color w:val="002060"/>
                <w:sz w:val="18"/>
                <w:szCs w:val="18"/>
                <w:lang w:val="sr-Cyrl-CS"/>
              </w:rPr>
              <w:t>723</w:t>
            </w:r>
          </w:p>
        </w:tc>
      </w:tr>
      <w:tr w:rsidR="00F36197" w:rsidRPr="00646254" w14:paraId="47BC722E" w14:textId="77777777" w:rsidTr="008E5519">
        <w:trPr>
          <w:trHeight w:hRule="exact" w:val="296"/>
        </w:trPr>
        <w:tc>
          <w:tcPr>
            <w:tcW w:w="3591" w:type="dxa"/>
            <w:tcBorders>
              <w:top w:val="nil"/>
              <w:left w:val="nil"/>
              <w:bottom w:val="nil"/>
              <w:right w:val="nil"/>
            </w:tcBorders>
            <w:shd w:val="clear" w:color="auto" w:fill="auto"/>
            <w:vAlign w:val="center"/>
          </w:tcPr>
          <w:p w14:paraId="17EECC30" w14:textId="77777777" w:rsidR="00F36197" w:rsidRPr="00646254" w:rsidRDefault="00F36197" w:rsidP="008E5519">
            <w:pPr>
              <w:spacing w:after="120" w:line="240" w:lineRule="auto"/>
              <w:rPr>
                <w:rFonts w:eastAsia="MS PGothic" w:cstheme="minorHAnsi"/>
                <w:color w:val="002060"/>
                <w:sz w:val="18"/>
                <w:szCs w:val="18"/>
                <w:lang w:val="sr-Cyrl-CS" w:eastAsia="ja-JP"/>
              </w:rPr>
            </w:pPr>
            <w:r w:rsidRPr="00646254">
              <w:rPr>
                <w:rFonts w:ascii="Calibri" w:hAnsi="Calibri" w:cs="Calibri"/>
                <w:color w:val="002060"/>
                <w:sz w:val="18"/>
                <w:szCs w:val="18"/>
                <w:lang w:val="sr-Cyrl-CS"/>
              </w:rPr>
              <w:t>JП за склоништа</w:t>
            </w:r>
          </w:p>
        </w:tc>
        <w:tc>
          <w:tcPr>
            <w:tcW w:w="1963" w:type="dxa"/>
            <w:tcBorders>
              <w:top w:val="nil"/>
              <w:left w:val="nil"/>
              <w:bottom w:val="nil"/>
              <w:right w:val="nil"/>
            </w:tcBorders>
            <w:shd w:val="clear" w:color="auto" w:fill="auto"/>
            <w:noWrap/>
            <w:vAlign w:val="center"/>
          </w:tcPr>
          <w:p w14:paraId="3F1BFBBE" w14:textId="30B61EA1" w:rsidR="00F36197" w:rsidRPr="00646254" w:rsidRDefault="00F36197" w:rsidP="008E5519">
            <w:pPr>
              <w:spacing w:after="120" w:line="240" w:lineRule="auto"/>
              <w:jc w:val="right"/>
              <w:rPr>
                <w:rFonts w:eastAsia="MS PGothic" w:cstheme="minorHAnsi"/>
                <w:color w:val="002060"/>
                <w:sz w:val="18"/>
                <w:szCs w:val="18"/>
                <w:lang w:val="sr-Cyrl-CS" w:eastAsia="ja-JP"/>
              </w:rPr>
            </w:pPr>
            <w:r w:rsidRPr="00646254">
              <w:rPr>
                <w:rFonts w:ascii="Calibri" w:hAnsi="Calibri" w:cs="Calibri"/>
                <w:color w:val="002060"/>
                <w:sz w:val="18"/>
                <w:szCs w:val="18"/>
                <w:lang w:val="sr-Cyrl-CS"/>
              </w:rPr>
              <w:t>-63</w:t>
            </w:r>
            <w:r w:rsidR="00480E7C" w:rsidRPr="00646254">
              <w:rPr>
                <w:rFonts w:ascii="Calibri" w:hAnsi="Calibri" w:cs="Calibri"/>
                <w:color w:val="002060"/>
                <w:sz w:val="18"/>
                <w:szCs w:val="18"/>
                <w:lang w:val="sr-Cyrl-CS"/>
              </w:rPr>
              <w:t>.</w:t>
            </w:r>
            <w:r w:rsidRPr="00646254">
              <w:rPr>
                <w:rFonts w:ascii="Calibri" w:hAnsi="Calibri" w:cs="Calibri"/>
                <w:color w:val="002060"/>
                <w:sz w:val="18"/>
                <w:szCs w:val="18"/>
                <w:lang w:val="sr-Cyrl-CS"/>
              </w:rPr>
              <w:t>226</w:t>
            </w:r>
          </w:p>
        </w:tc>
        <w:tc>
          <w:tcPr>
            <w:tcW w:w="1963" w:type="dxa"/>
            <w:tcBorders>
              <w:top w:val="nil"/>
              <w:left w:val="nil"/>
              <w:bottom w:val="nil"/>
              <w:right w:val="nil"/>
            </w:tcBorders>
            <w:shd w:val="clear" w:color="auto" w:fill="auto"/>
            <w:noWrap/>
            <w:vAlign w:val="center"/>
          </w:tcPr>
          <w:p w14:paraId="2F958B9B" w14:textId="072454F8" w:rsidR="00F36197" w:rsidRPr="00646254" w:rsidRDefault="00F36197" w:rsidP="008E5519">
            <w:pPr>
              <w:spacing w:after="120" w:line="240" w:lineRule="auto"/>
              <w:jc w:val="right"/>
              <w:rPr>
                <w:rFonts w:eastAsia="MS PGothic" w:cstheme="minorHAnsi"/>
                <w:color w:val="002060"/>
                <w:sz w:val="18"/>
                <w:szCs w:val="18"/>
                <w:lang w:val="sr-Cyrl-CS" w:eastAsia="ja-JP"/>
              </w:rPr>
            </w:pPr>
            <w:r w:rsidRPr="00646254">
              <w:rPr>
                <w:rFonts w:ascii="Calibri" w:hAnsi="Calibri" w:cs="Calibri"/>
                <w:color w:val="002060"/>
                <w:sz w:val="18"/>
                <w:szCs w:val="18"/>
                <w:lang w:val="sr-Cyrl-CS"/>
              </w:rPr>
              <w:t>-68</w:t>
            </w:r>
            <w:r w:rsidR="00480E7C" w:rsidRPr="00646254">
              <w:rPr>
                <w:rFonts w:ascii="Calibri" w:hAnsi="Calibri" w:cs="Calibri"/>
                <w:color w:val="002060"/>
                <w:sz w:val="18"/>
                <w:szCs w:val="18"/>
                <w:lang w:val="sr-Cyrl-CS"/>
              </w:rPr>
              <w:t>.</w:t>
            </w:r>
            <w:r w:rsidRPr="00646254">
              <w:rPr>
                <w:rFonts w:ascii="Calibri" w:hAnsi="Calibri" w:cs="Calibri"/>
                <w:color w:val="002060"/>
                <w:sz w:val="18"/>
                <w:szCs w:val="18"/>
                <w:lang w:val="sr-Cyrl-CS"/>
              </w:rPr>
              <w:t>760</w:t>
            </w:r>
          </w:p>
        </w:tc>
        <w:tc>
          <w:tcPr>
            <w:tcW w:w="1964" w:type="dxa"/>
            <w:tcBorders>
              <w:top w:val="nil"/>
              <w:left w:val="nil"/>
              <w:bottom w:val="nil"/>
              <w:right w:val="nil"/>
            </w:tcBorders>
            <w:shd w:val="clear" w:color="auto" w:fill="auto"/>
            <w:noWrap/>
            <w:vAlign w:val="center"/>
          </w:tcPr>
          <w:p w14:paraId="17197C26" w14:textId="7D360898" w:rsidR="00F36197" w:rsidRPr="00646254" w:rsidRDefault="00F36197" w:rsidP="008E5519">
            <w:pPr>
              <w:spacing w:after="120" w:line="240" w:lineRule="auto"/>
              <w:jc w:val="right"/>
              <w:rPr>
                <w:rFonts w:eastAsia="MS PGothic" w:cstheme="minorHAnsi"/>
                <w:color w:val="002060"/>
                <w:sz w:val="18"/>
                <w:szCs w:val="18"/>
                <w:lang w:val="sr-Cyrl-CS" w:eastAsia="ja-JP"/>
              </w:rPr>
            </w:pPr>
            <w:r w:rsidRPr="00646254">
              <w:rPr>
                <w:rFonts w:ascii="Calibri" w:hAnsi="Calibri" w:cs="Calibri"/>
                <w:color w:val="002060"/>
                <w:sz w:val="18"/>
                <w:szCs w:val="18"/>
                <w:lang w:val="sr-Cyrl-CS"/>
              </w:rPr>
              <w:t>-27</w:t>
            </w:r>
            <w:r w:rsidR="00480E7C" w:rsidRPr="00646254">
              <w:rPr>
                <w:rFonts w:ascii="Calibri" w:hAnsi="Calibri" w:cs="Calibri"/>
                <w:color w:val="002060"/>
                <w:sz w:val="18"/>
                <w:szCs w:val="18"/>
                <w:lang w:val="sr-Cyrl-CS"/>
              </w:rPr>
              <w:t>.</w:t>
            </w:r>
            <w:r w:rsidRPr="00646254">
              <w:rPr>
                <w:rFonts w:ascii="Calibri" w:hAnsi="Calibri" w:cs="Calibri"/>
                <w:color w:val="002060"/>
                <w:sz w:val="18"/>
                <w:szCs w:val="18"/>
                <w:lang w:val="sr-Cyrl-CS"/>
              </w:rPr>
              <w:t>328</w:t>
            </w:r>
          </w:p>
        </w:tc>
      </w:tr>
      <w:tr w:rsidR="00F36197" w:rsidRPr="00646254" w14:paraId="55BCD78A" w14:textId="77777777" w:rsidTr="008E5519">
        <w:trPr>
          <w:trHeight w:hRule="exact" w:val="296"/>
        </w:trPr>
        <w:tc>
          <w:tcPr>
            <w:tcW w:w="3591" w:type="dxa"/>
            <w:tcBorders>
              <w:top w:val="nil"/>
              <w:left w:val="nil"/>
              <w:bottom w:val="nil"/>
              <w:right w:val="nil"/>
            </w:tcBorders>
            <w:shd w:val="clear" w:color="auto" w:fill="auto"/>
            <w:noWrap/>
            <w:vAlign w:val="center"/>
          </w:tcPr>
          <w:p w14:paraId="23752747" w14:textId="57632423" w:rsidR="00F36197" w:rsidRPr="00646254" w:rsidRDefault="00F36197" w:rsidP="008E5519">
            <w:pPr>
              <w:spacing w:after="120" w:line="240" w:lineRule="auto"/>
              <w:rPr>
                <w:rFonts w:eastAsia="MS PGothic" w:cstheme="minorHAnsi"/>
                <w:color w:val="002060"/>
                <w:sz w:val="18"/>
                <w:szCs w:val="18"/>
                <w:lang w:val="sr-Cyrl-CS" w:eastAsia="ja-JP"/>
              </w:rPr>
            </w:pPr>
            <w:r w:rsidRPr="00646254">
              <w:rPr>
                <w:rFonts w:ascii="Calibri" w:hAnsi="Calibri" w:cs="Calibri"/>
                <w:color w:val="002060"/>
                <w:sz w:val="18"/>
                <w:szCs w:val="18"/>
                <w:lang w:val="sr-Cyrl-CS"/>
              </w:rPr>
              <w:t xml:space="preserve">ЈП </w:t>
            </w:r>
            <w:r w:rsidR="002A35D9" w:rsidRPr="00646254">
              <w:rPr>
                <w:rFonts w:ascii="Calibri" w:hAnsi="Calibri" w:cs="Calibri"/>
                <w:color w:val="002060"/>
                <w:sz w:val="18"/>
                <w:szCs w:val="18"/>
                <w:lang w:val="sr-Cyrl-CS"/>
              </w:rPr>
              <w:t>„</w:t>
            </w:r>
            <w:r w:rsidRPr="00646254">
              <w:rPr>
                <w:rFonts w:ascii="Calibri" w:hAnsi="Calibri" w:cs="Calibri"/>
                <w:color w:val="002060"/>
                <w:sz w:val="18"/>
                <w:szCs w:val="18"/>
                <w:lang w:val="sr-Cyrl-CS"/>
              </w:rPr>
              <w:t>Службени гласник</w:t>
            </w:r>
            <w:r w:rsidR="002A35D9" w:rsidRPr="00646254">
              <w:rPr>
                <w:rFonts w:ascii="Calibri" w:hAnsi="Calibri" w:cs="Calibri"/>
                <w:color w:val="002060"/>
                <w:sz w:val="18"/>
                <w:szCs w:val="18"/>
                <w:lang w:val="sr-Cyrl-CS"/>
              </w:rPr>
              <w:t>”</w:t>
            </w:r>
          </w:p>
        </w:tc>
        <w:tc>
          <w:tcPr>
            <w:tcW w:w="1963" w:type="dxa"/>
            <w:tcBorders>
              <w:top w:val="nil"/>
              <w:left w:val="nil"/>
              <w:bottom w:val="nil"/>
              <w:right w:val="nil"/>
            </w:tcBorders>
            <w:shd w:val="clear" w:color="auto" w:fill="auto"/>
            <w:noWrap/>
            <w:vAlign w:val="center"/>
          </w:tcPr>
          <w:p w14:paraId="60709D17" w14:textId="72706E9A" w:rsidR="00F36197" w:rsidRPr="00646254" w:rsidRDefault="00F36197" w:rsidP="008E5519">
            <w:pPr>
              <w:spacing w:after="120" w:line="240" w:lineRule="auto"/>
              <w:jc w:val="right"/>
              <w:rPr>
                <w:rFonts w:eastAsia="MS PGothic" w:cstheme="minorHAnsi"/>
                <w:color w:val="002060"/>
                <w:sz w:val="18"/>
                <w:szCs w:val="18"/>
                <w:lang w:val="sr-Cyrl-CS" w:eastAsia="ja-JP"/>
              </w:rPr>
            </w:pPr>
            <w:r w:rsidRPr="00646254">
              <w:rPr>
                <w:rFonts w:ascii="Calibri" w:hAnsi="Calibri" w:cs="Calibri"/>
                <w:color w:val="002060"/>
                <w:sz w:val="18"/>
                <w:szCs w:val="18"/>
                <w:lang w:val="sr-Cyrl-CS"/>
              </w:rPr>
              <w:t>73</w:t>
            </w:r>
            <w:r w:rsidR="00480E7C" w:rsidRPr="00646254">
              <w:rPr>
                <w:rFonts w:ascii="Calibri" w:hAnsi="Calibri" w:cs="Calibri"/>
                <w:color w:val="002060"/>
                <w:sz w:val="18"/>
                <w:szCs w:val="18"/>
                <w:lang w:val="sr-Cyrl-CS"/>
              </w:rPr>
              <w:t>.</w:t>
            </w:r>
            <w:r w:rsidRPr="00646254">
              <w:rPr>
                <w:rFonts w:ascii="Calibri" w:hAnsi="Calibri" w:cs="Calibri"/>
                <w:color w:val="002060"/>
                <w:sz w:val="18"/>
                <w:szCs w:val="18"/>
                <w:lang w:val="sr-Cyrl-CS"/>
              </w:rPr>
              <w:t>964</w:t>
            </w:r>
          </w:p>
        </w:tc>
        <w:tc>
          <w:tcPr>
            <w:tcW w:w="1963" w:type="dxa"/>
            <w:tcBorders>
              <w:top w:val="nil"/>
              <w:left w:val="nil"/>
              <w:bottom w:val="nil"/>
              <w:right w:val="nil"/>
            </w:tcBorders>
            <w:shd w:val="clear" w:color="auto" w:fill="auto"/>
            <w:noWrap/>
            <w:vAlign w:val="center"/>
          </w:tcPr>
          <w:p w14:paraId="5B477470" w14:textId="3D3DE12C" w:rsidR="00F36197" w:rsidRPr="00646254" w:rsidRDefault="00F36197" w:rsidP="008E5519">
            <w:pPr>
              <w:spacing w:after="120" w:line="240" w:lineRule="auto"/>
              <w:jc w:val="right"/>
              <w:rPr>
                <w:rFonts w:eastAsia="MS PGothic" w:cstheme="minorHAnsi"/>
                <w:color w:val="002060"/>
                <w:sz w:val="18"/>
                <w:szCs w:val="18"/>
                <w:lang w:val="sr-Cyrl-CS" w:eastAsia="ja-JP"/>
              </w:rPr>
            </w:pPr>
            <w:r w:rsidRPr="00646254">
              <w:rPr>
                <w:rFonts w:ascii="Calibri" w:hAnsi="Calibri" w:cs="Calibri"/>
                <w:color w:val="002060"/>
                <w:sz w:val="18"/>
                <w:szCs w:val="18"/>
                <w:lang w:val="sr-Cyrl-CS"/>
              </w:rPr>
              <w:t>2</w:t>
            </w:r>
            <w:r w:rsidR="00480E7C" w:rsidRPr="00646254">
              <w:rPr>
                <w:rFonts w:ascii="Calibri" w:hAnsi="Calibri" w:cs="Calibri"/>
                <w:color w:val="002060"/>
                <w:sz w:val="18"/>
                <w:szCs w:val="18"/>
                <w:lang w:val="sr-Cyrl-CS"/>
              </w:rPr>
              <w:t>.</w:t>
            </w:r>
            <w:r w:rsidRPr="00646254">
              <w:rPr>
                <w:rFonts w:ascii="Calibri" w:hAnsi="Calibri" w:cs="Calibri"/>
                <w:color w:val="002060"/>
                <w:sz w:val="18"/>
                <w:szCs w:val="18"/>
                <w:lang w:val="sr-Cyrl-CS"/>
              </w:rPr>
              <w:t>138</w:t>
            </w:r>
          </w:p>
        </w:tc>
        <w:tc>
          <w:tcPr>
            <w:tcW w:w="1964" w:type="dxa"/>
            <w:tcBorders>
              <w:top w:val="nil"/>
              <w:left w:val="nil"/>
              <w:bottom w:val="nil"/>
              <w:right w:val="nil"/>
            </w:tcBorders>
            <w:shd w:val="clear" w:color="auto" w:fill="auto"/>
            <w:noWrap/>
            <w:vAlign w:val="center"/>
          </w:tcPr>
          <w:p w14:paraId="5F4ADAE8" w14:textId="790B36EE" w:rsidR="00F36197" w:rsidRPr="00646254" w:rsidRDefault="00F36197" w:rsidP="008E5519">
            <w:pPr>
              <w:spacing w:after="120" w:line="240" w:lineRule="auto"/>
              <w:jc w:val="right"/>
              <w:rPr>
                <w:rFonts w:eastAsia="MS PGothic" w:cstheme="minorHAnsi"/>
                <w:color w:val="002060"/>
                <w:sz w:val="18"/>
                <w:szCs w:val="18"/>
                <w:lang w:val="sr-Cyrl-CS" w:eastAsia="ja-JP"/>
              </w:rPr>
            </w:pPr>
            <w:r w:rsidRPr="00646254">
              <w:rPr>
                <w:rFonts w:ascii="Calibri" w:hAnsi="Calibri" w:cs="Calibri"/>
                <w:color w:val="002060"/>
                <w:sz w:val="18"/>
                <w:szCs w:val="18"/>
                <w:lang w:val="sr-Cyrl-CS"/>
              </w:rPr>
              <w:t>-61</w:t>
            </w:r>
            <w:r w:rsidR="00480E7C" w:rsidRPr="00646254">
              <w:rPr>
                <w:rFonts w:ascii="Calibri" w:hAnsi="Calibri" w:cs="Calibri"/>
                <w:color w:val="002060"/>
                <w:sz w:val="18"/>
                <w:szCs w:val="18"/>
                <w:lang w:val="sr-Cyrl-CS"/>
              </w:rPr>
              <w:t>.</w:t>
            </w:r>
            <w:r w:rsidRPr="00646254">
              <w:rPr>
                <w:rFonts w:ascii="Calibri" w:hAnsi="Calibri" w:cs="Calibri"/>
                <w:color w:val="002060"/>
                <w:sz w:val="18"/>
                <w:szCs w:val="18"/>
                <w:lang w:val="sr-Cyrl-CS"/>
              </w:rPr>
              <w:t>788</w:t>
            </w:r>
          </w:p>
        </w:tc>
      </w:tr>
      <w:tr w:rsidR="00F36197" w:rsidRPr="00646254" w14:paraId="399D4571" w14:textId="77777777" w:rsidTr="008E5519">
        <w:trPr>
          <w:trHeight w:hRule="exact" w:val="296"/>
        </w:trPr>
        <w:tc>
          <w:tcPr>
            <w:tcW w:w="3591" w:type="dxa"/>
            <w:tcBorders>
              <w:top w:val="nil"/>
              <w:left w:val="nil"/>
              <w:bottom w:val="nil"/>
              <w:right w:val="nil"/>
            </w:tcBorders>
            <w:shd w:val="clear" w:color="auto" w:fill="auto"/>
            <w:noWrap/>
            <w:vAlign w:val="center"/>
          </w:tcPr>
          <w:p w14:paraId="48A59A21" w14:textId="04EB787F" w:rsidR="00F36197" w:rsidRPr="00646254" w:rsidRDefault="002A35D9" w:rsidP="008E5519">
            <w:pPr>
              <w:spacing w:after="120" w:line="240" w:lineRule="auto"/>
              <w:rPr>
                <w:rFonts w:eastAsia="MS PGothic" w:cstheme="minorHAnsi"/>
                <w:color w:val="002060"/>
                <w:sz w:val="18"/>
                <w:szCs w:val="18"/>
                <w:lang w:val="sr-Cyrl-CS" w:eastAsia="ja-JP"/>
              </w:rPr>
            </w:pPr>
            <w:r w:rsidRPr="00646254">
              <w:rPr>
                <w:rFonts w:ascii="Calibri" w:hAnsi="Calibri" w:cs="Calibri"/>
                <w:color w:val="002060"/>
                <w:sz w:val="18"/>
                <w:szCs w:val="18"/>
                <w:lang w:val="sr-Cyrl-CS"/>
              </w:rPr>
              <w:t>„</w:t>
            </w:r>
            <w:r w:rsidR="00F36197" w:rsidRPr="00646254">
              <w:rPr>
                <w:rFonts w:ascii="Calibri" w:hAnsi="Calibri" w:cs="Calibri"/>
                <w:color w:val="002060"/>
                <w:sz w:val="18"/>
                <w:szCs w:val="18"/>
                <w:lang w:val="sr-Cyrl-CS"/>
              </w:rPr>
              <w:t>Инфраструктура железнице Србије</w:t>
            </w:r>
            <w:r w:rsidRPr="00646254">
              <w:rPr>
                <w:rFonts w:ascii="Calibri" w:hAnsi="Calibri" w:cs="Calibri"/>
                <w:color w:val="002060"/>
                <w:sz w:val="18"/>
                <w:szCs w:val="18"/>
                <w:lang w:val="sr-Cyrl-CS"/>
              </w:rPr>
              <w:t>”</w:t>
            </w:r>
            <w:r w:rsidR="00F36197" w:rsidRPr="00646254">
              <w:rPr>
                <w:rFonts w:ascii="Calibri" w:hAnsi="Calibri" w:cs="Calibri"/>
                <w:color w:val="002060"/>
                <w:sz w:val="18"/>
                <w:szCs w:val="18"/>
                <w:lang w:val="sr-Cyrl-CS"/>
              </w:rPr>
              <w:t xml:space="preserve"> а.д.</w:t>
            </w:r>
          </w:p>
        </w:tc>
        <w:tc>
          <w:tcPr>
            <w:tcW w:w="1963" w:type="dxa"/>
            <w:tcBorders>
              <w:top w:val="nil"/>
              <w:left w:val="nil"/>
              <w:bottom w:val="nil"/>
              <w:right w:val="nil"/>
            </w:tcBorders>
            <w:shd w:val="clear" w:color="auto" w:fill="auto"/>
            <w:noWrap/>
            <w:vAlign w:val="center"/>
          </w:tcPr>
          <w:p w14:paraId="1416CB64" w14:textId="74C15C35" w:rsidR="00F36197" w:rsidRPr="00646254" w:rsidRDefault="00F36197" w:rsidP="008E5519">
            <w:pPr>
              <w:spacing w:after="120" w:line="240" w:lineRule="auto"/>
              <w:jc w:val="right"/>
              <w:rPr>
                <w:rFonts w:eastAsia="MS PGothic" w:cstheme="minorHAnsi"/>
                <w:color w:val="002060"/>
                <w:sz w:val="18"/>
                <w:szCs w:val="18"/>
                <w:lang w:val="sr-Cyrl-CS" w:eastAsia="ja-JP"/>
              </w:rPr>
            </w:pPr>
            <w:r w:rsidRPr="00646254">
              <w:rPr>
                <w:rFonts w:ascii="Calibri" w:hAnsi="Calibri" w:cs="Calibri"/>
                <w:color w:val="002060"/>
                <w:sz w:val="18"/>
                <w:szCs w:val="18"/>
                <w:lang w:val="sr-Cyrl-CS"/>
              </w:rPr>
              <w:t>-1</w:t>
            </w:r>
            <w:r w:rsidR="00480E7C" w:rsidRPr="00646254">
              <w:rPr>
                <w:rFonts w:ascii="Calibri" w:hAnsi="Calibri" w:cs="Calibri"/>
                <w:color w:val="002060"/>
                <w:sz w:val="18"/>
                <w:szCs w:val="18"/>
                <w:lang w:val="sr-Cyrl-CS"/>
              </w:rPr>
              <w:t>.</w:t>
            </w:r>
            <w:r w:rsidRPr="00646254">
              <w:rPr>
                <w:rFonts w:ascii="Calibri" w:hAnsi="Calibri" w:cs="Calibri"/>
                <w:color w:val="002060"/>
                <w:sz w:val="18"/>
                <w:szCs w:val="18"/>
                <w:lang w:val="sr-Cyrl-CS"/>
              </w:rPr>
              <w:t>975</w:t>
            </w:r>
            <w:r w:rsidR="00480E7C" w:rsidRPr="00646254">
              <w:rPr>
                <w:rFonts w:ascii="Calibri" w:hAnsi="Calibri" w:cs="Calibri"/>
                <w:color w:val="002060"/>
                <w:sz w:val="18"/>
                <w:szCs w:val="18"/>
                <w:lang w:val="sr-Cyrl-CS"/>
              </w:rPr>
              <w:t>.</w:t>
            </w:r>
            <w:r w:rsidRPr="00646254">
              <w:rPr>
                <w:rFonts w:ascii="Calibri" w:hAnsi="Calibri" w:cs="Calibri"/>
                <w:color w:val="002060"/>
                <w:sz w:val="18"/>
                <w:szCs w:val="18"/>
                <w:lang w:val="sr-Cyrl-CS"/>
              </w:rPr>
              <w:t>348</w:t>
            </w:r>
          </w:p>
        </w:tc>
        <w:tc>
          <w:tcPr>
            <w:tcW w:w="1963" w:type="dxa"/>
            <w:tcBorders>
              <w:top w:val="nil"/>
              <w:left w:val="nil"/>
              <w:bottom w:val="nil"/>
              <w:right w:val="nil"/>
            </w:tcBorders>
            <w:shd w:val="clear" w:color="auto" w:fill="auto"/>
            <w:noWrap/>
            <w:vAlign w:val="center"/>
          </w:tcPr>
          <w:p w14:paraId="49858847" w14:textId="4DA38647" w:rsidR="00F36197" w:rsidRPr="00646254" w:rsidRDefault="00F36197" w:rsidP="008E5519">
            <w:pPr>
              <w:spacing w:after="120" w:line="240" w:lineRule="auto"/>
              <w:jc w:val="right"/>
              <w:rPr>
                <w:rFonts w:eastAsia="MS PGothic" w:cstheme="minorHAnsi"/>
                <w:color w:val="002060"/>
                <w:sz w:val="18"/>
                <w:szCs w:val="18"/>
                <w:lang w:val="sr-Cyrl-CS" w:eastAsia="ja-JP"/>
              </w:rPr>
            </w:pPr>
            <w:r w:rsidRPr="00646254">
              <w:rPr>
                <w:rFonts w:ascii="Calibri" w:hAnsi="Calibri" w:cs="Calibri"/>
                <w:color w:val="002060"/>
                <w:sz w:val="18"/>
                <w:szCs w:val="18"/>
                <w:lang w:val="sr-Cyrl-CS"/>
              </w:rPr>
              <w:t>-1</w:t>
            </w:r>
            <w:r w:rsidR="00480E7C" w:rsidRPr="00646254">
              <w:rPr>
                <w:rFonts w:ascii="Calibri" w:hAnsi="Calibri" w:cs="Calibri"/>
                <w:color w:val="002060"/>
                <w:sz w:val="18"/>
                <w:szCs w:val="18"/>
                <w:lang w:val="sr-Cyrl-CS"/>
              </w:rPr>
              <w:t>.</w:t>
            </w:r>
            <w:r w:rsidRPr="00646254">
              <w:rPr>
                <w:rFonts w:ascii="Calibri" w:hAnsi="Calibri" w:cs="Calibri"/>
                <w:color w:val="002060"/>
                <w:sz w:val="18"/>
                <w:szCs w:val="18"/>
                <w:lang w:val="sr-Cyrl-CS"/>
              </w:rPr>
              <w:t>889</w:t>
            </w:r>
            <w:r w:rsidR="00480E7C" w:rsidRPr="00646254">
              <w:rPr>
                <w:rFonts w:ascii="Calibri" w:hAnsi="Calibri" w:cs="Calibri"/>
                <w:color w:val="002060"/>
                <w:sz w:val="18"/>
                <w:szCs w:val="18"/>
                <w:lang w:val="sr-Cyrl-CS"/>
              </w:rPr>
              <w:t>.</w:t>
            </w:r>
            <w:r w:rsidRPr="00646254">
              <w:rPr>
                <w:rFonts w:ascii="Calibri" w:hAnsi="Calibri" w:cs="Calibri"/>
                <w:color w:val="002060"/>
                <w:sz w:val="18"/>
                <w:szCs w:val="18"/>
                <w:lang w:val="sr-Cyrl-CS"/>
              </w:rPr>
              <w:t>114</w:t>
            </w:r>
          </w:p>
        </w:tc>
        <w:tc>
          <w:tcPr>
            <w:tcW w:w="1964" w:type="dxa"/>
            <w:tcBorders>
              <w:top w:val="nil"/>
              <w:left w:val="nil"/>
              <w:bottom w:val="nil"/>
              <w:right w:val="nil"/>
            </w:tcBorders>
            <w:shd w:val="clear" w:color="auto" w:fill="auto"/>
            <w:noWrap/>
            <w:vAlign w:val="center"/>
          </w:tcPr>
          <w:p w14:paraId="22C9FA8A" w14:textId="2EB6EC3C" w:rsidR="00F36197" w:rsidRPr="00646254" w:rsidRDefault="00F36197" w:rsidP="008E5519">
            <w:pPr>
              <w:spacing w:after="120" w:line="240" w:lineRule="auto"/>
              <w:jc w:val="right"/>
              <w:rPr>
                <w:rFonts w:eastAsia="MS PGothic" w:cstheme="minorHAnsi"/>
                <w:color w:val="002060"/>
                <w:sz w:val="18"/>
                <w:szCs w:val="18"/>
                <w:lang w:val="sr-Cyrl-CS" w:eastAsia="ja-JP"/>
              </w:rPr>
            </w:pPr>
            <w:r w:rsidRPr="00646254">
              <w:rPr>
                <w:rFonts w:ascii="Calibri" w:hAnsi="Calibri" w:cs="Calibri"/>
                <w:color w:val="002060"/>
                <w:sz w:val="18"/>
                <w:szCs w:val="18"/>
                <w:lang w:val="sr-Cyrl-CS"/>
              </w:rPr>
              <w:t>-1</w:t>
            </w:r>
            <w:r w:rsidR="00480E7C" w:rsidRPr="00646254">
              <w:rPr>
                <w:rFonts w:ascii="Calibri" w:hAnsi="Calibri" w:cs="Calibri"/>
                <w:color w:val="002060"/>
                <w:sz w:val="18"/>
                <w:szCs w:val="18"/>
                <w:lang w:val="sr-Cyrl-CS"/>
              </w:rPr>
              <w:t>.</w:t>
            </w:r>
            <w:r w:rsidRPr="00646254">
              <w:rPr>
                <w:rFonts w:ascii="Calibri" w:hAnsi="Calibri" w:cs="Calibri"/>
                <w:color w:val="002060"/>
                <w:sz w:val="18"/>
                <w:szCs w:val="18"/>
                <w:lang w:val="sr-Cyrl-CS"/>
              </w:rPr>
              <w:t>169</w:t>
            </w:r>
            <w:r w:rsidR="00480E7C" w:rsidRPr="00646254">
              <w:rPr>
                <w:rFonts w:ascii="Calibri" w:hAnsi="Calibri" w:cs="Calibri"/>
                <w:color w:val="002060"/>
                <w:sz w:val="18"/>
                <w:szCs w:val="18"/>
                <w:lang w:val="sr-Cyrl-CS"/>
              </w:rPr>
              <w:t>.</w:t>
            </w:r>
            <w:r w:rsidRPr="00646254">
              <w:rPr>
                <w:rFonts w:ascii="Calibri" w:hAnsi="Calibri" w:cs="Calibri"/>
                <w:color w:val="002060"/>
                <w:sz w:val="18"/>
                <w:szCs w:val="18"/>
                <w:lang w:val="sr-Cyrl-CS"/>
              </w:rPr>
              <w:t>085</w:t>
            </w:r>
          </w:p>
        </w:tc>
      </w:tr>
      <w:tr w:rsidR="00F36197" w:rsidRPr="00646254" w14:paraId="24E58029" w14:textId="77777777" w:rsidTr="008E5519">
        <w:trPr>
          <w:trHeight w:hRule="exact" w:val="296"/>
        </w:trPr>
        <w:tc>
          <w:tcPr>
            <w:tcW w:w="3591" w:type="dxa"/>
            <w:tcBorders>
              <w:top w:val="nil"/>
              <w:left w:val="nil"/>
              <w:bottom w:val="nil"/>
              <w:right w:val="nil"/>
            </w:tcBorders>
            <w:shd w:val="clear" w:color="auto" w:fill="auto"/>
            <w:noWrap/>
            <w:vAlign w:val="center"/>
          </w:tcPr>
          <w:p w14:paraId="617DDA90" w14:textId="0EA61BC4" w:rsidR="00F36197" w:rsidRPr="00646254" w:rsidRDefault="002A35D9" w:rsidP="008E5519">
            <w:pPr>
              <w:spacing w:after="120" w:line="240" w:lineRule="auto"/>
              <w:rPr>
                <w:rFonts w:eastAsia="MS PGothic" w:cstheme="minorHAnsi"/>
                <w:color w:val="002060"/>
                <w:sz w:val="18"/>
                <w:szCs w:val="18"/>
                <w:lang w:val="sr-Cyrl-CS" w:eastAsia="ja-JP"/>
              </w:rPr>
            </w:pPr>
            <w:r w:rsidRPr="00646254">
              <w:rPr>
                <w:rFonts w:ascii="Calibri" w:hAnsi="Calibri" w:cs="Calibri"/>
                <w:color w:val="002060"/>
                <w:sz w:val="18"/>
                <w:szCs w:val="18"/>
                <w:lang w:val="sr-Cyrl-CS"/>
              </w:rPr>
              <w:t>„</w:t>
            </w:r>
            <w:r w:rsidR="00F36197" w:rsidRPr="00646254">
              <w:rPr>
                <w:rFonts w:ascii="Calibri" w:hAnsi="Calibri" w:cs="Calibri"/>
                <w:color w:val="002060"/>
                <w:sz w:val="18"/>
                <w:szCs w:val="18"/>
                <w:lang w:val="sr-Cyrl-CS"/>
              </w:rPr>
              <w:t>Тврђава Голубачки град</w:t>
            </w:r>
            <w:r w:rsidRPr="00646254">
              <w:rPr>
                <w:rFonts w:ascii="Calibri" w:hAnsi="Calibri" w:cs="Calibri"/>
                <w:color w:val="002060"/>
                <w:sz w:val="18"/>
                <w:szCs w:val="18"/>
                <w:lang w:val="sr-Cyrl-CS"/>
              </w:rPr>
              <w:t>”</w:t>
            </w:r>
            <w:r w:rsidR="00F36197" w:rsidRPr="00646254">
              <w:rPr>
                <w:rFonts w:ascii="Calibri" w:hAnsi="Calibri" w:cs="Calibri"/>
                <w:color w:val="002060"/>
                <w:sz w:val="18"/>
                <w:szCs w:val="18"/>
                <w:lang w:val="sr-Cyrl-CS"/>
              </w:rPr>
              <w:t xml:space="preserve"> д.о.о.</w:t>
            </w:r>
          </w:p>
        </w:tc>
        <w:tc>
          <w:tcPr>
            <w:tcW w:w="1963" w:type="dxa"/>
            <w:tcBorders>
              <w:top w:val="nil"/>
              <w:left w:val="nil"/>
              <w:bottom w:val="nil"/>
              <w:right w:val="nil"/>
            </w:tcBorders>
            <w:shd w:val="clear" w:color="auto" w:fill="auto"/>
            <w:noWrap/>
            <w:vAlign w:val="center"/>
          </w:tcPr>
          <w:p w14:paraId="3436B056" w14:textId="77777777" w:rsidR="00F36197" w:rsidRPr="00646254" w:rsidRDefault="00F36197" w:rsidP="008E5519">
            <w:pPr>
              <w:spacing w:after="120" w:line="240" w:lineRule="auto"/>
              <w:jc w:val="right"/>
              <w:rPr>
                <w:rFonts w:eastAsia="MS PGothic" w:cstheme="minorHAnsi"/>
                <w:color w:val="002060"/>
                <w:sz w:val="18"/>
                <w:szCs w:val="18"/>
                <w:lang w:val="sr-Cyrl-CS" w:eastAsia="ja-JP"/>
              </w:rPr>
            </w:pPr>
            <w:r w:rsidRPr="00646254">
              <w:rPr>
                <w:rFonts w:ascii="Calibri" w:hAnsi="Calibri" w:cs="Calibri"/>
                <w:color w:val="002060"/>
                <w:sz w:val="18"/>
                <w:szCs w:val="18"/>
                <w:lang w:val="sr-Cyrl-CS"/>
              </w:rPr>
              <w:t>-204</w:t>
            </w:r>
          </w:p>
        </w:tc>
        <w:tc>
          <w:tcPr>
            <w:tcW w:w="1963" w:type="dxa"/>
            <w:tcBorders>
              <w:top w:val="nil"/>
              <w:left w:val="nil"/>
              <w:bottom w:val="nil"/>
              <w:right w:val="nil"/>
            </w:tcBorders>
            <w:shd w:val="clear" w:color="auto" w:fill="auto"/>
            <w:noWrap/>
            <w:vAlign w:val="center"/>
          </w:tcPr>
          <w:p w14:paraId="3117ADE8" w14:textId="7D8C0960" w:rsidR="00F36197" w:rsidRPr="00646254" w:rsidRDefault="00F36197" w:rsidP="008E5519">
            <w:pPr>
              <w:spacing w:after="120" w:line="240" w:lineRule="auto"/>
              <w:jc w:val="right"/>
              <w:rPr>
                <w:rFonts w:eastAsia="MS PGothic" w:cstheme="minorHAnsi"/>
                <w:color w:val="002060"/>
                <w:sz w:val="18"/>
                <w:szCs w:val="18"/>
                <w:lang w:val="sr-Cyrl-CS" w:eastAsia="ja-JP"/>
              </w:rPr>
            </w:pPr>
            <w:r w:rsidRPr="00646254">
              <w:rPr>
                <w:rFonts w:ascii="Calibri" w:hAnsi="Calibri" w:cs="Calibri"/>
                <w:color w:val="002060"/>
                <w:sz w:val="18"/>
                <w:szCs w:val="18"/>
                <w:lang w:val="sr-Cyrl-CS"/>
              </w:rPr>
              <w:t>-1</w:t>
            </w:r>
            <w:r w:rsidR="00480E7C" w:rsidRPr="00646254">
              <w:rPr>
                <w:rFonts w:ascii="Calibri" w:hAnsi="Calibri" w:cs="Calibri"/>
                <w:color w:val="002060"/>
                <w:sz w:val="18"/>
                <w:szCs w:val="18"/>
                <w:lang w:val="sr-Cyrl-CS"/>
              </w:rPr>
              <w:t>.</w:t>
            </w:r>
            <w:r w:rsidRPr="00646254">
              <w:rPr>
                <w:rFonts w:ascii="Calibri" w:hAnsi="Calibri" w:cs="Calibri"/>
                <w:color w:val="002060"/>
                <w:sz w:val="18"/>
                <w:szCs w:val="18"/>
                <w:lang w:val="sr-Cyrl-CS"/>
              </w:rPr>
              <w:t>400</w:t>
            </w:r>
          </w:p>
        </w:tc>
        <w:tc>
          <w:tcPr>
            <w:tcW w:w="1964" w:type="dxa"/>
            <w:tcBorders>
              <w:top w:val="nil"/>
              <w:left w:val="nil"/>
              <w:bottom w:val="nil"/>
              <w:right w:val="nil"/>
            </w:tcBorders>
            <w:shd w:val="clear" w:color="auto" w:fill="auto"/>
            <w:noWrap/>
            <w:vAlign w:val="center"/>
          </w:tcPr>
          <w:p w14:paraId="74776EE0" w14:textId="30A90076" w:rsidR="00F36197" w:rsidRPr="00646254" w:rsidRDefault="00F36197" w:rsidP="008E5519">
            <w:pPr>
              <w:spacing w:after="120" w:line="240" w:lineRule="auto"/>
              <w:jc w:val="right"/>
              <w:rPr>
                <w:rFonts w:eastAsia="MS PGothic" w:cstheme="minorHAnsi"/>
                <w:color w:val="002060"/>
                <w:sz w:val="18"/>
                <w:szCs w:val="18"/>
                <w:lang w:val="sr-Cyrl-CS" w:eastAsia="ja-JP"/>
              </w:rPr>
            </w:pPr>
            <w:r w:rsidRPr="00646254">
              <w:rPr>
                <w:rFonts w:ascii="Calibri" w:hAnsi="Calibri" w:cs="Calibri"/>
                <w:color w:val="002060"/>
                <w:sz w:val="18"/>
                <w:szCs w:val="18"/>
                <w:lang w:val="sr-Cyrl-CS"/>
              </w:rPr>
              <w:t>-5</w:t>
            </w:r>
            <w:r w:rsidR="00480E7C" w:rsidRPr="00646254">
              <w:rPr>
                <w:rFonts w:ascii="Calibri" w:hAnsi="Calibri" w:cs="Calibri"/>
                <w:color w:val="002060"/>
                <w:sz w:val="18"/>
                <w:szCs w:val="18"/>
                <w:lang w:val="sr-Cyrl-CS"/>
              </w:rPr>
              <w:t>.</w:t>
            </w:r>
            <w:r w:rsidRPr="00646254">
              <w:rPr>
                <w:rFonts w:ascii="Calibri" w:hAnsi="Calibri" w:cs="Calibri"/>
                <w:color w:val="002060"/>
                <w:sz w:val="18"/>
                <w:szCs w:val="18"/>
                <w:lang w:val="sr-Cyrl-CS"/>
              </w:rPr>
              <w:t>971</w:t>
            </w:r>
          </w:p>
        </w:tc>
      </w:tr>
      <w:tr w:rsidR="00F36197" w:rsidRPr="00646254" w14:paraId="50774948" w14:textId="77777777" w:rsidTr="008E5519">
        <w:trPr>
          <w:trHeight w:hRule="exact" w:val="296"/>
        </w:trPr>
        <w:tc>
          <w:tcPr>
            <w:tcW w:w="3591" w:type="dxa"/>
            <w:tcBorders>
              <w:top w:val="nil"/>
              <w:left w:val="nil"/>
              <w:bottom w:val="nil"/>
              <w:right w:val="nil"/>
            </w:tcBorders>
            <w:shd w:val="clear" w:color="auto" w:fill="auto"/>
            <w:noWrap/>
            <w:vAlign w:val="center"/>
          </w:tcPr>
          <w:p w14:paraId="1372773E" w14:textId="0FEDE210" w:rsidR="00F36197" w:rsidRPr="00646254" w:rsidRDefault="00F36197" w:rsidP="008E5519">
            <w:pPr>
              <w:spacing w:after="120" w:line="240" w:lineRule="auto"/>
              <w:rPr>
                <w:rFonts w:eastAsia="MS PGothic" w:cstheme="minorHAnsi"/>
                <w:color w:val="002060"/>
                <w:sz w:val="18"/>
                <w:szCs w:val="18"/>
                <w:lang w:val="sr-Cyrl-CS" w:eastAsia="ja-JP"/>
              </w:rPr>
            </w:pPr>
            <w:r w:rsidRPr="00646254">
              <w:rPr>
                <w:rFonts w:ascii="Calibri" w:hAnsi="Calibri" w:cs="Calibri"/>
                <w:color w:val="002060"/>
                <w:sz w:val="18"/>
                <w:szCs w:val="18"/>
                <w:lang w:val="sr-Cyrl-CS"/>
              </w:rPr>
              <w:t xml:space="preserve">ЈП </w:t>
            </w:r>
            <w:r w:rsidR="002A35D9" w:rsidRPr="00646254">
              <w:rPr>
                <w:rFonts w:ascii="Calibri" w:hAnsi="Calibri" w:cs="Calibri"/>
                <w:color w:val="002060"/>
                <w:sz w:val="18"/>
                <w:szCs w:val="18"/>
                <w:lang w:val="sr-Cyrl-CS"/>
              </w:rPr>
              <w:t>„</w:t>
            </w:r>
            <w:r w:rsidRPr="00646254">
              <w:rPr>
                <w:rFonts w:ascii="Calibri" w:hAnsi="Calibri" w:cs="Calibri"/>
                <w:color w:val="002060"/>
                <w:sz w:val="18"/>
                <w:szCs w:val="18"/>
                <w:lang w:val="sr-Cyrl-CS"/>
              </w:rPr>
              <w:t>Југоимпорт-СДПР</w:t>
            </w:r>
            <w:r w:rsidR="002A35D9" w:rsidRPr="00646254">
              <w:rPr>
                <w:rFonts w:ascii="Calibri" w:hAnsi="Calibri" w:cs="Calibri"/>
                <w:color w:val="002060"/>
                <w:sz w:val="18"/>
                <w:szCs w:val="18"/>
                <w:lang w:val="sr-Cyrl-CS"/>
              </w:rPr>
              <w:t>”</w:t>
            </w:r>
          </w:p>
        </w:tc>
        <w:tc>
          <w:tcPr>
            <w:tcW w:w="1963" w:type="dxa"/>
            <w:tcBorders>
              <w:top w:val="nil"/>
              <w:left w:val="nil"/>
              <w:bottom w:val="nil"/>
              <w:right w:val="nil"/>
            </w:tcBorders>
            <w:shd w:val="clear" w:color="auto" w:fill="auto"/>
            <w:noWrap/>
            <w:vAlign w:val="center"/>
          </w:tcPr>
          <w:p w14:paraId="295550E7" w14:textId="585A7399" w:rsidR="00F36197" w:rsidRPr="00646254" w:rsidRDefault="00F36197" w:rsidP="008E5519">
            <w:pPr>
              <w:spacing w:after="120" w:line="240" w:lineRule="auto"/>
              <w:jc w:val="right"/>
              <w:rPr>
                <w:rFonts w:eastAsia="MS PGothic" w:cstheme="minorHAnsi"/>
                <w:color w:val="002060"/>
                <w:sz w:val="18"/>
                <w:szCs w:val="18"/>
                <w:lang w:val="sr-Cyrl-CS" w:eastAsia="ja-JP"/>
              </w:rPr>
            </w:pPr>
            <w:r w:rsidRPr="00646254">
              <w:rPr>
                <w:rFonts w:ascii="Calibri" w:hAnsi="Calibri" w:cs="Calibri"/>
                <w:color w:val="002060"/>
                <w:sz w:val="18"/>
                <w:szCs w:val="18"/>
                <w:lang w:val="sr-Cyrl-CS"/>
              </w:rPr>
              <w:t>1</w:t>
            </w:r>
            <w:r w:rsidR="00480E7C" w:rsidRPr="00646254">
              <w:rPr>
                <w:rFonts w:ascii="Calibri" w:hAnsi="Calibri" w:cs="Calibri"/>
                <w:color w:val="002060"/>
                <w:sz w:val="18"/>
                <w:szCs w:val="18"/>
                <w:lang w:val="sr-Cyrl-CS"/>
              </w:rPr>
              <w:t>.</w:t>
            </w:r>
            <w:r w:rsidRPr="00646254">
              <w:rPr>
                <w:rFonts w:ascii="Calibri" w:hAnsi="Calibri" w:cs="Calibri"/>
                <w:color w:val="002060"/>
                <w:sz w:val="18"/>
                <w:szCs w:val="18"/>
                <w:lang w:val="sr-Cyrl-CS"/>
              </w:rPr>
              <w:t>286</w:t>
            </w:r>
            <w:r w:rsidR="00480E7C" w:rsidRPr="00646254">
              <w:rPr>
                <w:rFonts w:ascii="Calibri" w:hAnsi="Calibri" w:cs="Calibri"/>
                <w:color w:val="002060"/>
                <w:sz w:val="18"/>
                <w:szCs w:val="18"/>
                <w:lang w:val="sr-Cyrl-CS"/>
              </w:rPr>
              <w:t>.</w:t>
            </w:r>
            <w:r w:rsidRPr="00646254">
              <w:rPr>
                <w:rFonts w:ascii="Calibri" w:hAnsi="Calibri" w:cs="Calibri"/>
                <w:color w:val="002060"/>
                <w:sz w:val="18"/>
                <w:szCs w:val="18"/>
                <w:lang w:val="sr-Cyrl-CS"/>
              </w:rPr>
              <w:t>363</w:t>
            </w:r>
          </w:p>
        </w:tc>
        <w:tc>
          <w:tcPr>
            <w:tcW w:w="1963" w:type="dxa"/>
            <w:tcBorders>
              <w:top w:val="nil"/>
              <w:left w:val="nil"/>
              <w:bottom w:val="nil"/>
              <w:right w:val="nil"/>
            </w:tcBorders>
            <w:shd w:val="clear" w:color="auto" w:fill="auto"/>
            <w:noWrap/>
            <w:vAlign w:val="center"/>
          </w:tcPr>
          <w:p w14:paraId="490D7D6B" w14:textId="3AB9A996" w:rsidR="00F36197" w:rsidRPr="00646254" w:rsidRDefault="00F36197" w:rsidP="008E5519">
            <w:pPr>
              <w:spacing w:after="120" w:line="240" w:lineRule="auto"/>
              <w:jc w:val="right"/>
              <w:rPr>
                <w:rFonts w:eastAsia="MS PGothic" w:cstheme="minorHAnsi"/>
                <w:color w:val="002060"/>
                <w:sz w:val="18"/>
                <w:szCs w:val="18"/>
                <w:lang w:val="sr-Cyrl-CS" w:eastAsia="ja-JP"/>
              </w:rPr>
            </w:pPr>
            <w:r w:rsidRPr="00646254">
              <w:rPr>
                <w:rFonts w:ascii="Calibri" w:hAnsi="Calibri" w:cs="Calibri"/>
                <w:color w:val="002060"/>
                <w:sz w:val="18"/>
                <w:szCs w:val="18"/>
                <w:lang w:val="sr-Cyrl-CS"/>
              </w:rPr>
              <w:t>-881</w:t>
            </w:r>
            <w:r w:rsidR="00480E7C" w:rsidRPr="00646254">
              <w:rPr>
                <w:rFonts w:ascii="Calibri" w:hAnsi="Calibri" w:cs="Calibri"/>
                <w:color w:val="002060"/>
                <w:sz w:val="18"/>
                <w:szCs w:val="18"/>
                <w:lang w:val="sr-Cyrl-CS"/>
              </w:rPr>
              <w:t>.</w:t>
            </w:r>
            <w:r w:rsidRPr="00646254">
              <w:rPr>
                <w:rFonts w:ascii="Calibri" w:hAnsi="Calibri" w:cs="Calibri"/>
                <w:color w:val="002060"/>
                <w:sz w:val="18"/>
                <w:szCs w:val="18"/>
                <w:lang w:val="sr-Cyrl-CS"/>
              </w:rPr>
              <w:t>393</w:t>
            </w:r>
          </w:p>
        </w:tc>
        <w:tc>
          <w:tcPr>
            <w:tcW w:w="1964" w:type="dxa"/>
            <w:tcBorders>
              <w:top w:val="nil"/>
              <w:left w:val="nil"/>
              <w:bottom w:val="nil"/>
              <w:right w:val="nil"/>
            </w:tcBorders>
            <w:shd w:val="clear" w:color="auto" w:fill="auto"/>
            <w:noWrap/>
            <w:vAlign w:val="center"/>
          </w:tcPr>
          <w:p w14:paraId="259140FF" w14:textId="7981A897" w:rsidR="00F36197" w:rsidRPr="00646254" w:rsidRDefault="00F36197" w:rsidP="008E5519">
            <w:pPr>
              <w:spacing w:after="120" w:line="240" w:lineRule="auto"/>
              <w:jc w:val="right"/>
              <w:rPr>
                <w:rFonts w:eastAsia="MS PGothic" w:cstheme="minorHAnsi"/>
                <w:color w:val="002060"/>
                <w:sz w:val="18"/>
                <w:szCs w:val="18"/>
                <w:lang w:val="sr-Cyrl-CS" w:eastAsia="ja-JP"/>
              </w:rPr>
            </w:pPr>
            <w:r w:rsidRPr="00646254">
              <w:rPr>
                <w:rFonts w:ascii="Calibri" w:hAnsi="Calibri" w:cs="Calibri"/>
                <w:color w:val="002060"/>
                <w:sz w:val="18"/>
                <w:szCs w:val="18"/>
                <w:lang w:val="sr-Cyrl-CS"/>
              </w:rPr>
              <w:t>-801</w:t>
            </w:r>
            <w:r w:rsidR="00480E7C" w:rsidRPr="00646254">
              <w:rPr>
                <w:rFonts w:ascii="Calibri" w:hAnsi="Calibri" w:cs="Calibri"/>
                <w:color w:val="002060"/>
                <w:sz w:val="18"/>
                <w:szCs w:val="18"/>
                <w:lang w:val="sr-Cyrl-CS"/>
              </w:rPr>
              <w:t>.</w:t>
            </w:r>
            <w:r w:rsidRPr="00646254">
              <w:rPr>
                <w:rFonts w:ascii="Calibri" w:hAnsi="Calibri" w:cs="Calibri"/>
                <w:color w:val="002060"/>
                <w:sz w:val="18"/>
                <w:szCs w:val="18"/>
                <w:lang w:val="sr-Cyrl-CS"/>
              </w:rPr>
              <w:t>456</w:t>
            </w:r>
          </w:p>
        </w:tc>
      </w:tr>
      <w:tr w:rsidR="00F36197" w:rsidRPr="00646254" w14:paraId="017DF703" w14:textId="77777777" w:rsidTr="008E5519">
        <w:trPr>
          <w:trHeight w:hRule="exact" w:val="296"/>
        </w:trPr>
        <w:tc>
          <w:tcPr>
            <w:tcW w:w="3591" w:type="dxa"/>
            <w:tcBorders>
              <w:top w:val="nil"/>
              <w:left w:val="nil"/>
              <w:bottom w:val="single" w:sz="4" w:space="0" w:color="auto"/>
              <w:right w:val="nil"/>
            </w:tcBorders>
            <w:shd w:val="clear" w:color="auto" w:fill="auto"/>
            <w:noWrap/>
            <w:vAlign w:val="center"/>
          </w:tcPr>
          <w:p w14:paraId="0B433669" w14:textId="5255E4C2" w:rsidR="00F36197" w:rsidRPr="00646254" w:rsidRDefault="002A35D9" w:rsidP="008E5519">
            <w:pPr>
              <w:spacing w:after="120" w:line="240" w:lineRule="auto"/>
              <w:rPr>
                <w:rFonts w:eastAsia="MS PGothic" w:cstheme="minorHAnsi"/>
                <w:color w:val="002060"/>
                <w:sz w:val="18"/>
                <w:szCs w:val="18"/>
                <w:lang w:val="sr-Cyrl-CS" w:eastAsia="ja-JP"/>
              </w:rPr>
            </w:pPr>
            <w:r w:rsidRPr="00646254">
              <w:rPr>
                <w:rFonts w:ascii="Calibri" w:hAnsi="Calibri" w:cs="Calibri"/>
                <w:color w:val="002060"/>
                <w:sz w:val="18"/>
                <w:szCs w:val="18"/>
                <w:lang w:val="sr-Cyrl-CS"/>
              </w:rPr>
              <w:t>„</w:t>
            </w:r>
            <w:r w:rsidR="00F36197" w:rsidRPr="00646254">
              <w:rPr>
                <w:rFonts w:ascii="Calibri" w:hAnsi="Calibri" w:cs="Calibri"/>
                <w:color w:val="002060"/>
                <w:sz w:val="18"/>
                <w:szCs w:val="18"/>
                <w:lang w:val="sr-Cyrl-CS"/>
              </w:rPr>
              <w:t>Парк Палић</w:t>
            </w:r>
            <w:r w:rsidRPr="00646254">
              <w:rPr>
                <w:rFonts w:ascii="Calibri" w:hAnsi="Calibri" w:cs="Calibri"/>
                <w:color w:val="002060"/>
                <w:sz w:val="18"/>
                <w:szCs w:val="18"/>
                <w:lang w:val="sr-Cyrl-CS"/>
              </w:rPr>
              <w:t>”</w:t>
            </w:r>
            <w:r w:rsidR="00F36197" w:rsidRPr="00646254">
              <w:rPr>
                <w:rFonts w:ascii="Calibri" w:hAnsi="Calibri" w:cs="Calibri"/>
                <w:color w:val="002060"/>
                <w:sz w:val="18"/>
                <w:szCs w:val="18"/>
                <w:lang w:val="sr-Cyrl-CS"/>
              </w:rPr>
              <w:t xml:space="preserve"> д.о.о.</w:t>
            </w:r>
          </w:p>
        </w:tc>
        <w:tc>
          <w:tcPr>
            <w:tcW w:w="1963" w:type="dxa"/>
            <w:tcBorders>
              <w:top w:val="nil"/>
              <w:left w:val="nil"/>
              <w:bottom w:val="single" w:sz="4" w:space="0" w:color="auto"/>
              <w:right w:val="nil"/>
            </w:tcBorders>
            <w:shd w:val="clear" w:color="auto" w:fill="auto"/>
            <w:noWrap/>
            <w:vAlign w:val="center"/>
          </w:tcPr>
          <w:p w14:paraId="2C8B1929" w14:textId="39C3EA4C" w:rsidR="00F36197" w:rsidRPr="00646254" w:rsidRDefault="00F36197" w:rsidP="008E5519">
            <w:pPr>
              <w:spacing w:after="120" w:line="240" w:lineRule="auto"/>
              <w:jc w:val="right"/>
              <w:rPr>
                <w:rFonts w:eastAsia="MS PGothic" w:cstheme="minorHAnsi"/>
                <w:color w:val="002060"/>
                <w:sz w:val="18"/>
                <w:szCs w:val="18"/>
                <w:lang w:val="sr-Cyrl-CS" w:eastAsia="ja-JP"/>
              </w:rPr>
            </w:pPr>
            <w:r w:rsidRPr="00646254">
              <w:rPr>
                <w:rFonts w:ascii="Calibri" w:hAnsi="Calibri" w:cs="Calibri"/>
                <w:color w:val="002060"/>
                <w:sz w:val="18"/>
                <w:szCs w:val="18"/>
                <w:lang w:val="sr-Cyrl-CS"/>
              </w:rPr>
              <w:t>-4</w:t>
            </w:r>
            <w:r w:rsidR="00480E7C" w:rsidRPr="00646254">
              <w:rPr>
                <w:rFonts w:ascii="Calibri" w:hAnsi="Calibri" w:cs="Calibri"/>
                <w:color w:val="002060"/>
                <w:sz w:val="18"/>
                <w:szCs w:val="18"/>
                <w:lang w:val="sr-Cyrl-CS"/>
              </w:rPr>
              <w:t>.</w:t>
            </w:r>
            <w:r w:rsidRPr="00646254">
              <w:rPr>
                <w:rFonts w:ascii="Calibri" w:hAnsi="Calibri" w:cs="Calibri"/>
                <w:color w:val="002060"/>
                <w:sz w:val="18"/>
                <w:szCs w:val="18"/>
                <w:lang w:val="sr-Cyrl-CS"/>
              </w:rPr>
              <w:t>891</w:t>
            </w:r>
          </w:p>
        </w:tc>
        <w:tc>
          <w:tcPr>
            <w:tcW w:w="1963" w:type="dxa"/>
            <w:tcBorders>
              <w:top w:val="nil"/>
              <w:left w:val="nil"/>
              <w:bottom w:val="single" w:sz="4" w:space="0" w:color="auto"/>
              <w:right w:val="nil"/>
            </w:tcBorders>
            <w:shd w:val="clear" w:color="auto" w:fill="auto"/>
            <w:noWrap/>
            <w:vAlign w:val="center"/>
          </w:tcPr>
          <w:p w14:paraId="6F510A84" w14:textId="22385D50" w:rsidR="00F36197" w:rsidRPr="00646254" w:rsidRDefault="00F36197" w:rsidP="008E5519">
            <w:pPr>
              <w:spacing w:after="120" w:line="240" w:lineRule="auto"/>
              <w:jc w:val="right"/>
              <w:rPr>
                <w:rFonts w:eastAsia="MS PGothic" w:cstheme="minorHAnsi"/>
                <w:color w:val="002060"/>
                <w:sz w:val="18"/>
                <w:szCs w:val="18"/>
                <w:lang w:val="sr-Cyrl-CS" w:eastAsia="ja-JP"/>
              </w:rPr>
            </w:pPr>
            <w:r w:rsidRPr="00646254">
              <w:rPr>
                <w:rFonts w:ascii="Calibri" w:hAnsi="Calibri" w:cs="Calibri"/>
                <w:color w:val="002060"/>
                <w:sz w:val="18"/>
                <w:szCs w:val="18"/>
                <w:lang w:val="sr-Cyrl-CS"/>
              </w:rPr>
              <w:t>-1</w:t>
            </w:r>
            <w:r w:rsidR="00480E7C" w:rsidRPr="00646254">
              <w:rPr>
                <w:rFonts w:ascii="Calibri" w:hAnsi="Calibri" w:cs="Calibri"/>
                <w:color w:val="002060"/>
                <w:sz w:val="18"/>
                <w:szCs w:val="18"/>
                <w:lang w:val="sr-Cyrl-CS"/>
              </w:rPr>
              <w:t>.</w:t>
            </w:r>
            <w:r w:rsidRPr="00646254">
              <w:rPr>
                <w:rFonts w:ascii="Calibri" w:hAnsi="Calibri" w:cs="Calibri"/>
                <w:color w:val="002060"/>
                <w:sz w:val="18"/>
                <w:szCs w:val="18"/>
                <w:lang w:val="sr-Cyrl-CS"/>
              </w:rPr>
              <w:t>720</w:t>
            </w:r>
          </w:p>
        </w:tc>
        <w:tc>
          <w:tcPr>
            <w:tcW w:w="1964" w:type="dxa"/>
            <w:tcBorders>
              <w:top w:val="nil"/>
              <w:left w:val="nil"/>
              <w:bottom w:val="single" w:sz="4" w:space="0" w:color="auto"/>
              <w:right w:val="nil"/>
            </w:tcBorders>
            <w:shd w:val="clear" w:color="auto" w:fill="auto"/>
            <w:noWrap/>
            <w:vAlign w:val="center"/>
          </w:tcPr>
          <w:p w14:paraId="130D54E1" w14:textId="77777777" w:rsidR="00F36197" w:rsidRPr="00646254" w:rsidRDefault="00F36197" w:rsidP="008E5519">
            <w:pPr>
              <w:spacing w:after="120" w:line="240" w:lineRule="auto"/>
              <w:jc w:val="right"/>
              <w:rPr>
                <w:rFonts w:eastAsia="MS PGothic" w:cstheme="minorHAnsi"/>
                <w:color w:val="002060"/>
                <w:sz w:val="18"/>
                <w:szCs w:val="18"/>
                <w:lang w:val="sr-Cyrl-CS" w:eastAsia="ja-JP"/>
              </w:rPr>
            </w:pPr>
            <w:r w:rsidRPr="00646254">
              <w:rPr>
                <w:rFonts w:ascii="Calibri" w:hAnsi="Calibri" w:cs="Calibri"/>
                <w:color w:val="002060"/>
                <w:sz w:val="18"/>
                <w:szCs w:val="18"/>
                <w:lang w:val="sr-Cyrl-CS"/>
              </w:rPr>
              <w:t>-614</w:t>
            </w:r>
          </w:p>
        </w:tc>
      </w:tr>
    </w:tbl>
    <w:p w14:paraId="5879D534" w14:textId="77777777" w:rsidR="00F36197" w:rsidRPr="00646254" w:rsidRDefault="00F36197" w:rsidP="008265F0">
      <w:pPr>
        <w:spacing w:after="0" w:line="276" w:lineRule="auto"/>
        <w:rPr>
          <w:rFonts w:eastAsia="MS PGothic" w:cstheme="minorHAnsi"/>
          <w:sz w:val="16"/>
          <w:szCs w:val="16"/>
          <w:lang w:val="sr-Cyrl-CS" w:eastAsia="ja-JP"/>
        </w:rPr>
        <w:sectPr w:rsidR="00F36197" w:rsidRPr="00646254" w:rsidSect="009B76B2">
          <w:type w:val="continuous"/>
          <w:pgSz w:w="12240" w:h="15840" w:code="1"/>
          <w:pgMar w:top="1440" w:right="1440" w:bottom="1440" w:left="1440" w:header="720" w:footer="720" w:gutter="0"/>
          <w:cols w:space="720"/>
          <w:docGrid w:linePitch="360"/>
        </w:sectPr>
      </w:pPr>
    </w:p>
    <w:p w14:paraId="54F4FEB0" w14:textId="77777777" w:rsidR="00F36197" w:rsidRPr="00646254" w:rsidRDefault="00F36197" w:rsidP="008265F0">
      <w:pPr>
        <w:spacing w:after="120" w:line="276" w:lineRule="auto"/>
        <w:rPr>
          <w:rFonts w:eastAsia="MS PGothic" w:cstheme="minorHAnsi"/>
          <w:szCs w:val="20"/>
          <w:lang w:val="sr-Cyrl-CS" w:eastAsia="ja-JP"/>
        </w:rPr>
        <w:sectPr w:rsidR="00F36197" w:rsidRPr="00646254" w:rsidSect="009B76B2">
          <w:type w:val="continuous"/>
          <w:pgSz w:w="12240" w:h="15840" w:code="1"/>
          <w:pgMar w:top="1440" w:right="1440" w:bottom="1440" w:left="1440" w:header="720" w:footer="720" w:gutter="0"/>
          <w:cols w:num="2" w:space="720"/>
          <w:docGrid w:linePitch="360"/>
        </w:sectPr>
      </w:pPr>
    </w:p>
    <w:p w14:paraId="55DB803A" w14:textId="77777777" w:rsidR="00F36197" w:rsidRPr="00646254" w:rsidRDefault="00F36197" w:rsidP="008E67C1">
      <w:pPr>
        <w:rPr>
          <w:rFonts w:eastAsia="MS PGothic" w:cstheme="minorHAnsi"/>
          <w:szCs w:val="20"/>
          <w:lang w:val="sr-Cyrl-CS" w:eastAsia="ja-JP"/>
        </w:rPr>
      </w:pPr>
      <w:r w:rsidRPr="00646254">
        <w:rPr>
          <w:rFonts w:eastAsia="MS PGothic" w:cstheme="minorHAnsi"/>
          <w:szCs w:val="20"/>
          <w:lang w:val="sr-Cyrl-CS" w:eastAsia="ja-JP"/>
        </w:rPr>
        <w:t>У циљу умањења фискалних ризика повезаних са пословањем јавних предузећа у току су процеси реструктурирања највећих јавних предузећа (групе предузећа које се баве железничким саобраћајем – „Железнице Србије” а.д, „Инфраструктура железнице Србије” а.д, „Србија Воз” а.д, „Србија Карго” а.д, ЈП ЕПС и ЈП „Србијагас”). Целокупан процес се спроводи у сарадњи за водећим светским финансијским институцијама – ММФ, Светском банком и Европском банком за обнову и развој (у даљем тексту: ЕБРД), како би се ова предузећа поставила на здраве основе и почела да функционишу по тржишном принципу, те умањили потенцијални фискални трошкови који могу проистећи из њиховог пословања.</w:t>
      </w:r>
    </w:p>
    <w:p w14:paraId="60D30630" w14:textId="77777777" w:rsidR="00F36197" w:rsidRPr="00646254" w:rsidRDefault="00F36197" w:rsidP="008E67C1">
      <w:pPr>
        <w:rPr>
          <w:rFonts w:cstheme="minorHAnsi"/>
          <w:b/>
          <w:bCs/>
          <w:color w:val="2F5496" w:themeColor="accent1" w:themeShade="BF"/>
          <w:sz w:val="22"/>
          <w:szCs w:val="20"/>
          <w:lang w:val="sr-Cyrl-CS"/>
        </w:rPr>
      </w:pPr>
      <w:r w:rsidRPr="00646254">
        <w:rPr>
          <w:rFonts w:cstheme="minorHAnsi"/>
          <w:b/>
          <w:bCs/>
          <w:color w:val="2F5496" w:themeColor="accent1" w:themeShade="BF"/>
          <w:sz w:val="22"/>
          <w:szCs w:val="20"/>
          <w:lang w:val="sr-Cyrl-CS"/>
        </w:rPr>
        <w:t>Уплата добити</w:t>
      </w:r>
    </w:p>
    <w:p w14:paraId="1AA14677" w14:textId="77777777" w:rsidR="00F36197" w:rsidRPr="00646254" w:rsidRDefault="00F36197" w:rsidP="008E67C1">
      <w:pPr>
        <w:rPr>
          <w:rFonts w:eastAsia="MS PGothic" w:cstheme="minorHAnsi"/>
          <w:szCs w:val="20"/>
          <w:lang w:val="sr-Cyrl-CS" w:eastAsia="ja-JP"/>
        </w:rPr>
      </w:pPr>
      <w:r w:rsidRPr="00646254">
        <w:rPr>
          <w:rFonts w:eastAsia="MS PGothic" w:cstheme="minorHAnsi"/>
          <w:szCs w:val="20"/>
          <w:lang w:val="sr-Cyrl-CS" w:eastAsia="ja-JP"/>
        </w:rPr>
        <w:t xml:space="preserve">Уплата добити од стране јавних предузећа и дивиденди друштава капитала у којима држава има власништво представљају значајан део непореских прихода. Од успешности пословања </w:t>
      </w:r>
    </w:p>
    <w:p w14:paraId="381913B4" w14:textId="77777777" w:rsidR="00F36197" w:rsidRPr="00646254" w:rsidRDefault="00F36197" w:rsidP="008E67C1">
      <w:pPr>
        <w:rPr>
          <w:rFonts w:eastAsia="MS PGothic" w:cstheme="minorHAnsi"/>
          <w:bCs/>
          <w:szCs w:val="20"/>
          <w:lang w:val="sr-Cyrl-CS" w:eastAsia="ja-JP"/>
        </w:rPr>
      </w:pPr>
      <w:r w:rsidRPr="00646254">
        <w:rPr>
          <w:rFonts w:eastAsia="MS PGothic" w:cstheme="minorHAnsi"/>
          <w:szCs w:val="20"/>
          <w:lang w:val="sr-Cyrl-CS" w:eastAsia="ja-JP"/>
        </w:rPr>
        <w:t>ових предузећа зависи и висина прихода</w:t>
      </w:r>
      <w:r w:rsidRPr="00646254">
        <w:rPr>
          <w:rFonts w:eastAsia="MS PGothic" w:cstheme="minorHAnsi"/>
          <w:bCs/>
          <w:szCs w:val="20"/>
          <w:lang w:val="sr-Cyrl-CS" w:eastAsia="ja-JP"/>
        </w:rPr>
        <w:t xml:space="preserve"> буџета по овом основу. Уплата редовне добити и дивиденди је редован буџетски непорески приход, док се уплате из нераспоређене добити третирају као приход са једнократним карактером и не представљају трајни извор прихода.</w:t>
      </w:r>
    </w:p>
    <w:p w14:paraId="3515BD61" w14:textId="77777777" w:rsidR="00F36197" w:rsidRPr="00646254" w:rsidRDefault="00F36197" w:rsidP="008E67C1">
      <w:pPr>
        <w:rPr>
          <w:rFonts w:eastAsia="MS PGothic" w:cstheme="minorHAnsi"/>
          <w:szCs w:val="20"/>
          <w:lang w:val="sr-Cyrl-CS" w:eastAsia="ja-JP"/>
        </w:rPr>
      </w:pPr>
      <w:r w:rsidRPr="00646254">
        <w:rPr>
          <w:rFonts w:eastAsia="MS PGothic" w:cstheme="minorHAnsi"/>
          <w:szCs w:val="20"/>
          <w:lang w:val="sr-Cyrl-CS" w:eastAsia="ja-JP"/>
        </w:rPr>
        <w:t>Обавеза за јавна предузећа да уплате најмање 50% добити остварене у претходној години прописана је и Законом о буџету Републике Србије за 2021. годину.</w:t>
      </w:r>
    </w:p>
    <w:p w14:paraId="1E0EF5AD" w14:textId="77777777" w:rsidR="00F36197" w:rsidRPr="00646254" w:rsidRDefault="00F36197" w:rsidP="008E67C1">
      <w:pPr>
        <w:rPr>
          <w:rFonts w:eastAsia="MS PGothic" w:cstheme="minorHAnsi"/>
          <w:bCs/>
          <w:szCs w:val="20"/>
          <w:lang w:val="sr-Cyrl-CS" w:eastAsia="ja-JP"/>
        </w:rPr>
      </w:pPr>
      <w:r w:rsidRPr="00646254">
        <w:rPr>
          <w:rFonts w:eastAsia="MS PGothic" w:cstheme="minorHAnsi"/>
          <w:szCs w:val="20"/>
          <w:lang w:val="sr-Cyrl-CS" w:eastAsia="ja-JP"/>
        </w:rPr>
        <w:t>Ублажавање потенцијалних ризика, који настају као последица пословања јавних предузећа, обухвата низ мера везаних за одговорност, профитабилност и транспарентност у пословању ових предузећа. Процеси реструктурирања</w:t>
      </w:r>
      <w:r w:rsidRPr="00646254">
        <w:rPr>
          <w:rFonts w:eastAsia="MS PGothic" w:cstheme="minorHAnsi"/>
          <w:bCs/>
          <w:szCs w:val="20"/>
          <w:lang w:val="sr-Cyrl-CS" w:eastAsia="ja-JP"/>
        </w:rPr>
        <w:t xml:space="preserve"> покренути су у ЈП ЕПС, ЈП „Србијагас</w:t>
      </w:r>
      <w:r w:rsidRPr="00646254">
        <w:rPr>
          <w:rFonts w:eastAsia="MS PGothic" w:cstheme="minorHAnsi"/>
          <w:szCs w:val="20"/>
          <w:lang w:val="sr-Cyrl-CS" w:eastAsia="ja-JP"/>
        </w:rPr>
        <w:t>”</w:t>
      </w:r>
      <w:r w:rsidRPr="00646254">
        <w:rPr>
          <w:rFonts w:eastAsia="MS PGothic" w:cstheme="minorHAnsi"/>
          <w:bCs/>
          <w:szCs w:val="20"/>
          <w:lang w:val="sr-Cyrl-CS" w:eastAsia="ja-JP"/>
        </w:rPr>
        <w:t xml:space="preserve"> и „Железнице Србије” а.д, при чему ће од успешности самог процеса реструктурирања и брзине спровођења усвојених мера зависити ефикасност пословања у будућности.</w:t>
      </w:r>
    </w:p>
    <w:p w14:paraId="3EF3B39B" w14:textId="77777777" w:rsidR="00F36197" w:rsidRPr="00646254" w:rsidRDefault="00F36197" w:rsidP="008265F0">
      <w:pPr>
        <w:spacing w:after="120" w:line="276" w:lineRule="auto"/>
        <w:rPr>
          <w:rFonts w:eastAsia="MS PGothic" w:cstheme="minorHAnsi"/>
          <w:bCs/>
          <w:szCs w:val="20"/>
          <w:lang w:val="sr-Cyrl-CS" w:eastAsia="ja-JP"/>
        </w:rPr>
        <w:sectPr w:rsidR="00F36197" w:rsidRPr="00646254" w:rsidSect="008265F0">
          <w:headerReference w:type="even" r:id="rId159"/>
          <w:headerReference w:type="default" r:id="rId160"/>
          <w:footerReference w:type="even" r:id="rId161"/>
          <w:footerReference w:type="default" r:id="rId162"/>
          <w:headerReference w:type="first" r:id="rId163"/>
          <w:type w:val="continuous"/>
          <w:pgSz w:w="12240" w:h="15840" w:code="1"/>
          <w:pgMar w:top="1440" w:right="1440" w:bottom="1440" w:left="1440" w:header="720" w:footer="720" w:gutter="0"/>
          <w:cols w:num="2" w:space="720"/>
          <w:docGrid w:linePitch="360"/>
        </w:sectPr>
      </w:pPr>
    </w:p>
    <w:p w14:paraId="263E1F45" w14:textId="77777777" w:rsidR="00F36197" w:rsidRPr="00646254" w:rsidRDefault="00F36197" w:rsidP="00DB43AF">
      <w:pPr>
        <w:rPr>
          <w:lang w:val="sr-Cyrl-CS"/>
        </w:rPr>
      </w:pPr>
      <w:r w:rsidRPr="00646254">
        <w:rPr>
          <w:lang w:val="sr-Cyrl-CS"/>
        </w:rPr>
        <w:br w:type="page"/>
      </w:r>
    </w:p>
    <w:p w14:paraId="38426B5D" w14:textId="77777777" w:rsidR="00F36197" w:rsidRPr="00646254" w:rsidRDefault="00F36197" w:rsidP="008E5519">
      <w:pPr>
        <w:jc w:val="left"/>
        <w:rPr>
          <w:rFonts w:ascii="Calibri" w:eastAsia="Calibri" w:hAnsi="Calibri" w:cs="Calibri"/>
          <w:b/>
          <w:bCs/>
          <w:color w:val="2F5496" w:themeColor="accent1" w:themeShade="BF"/>
          <w:sz w:val="22"/>
          <w:szCs w:val="20"/>
          <w:lang w:val="sr-Cyrl-CS"/>
        </w:rPr>
      </w:pPr>
      <w:r w:rsidRPr="00646254">
        <w:rPr>
          <w:rFonts w:ascii="Calibri" w:eastAsia="Calibri" w:hAnsi="Calibri" w:cs="Calibri"/>
          <w:b/>
          <w:bCs/>
          <w:color w:val="2F5496" w:themeColor="accent1" w:themeShade="BF"/>
          <w:sz w:val="22"/>
          <w:szCs w:val="20"/>
          <w:lang w:val="sr-Cyrl-CS"/>
        </w:rPr>
        <w:t>Државне финансијске институције, банкарски систем и осигурање депозита</w:t>
      </w:r>
    </w:p>
    <w:p w14:paraId="671DABB2" w14:textId="77777777" w:rsidR="00F36197" w:rsidRPr="00646254" w:rsidRDefault="00F36197" w:rsidP="008E5519">
      <w:pPr>
        <w:rPr>
          <w:rFonts w:ascii="Calibri" w:eastAsia="MS PGothic" w:hAnsi="Calibri" w:cs="Calibri"/>
          <w:color w:val="44546A"/>
          <w:szCs w:val="20"/>
          <w:lang w:val="sr-Cyrl-CS" w:eastAsia="ja-JP"/>
        </w:rPr>
      </w:pPr>
      <w:r w:rsidRPr="00646254">
        <w:rPr>
          <w:rFonts w:ascii="Calibri" w:eastAsia="MS PGothic" w:hAnsi="Calibri" w:cs="Calibri"/>
          <w:color w:val="44546A"/>
          <w:szCs w:val="20"/>
          <w:lang w:val="sr-Cyrl-CS" w:eastAsia="ja-JP"/>
        </w:rPr>
        <w:t>Пре периода фискалне консолидације Република Србија имала је значајне фискалне трошкове спашавања државних банака. Укупни трошкови државних интервенција у банкарском сектору у периоду 2012–2015. године износили су око 900 милиона евра. То је износ издвојен за докапитализацију банака, различите финансијске трансакције приликом припајања неуспешних банака успешнијим, укључујући и исплату осигураних и неосигураних депозита (за шта су коришћена и средства Фонда за осигурање депозита).</w:t>
      </w:r>
    </w:p>
    <w:p w14:paraId="7850AE7E" w14:textId="77777777" w:rsidR="00F36197" w:rsidRPr="00646254" w:rsidRDefault="00F36197" w:rsidP="008E5519">
      <w:pPr>
        <w:rPr>
          <w:rFonts w:ascii="Calibri" w:eastAsia="MS PGothic" w:hAnsi="Calibri" w:cs="Calibri"/>
          <w:color w:val="44546A"/>
          <w:szCs w:val="20"/>
          <w:lang w:val="sr-Cyrl-CS" w:eastAsia="ja-JP"/>
        </w:rPr>
      </w:pPr>
      <w:r w:rsidRPr="00646254">
        <w:rPr>
          <w:rFonts w:ascii="Calibri" w:eastAsia="MS PGothic" w:hAnsi="Calibri" w:cs="Calibri"/>
          <w:color w:val="44546A"/>
          <w:szCs w:val="20"/>
          <w:lang w:val="sr-Cyrl-CS" w:eastAsia="ja-JP"/>
        </w:rPr>
        <w:t>Република Србија данас у банкарском сектору земље има директан удео у капиталу:</w:t>
      </w:r>
    </w:p>
    <w:p w14:paraId="4A430804" w14:textId="77777777" w:rsidR="00F36197" w:rsidRPr="00646254" w:rsidRDefault="00F36197" w:rsidP="008E5519">
      <w:pPr>
        <w:numPr>
          <w:ilvl w:val="0"/>
          <w:numId w:val="45"/>
        </w:numPr>
        <w:ind w:left="454" w:hanging="227"/>
        <w:contextualSpacing/>
        <w:jc w:val="left"/>
        <w:rPr>
          <w:rFonts w:ascii="Calibri" w:eastAsia="MS PGothic" w:hAnsi="Calibri" w:cs="Calibri"/>
          <w:color w:val="44546A"/>
          <w:szCs w:val="20"/>
          <w:lang w:val="sr-Cyrl-CS" w:eastAsia="ja-JP"/>
        </w:rPr>
      </w:pPr>
      <w:r w:rsidRPr="00646254">
        <w:rPr>
          <w:rFonts w:ascii="Calibri" w:eastAsia="MS PGothic" w:hAnsi="Calibri" w:cs="Calibri"/>
          <w:color w:val="44546A"/>
          <w:szCs w:val="20"/>
          <w:lang w:val="sr-Cyrl-CS" w:eastAsia="ja-JP"/>
        </w:rPr>
        <w:t>Банке Поштанска штедионица а.д. Београд (71,04%),</w:t>
      </w:r>
    </w:p>
    <w:p w14:paraId="08975F31" w14:textId="77777777" w:rsidR="00F36197" w:rsidRPr="00646254" w:rsidRDefault="00F36197" w:rsidP="008E5519">
      <w:pPr>
        <w:numPr>
          <w:ilvl w:val="0"/>
          <w:numId w:val="45"/>
        </w:numPr>
        <w:ind w:left="454" w:hanging="227"/>
        <w:jc w:val="left"/>
        <w:rPr>
          <w:rFonts w:ascii="Calibri" w:eastAsia="MS PGothic" w:hAnsi="Calibri" w:cs="Calibri"/>
          <w:color w:val="44546A"/>
          <w:szCs w:val="20"/>
          <w:lang w:val="sr-Cyrl-CS" w:eastAsia="ja-JP"/>
        </w:rPr>
      </w:pPr>
      <w:r w:rsidRPr="00646254">
        <w:rPr>
          <w:rFonts w:ascii="Calibri" w:eastAsia="MS PGothic" w:hAnsi="Calibri" w:cs="Calibri"/>
          <w:color w:val="44546A"/>
          <w:szCs w:val="20"/>
          <w:lang w:val="sr-Cyrl-CS" w:eastAsia="ja-JP"/>
        </w:rPr>
        <w:t>Српске банке а.д. Београд (76,69%).</w:t>
      </w:r>
    </w:p>
    <w:p w14:paraId="322B9732" w14:textId="77777777" w:rsidR="00F36197" w:rsidRPr="00646254" w:rsidRDefault="00F36197" w:rsidP="008E5519">
      <w:pPr>
        <w:rPr>
          <w:rFonts w:ascii="Calibri" w:eastAsia="MS PGothic" w:hAnsi="Calibri" w:cs="Calibri"/>
          <w:color w:val="44546A"/>
          <w:szCs w:val="20"/>
          <w:lang w:val="sr-Cyrl-CS" w:eastAsia="ja-JP"/>
        </w:rPr>
      </w:pPr>
      <w:r w:rsidRPr="00646254">
        <w:rPr>
          <w:rFonts w:ascii="Calibri" w:eastAsia="MS PGothic" w:hAnsi="Calibri" w:cs="Calibri"/>
          <w:color w:val="44546A"/>
          <w:szCs w:val="20"/>
          <w:lang w:val="sr-Cyrl-CS" w:eastAsia="ja-JP"/>
        </w:rPr>
        <w:t>У циљу доследног спровођења излазне стратегије и смањења фискалних ризика по овом основу настављају се реформске активности у области државних финансијских институција започете 2012. године, односно 2015. године.</w:t>
      </w:r>
    </w:p>
    <w:p w14:paraId="4D541C13" w14:textId="77777777" w:rsidR="00F36197" w:rsidRPr="00646254" w:rsidRDefault="00F36197" w:rsidP="008E5519">
      <w:pPr>
        <w:rPr>
          <w:rFonts w:ascii="Calibri" w:eastAsia="MS PGothic" w:hAnsi="Calibri" w:cs="Calibri"/>
          <w:color w:val="44546A"/>
          <w:szCs w:val="20"/>
          <w:lang w:val="sr-Cyrl-CS" w:eastAsia="ja-JP"/>
        </w:rPr>
      </w:pPr>
      <w:r w:rsidRPr="00646254">
        <w:rPr>
          <w:rFonts w:ascii="Calibri" w:eastAsia="MS PGothic" w:hAnsi="Calibri" w:cs="Calibri"/>
          <w:color w:val="44546A"/>
          <w:szCs w:val="20"/>
          <w:lang w:val="sr-Cyrl-CS" w:eastAsia="ja-JP"/>
        </w:rPr>
        <w:t>Банка Поштанска штедионица. Уз подршку Светске банке наставиће се са спровођењем стратегије за Банку Поштанска штедионица са нагласком на преусмеравање пословања са становништвом, предузетницима, микропредузећима и малим предузећима; побољшање интерне организације банке, корпоративног управљања и управљања ризиком; јачање ИТ инфраструктуре, као и план пословања за период 2021–2025. године.</w:t>
      </w:r>
    </w:p>
    <w:p w14:paraId="2EC5E69C" w14:textId="0EACDEF2" w:rsidR="00F36197" w:rsidRPr="00646254" w:rsidRDefault="00F36197" w:rsidP="008E5519">
      <w:pPr>
        <w:rPr>
          <w:rFonts w:ascii="Calibri" w:eastAsia="MS PGothic" w:hAnsi="Calibri" w:cs="Calibri"/>
          <w:szCs w:val="20"/>
          <w:lang w:val="sr-Cyrl-CS" w:eastAsia="ja-JP"/>
        </w:rPr>
      </w:pPr>
      <w:r w:rsidRPr="00646254">
        <w:rPr>
          <w:rFonts w:ascii="Calibri" w:eastAsia="MS PGothic" w:hAnsi="Calibri" w:cs="Calibri"/>
          <w:color w:val="44546A"/>
          <w:szCs w:val="20"/>
          <w:lang w:val="sr-Cyrl-CS" w:eastAsia="ja-JP"/>
        </w:rPr>
        <w:t>Како би се омогућило ублажавање економских и финансијских последица, насталих услед пандемије болести COVID-19 изазване вирусом SARS-CoV-2, Банка поступа у складу са Законом о утврђивању гарантне шеме као мере подршке привреди за ублажавање последица пандемије болести COVID-19 изазване вирусом SARS-CoV-2 („Службени гласник РС</w:t>
      </w:r>
      <w:r w:rsidR="00DB43AF" w:rsidRPr="00646254">
        <w:rPr>
          <w:rFonts w:ascii="Calibri" w:eastAsia="MS PGothic" w:hAnsi="Calibri" w:cs="Calibri"/>
          <w:color w:val="44546A"/>
          <w:szCs w:val="20"/>
          <w:lang w:val="sr-Cyrl-CS" w:eastAsia="ja-JP"/>
        </w:rPr>
        <w:t>”</w:t>
      </w:r>
      <w:r w:rsidRPr="00646254">
        <w:rPr>
          <w:rFonts w:ascii="Calibri" w:eastAsia="MS PGothic" w:hAnsi="Calibri" w:cs="Calibri"/>
          <w:color w:val="44546A"/>
          <w:szCs w:val="20"/>
          <w:lang w:val="sr-Cyrl-CS" w:eastAsia="ja-JP"/>
        </w:rPr>
        <w:t xml:space="preserve">, бр. 153/20 и 40/21) и Законом о утврђивању друге гарантне шеме као мера додатне подршке привреди услед продуженог негативног утицаја пандемије болести COVID-19 изазване вирусом SARS-CoV-2 </w:t>
      </w:r>
      <w:r w:rsidRPr="00646254">
        <w:rPr>
          <w:rFonts w:ascii="Calibri" w:eastAsia="MS PGothic" w:hAnsi="Calibri" w:cs="Calibri"/>
          <w:szCs w:val="20"/>
          <w:lang w:val="sr-Cyrl-CS" w:eastAsia="ja-JP"/>
        </w:rPr>
        <w:t>(„Службени гласник РС”, бр. 40/21).</w:t>
      </w:r>
    </w:p>
    <w:p w14:paraId="792CC31D" w14:textId="77777777" w:rsidR="00F36197" w:rsidRPr="00646254" w:rsidRDefault="00F36197" w:rsidP="008E5519">
      <w:pPr>
        <w:rPr>
          <w:rFonts w:ascii="Calibri" w:eastAsia="MS PGothic" w:hAnsi="Calibri" w:cs="Calibri"/>
          <w:szCs w:val="20"/>
          <w:lang w:val="sr-Cyrl-CS" w:eastAsia="ja-JP"/>
        </w:rPr>
      </w:pPr>
      <w:r w:rsidRPr="00646254">
        <w:rPr>
          <w:rFonts w:ascii="Calibri" w:eastAsia="MS PGothic" w:hAnsi="Calibri" w:cs="Calibri"/>
          <w:szCs w:val="20"/>
          <w:lang w:val="sr-Cyrl-CS" w:eastAsia="ja-JP"/>
        </w:rPr>
        <w:t xml:space="preserve">Комерцијална банка. Дана 26. фебруара 2020. године закључен је Уговор о купопродаји акција у вези са 83,23% обичних акција Комерцијалне банке а.д. Београд између Републике Србије и </w:t>
      </w:r>
      <w:r w:rsidRPr="00646254">
        <w:rPr>
          <w:rFonts w:ascii="Calibri" w:eastAsia="MS PGothic" w:hAnsi="Calibri" w:cs="Calibri"/>
          <w:i/>
          <w:szCs w:val="20"/>
          <w:lang w:val="sr-Cyrl-CS" w:eastAsia="ja-JP"/>
        </w:rPr>
        <w:t>Nove Ljubljanske banke d.d. Ljubljana</w:t>
      </w:r>
      <w:r w:rsidRPr="00646254">
        <w:rPr>
          <w:rFonts w:ascii="Calibri" w:eastAsia="MS PGothic" w:hAnsi="Calibri" w:cs="Calibri"/>
          <w:szCs w:val="20"/>
          <w:lang w:val="sr-Cyrl-CS" w:eastAsia="ja-JP"/>
        </w:rPr>
        <w:t>. Завршетак трансакције (пренос власништва и исплата купопродајне цене) реализован је 30. децембра 2020. године.</w:t>
      </w:r>
    </w:p>
    <w:p w14:paraId="45462493" w14:textId="77777777" w:rsidR="00F36197" w:rsidRPr="00646254" w:rsidRDefault="00F36197" w:rsidP="008E5519">
      <w:pPr>
        <w:rPr>
          <w:rFonts w:ascii="Calibri" w:eastAsia="MS PGothic" w:hAnsi="Calibri" w:cs="Calibri"/>
          <w:color w:val="44546A"/>
          <w:spacing w:val="-2"/>
          <w:szCs w:val="20"/>
          <w:lang w:val="sr-Cyrl-CS" w:eastAsia="ja-JP"/>
        </w:rPr>
      </w:pPr>
      <w:r w:rsidRPr="00646254">
        <w:rPr>
          <w:rFonts w:ascii="Calibri" w:eastAsia="MS PGothic" w:hAnsi="Calibri" w:cs="Calibri"/>
          <w:color w:val="44546A"/>
          <w:spacing w:val="-2"/>
          <w:szCs w:val="20"/>
          <w:lang w:val="sr-Cyrl-CS" w:eastAsia="ja-JP"/>
        </w:rPr>
        <w:t>Српска банка. У складу са Владином стратегијом за државне банке, формирана је Стручна радна група за трансформацију Српске банке у специјализовану финансијску институцију за пружање свих врста финансијских услуга и подршке наменској индустрији Републике Србије дана 21. јануара 2019. године и почела је са формалним радом у марту 2019. године када је одржана конститутивна седница.</w:t>
      </w:r>
    </w:p>
    <w:p w14:paraId="2EF5EAC1" w14:textId="77777777" w:rsidR="00F36197" w:rsidRPr="00646254" w:rsidRDefault="00F36197" w:rsidP="008E5519">
      <w:pPr>
        <w:rPr>
          <w:rFonts w:ascii="Calibri" w:eastAsia="MS PGothic" w:hAnsi="Calibri" w:cs="Calibri"/>
          <w:color w:val="44546A"/>
          <w:szCs w:val="20"/>
          <w:lang w:val="sr-Cyrl-CS" w:eastAsia="ja-JP"/>
        </w:rPr>
      </w:pPr>
      <w:r w:rsidRPr="00646254">
        <w:rPr>
          <w:rFonts w:ascii="Calibri" w:eastAsia="MS PGothic" w:hAnsi="Calibri" w:cs="Calibri"/>
          <w:color w:val="44546A"/>
          <w:szCs w:val="20"/>
          <w:lang w:val="sr-Cyrl-CS" w:eastAsia="ja-JP"/>
        </w:rPr>
        <w:t>Реформа прописа који уређују српски финансијски систем</w:t>
      </w:r>
      <w:r w:rsidRPr="00646254">
        <w:rPr>
          <w:rFonts w:ascii="Calibri" w:eastAsia="MS PGothic" w:hAnsi="Calibri" w:cs="Calibri"/>
          <w:color w:val="44546A"/>
          <w:szCs w:val="20"/>
          <w:vertAlign w:val="superscript"/>
          <w:lang w:val="sr-Cyrl-CS" w:eastAsia="ja-JP"/>
        </w:rPr>
        <w:footnoteReference w:id="12"/>
      </w:r>
      <w:r w:rsidRPr="00646254">
        <w:rPr>
          <w:rFonts w:ascii="Calibri" w:eastAsia="MS PGothic" w:hAnsi="Calibri" w:cs="Calibri"/>
          <w:color w:val="44546A"/>
          <w:szCs w:val="20"/>
          <w:vertAlign w:val="superscript"/>
          <w:lang w:val="sr-Cyrl-CS" w:eastAsia="ja-JP"/>
        </w:rPr>
        <w:t xml:space="preserve"> </w:t>
      </w:r>
      <w:r w:rsidRPr="00646254">
        <w:rPr>
          <w:rFonts w:ascii="Calibri" w:eastAsia="MS PGothic" w:hAnsi="Calibri" w:cs="Calibri"/>
          <w:color w:val="44546A"/>
          <w:szCs w:val="20"/>
          <w:lang w:val="sr-Cyrl-CS" w:eastAsia="ja-JP"/>
        </w:rPr>
        <w:t>спроведена је фебруара 2015. године. Једна од карактеристика те реформе јесте и пренос надлежности праћења резултата пословања и рада органа управљања у банкама, друштвима за осигурање и другим финансијским институцијама чији је акционар Република Србија, као и организовање и спровођење поступка продаје акција у њима, са АОД на Министарство финансија, почев од 1. априла 2015. године. Реформом прописа је у домаћу регулативу транспонована и Директива о реструктурирању банака (</w:t>
      </w:r>
      <w:r w:rsidRPr="00646254">
        <w:rPr>
          <w:rFonts w:ascii="Calibri" w:eastAsia="MS PGothic" w:hAnsi="Calibri" w:cs="Calibri"/>
          <w:i/>
          <w:color w:val="44546A"/>
          <w:szCs w:val="20"/>
          <w:lang w:val="sr-Cyrl-CS" w:eastAsia="ja-JP"/>
        </w:rPr>
        <w:t>Bank Recovery and Resolution Directive</w:t>
      </w:r>
      <w:r w:rsidRPr="00646254">
        <w:rPr>
          <w:rFonts w:ascii="Calibri" w:eastAsia="MS PGothic" w:hAnsi="Calibri" w:cs="Calibri"/>
          <w:color w:val="44546A"/>
          <w:szCs w:val="20"/>
          <w:lang w:val="sr-Cyrl-CS" w:eastAsia="ja-JP"/>
        </w:rPr>
        <w:t xml:space="preserve"> – BRRD) и функција реструктурирања банака поверена је НБС. У децембру 2016. године усвојен је сет прописа којима се у домаћи регулаторни оквир имплементирају Базел III стандарди, чиме је постигнут значајан степен усклађености домаћих прописа са релевантним прописима ЕУ у овој области, а током 2017. године се наставило са активностима на унапређењу домаћих прописа којима се уређује пословање банака, а у циљу њиховог даљег усклађивања са прописима ЕУ. Основни циљеви усвајања ових прописа су повећање отпорности банкарског сектора повећањем квалитета капитала и увођењем заштитних слојева капитала, боље праћење и контрола изложености банке ризику ликвидности, даље јачање тржишне дисциплине и транспарентности пословања банака у Републици Србији објављивањем свих релевантних информација о пословању банке, као и прилагођавање извештајног система новим регулаторним решењима.</w:t>
      </w:r>
    </w:p>
    <w:p w14:paraId="2B3BAF4D" w14:textId="77777777" w:rsidR="00F36197" w:rsidRPr="00646254" w:rsidRDefault="00F36197" w:rsidP="008E5519">
      <w:pPr>
        <w:rPr>
          <w:rFonts w:ascii="Calibri" w:eastAsia="MS PGothic" w:hAnsi="Calibri" w:cs="Calibri"/>
          <w:color w:val="44546A"/>
          <w:szCs w:val="20"/>
          <w:lang w:val="sr-Cyrl-CS" w:eastAsia="ja-JP"/>
        </w:rPr>
      </w:pPr>
      <w:r w:rsidRPr="00646254">
        <w:rPr>
          <w:rFonts w:ascii="Calibri" w:eastAsia="MS PGothic" w:hAnsi="Calibri" w:cs="Calibri"/>
          <w:color w:val="44546A"/>
          <w:szCs w:val="20"/>
          <w:lang w:val="sr-Cyrl-CS" w:eastAsia="ja-JP"/>
        </w:rPr>
        <w:t>Један од ограничавајућих фактора за раст кредитне активности представљао је релативно висок ниво проблематичних кредита. У августу 2015. године усвојена је Стратегија за решавање проблематичних кредита која се спроводи имплементацијом два трогодишња акциона плана, један припремљен од стране Владе и други припремљен од стране НБС, у циљу спуштања нивоа проблематичних кредита. Кључне области имплементације подразумевале су јачање капацитета банака за решавање проблематичних кредита, унапређење регулативе за процену вредности средстава обезбеђења, развој тржишта проблематичних кредита и др.</w:t>
      </w:r>
    </w:p>
    <w:p w14:paraId="2BC0F7DD" w14:textId="77777777" w:rsidR="00F36197" w:rsidRPr="00646254" w:rsidRDefault="00F36197" w:rsidP="008E5519">
      <w:pPr>
        <w:rPr>
          <w:rFonts w:ascii="Calibri" w:eastAsia="MS PGothic" w:hAnsi="Calibri" w:cs="Calibri"/>
          <w:color w:val="44546A"/>
          <w:szCs w:val="20"/>
          <w:lang w:val="sr-Cyrl-CS" w:eastAsia="ja-JP"/>
        </w:rPr>
      </w:pPr>
      <w:r w:rsidRPr="00646254">
        <w:rPr>
          <w:rFonts w:ascii="Calibri" w:eastAsia="MS PGothic" w:hAnsi="Calibri" w:cs="Calibri"/>
          <w:color w:val="44546A"/>
          <w:szCs w:val="20"/>
          <w:lang w:val="sr-Cyrl-CS" w:eastAsia="ja-JP"/>
        </w:rPr>
        <w:t>Од доношења поменуте стратегије, усвојен је и измењен већи број законских и подзаконских аката, унапређен је институционални капацитет и спроведене су бројне мере за лакши отпис и пренос ненаплативих потраживања кроз доношење Закона о проценитељима вредности непокретности (почетак примене закона – јун 2017. године) који је, између осталог, увео нову професију – лиценциране проценитеље вредности непокретности и прописао обавезну процену која се спроводи у случајевима који се односе на Закон о хипотеци и Закон о стечају, као и приликом вршења процена за потребе кредитних послова који су обезбеђени хипотеком; образовање стручног одбора (стручно тело које треба да допринесе уређењу и унапређењу професије проценитеља вредности непокретности) и доношење Националних стандарда, кодекса етике и правила професионалног понашања лиценцираног проценитеља (у јулу 2017. године) који, између осталог, дефинишу основе процене вредности непокретности, поступак вршења процене, претпоставке и чињенице од значаја које се морају узети у обзир приликом израде извештаја процене, минимални садржај извештаја o процени и правила професионалног понашања лиценцираног проценитеља; усвајање измена и допуна Закона о порезу на добит правних лица и Закона о порезу на доходак грађана што је омогућило релаксиранију пореску политику за одобравање и отпис банкарских потраживања (крај 2017. године); усвајање амандмана на Закон о стечају којима је скраћен стечајни поступак и побољшан положај осигураних поверилаца (децембра 2017. године); припрему студије о могућностима увођења банкрота приватних појединаца и предузетника у Републици Србији, усвојен је Закон о изменама Закона о парничном поступку и друго. На основу Закона о проценитељима вредности непокретности и Одлуке о садржају, роковима и начину достављања извештаја о проценама вредности непокретности које су предмет хипотеке и кредитима обезбеђеним хипотеком, НБС од 2015. године води базу података о проценама вредности непокретности које су предмет хипотеке. У складу с поменутим законом и одлуком, банке и лиценцирани проценитељи могу остварити увид у одређене податке о проценама вредности непокретности које су предмет хипотеке. Крајем 2018. године НБС је усвојила сет подзаконских аката реагујући проактивно на све учесталију појаву ненаменског кредитирања становништва по неоправдано дугим роковима. Ови прописи имају за циљ да допринесу спречавању настанка проблематичних кредита у банкарском сектору и подстакну опрезно преузимање ризика од стране банака њиховим усмеравањем на одрживо кредитирање и избегавање прекомерне изложености одређеним врстама кредитних производа, не нарушавајући тренд раста кредитне активности и водећи рачуна о правима и интересима корисника услуга које пружају банке, а све ради очувања и јачања финансијске стабилности у Републици Србији.</w:t>
      </w:r>
    </w:p>
    <w:p w14:paraId="24F1996D" w14:textId="77777777" w:rsidR="00F36197" w:rsidRPr="00646254" w:rsidRDefault="00F36197" w:rsidP="008E5519">
      <w:pPr>
        <w:rPr>
          <w:rFonts w:ascii="Calibri" w:eastAsia="MS PGothic" w:hAnsi="Calibri" w:cs="Calibri"/>
          <w:color w:val="44546A"/>
          <w:szCs w:val="20"/>
          <w:lang w:val="sr-Cyrl-CS" w:eastAsia="ja-JP"/>
        </w:rPr>
      </w:pPr>
      <w:r w:rsidRPr="00646254">
        <w:rPr>
          <w:rFonts w:ascii="Calibri" w:eastAsia="MS PGothic" w:hAnsi="Calibri" w:cs="Calibri"/>
          <w:color w:val="44546A"/>
          <w:szCs w:val="20"/>
          <w:lang w:val="sr-Cyrl-CS" w:eastAsia="ja-JP"/>
        </w:rPr>
        <w:t>Влада је 27. децембра 2018. године донела Програм за решавање проблематичних кредита за период 2018–2020. године (у даљем тексту: Програм) заједно са Акционим планом за спровођење тог програма чиме је успешно испуњен и реформски циљ унутар програма сарадње са ММФ и зацртан пут за даљи успешан рад на решавању питања проблематичних потраживања.</w:t>
      </w:r>
    </w:p>
    <w:p w14:paraId="6397B0A7" w14:textId="77777777" w:rsidR="00F36197" w:rsidRPr="00646254" w:rsidRDefault="00F36197" w:rsidP="008E5519">
      <w:pPr>
        <w:rPr>
          <w:rFonts w:ascii="Calibri" w:eastAsia="MS PGothic" w:hAnsi="Calibri" w:cs="Calibri"/>
          <w:color w:val="44546A"/>
          <w:szCs w:val="20"/>
          <w:lang w:val="sr-Cyrl-CS" w:eastAsia="ja-JP"/>
        </w:rPr>
      </w:pPr>
      <w:r w:rsidRPr="00646254">
        <w:rPr>
          <w:rFonts w:ascii="Calibri" w:eastAsia="MS PGothic" w:hAnsi="Calibri" w:cs="Calibri"/>
          <w:color w:val="44546A"/>
          <w:szCs w:val="20"/>
          <w:lang w:val="sr-Cyrl-CS" w:eastAsia="ja-JP"/>
        </w:rPr>
        <w:t>Главни фокус поменутог документа јавне политике представља решавање питања проблематичних пласмана банака у стечају и пласмана у име и за рачун Републике Србије, којима управља АОД. У складу са тим, усвојени су стратешки и годишњи оперативни планови за АОД, Резолуција портфеља проблематичних пласмана, и развијени су унутрашњи капацитети за њихово решавање. У јуну 2019. године, АОД успешно је окончала продају првог, „пилот портфеља”, номиналне вредности од око 242 милиона евра, док је дана 30. септембра 2019. године објавила оглас за уступање другог, „великог портфеља”, номиналне вредности од 1,82 милијарде евра. Због ограничавајућих фактора изазваних пандемијом COVID-19 на способност инвеститора да спроведу поступак анализе, отварање обавезујућих понуда извршено је 10. септембра 2020. године, а укупно је примљено пет обавезујућих понуда.</w:t>
      </w:r>
    </w:p>
    <w:p w14:paraId="4D60F080" w14:textId="46DE164A" w:rsidR="00F36197" w:rsidRPr="00646254" w:rsidRDefault="00F36197" w:rsidP="008E5519">
      <w:pPr>
        <w:rPr>
          <w:rFonts w:ascii="Calibri" w:eastAsia="MS PGothic" w:hAnsi="Calibri" w:cs="Calibri"/>
          <w:color w:val="44546A"/>
          <w:szCs w:val="20"/>
          <w:lang w:val="sr-Cyrl-CS" w:eastAsia="ja-JP"/>
        </w:rPr>
      </w:pPr>
      <w:r w:rsidRPr="00646254">
        <w:rPr>
          <w:rFonts w:ascii="Calibri" w:eastAsia="MS PGothic" w:hAnsi="Calibri" w:cs="Calibri"/>
          <w:color w:val="44546A"/>
          <w:szCs w:val="20"/>
          <w:lang w:val="sr-Cyrl-CS" w:eastAsia="ja-JP"/>
        </w:rPr>
        <w:t xml:space="preserve">Након вишемесечних преговора са најбољим понуђачима, у складу са Закључком </w:t>
      </w:r>
      <w:r w:rsidRPr="00646254">
        <w:rPr>
          <w:rFonts w:ascii="Calibri" w:eastAsia="MS PGothic" w:hAnsi="Calibri" w:cs="Calibri"/>
          <w:szCs w:val="20"/>
          <w:lang w:val="sr-Cyrl-CS" w:eastAsia="ja-JP"/>
        </w:rPr>
        <w:t>Владе 05 Број</w:t>
      </w:r>
      <w:r w:rsidR="008E4885" w:rsidRPr="00646254">
        <w:rPr>
          <w:rFonts w:ascii="Calibri" w:eastAsia="MS PGothic" w:hAnsi="Calibri" w:cs="Calibri"/>
          <w:szCs w:val="20"/>
          <w:lang w:val="sr-Cyrl-CS" w:eastAsia="ja-JP"/>
        </w:rPr>
        <w:t>:</w:t>
      </w:r>
      <w:r w:rsidRPr="00646254">
        <w:rPr>
          <w:rFonts w:ascii="Calibri" w:eastAsia="MS PGothic" w:hAnsi="Calibri" w:cs="Calibri"/>
          <w:szCs w:val="20"/>
          <w:lang w:val="sr-Cyrl-CS" w:eastAsia="ja-JP"/>
        </w:rPr>
        <w:t xml:space="preserve"> 401-1646/2021 од 25. фебруара 2021. године, Закључком Покрајинске владе 127 Број</w:t>
      </w:r>
      <w:r w:rsidR="008E4885" w:rsidRPr="00646254">
        <w:rPr>
          <w:rFonts w:ascii="Calibri" w:eastAsia="MS PGothic" w:hAnsi="Calibri" w:cs="Calibri"/>
          <w:szCs w:val="20"/>
          <w:lang w:val="sr-Cyrl-CS" w:eastAsia="ja-JP"/>
        </w:rPr>
        <w:t>:</w:t>
      </w:r>
      <w:r w:rsidRPr="00646254">
        <w:rPr>
          <w:rFonts w:ascii="Calibri" w:eastAsia="MS PGothic" w:hAnsi="Calibri" w:cs="Calibri"/>
          <w:szCs w:val="20"/>
          <w:lang w:val="sr-Cyrl-CS" w:eastAsia="ja-JP"/>
        </w:rPr>
        <w:t xml:space="preserve"> 422-6/2021 од 3. марта 2021. године и одлукама Одбора </w:t>
      </w:r>
      <w:r w:rsidRPr="00646254">
        <w:rPr>
          <w:rFonts w:ascii="Calibri" w:eastAsia="MS PGothic" w:hAnsi="Calibri" w:cs="Calibri"/>
          <w:color w:val="44546A"/>
          <w:szCs w:val="20"/>
          <w:lang w:val="sr-Cyrl-CS" w:eastAsia="ja-JP"/>
        </w:rPr>
        <w:t>поверилаца свих финансијских институција у стечају, чија потраживања су предмет уступања, изабрана је најбоља понуда у поступку уступања портфеља потраживања уз накнаду, методом јавног прикупљања понуда тендером</w:t>
      </w:r>
      <w:r w:rsidRPr="00646254">
        <w:rPr>
          <w:rFonts w:ascii="Calibri" w:eastAsia="MS PGothic" w:hAnsi="Calibri" w:cs="Calibri"/>
          <w:szCs w:val="20"/>
          <w:lang w:val="sr-Cyrl-CS" w:eastAsia="ja-JP"/>
        </w:rPr>
        <w:t xml:space="preserve"> </w:t>
      </w:r>
      <w:r w:rsidRPr="00646254">
        <w:rPr>
          <w:rFonts w:ascii="Calibri" w:eastAsia="MS PGothic" w:hAnsi="Calibri" w:cs="Calibri"/>
          <w:color w:val="44546A"/>
          <w:szCs w:val="20"/>
          <w:lang w:val="sr-Cyrl-CS" w:eastAsia="ja-JP"/>
        </w:rPr>
        <w:t>и поступак уступања „великог” портфеља је успешно окончан дана 19. априла 2021. године, потписивањем Оквирних уговора о уступању портфеља потраживања и исплатом накнаде за уступање.</w:t>
      </w:r>
    </w:p>
    <w:p w14:paraId="1AF745AE" w14:textId="77777777" w:rsidR="00F36197" w:rsidRPr="00646254" w:rsidRDefault="00F36197" w:rsidP="008E5519">
      <w:pPr>
        <w:rPr>
          <w:rFonts w:ascii="Calibri" w:eastAsia="MS PGothic" w:hAnsi="Calibri" w:cs="Calibri"/>
          <w:color w:val="44546A"/>
          <w:szCs w:val="20"/>
          <w:lang w:val="sr-Cyrl-CS" w:eastAsia="ja-JP"/>
        </w:rPr>
      </w:pPr>
      <w:r w:rsidRPr="00646254">
        <w:rPr>
          <w:rFonts w:ascii="Calibri" w:eastAsia="MS PGothic" w:hAnsi="Calibri" w:cs="Calibri"/>
          <w:color w:val="44546A"/>
          <w:szCs w:val="20"/>
          <w:lang w:val="sr-Cyrl-CS" w:eastAsia="ja-JP"/>
        </w:rPr>
        <w:t xml:space="preserve">Имплементација других мера за решавање проблематичних кредита, како из Стратегије за решавање проблематичних кредита, тако и из горепоменутог Програма, наставља да даје резултате. </w:t>
      </w:r>
      <w:r w:rsidRPr="00646254">
        <w:rPr>
          <w:rFonts w:ascii="Calibri" w:eastAsia="Calibri" w:hAnsi="Calibri" w:cs="Times New Roman"/>
          <w:color w:val="44546A"/>
          <w:lang w:val="sr-Cyrl-CS"/>
        </w:rPr>
        <w:t>Смањење проблематичних кредита у периоду август 2015. – септембар 2020. године износи 333,0 млрд динара, док се резултат Стратегије за решавање проблематичних кредита огледа кроз историјски најнижи удео проблематичних кредита на крају септембра 2020. од 3,4%. У поређењу са тим показатељем пре примене Стратегије (22,25%) бележи се импресивно смањење за 18,82 п</w:t>
      </w:r>
      <w:r w:rsidRPr="00646254">
        <w:rPr>
          <w:rFonts w:ascii="Calibri" w:eastAsia="MS PGothic" w:hAnsi="Calibri" w:cs="Calibri"/>
          <w:color w:val="44546A"/>
          <w:szCs w:val="20"/>
          <w:lang w:val="sr-Cyrl-CS" w:eastAsia="ja-JP"/>
        </w:rPr>
        <w:t>.п. То је конкретна потврда да су мере добро дефинисане и да су дале одличне ефекте.</w:t>
      </w:r>
    </w:p>
    <w:p w14:paraId="1B38DC43" w14:textId="77777777" w:rsidR="00F36197" w:rsidRPr="00646254" w:rsidRDefault="00F36197" w:rsidP="008E5519">
      <w:pPr>
        <w:rPr>
          <w:rFonts w:ascii="Calibri" w:eastAsia="MS PGothic" w:hAnsi="Calibri" w:cs="Calibri"/>
          <w:color w:val="44546A"/>
          <w:szCs w:val="20"/>
          <w:lang w:val="sr-Cyrl-CS" w:eastAsia="ja-JP"/>
        </w:rPr>
      </w:pPr>
      <w:r w:rsidRPr="00646254">
        <w:rPr>
          <w:rFonts w:ascii="Calibri" w:eastAsia="MS PGothic" w:hAnsi="Calibri" w:cs="Calibri"/>
          <w:color w:val="44546A"/>
          <w:szCs w:val="20"/>
          <w:lang w:val="sr-Cyrl-CS" w:eastAsia="ja-JP"/>
        </w:rPr>
        <w:t>НБС је деловала и изван оквира Стратегије, попут доношења Одлуке о рачуноводственом отпису билансне активе банке, што је употпунило регулаторне активности. И покривеност проблематичних кредита припадајућим исправкама вредности у складу са међународним рачуноводственим стандардима, која је на нивоу од 62%, недвосмислено, уз све друге показатеље здравља финансијског система, потврђује стабилност нашег банкарског сектора.</w:t>
      </w:r>
    </w:p>
    <w:p w14:paraId="6F66A4B8" w14:textId="77777777" w:rsidR="00F36197" w:rsidRPr="00646254" w:rsidRDefault="00F36197" w:rsidP="008E5519">
      <w:pPr>
        <w:rPr>
          <w:rFonts w:ascii="Calibri" w:eastAsia="MS PGothic" w:hAnsi="Calibri" w:cs="Calibri"/>
          <w:color w:val="44546A"/>
          <w:szCs w:val="20"/>
          <w:lang w:val="sr-Cyrl-CS" w:eastAsia="ja-JP"/>
        </w:rPr>
      </w:pPr>
      <w:r w:rsidRPr="00646254">
        <w:rPr>
          <w:rFonts w:ascii="Calibri" w:eastAsia="MS PGothic" w:hAnsi="Calibri" w:cs="Calibri"/>
          <w:color w:val="44546A"/>
          <w:szCs w:val="20"/>
          <w:lang w:val="sr-Cyrl-CS" w:eastAsia="ja-JP"/>
        </w:rPr>
        <w:t>Стварањем стабилних услова пословања, наша економија је ушла у инвестициони циклус 2015. године, и од тада инвестиције по обиму представљају добар део раста економије. Профитабилност привреде расте у условима ниске и стабилне инфлације и релативно</w:t>
      </w:r>
      <w:r w:rsidRPr="00646254">
        <w:rPr>
          <w:rFonts w:ascii="Calibri" w:eastAsia="Calibri" w:hAnsi="Calibri" w:cs="Calibri"/>
          <w:color w:val="auto"/>
          <w:szCs w:val="20"/>
          <w:lang w:val="sr-Cyrl-CS" w:eastAsia="ja-JP"/>
        </w:rPr>
        <w:t xml:space="preserve"> </w:t>
      </w:r>
      <w:r w:rsidRPr="00646254">
        <w:rPr>
          <w:rFonts w:ascii="Calibri" w:eastAsia="MS PGothic" w:hAnsi="Calibri" w:cs="Calibri"/>
          <w:color w:val="44546A"/>
          <w:szCs w:val="20"/>
          <w:lang w:val="sr-Cyrl-CS" w:eastAsia="ja-JP"/>
        </w:rPr>
        <w:t>стабилног курса. Све су то били кључни фактори за одрживо решавање питања проблематичних кредита. То се јасно види и из чињенице да је у гранама које су и носиоци нашег раста, забележен и највећи пад проблематичних кредита – што је евидентно у прерађивачкој индустрији и грађевинарству.</w:t>
      </w:r>
    </w:p>
    <w:p w14:paraId="4FCA1164" w14:textId="77777777" w:rsidR="00F36197" w:rsidRPr="00646254" w:rsidRDefault="00F36197" w:rsidP="008E5519">
      <w:pPr>
        <w:rPr>
          <w:rFonts w:ascii="Calibri" w:eastAsia="MS PGothic" w:hAnsi="Calibri" w:cs="Calibri"/>
          <w:color w:val="44546A"/>
          <w:szCs w:val="20"/>
          <w:lang w:val="sr-Cyrl-CS" w:eastAsia="ja-JP"/>
        </w:rPr>
      </w:pPr>
      <w:r w:rsidRPr="00646254">
        <w:rPr>
          <w:rFonts w:ascii="Calibri" w:eastAsia="MS PGothic" w:hAnsi="Calibri" w:cs="Calibri"/>
          <w:color w:val="44546A"/>
          <w:szCs w:val="20"/>
          <w:lang w:val="sr-Cyrl-CS" w:eastAsia="ja-JP"/>
        </w:rPr>
        <w:t>Осигурање депозита је механизам који доприноси очувању финансијске стабилности и обезбеђује заштиту депонената. Систем осигурања депозита обезбеђује да се сваком заштићеном депоненту</w:t>
      </w:r>
      <w:r w:rsidRPr="00646254">
        <w:rPr>
          <w:rFonts w:ascii="Calibri" w:eastAsia="MS PGothic" w:hAnsi="Calibri" w:cs="Calibri"/>
          <w:color w:val="44546A"/>
          <w:sz w:val="12"/>
          <w:szCs w:val="12"/>
          <w:vertAlign w:val="superscript"/>
          <w:lang w:val="sr-Cyrl-CS" w:eastAsia="ja-JP"/>
        </w:rPr>
        <w:footnoteReference w:id="13"/>
      </w:r>
      <w:r w:rsidRPr="00646254">
        <w:rPr>
          <w:rFonts w:ascii="Calibri" w:eastAsia="MS PGothic" w:hAnsi="Calibri" w:cs="Calibri"/>
          <w:color w:val="44546A"/>
          <w:sz w:val="12"/>
          <w:szCs w:val="12"/>
          <w:lang w:val="sr-Cyrl-CS" w:eastAsia="ja-JP"/>
        </w:rPr>
        <w:t xml:space="preserve"> </w:t>
      </w:r>
      <w:r w:rsidRPr="00646254">
        <w:rPr>
          <w:rFonts w:ascii="Calibri" w:eastAsia="MS PGothic" w:hAnsi="Calibri" w:cs="Calibri"/>
          <w:color w:val="44546A"/>
          <w:szCs w:val="20"/>
          <w:lang w:val="sr-Cyrl-CS" w:eastAsia="ja-JP"/>
        </w:rPr>
        <w:t>исплати целокупан износ улога у свакој банци до осигураног износа од 50.000 евра у случају стечаја или ликвидације банке. Осигурање депозита регулисано је Законом о осигурању депозита.</w:t>
      </w:r>
    </w:p>
    <w:p w14:paraId="160A0E8F" w14:textId="77777777" w:rsidR="00F36197" w:rsidRPr="00646254" w:rsidRDefault="00F36197" w:rsidP="008E5519">
      <w:pPr>
        <w:rPr>
          <w:rFonts w:ascii="Calibri" w:eastAsia="MS PGothic" w:hAnsi="Calibri" w:cs="Calibri"/>
          <w:color w:val="44546A"/>
          <w:szCs w:val="20"/>
          <w:lang w:val="sr-Cyrl-CS" w:eastAsia="ja-JP"/>
        </w:rPr>
      </w:pPr>
      <w:r w:rsidRPr="00646254">
        <w:rPr>
          <w:rFonts w:ascii="Calibri" w:eastAsia="MS PGothic" w:hAnsi="Calibri" w:cs="Calibri"/>
          <w:color w:val="44546A"/>
          <w:szCs w:val="20"/>
          <w:lang w:val="sr-Cyrl-CS" w:eastAsia="ja-JP"/>
        </w:rPr>
        <w:t>У октобру 2019. године, усвојен је Закон о изменама и допунама Закона о осигурању депозита из 2019. године, којим се настојало да се систем осигурања депозита додатно усклади са најбољом међународном праксом и стандардима, као и правним тековинама ЕУ и то у погледу: метода обрачуна премије (увођење могућности обрачуна премије на основу нивоа ризика у пословању банака), основице за обрачун премије, висине ванредне премије, заштите депонената спојених или припојених банака, циљног износа фонда за осигурање депозита и др, све са циљем доприноса финансијској стабилности кроз подстицај смањењу ризика у пословању банака, јачање поверења јавности у финансијски систем и повећање ефикасности система осигурања депозита.</w:t>
      </w:r>
    </w:p>
    <w:p w14:paraId="1ADD46A3" w14:textId="77777777" w:rsidR="00F36197" w:rsidRPr="00646254" w:rsidRDefault="00F36197" w:rsidP="008E5519">
      <w:pPr>
        <w:rPr>
          <w:rFonts w:ascii="Calibri" w:eastAsia="MS PGothic" w:hAnsi="Calibri" w:cs="Calibri"/>
          <w:color w:val="44546A"/>
          <w:szCs w:val="20"/>
          <w:lang w:val="sr-Cyrl-CS" w:eastAsia="ja-JP"/>
        </w:rPr>
      </w:pPr>
      <w:r w:rsidRPr="00646254">
        <w:rPr>
          <w:rFonts w:ascii="Calibri" w:eastAsia="MS PGothic" w:hAnsi="Calibri" w:cs="Calibri"/>
          <w:color w:val="44546A"/>
          <w:szCs w:val="20"/>
          <w:lang w:val="sr-Cyrl-CS" w:eastAsia="ja-JP"/>
        </w:rPr>
        <w:t>Уважавајући одредбе Закона о изменама и допунама Закона о осигурању депозита, премија осигурања депозита се почев од наплате премије за први квартал 2020. године обрачунава на измењену основицу, односно на основу просечног стања укупних осигураних износа до 50.000 евра (осигурањем покривени износ депозита) у банци у претходном тромесечју, уместо на основу просечног стања укупних осигураних депозита. Овом изменом, смањене су обавезе банака по основу плаћања премије осигурања депозита у просеку за око 30%, чиме се посредно омогућила већа инвестициона активност банака.</w:t>
      </w:r>
    </w:p>
    <w:p w14:paraId="35EBA804" w14:textId="77777777" w:rsidR="00F36197" w:rsidRPr="00646254" w:rsidRDefault="00F36197" w:rsidP="008E5519">
      <w:pPr>
        <w:rPr>
          <w:rFonts w:ascii="Calibri" w:eastAsia="MS PGothic" w:hAnsi="Calibri" w:cs="Calibri"/>
          <w:color w:val="44546A"/>
          <w:szCs w:val="20"/>
          <w:lang w:val="sr-Cyrl-CS" w:eastAsia="ja-JP"/>
        </w:rPr>
      </w:pPr>
      <w:r w:rsidRPr="00646254">
        <w:rPr>
          <w:rFonts w:ascii="Calibri" w:eastAsia="MS PGothic" w:hAnsi="Calibri" w:cs="Calibri"/>
          <w:color w:val="44546A"/>
          <w:szCs w:val="20"/>
          <w:lang w:val="sr-Cyrl-CS" w:eastAsia="ja-JP"/>
        </w:rPr>
        <w:t>Како је законом уведена и могућност обрачуна премије на основу нивоа ризика у пословању банака, прописана је обавеза Агенцији да донесе Методологију за обрачун премије осигурања депозита на основу нивоа ризика у пословању банака у року од годину дана од дана ступања на снагу овог закона. Управни одбор Агенције усвојио је текст Методологије 15. октобра 2020. године уз претходну сагласност НБС, чиме је испуњена законска обавеза у прописаном року, а посебном одлуком Управног одбора Агенције ће се одлучити о почетку примене Методологије.</w:t>
      </w:r>
    </w:p>
    <w:p w14:paraId="2C998243" w14:textId="77777777" w:rsidR="00F36197" w:rsidRPr="00646254" w:rsidRDefault="00F36197" w:rsidP="008E5519">
      <w:pPr>
        <w:rPr>
          <w:rFonts w:ascii="Calibri" w:eastAsia="MS PGothic" w:hAnsi="Calibri" w:cs="Calibri"/>
          <w:color w:val="44546A"/>
          <w:szCs w:val="20"/>
          <w:lang w:val="sr-Cyrl-CS" w:eastAsia="ja-JP"/>
        </w:rPr>
      </w:pPr>
      <w:r w:rsidRPr="00646254">
        <w:rPr>
          <w:rFonts w:ascii="Calibri" w:eastAsia="MS PGothic" w:hAnsi="Calibri" w:cs="Calibri"/>
          <w:color w:val="44546A"/>
          <w:szCs w:val="20"/>
          <w:lang w:val="sr-Cyrl-CS" w:eastAsia="ja-JP"/>
        </w:rPr>
        <w:t>У систему осигурања депозита Република Србија је ултимативни гарант исплате осигураних депозита. У сврху обезбеђивања средстава за осигурање депозита АОД наплаћује премију осигурања депозита од банака за рачун Фонда за осигурање депозита, управља имовином фонда и исплаћује депозите до осигураног износа у случају стечаја или ликвидације банке. Додатно, средства фонда се могу користити и за финансирање поступка реструктурирања банака у обиму и под условима утврђеним законом којим се уређују банке. У случају недостајућих средстава у фонду за осигурање депозита, Република Србија обезбеђује исплату било средствима из буџета, било давањем гаранције за задуживање АОД.</w:t>
      </w:r>
    </w:p>
    <w:p w14:paraId="182711E5" w14:textId="1CB228B6" w:rsidR="00F36197" w:rsidRPr="00646254" w:rsidRDefault="00F36197" w:rsidP="008E5519">
      <w:pPr>
        <w:rPr>
          <w:rFonts w:ascii="Calibri" w:eastAsia="MS PGothic" w:hAnsi="Calibri" w:cs="Calibri"/>
          <w:color w:val="44546A"/>
          <w:szCs w:val="20"/>
          <w:lang w:val="sr-Cyrl-CS" w:eastAsia="ja-JP"/>
        </w:rPr>
      </w:pPr>
      <w:r w:rsidRPr="00646254">
        <w:rPr>
          <w:rFonts w:ascii="Calibri" w:eastAsia="MS PGothic" w:hAnsi="Calibri" w:cs="Calibri"/>
          <w:color w:val="44546A"/>
          <w:szCs w:val="20"/>
          <w:lang w:val="sr-Cyrl-CS" w:eastAsia="ja-JP"/>
        </w:rPr>
        <w:t>Влада је дана 24. марта 2020. године донела Уредбу о улагању за време ванредног стања девизних средстава којима управља Агенција за осигурање депозита, којом је прописано да за време ванредног стања насталог услед болести COVID-19 изазване вирусом SARS-CoV-2 Агенција може улагати више од четвртине девизних средстава Фонда у девизне дужничке хартије од вредности које издаје Република Србија. У складу с Уредбом, Агенција је у року од годину дана од дана престанка ванредног стања (до 6. маја 2021. године) износ девизних средстава Фонда уложених у девизне дужничке хартије од вредности које издаје Република Србија, ускладила на ниво законског лимита од 1/4 укупних девизних средстава Фонда.</w:t>
      </w:r>
    </w:p>
    <w:p w14:paraId="2DE63198" w14:textId="77777777" w:rsidR="00F36197" w:rsidRPr="00646254" w:rsidRDefault="00F36197" w:rsidP="008E5519">
      <w:pPr>
        <w:rPr>
          <w:rFonts w:ascii="Calibri" w:eastAsia="MS PGothic" w:hAnsi="Calibri" w:cs="Calibri"/>
          <w:color w:val="44546A"/>
          <w:szCs w:val="20"/>
          <w:lang w:val="sr-Cyrl-CS" w:eastAsia="ja-JP"/>
        </w:rPr>
      </w:pPr>
      <w:r w:rsidRPr="00646254">
        <w:rPr>
          <w:rFonts w:ascii="Calibri" w:eastAsia="MS PGothic" w:hAnsi="Calibri" w:cs="Calibri"/>
          <w:color w:val="44546A"/>
          <w:szCs w:val="20"/>
          <w:lang w:val="sr-Cyrl-CS" w:eastAsia="ja-JP"/>
        </w:rPr>
        <w:t>Гаранција исплате осигураних депозита од стране државе, било директно средствима из буџета, или индиректно издавањем гаранција за задуживање АОД, извор је фискалних ризика и могућих фискалних трошкова. Међутим, захваљујући постигнутој стабилности банкарског сектора, од 2015. године није било потребе за коришћењем средстава фонда за осигурање депозита, нити државе по основу исплата осигураних износа депозита.</w:t>
      </w:r>
    </w:p>
    <w:p w14:paraId="73095EEB" w14:textId="77777777" w:rsidR="00F36197" w:rsidRPr="00646254" w:rsidRDefault="00F36197" w:rsidP="008E5519">
      <w:pPr>
        <w:rPr>
          <w:rFonts w:ascii="Calibri" w:eastAsia="MS PGothic" w:hAnsi="Calibri" w:cs="Calibri"/>
          <w:color w:val="44546A"/>
          <w:szCs w:val="20"/>
          <w:lang w:val="sr-Cyrl-CS" w:eastAsia="ja-JP"/>
        </w:rPr>
      </w:pPr>
      <w:r w:rsidRPr="00646254">
        <w:rPr>
          <w:rFonts w:ascii="Calibri" w:eastAsia="MS PGothic" w:hAnsi="Calibri" w:cs="Calibri"/>
          <w:color w:val="44546A"/>
          <w:szCs w:val="20"/>
          <w:lang w:val="sr-Cyrl-CS" w:eastAsia="ja-JP"/>
        </w:rPr>
        <w:t>Умањење фискалних ризика по овом основу зависи од стабилности и одрживости банкарског система. Надзор над банкарским системом, обазривост у пласирању средстава и унапређење квалитета имовине банака су основни стубови стабилног банкарског система.</w:t>
      </w:r>
    </w:p>
    <w:p w14:paraId="498B613F" w14:textId="77777777" w:rsidR="00F36197" w:rsidRPr="00646254" w:rsidRDefault="00F36197" w:rsidP="008E5519">
      <w:pPr>
        <w:rPr>
          <w:rFonts w:ascii="Calibri" w:eastAsia="MS PGothic" w:hAnsi="Calibri" w:cs="Calibri"/>
          <w:color w:val="44546A"/>
          <w:szCs w:val="20"/>
          <w:lang w:val="sr-Cyrl-CS" w:eastAsia="ja-JP"/>
        </w:rPr>
      </w:pPr>
      <w:r w:rsidRPr="00646254">
        <w:rPr>
          <w:rFonts w:ascii="Calibri" w:eastAsia="MS PGothic" w:hAnsi="Calibri" w:cs="Calibri"/>
          <w:color w:val="44546A"/>
          <w:szCs w:val="20"/>
          <w:lang w:val="sr-Cyrl-CS" w:eastAsia="ja-JP"/>
        </w:rPr>
        <w:t>Остварени резултати банкарског сектора Републике Србије на крају 2019. и 2020. године приказују oпадајућу профитабилност банака. Банкарски сектор Републике Србије је у 2020. години пословао профитабилно, са нето добитком пре опорезивања у износу од 46,1 милијарди динара, што је за 32</w:t>
      </w:r>
      <w:r w:rsidRPr="00646254" w:rsidDel="0038406A">
        <w:rPr>
          <w:rFonts w:ascii="Calibri" w:eastAsia="MS PGothic" w:hAnsi="Calibri" w:cs="Calibri"/>
          <w:color w:val="44546A"/>
          <w:szCs w:val="20"/>
          <w:lang w:val="sr-Cyrl-CS" w:eastAsia="ja-JP"/>
        </w:rPr>
        <w:t xml:space="preserve"> </w:t>
      </w:r>
      <w:r w:rsidRPr="00646254">
        <w:rPr>
          <w:rFonts w:ascii="Calibri" w:eastAsia="MS PGothic" w:hAnsi="Calibri" w:cs="Calibri"/>
          <w:color w:val="44546A"/>
          <w:szCs w:val="20"/>
          <w:lang w:val="sr-Cyrl-CS" w:eastAsia="ja-JP"/>
        </w:rPr>
        <w:t>% мање од резултата оствареног на крају 2019. године када је нето добитак пре опорезивања износио 67,7 милијарди динара.</w:t>
      </w:r>
    </w:p>
    <w:p w14:paraId="031E7BBE" w14:textId="075BE20F" w:rsidR="00F36197" w:rsidRPr="00646254" w:rsidRDefault="00F36197" w:rsidP="008E5519">
      <w:pPr>
        <w:rPr>
          <w:rFonts w:ascii="Calibri" w:eastAsia="MS PGothic" w:hAnsi="Calibri" w:cs="Calibri"/>
          <w:color w:val="44546A"/>
          <w:szCs w:val="20"/>
          <w:lang w:val="sr-Cyrl-CS" w:eastAsia="ja-JP"/>
        </w:rPr>
      </w:pPr>
      <w:r w:rsidRPr="00646254">
        <w:rPr>
          <w:rFonts w:ascii="Calibri" w:eastAsia="MS PGothic" w:hAnsi="Calibri" w:cs="Calibri"/>
          <w:color w:val="44546A"/>
          <w:szCs w:val="20"/>
          <w:lang w:val="sr-Cyrl-CS" w:eastAsia="ja-JP"/>
        </w:rPr>
        <w:t>Банкарски сектор Републике Србије адекватно је капитализован како са становишта оствареног нивоа показатеља адекватности капитала тако и са становишта структуре регулаторног капитала. На крају 2020. године, просечна вредност показатеља адекватности капитала на нивоу банкарског сектора Републике Србије износила је 22,42% (</w:t>
      </w:r>
      <w:r w:rsidR="00B97959" w:rsidRPr="00646254">
        <w:rPr>
          <w:rFonts w:ascii="Calibri" w:eastAsia="MS PGothic" w:hAnsi="Calibri" w:cs="Calibri"/>
          <w:color w:val="44546A"/>
          <w:szCs w:val="20"/>
          <w:lang w:val="sr-Cyrl-CS" w:eastAsia="ja-JP"/>
        </w:rPr>
        <w:t>22,2% у јуну</w:t>
      </w:r>
      <w:r w:rsidRPr="00646254">
        <w:rPr>
          <w:rFonts w:ascii="Calibri" w:eastAsia="MS PGothic" w:hAnsi="Calibri" w:cs="Calibri"/>
          <w:color w:val="44546A"/>
          <w:szCs w:val="20"/>
          <w:lang w:val="sr-Cyrl-CS" w:eastAsia="ja-JP"/>
        </w:rPr>
        <w:t xml:space="preserve"> 2021. године), што је значајно изнад прописаног регулаторног минимума од 8% и више него довољно за покриће свих ризика којима је сектор изложен, што потврђују и макропруденцијални стрес тестови које НБС редовно спроводи.</w:t>
      </w:r>
    </w:p>
    <w:p w14:paraId="437DD0EF" w14:textId="5FD9BA5E" w:rsidR="00F36197" w:rsidRPr="00646254" w:rsidRDefault="00F36197" w:rsidP="008E5519">
      <w:pPr>
        <w:rPr>
          <w:rFonts w:ascii="Calibri" w:eastAsia="MS PGothic" w:hAnsi="Calibri" w:cs="Calibri"/>
          <w:color w:val="44546A"/>
          <w:szCs w:val="20"/>
          <w:lang w:val="sr-Cyrl-CS" w:eastAsia="ja-JP"/>
        </w:rPr>
      </w:pPr>
      <w:r w:rsidRPr="00646254">
        <w:rPr>
          <w:rFonts w:ascii="Calibri" w:eastAsia="MS PGothic" w:hAnsi="Calibri" w:cs="Calibri"/>
          <w:color w:val="44546A"/>
          <w:szCs w:val="20"/>
          <w:lang w:val="sr-Cyrl-CS" w:eastAsia="ja-JP"/>
        </w:rPr>
        <w:t>Имајући у виду ситуацију насталу проглашењем ванредног стања у Републици Србији, како би се омогућило ублажавање економских и финансијских последица насталих услед пандемије болести COVID-19 изазване вирусом SARS-CoV-2 предузете су мере подршке привреди које су имале за циљ повећање ликвидности привредних субјеката. Једна од мера јесте била и доношење Уредбе о утврђивању гарантне шеме као мера подршке привреди за ублажавање последица пандемије болести COVID-19 изазване вирусом SARS-CоV-2.</w:t>
      </w:r>
      <w:r w:rsidR="00B066B3" w:rsidRPr="00646254">
        <w:rPr>
          <w:rFonts w:ascii="Calibri" w:eastAsia="MS PGothic" w:hAnsi="Calibri" w:cs="Calibri"/>
          <w:color w:val="44546A"/>
          <w:szCs w:val="20"/>
          <w:lang w:val="sr-Cyrl-CS" w:eastAsia="ja-JP"/>
        </w:rPr>
        <w:t xml:space="preserve"> </w:t>
      </w:r>
      <w:r w:rsidRPr="00646254">
        <w:rPr>
          <w:rFonts w:ascii="Calibri" w:eastAsia="MS PGothic" w:hAnsi="Calibri" w:cs="Calibri"/>
          <w:color w:val="44546A"/>
          <w:szCs w:val="20"/>
          <w:lang w:val="sr-Cyrl-CS" w:eastAsia="ja-JP"/>
        </w:rPr>
        <w:t>Овом уредбом је конституисано утврђивање националне гарантне шеме. Повећање ликвидности привредних субјеката кроз механизам гарантовања Републике Србије за кредите које банке одобравају привредним субјектима за финансирање ликвидности и обртних средстава, а које се омогућава закључењем Уговора о гаранцији Републике Србије за кредитирање привреде с циљем ублажавања негативних последица пандемије болести COVID-19 изазване вирусом SARS-CoV-2, јесте мера која у себи сублимира изузетно важан и нужан механизам ефеката за сва лица са седиштем у Републици Србији укључујући и пољопривредна газдинства, која су регистрована у АПР Републике Србије и класификована као предузетник, или микро, мало и средње привредно друштво у складу са законом којим се уређује рачуноводство, а чија је ликвидност предуслов функционисања привреде Републике Србије.</w:t>
      </w:r>
    </w:p>
    <w:p w14:paraId="4CC54169" w14:textId="77777777" w:rsidR="00F36197" w:rsidRPr="00646254" w:rsidRDefault="00F36197" w:rsidP="008E5519">
      <w:pPr>
        <w:rPr>
          <w:rFonts w:ascii="Calibri" w:eastAsia="MS PGothic" w:hAnsi="Calibri" w:cs="Calibri"/>
          <w:color w:val="44546A"/>
          <w:szCs w:val="20"/>
          <w:lang w:val="sr-Cyrl-CS" w:eastAsia="ja-JP"/>
        </w:rPr>
      </w:pPr>
      <w:r w:rsidRPr="00646254">
        <w:rPr>
          <w:rFonts w:ascii="Calibri" w:eastAsia="MS PGothic" w:hAnsi="Calibri" w:cs="Calibri"/>
          <w:color w:val="44546A"/>
          <w:szCs w:val="20"/>
          <w:lang w:val="sr-Cyrl-CS" w:eastAsia="ja-JP"/>
        </w:rPr>
        <w:t>Банке могу да за реализацију кредита пласирају износ до две милијарде евра, при чему је износ од једне милијарде евра, односно износ иницијалног максималног осигураног портфолија по банкама утврђен сходно тржишном учешћу банке према извештају НБС на дан 29. фебруар 2020. године.</w:t>
      </w:r>
    </w:p>
    <w:p w14:paraId="466B28CB" w14:textId="77777777" w:rsidR="00F36197" w:rsidRPr="00646254" w:rsidRDefault="00F36197" w:rsidP="008E5519">
      <w:pPr>
        <w:rPr>
          <w:rFonts w:ascii="Calibri" w:eastAsia="MS PGothic" w:hAnsi="Calibri" w:cs="Calibri"/>
          <w:color w:val="44546A"/>
          <w:szCs w:val="20"/>
          <w:lang w:val="sr-Cyrl-CS" w:eastAsia="ja-JP"/>
        </w:rPr>
      </w:pPr>
      <w:r w:rsidRPr="00646254">
        <w:rPr>
          <w:rFonts w:ascii="Calibri" w:eastAsia="MS PGothic" w:hAnsi="Calibri" w:cs="Calibri"/>
          <w:color w:val="44546A"/>
          <w:szCs w:val="20"/>
          <w:lang w:val="sr-Cyrl-CS" w:eastAsia="ja-JP"/>
        </w:rPr>
        <w:t>С обзиром на чињеницу да је преко пословних банака, до краја новембра 2020. године, привреди пласирано око 1,5 милијарди евра, од укупно расположиве 2 (две) милијарде евра, а да је Уредбом било прописано да уговор о кредиту мора бити закључен најкасније до 31. децембра 2020. године, као и да уговор o кредиту мора бити пуштен у течај најкасније до 31. јануара 2021. године, јавила се потреба за продужењем рока до када уговор о кредиту мора бити закључен, односно до када уговор o кредиту мора бити пуштен у течај.</w:t>
      </w:r>
    </w:p>
    <w:p w14:paraId="1808D0CF" w14:textId="3B62CBD9" w:rsidR="00F36197" w:rsidRPr="00646254" w:rsidRDefault="00F36197" w:rsidP="008E5519">
      <w:pPr>
        <w:rPr>
          <w:rFonts w:ascii="Calibri" w:eastAsia="MS PGothic" w:hAnsi="Calibri" w:cs="Calibri"/>
          <w:szCs w:val="20"/>
          <w:lang w:val="sr-Cyrl-CS" w:eastAsia="ja-JP"/>
        </w:rPr>
      </w:pPr>
      <w:r w:rsidRPr="00646254">
        <w:rPr>
          <w:rFonts w:ascii="Calibri" w:eastAsia="MS PGothic" w:hAnsi="Calibri" w:cs="Calibri"/>
          <w:color w:val="44546A"/>
          <w:szCs w:val="20"/>
          <w:lang w:val="sr-Cyrl-CS" w:eastAsia="ja-JP"/>
        </w:rPr>
        <w:t xml:space="preserve">У складу са тим, Народној скупштини Републике Србије предложено је доношење Закона о утврђивању гарантне шеме као мере подршке привреди за ублажавање последица пандемије болести COVID-19 изазване вирусом SARS-CoV-2, који је донет на седници одржаној дана 17. децембра 2020. године и исти је објављен у </w:t>
      </w:r>
      <w:r w:rsidR="008E4885" w:rsidRPr="00646254">
        <w:rPr>
          <w:rFonts w:ascii="Times New Roman" w:eastAsia="MS PGothic" w:hAnsi="Times New Roman" w:cs="Times New Roman"/>
          <w:color w:val="44546A"/>
          <w:szCs w:val="20"/>
          <w:lang w:val="sr-Cyrl-CS" w:eastAsia="ja-JP"/>
        </w:rPr>
        <w:t>„</w:t>
      </w:r>
      <w:r w:rsidRPr="00646254">
        <w:rPr>
          <w:rFonts w:ascii="Calibri" w:eastAsia="MS PGothic" w:hAnsi="Calibri" w:cs="Calibri"/>
          <w:color w:val="44546A"/>
          <w:szCs w:val="20"/>
          <w:lang w:val="sr-Cyrl-CS" w:eastAsia="ja-JP"/>
        </w:rPr>
        <w:t>Службеном</w:t>
      </w:r>
      <w:r w:rsidRPr="00646254">
        <w:rPr>
          <w:rFonts w:ascii="Times New Roman" w:eastAsia="Times New Roman" w:hAnsi="Times New Roman" w:cs="Times New Roman"/>
          <w:bCs/>
          <w:color w:val="44546A"/>
          <w:sz w:val="21"/>
          <w:szCs w:val="21"/>
          <w:lang w:val="sr-Cyrl-CS"/>
        </w:rPr>
        <w:t xml:space="preserve"> </w:t>
      </w:r>
      <w:r w:rsidRPr="00646254">
        <w:rPr>
          <w:rFonts w:ascii="Calibri" w:eastAsia="MS PGothic" w:hAnsi="Calibri" w:cs="Calibri"/>
          <w:color w:val="44546A"/>
          <w:szCs w:val="20"/>
          <w:lang w:val="sr-Cyrl-CS" w:eastAsia="ja-JP"/>
        </w:rPr>
        <w:t>гласнику Републике Србије</w:t>
      </w:r>
      <w:r w:rsidR="008E4885" w:rsidRPr="00646254">
        <w:rPr>
          <w:rFonts w:ascii="Times New Roman" w:eastAsia="MS PGothic" w:hAnsi="Times New Roman" w:cs="Times New Roman"/>
          <w:color w:val="44546A"/>
          <w:szCs w:val="20"/>
          <w:lang w:val="sr-Cyrl-CS" w:eastAsia="ja-JP"/>
        </w:rPr>
        <w:t>ˮ</w:t>
      </w:r>
      <w:r w:rsidRPr="00646254">
        <w:rPr>
          <w:rFonts w:ascii="Calibri" w:eastAsia="MS PGothic" w:hAnsi="Calibri" w:cs="Calibri"/>
          <w:color w:val="44546A"/>
          <w:szCs w:val="20"/>
          <w:lang w:val="sr-Cyrl-CS" w:eastAsia="ja-JP"/>
        </w:rPr>
        <w:t xml:space="preserve"> број 153/20 од 21. децембра 2020. године. Република Србија је препознала потребу за одобравањем додатних 500 милиона евра помоћи, у циљу одржавања ликвидности чиме ће укупан износ средстава пласираних путем I гарантне шеме достићи износ од 2.5 милијарде евра. С тим у вези, донет је Закон о изменама Закона о</w:t>
      </w:r>
      <w:r w:rsidRPr="00646254">
        <w:rPr>
          <w:rFonts w:ascii="Calibri" w:eastAsia="Calibri" w:hAnsi="Calibri" w:cs="Times New Roman"/>
          <w:color w:val="44546A"/>
          <w:lang w:val="sr-Cyrl-CS"/>
        </w:rPr>
        <w:t xml:space="preserve"> </w:t>
      </w:r>
      <w:r w:rsidRPr="00646254">
        <w:rPr>
          <w:rFonts w:ascii="Calibri" w:eastAsia="MS PGothic" w:hAnsi="Calibri" w:cs="Calibri"/>
          <w:color w:val="44546A"/>
          <w:szCs w:val="20"/>
          <w:lang w:val="sr-Cyrl-CS" w:eastAsia="ja-JP"/>
        </w:rPr>
        <w:t xml:space="preserve">утврђивању гарантне шеме као мера подршке привреди за </w:t>
      </w:r>
      <w:r w:rsidRPr="00646254">
        <w:rPr>
          <w:rFonts w:ascii="Calibri" w:eastAsia="MS PGothic" w:hAnsi="Calibri" w:cs="Calibri"/>
          <w:szCs w:val="20"/>
          <w:lang w:val="sr-Cyrl-CS" w:eastAsia="ja-JP"/>
        </w:rPr>
        <w:t>ублажавање последица пандемије болести COVID-19 изазване вирусом SARS-CoV-2 („Службени гласник РС”, број 40/21).</w:t>
      </w:r>
    </w:p>
    <w:p w14:paraId="253F5F9B" w14:textId="68B8DC12" w:rsidR="00F36197" w:rsidRPr="00646254" w:rsidRDefault="00F36197" w:rsidP="008E5519">
      <w:pPr>
        <w:rPr>
          <w:rFonts w:ascii="Calibri" w:eastAsia="MS PGothic" w:hAnsi="Calibri" w:cs="Calibri"/>
          <w:color w:val="44546A"/>
          <w:szCs w:val="20"/>
          <w:lang w:val="sr-Cyrl-CS" w:eastAsia="ja-JP"/>
        </w:rPr>
      </w:pPr>
      <w:r w:rsidRPr="00646254">
        <w:rPr>
          <w:rFonts w:ascii="Calibri" w:eastAsia="MS PGothic" w:hAnsi="Calibri" w:cs="Calibri"/>
          <w:szCs w:val="20"/>
          <w:lang w:val="sr-Cyrl-CS" w:eastAsia="ja-JP"/>
        </w:rPr>
        <w:t xml:space="preserve">Уговор о гаранцији Републике Србије за кредитирање привреде с циљем ублажавања </w:t>
      </w:r>
      <w:r w:rsidRPr="00646254">
        <w:rPr>
          <w:rFonts w:ascii="Calibri" w:eastAsia="MS PGothic" w:hAnsi="Calibri" w:cs="Calibri"/>
          <w:color w:val="44546A"/>
          <w:szCs w:val="20"/>
          <w:lang w:val="sr-Cyrl-CS" w:eastAsia="ja-JP"/>
        </w:rPr>
        <w:t>негативних последица пандемије болести COVID-19 изазване вирусом SARS-CoV-2 са Републиком Србијом и НБС до сада су потписале 24 банке.</w:t>
      </w:r>
      <w:r w:rsidR="006329BC" w:rsidRPr="00646254">
        <w:rPr>
          <w:rFonts w:ascii="Calibri" w:eastAsia="MS PGothic" w:hAnsi="Calibri" w:cs="Calibri"/>
          <w:color w:val="44546A"/>
          <w:szCs w:val="20"/>
          <w:lang w:val="sr-Cyrl-CS" w:eastAsia="ja-JP"/>
        </w:rPr>
        <w:t xml:space="preserve"> </w:t>
      </w:r>
      <w:r w:rsidRPr="00646254">
        <w:rPr>
          <w:rFonts w:ascii="Calibri" w:eastAsia="MS PGothic" w:hAnsi="Calibri" w:cs="Calibri"/>
          <w:color w:val="44546A"/>
          <w:szCs w:val="20"/>
          <w:lang w:val="sr-Cyrl-CS" w:eastAsia="ja-JP"/>
        </w:rPr>
        <w:t>Република Србија je пласирала Банкама предвиђених 2,5 милијарди евра, док су Банке пласирале клијентима око 2,1 милијарди евра. Истовремено, Република Србија је препознала потребу за додатну помоћ најугроженијим предузећима која имају пад пословних прихода већи од 20% у 2020. години, у односу на исти период у 2019. години, те је 22. априла 2021. године донет Закон о утврђивању друге гарантне шеме као мере додатне подршке привреди услед продуженог негативног утицаја пандемије болести COVID-19 изазване вирусом SARS-CoV-2 („Службени гласник РС”, број 40/21) чиме је одобрено додатних 500 милиона евра помоћи. У складу са изнетим, пројекције фискалних бруто одлива буџета Републике Србије по основу предметне националне Гарантне шеме износе 23 милиона евра за 2021. годину, 89 милиона евра за 2022. годину, 21 милиона евра за 2023. годину и 1 милион евра за 2024. годину. Такође, извршена је и пројекција прилива по основу наплате проблематичних потраживања по основу предметне Гарантне шеме Републике Србије која износе 14 милиона евра за 2022. годину, 16 милиона евра за 2023. годину и 3 милиона евра за 2024. годину. Пројекција фискалног бруто одлива буџета Републике Србије по основу друге Гарантне шеме износи 31,2 милиона евра за 2024. годину, а пројекција прилива за исту годину износи 2 милиона евра.</w:t>
      </w:r>
    </w:p>
    <w:p w14:paraId="0B437EF3" w14:textId="77777777" w:rsidR="00F36197" w:rsidRPr="00646254" w:rsidRDefault="00F36197" w:rsidP="008E5519">
      <w:pPr>
        <w:rPr>
          <w:rFonts w:ascii="Calibri" w:eastAsia="MS PGothic" w:hAnsi="Calibri" w:cs="Calibri"/>
          <w:szCs w:val="20"/>
          <w:lang w:val="sr-Cyrl-CS" w:eastAsia="ja-JP"/>
        </w:rPr>
      </w:pPr>
      <w:r w:rsidRPr="00646254">
        <w:rPr>
          <w:rFonts w:ascii="Calibri" w:eastAsia="MS PGothic" w:hAnsi="Calibri" w:cs="Calibri"/>
          <w:color w:val="44546A"/>
          <w:szCs w:val="20"/>
          <w:lang w:val="sr-Cyrl-CS" w:eastAsia="ja-JP"/>
        </w:rPr>
        <w:t xml:space="preserve">Што се тиче других финансијских институција, Република Србија има директан удео у капиталу Компаније Дунав осигурање а.д.о. Београд (у даљем тексту: Дунав осигурање), као и у Националној </w:t>
      </w:r>
      <w:r w:rsidRPr="00646254">
        <w:rPr>
          <w:rFonts w:ascii="Calibri" w:eastAsia="MS PGothic" w:hAnsi="Calibri" w:cs="Calibri"/>
          <w:szCs w:val="20"/>
          <w:lang w:val="sr-Cyrl-CS" w:eastAsia="ja-JP"/>
        </w:rPr>
        <w:t>корпорацији за осигурање стамбених кредита (у даљем тексту: Корпорација).</w:t>
      </w:r>
    </w:p>
    <w:p w14:paraId="3769E840" w14:textId="3B8FD706" w:rsidR="00F36197" w:rsidRPr="00646254" w:rsidRDefault="00F36197" w:rsidP="008E5519">
      <w:pPr>
        <w:rPr>
          <w:rFonts w:ascii="Calibri" w:eastAsia="MS PGothic" w:hAnsi="Calibri" w:cs="Calibri"/>
          <w:szCs w:val="20"/>
          <w:lang w:val="sr-Cyrl-CS" w:eastAsia="ja-JP"/>
        </w:rPr>
      </w:pPr>
      <w:r w:rsidRPr="00646254">
        <w:rPr>
          <w:rFonts w:ascii="Calibri" w:eastAsia="MS PGothic" w:hAnsi="Calibri" w:cs="Calibri"/>
          <w:szCs w:val="20"/>
          <w:lang w:val="sr-Cyrl-CS" w:eastAsia="ja-JP"/>
        </w:rPr>
        <w:t xml:space="preserve">Република Србија, тренутно, има удео од 45,29% у капиталу Дунав осигурања. Међутим, крајем априла 2021. године је усвојен Закон о измени и допунама Закона о осигурању („Службени гласник РС”, број 44/21) који је основ за промену власничких права на друштвеном капиталу у друштвима за осигурање. Како учешће друштвеног капитала у укупном капиталу Дунав осигурања тренутно износи 51,85%, након промене власничких права у складу са наведеним законом, директно учешће Републике Србије у капиталу Дунав осигурања би требало да износи око 76,70%. Такође, како Дунав Ре а.д.о. Београд у укупном капиталу има учешће друштвеног капитала од 4,58%, након промене власничких права у складу са наведеним законом Република Србија би требало да стекне директно учешће од око </w:t>
      </w:r>
      <w:r w:rsidR="003D1BE4" w:rsidRPr="00646254">
        <w:rPr>
          <w:rFonts w:ascii="Calibri" w:eastAsia="MS PGothic" w:hAnsi="Calibri" w:cs="Calibri"/>
          <w:szCs w:val="20"/>
          <w:lang w:val="sr-Cyrl-CS" w:eastAsia="ja-JP"/>
        </w:rPr>
        <w:t>5,32</w:t>
      </w:r>
      <w:r w:rsidRPr="00646254">
        <w:rPr>
          <w:rFonts w:ascii="Calibri" w:eastAsia="MS PGothic" w:hAnsi="Calibri" w:cs="Calibri"/>
          <w:szCs w:val="20"/>
          <w:lang w:val="sr-Cyrl-CS" w:eastAsia="ja-JP"/>
        </w:rPr>
        <w:t>% у Дунав Ре. Све ове промене би требало да се спроведу до краја 2021. године.</w:t>
      </w:r>
    </w:p>
    <w:p w14:paraId="74FFAD06" w14:textId="77777777" w:rsidR="00F36197" w:rsidRPr="00646254" w:rsidRDefault="00F36197" w:rsidP="008E5519">
      <w:pPr>
        <w:rPr>
          <w:rFonts w:ascii="Calibri" w:eastAsia="MS PGothic" w:hAnsi="Calibri" w:cs="Calibri"/>
          <w:szCs w:val="20"/>
          <w:lang w:val="sr-Cyrl-CS" w:eastAsia="ja-JP"/>
        </w:rPr>
      </w:pPr>
      <w:r w:rsidRPr="00646254">
        <w:rPr>
          <w:rFonts w:ascii="Calibri" w:eastAsia="MS PGothic" w:hAnsi="Calibri" w:cs="Calibri"/>
          <w:szCs w:val="20"/>
          <w:lang w:val="sr-Cyrl-CS" w:eastAsia="ja-JP"/>
        </w:rPr>
        <w:t>Иначе, до краја 2014. године учешће друштвеног капитала у укупном капиталу Дунав осигурања је износило 94,61% што је имало неповољан утицај на пословање Дунав осигурања (пре свега кроз компликовану управљачку структуру), на шта су указивали и ревизорски извештаји за 2013. и 2012. годину у којима је изражено мишљење ревизора са резервом. Имајући у виду значај Дунав осигурања на тржишту осигурања (највећа осигуравајућа компанија), Република Србија је у децембру 2014. године извршила докапитализацију Дунав осигурања са 4,8 милијарди динара. Последњих година пословање Дунав осигурања је стабилно, уз константно побољшање већине показатеља. Приметан је тренд раста добити из године у годину (и редовна исплата дивиденди). Дунав осигурање није имало негативних последица у пословању (гледајући кроз најзначајније показатеље) због болести COVID-19 изазване вирусом SARS-CoV-2. Као највећи изазов у предстојећем периоду истиче се усклађивање (организационо, управљачки, капитално итд.) са новим регулаторним стандардом Солвентност 2 које очекује све учеснике на тржишту осигурања у Републици Србији.</w:t>
      </w:r>
    </w:p>
    <w:p w14:paraId="0F9DADDA" w14:textId="77777777" w:rsidR="00F36197" w:rsidRPr="00646254" w:rsidRDefault="00F36197" w:rsidP="008E5519">
      <w:pPr>
        <w:rPr>
          <w:rFonts w:ascii="Calibri" w:eastAsia="MS PGothic" w:hAnsi="Calibri" w:cs="Calibri"/>
          <w:color w:val="44546A"/>
          <w:szCs w:val="20"/>
          <w:lang w:val="sr-Cyrl-CS" w:eastAsia="ja-JP"/>
        </w:rPr>
      </w:pPr>
      <w:r w:rsidRPr="00646254">
        <w:rPr>
          <w:rFonts w:ascii="Calibri" w:eastAsia="MS PGothic" w:hAnsi="Calibri" w:cs="Calibri"/>
          <w:szCs w:val="20"/>
          <w:lang w:val="sr-Cyrl-CS" w:eastAsia="ja-JP"/>
        </w:rPr>
        <w:t xml:space="preserve">Законом о Националној корпорацији за осигурање стамбених кредита („Службени гласник РС”, број 55/04) основана је Корпорација, као правно лице специјализовано за осигурање потраживања по основу стамбених кредита које одобравају банке и друге финансијске организације, која су обезбеђена хипотеком, као и за обављање других </w:t>
      </w:r>
      <w:r w:rsidRPr="00646254">
        <w:rPr>
          <w:rFonts w:ascii="Calibri" w:eastAsia="MS PGothic" w:hAnsi="Calibri" w:cs="Calibri"/>
          <w:color w:val="44546A"/>
          <w:szCs w:val="20"/>
          <w:lang w:val="sr-Cyrl-CS" w:eastAsia="ja-JP"/>
        </w:rPr>
        <w:t>послова у вези са тим осигурањем. Оснивач Корпорације је Република Србија која има директно учешће од 100% у капиталу Корпорације (законом је остављена могућност да се Корпорација организује као акционарско друштво, с тим да вредност државног капитала у укупном капиталу Корпорације не може да буде мање од 51%). Законом је, такође, утврђено да укупан номинални износ обавеза Корпорације које произилазе из обављања делатности Корпорације може бити највише до 16 пута већи од износа капитала Корпорације, али и да Влада може да, на образложен захтев Корпорације, да сагласност за повећање обима обавеза Корпорације које произилазе из обављања делатности Корпорације и за преко 16 пута од капитала Корпорације, за одређени временски период.</w:t>
      </w:r>
    </w:p>
    <w:p w14:paraId="2F23429D" w14:textId="77777777" w:rsidR="00F36197" w:rsidRPr="00646254" w:rsidRDefault="00F36197" w:rsidP="008E5519">
      <w:pPr>
        <w:rPr>
          <w:rFonts w:ascii="Calibri" w:eastAsia="MS PGothic" w:hAnsi="Calibri" w:cs="Calibri"/>
          <w:color w:val="44546A"/>
          <w:szCs w:val="20"/>
          <w:lang w:val="sr-Cyrl-CS" w:eastAsia="ja-JP"/>
        </w:rPr>
      </w:pPr>
      <w:r w:rsidRPr="00646254">
        <w:rPr>
          <w:rFonts w:ascii="Calibri" w:eastAsia="MS PGothic" w:hAnsi="Calibri" w:cs="Calibri"/>
          <w:color w:val="44546A"/>
          <w:szCs w:val="20"/>
          <w:lang w:val="sr-Cyrl-CS" w:eastAsia="ja-JP"/>
        </w:rPr>
        <w:t>Од самог оснивања, Корпорација је имала значајан утицај у креирању тржишних услова и стандарда кредитирања, што је било нужно да би се хипотекарно тржиште уопште развило. То је довело до смањења ризика и обезбеђења интереса, како кредитора, тако и зајмотражилаца, кроз снижавање каматних стопа, што је довело да раста тражње за стамбеним непокретностима (са позитивним ефектом на грађевинску индустрију) и тиме допринело повећању броја станова купљених на кредит.</w:t>
      </w:r>
    </w:p>
    <w:p w14:paraId="76BF4046" w14:textId="77777777" w:rsidR="00F36197" w:rsidRPr="00646254" w:rsidRDefault="00F36197" w:rsidP="008E5519">
      <w:pPr>
        <w:rPr>
          <w:rFonts w:ascii="Calibri" w:eastAsia="MS PGothic" w:hAnsi="Calibri" w:cs="Calibri"/>
          <w:color w:val="44546A"/>
          <w:szCs w:val="20"/>
          <w:lang w:val="sr-Cyrl-CS" w:eastAsia="ja-JP"/>
        </w:rPr>
      </w:pPr>
      <w:r w:rsidRPr="00646254">
        <w:rPr>
          <w:rFonts w:ascii="Calibri" w:eastAsia="MS PGothic" w:hAnsi="Calibri" w:cs="Calibri"/>
          <w:color w:val="44546A"/>
          <w:szCs w:val="20"/>
          <w:lang w:val="sr-Cyrl-CS" w:eastAsia="ja-JP"/>
        </w:rPr>
        <w:t>У протеклом периоду, није вршена докапитализација Корпорације из средстава буџета Републике Србије, већ је повећање капитала вршено из остварене добити Корпорације. Међутим, како повећање капитала није пратило раст осигураних кредита, Влада је, у складу са законом, сваке године давала сагласност за повећање обима обавеза Корпорације које произилазе из обављања делатности Корпорације и за преко 16 пута од капитала Корпорације. Ово повећање се из године у годину смањује (нпр. за 2015. годину обим обавеза Корпорације које произилазе из обављања делатности Корпорације је могао да буде до 30 пута већи од капитала Корпорације, док за 2021. годину може да износи до 21 пут више од капитала Корпорације).</w:t>
      </w:r>
    </w:p>
    <w:p w14:paraId="2211A2F6" w14:textId="77777777" w:rsidR="00F36197" w:rsidRPr="00646254" w:rsidRDefault="00F36197" w:rsidP="008E5519">
      <w:pPr>
        <w:rPr>
          <w:rFonts w:ascii="Calibri" w:eastAsia="Calibri" w:hAnsi="Calibri" w:cs="Times New Roman"/>
          <w:color w:val="44546A"/>
          <w:lang w:val="sr-Cyrl-CS"/>
        </w:rPr>
      </w:pPr>
      <w:r w:rsidRPr="00646254">
        <w:rPr>
          <w:rFonts w:ascii="Calibri" w:eastAsia="MS PGothic" w:hAnsi="Calibri" w:cs="Calibri"/>
          <w:color w:val="44546A"/>
          <w:szCs w:val="20"/>
          <w:lang w:val="sr-Cyrl-CS" w:eastAsia="ja-JP"/>
        </w:rPr>
        <w:t>Као потенцијални ризик се појављује велики број тужби клијената против банака у вези са плаћањем премије осигурања Корпорацији. Иако Корпорација није тужена страна, нити Република Србија гарантује за обавезе Корпорације (Корпорација гарантује за своје обавезе до висине свог капитала), потенцијално негативан исход ових спорова може да утиче на евентуалну потребу одређених издатака из буџета.</w:t>
      </w:r>
    </w:p>
    <w:p w14:paraId="19A56FA4" w14:textId="77777777" w:rsidR="00F36197" w:rsidRPr="00646254" w:rsidRDefault="00F36197" w:rsidP="00C6079A">
      <w:pPr>
        <w:rPr>
          <w:rFonts w:cstheme="minorHAnsi"/>
          <w:b/>
          <w:bCs/>
          <w:color w:val="2F5496" w:themeColor="accent1" w:themeShade="BF"/>
          <w:sz w:val="22"/>
          <w:szCs w:val="20"/>
          <w:lang w:val="sr-Cyrl-CS"/>
        </w:rPr>
      </w:pPr>
      <w:r w:rsidRPr="00646254">
        <w:rPr>
          <w:rFonts w:cstheme="minorHAnsi"/>
          <w:b/>
          <w:bCs/>
          <w:color w:val="2F5496" w:themeColor="accent1" w:themeShade="BF"/>
          <w:sz w:val="22"/>
          <w:szCs w:val="20"/>
          <w:lang w:val="sr-Cyrl-CS"/>
        </w:rPr>
        <w:t>Остали фискални ризици</w:t>
      </w:r>
    </w:p>
    <w:p w14:paraId="7AB8A9DC" w14:textId="77777777" w:rsidR="00F36197" w:rsidRPr="00646254" w:rsidRDefault="00F36197" w:rsidP="008E5519">
      <w:pPr>
        <w:rPr>
          <w:rFonts w:eastAsia="MS PGothic" w:cstheme="minorHAnsi"/>
          <w:szCs w:val="20"/>
          <w:lang w:val="sr-Cyrl-CS" w:eastAsia="ja-JP"/>
        </w:rPr>
      </w:pPr>
      <w:r w:rsidRPr="00646254">
        <w:rPr>
          <w:rFonts w:eastAsia="MS PGothic" w:cstheme="minorHAnsi"/>
          <w:szCs w:val="20"/>
          <w:lang w:val="sr-Cyrl-CS" w:eastAsia="ja-JP"/>
        </w:rPr>
        <w:t>Поред наведених фискалних ризика постоје и друге околности које, уколико се реализују, могу довести до фискалних трошкова. За поједине ризике не постоје систематизовани подаци, али имајући у виду да су се поједини остварили у ближој прошлости може се сагледати величина њиховог утицаја на јавне финансије. Само њихово идентификовање помаже сагледавању могућих утицаја на фискалну позицију земље у наредном периоду.</w:t>
      </w:r>
    </w:p>
    <w:p w14:paraId="19596179" w14:textId="77777777" w:rsidR="00F36197" w:rsidRPr="00646254" w:rsidRDefault="00F36197" w:rsidP="008E5519">
      <w:pPr>
        <w:rPr>
          <w:rFonts w:eastAsia="MS PGothic" w:cstheme="minorHAnsi"/>
          <w:szCs w:val="20"/>
          <w:lang w:val="sr-Cyrl-CS" w:eastAsia="ja-JP"/>
        </w:rPr>
      </w:pPr>
      <w:r w:rsidRPr="00646254">
        <w:rPr>
          <w:rFonts w:eastAsia="MS PGothic" w:cstheme="minorHAnsi"/>
          <w:szCs w:val="20"/>
          <w:lang w:val="sr-Cyrl-CS" w:eastAsia="ja-JP"/>
        </w:rPr>
        <w:t>Пословање јединица локалне самоуправе може имати фискалне импликације на буџет опште државе. Посебним фискалним правилима за локалне самоуправе постављено је тзв. „златно правило” да је дефицит могућ само за реализацију капиталних инвестиција. Постоје и правила о висини задужености јединица локалне самоуправе, која би доследном применом одржала стабилност јавних финансија на локалном нивоу. У пракси се дешавало да нереалним планирањем како прихода, тако и расхода дође до нагомилавања доспелих а неизмирених обавеза које угрожавају функционисање појединих градова и општина.</w:t>
      </w:r>
    </w:p>
    <w:p w14:paraId="14FD1EE0" w14:textId="77777777" w:rsidR="00F36197" w:rsidRPr="00646254" w:rsidRDefault="00F36197" w:rsidP="008E5519">
      <w:pPr>
        <w:rPr>
          <w:rFonts w:eastAsia="MS PGothic" w:cstheme="minorHAnsi"/>
          <w:szCs w:val="20"/>
          <w:lang w:val="sr-Cyrl-CS" w:eastAsia="ja-JP"/>
        </w:rPr>
      </w:pPr>
      <w:r w:rsidRPr="00646254">
        <w:rPr>
          <w:rFonts w:eastAsia="MS PGothic" w:cstheme="minorHAnsi"/>
          <w:szCs w:val="20"/>
          <w:lang w:val="sr-Cyrl-CS" w:eastAsia="ja-JP"/>
        </w:rPr>
        <w:t>Како би се избегла реализација фискалних ризика по овом основу Министарство финансија ће у наредном периоду значајно унапредити систем контроле јавних финансија локалних самоуправа у циљу поштовања постављених правила од планирања до реализације буџета на локалном нивоу.</w:t>
      </w:r>
    </w:p>
    <w:p w14:paraId="4D962887" w14:textId="57E5733F" w:rsidR="00F36197" w:rsidRPr="00646254" w:rsidRDefault="00F36197" w:rsidP="008E5519">
      <w:pPr>
        <w:rPr>
          <w:rFonts w:eastAsia="MS PGothic" w:cstheme="minorHAnsi"/>
          <w:szCs w:val="20"/>
          <w:lang w:val="sr-Cyrl-CS" w:eastAsia="ja-JP"/>
        </w:rPr>
      </w:pPr>
      <w:r w:rsidRPr="00646254">
        <w:rPr>
          <w:rFonts w:eastAsia="MS PGothic" w:cstheme="minorHAnsi"/>
          <w:szCs w:val="20"/>
          <w:lang w:val="sr-Cyrl-CS" w:eastAsia="ja-JP"/>
        </w:rPr>
        <w:t>Постоје значајни фискални ризици по основу судских одлука, домаћих и међународних судова, казни и накнада штете од стране државних органа, нарочито због покретања извршних поступака услед неизвршавања обавеза по правоснажним пресудама у предвиђеном року од стране државних органа. У циљу смањења трошкова у тзв. „буџетским” предметима, у којима се као извршни дужник појављује Република Србија, аутономна покрајина или јединица локалне самоуправе, односно директни и индиректни бу</w:t>
      </w:r>
      <w:r w:rsidR="008E4885" w:rsidRPr="00646254">
        <w:rPr>
          <w:rFonts w:eastAsia="MS PGothic" w:cstheme="minorHAnsi"/>
          <w:szCs w:val="20"/>
          <w:lang w:val="sr-Cyrl-CS" w:eastAsia="ja-JP"/>
        </w:rPr>
        <w:t>џетски корисници, измењен је члан</w:t>
      </w:r>
      <w:r w:rsidRPr="00646254">
        <w:rPr>
          <w:rFonts w:eastAsia="MS PGothic" w:cstheme="minorHAnsi"/>
          <w:szCs w:val="20"/>
          <w:lang w:val="sr-Cyrl-CS" w:eastAsia="ja-JP"/>
        </w:rPr>
        <w:t xml:space="preserve"> 300</w:t>
      </w:r>
      <w:r w:rsidR="008E4885" w:rsidRPr="00646254">
        <w:rPr>
          <w:rFonts w:eastAsia="MS PGothic" w:cstheme="minorHAnsi"/>
          <w:szCs w:val="20"/>
          <w:lang w:val="sr-Cyrl-CS" w:eastAsia="ja-JP"/>
        </w:rPr>
        <w:t>.</w:t>
      </w:r>
      <w:r w:rsidRPr="00646254">
        <w:rPr>
          <w:rFonts w:eastAsia="MS PGothic" w:cstheme="minorHAnsi"/>
          <w:szCs w:val="20"/>
          <w:lang w:val="sr-Cyrl-CS" w:eastAsia="ja-JP"/>
        </w:rPr>
        <w:t xml:space="preserve"> Зако</w:t>
      </w:r>
      <w:r w:rsidR="008E4885" w:rsidRPr="00646254">
        <w:rPr>
          <w:rFonts w:eastAsia="MS PGothic" w:cstheme="minorHAnsi"/>
          <w:szCs w:val="20"/>
          <w:lang w:val="sr-Cyrl-CS" w:eastAsia="ja-JP"/>
        </w:rPr>
        <w:t>на о извршењу и обезбеђењу („Службени</w:t>
      </w:r>
      <w:r w:rsidR="006329BC" w:rsidRPr="00646254">
        <w:rPr>
          <w:rFonts w:eastAsia="MS PGothic" w:cstheme="minorHAnsi"/>
          <w:szCs w:val="20"/>
          <w:lang w:val="sr-Cyrl-CS" w:eastAsia="ja-JP"/>
        </w:rPr>
        <w:t xml:space="preserve"> </w:t>
      </w:r>
      <w:r w:rsidRPr="00646254">
        <w:rPr>
          <w:rFonts w:eastAsia="MS PGothic" w:cstheme="minorHAnsi"/>
          <w:szCs w:val="20"/>
          <w:lang w:val="sr-Cyrl-CS" w:eastAsia="ja-JP"/>
        </w:rPr>
        <w:t>гласник РС</w:t>
      </w:r>
      <w:r w:rsidR="002A35D9" w:rsidRPr="00646254">
        <w:rPr>
          <w:rFonts w:eastAsia="MS PGothic" w:cstheme="minorHAnsi"/>
          <w:szCs w:val="20"/>
          <w:lang w:val="sr-Cyrl-CS" w:eastAsia="ja-JP"/>
        </w:rPr>
        <w:t>”</w:t>
      </w:r>
      <w:r w:rsidRPr="00646254">
        <w:rPr>
          <w:rFonts w:eastAsia="MS PGothic" w:cstheme="minorHAnsi"/>
          <w:szCs w:val="20"/>
          <w:lang w:val="sr-Cyrl-CS" w:eastAsia="ja-JP"/>
        </w:rPr>
        <w:t>, бр.</w:t>
      </w:r>
      <w:r w:rsidR="008E4885" w:rsidRPr="00646254">
        <w:rPr>
          <w:rFonts w:eastAsia="MS PGothic" w:cstheme="minorHAnsi"/>
          <w:szCs w:val="20"/>
          <w:lang w:val="sr-Cyrl-CS" w:eastAsia="ja-JP"/>
        </w:rPr>
        <w:t xml:space="preserve"> </w:t>
      </w:r>
      <w:r w:rsidRPr="00646254">
        <w:rPr>
          <w:rFonts w:eastAsia="MS PGothic" w:cstheme="minorHAnsi"/>
          <w:szCs w:val="20"/>
          <w:lang w:val="sr-Cyrl-CS" w:eastAsia="ja-JP"/>
        </w:rPr>
        <w:t>106/15,</w:t>
      </w:r>
      <w:r w:rsidR="008E4885" w:rsidRPr="00646254">
        <w:rPr>
          <w:rFonts w:eastAsia="MS PGothic" w:cstheme="minorHAnsi"/>
          <w:szCs w:val="20"/>
          <w:lang w:val="sr-Cyrl-CS" w:eastAsia="ja-JP"/>
        </w:rPr>
        <w:t xml:space="preserve"> </w:t>
      </w:r>
      <w:r w:rsidRPr="00646254">
        <w:rPr>
          <w:rFonts w:eastAsia="MS PGothic" w:cstheme="minorHAnsi"/>
          <w:szCs w:val="20"/>
          <w:lang w:val="sr-Cyrl-CS" w:eastAsia="ja-JP"/>
        </w:rPr>
        <w:t xml:space="preserve">106/15-аутентично тумачење, </w:t>
      </w:r>
      <w:r w:rsidR="008E4885" w:rsidRPr="00646254">
        <w:rPr>
          <w:rFonts w:eastAsia="MS PGothic" w:cstheme="minorHAnsi"/>
          <w:szCs w:val="20"/>
          <w:lang w:val="sr-Cyrl-CS" w:eastAsia="ja-JP"/>
        </w:rPr>
        <w:t xml:space="preserve">113/17-аутентично тумачење и </w:t>
      </w:r>
      <w:r w:rsidRPr="00646254">
        <w:rPr>
          <w:rFonts w:eastAsia="MS PGothic" w:cstheme="minorHAnsi"/>
          <w:szCs w:val="20"/>
          <w:lang w:val="sr-Cyrl-CS" w:eastAsia="ja-JP"/>
        </w:rPr>
        <w:t>54/19), који је ступио на снагу</w:t>
      </w:r>
      <w:r w:rsidRPr="00646254">
        <w:rPr>
          <w:rFonts w:eastAsia="MS PGothic" w:cstheme="minorHAnsi"/>
          <w:color w:val="1F3864" w:themeColor="accent1" w:themeShade="80"/>
          <w:szCs w:val="20"/>
          <w:lang w:val="sr-Cyrl-CS" w:eastAsia="ja-JP"/>
        </w:rPr>
        <w:t xml:space="preserve"> </w:t>
      </w:r>
      <w:r w:rsidR="008E4885" w:rsidRPr="00646254">
        <w:rPr>
          <w:rFonts w:eastAsia="MS PGothic" w:cstheme="minorHAnsi"/>
          <w:szCs w:val="20"/>
          <w:lang w:val="sr-Cyrl-CS" w:eastAsia="ja-JP"/>
        </w:rPr>
        <w:t xml:space="preserve">1. јануара </w:t>
      </w:r>
      <w:r w:rsidRPr="00646254">
        <w:rPr>
          <w:rFonts w:eastAsia="MS PGothic" w:cstheme="minorHAnsi"/>
          <w:szCs w:val="20"/>
          <w:lang w:val="sr-Cyrl-CS" w:eastAsia="ja-JP"/>
        </w:rPr>
        <w:t>2020. године. Предвиђена је могућност добровољног намирења обавезе, извршење обавезе у року и од стране надлежног државног органа због чијег рада је и настало потраживање на терет државе, а све у циљу повећања одговорности, економичности и ефикасности у раду државних органа, јер би се тако избегло додатно и непотребно плаћање јавних извршитеља, који увелико поскупљују судске спорове. Министарству финансија, Управи за трезор, у 2020. години, поднето је преко 50.000 Обавештења о намери подношења предлога за извршење, која су извршни повериоци достављали сагласно члану 300. став 5. Закона о извршењу и обезбеђењу. Дужници са највећим бројем предмета у 2020. години били су Министарство одбране са 12,24% учешћа у укупном броју Обавештења и Привредни суд у Крагујевцу са учешћем од 9,32%.</w:t>
      </w:r>
    </w:p>
    <w:p w14:paraId="149DA2E1" w14:textId="0797848A" w:rsidR="00F36197" w:rsidRPr="00646254" w:rsidRDefault="00F36197" w:rsidP="008E5519">
      <w:pPr>
        <w:rPr>
          <w:rFonts w:eastAsia="MS PGothic" w:cstheme="minorHAnsi"/>
          <w:szCs w:val="20"/>
          <w:lang w:val="sr-Cyrl-CS" w:eastAsia="ja-JP"/>
        </w:rPr>
      </w:pPr>
      <w:r w:rsidRPr="00646254">
        <w:rPr>
          <w:rFonts w:eastAsia="MS PGothic" w:cstheme="minorHAnsi"/>
          <w:szCs w:val="20"/>
          <w:lang w:val="sr-Cyrl-CS" w:eastAsia="ja-JP"/>
        </w:rPr>
        <w:t>Република Србија је по основу судских одлука у периоду 2009–2018. године из б</w:t>
      </w:r>
      <w:r w:rsidR="006C3A39" w:rsidRPr="00646254">
        <w:rPr>
          <w:rFonts w:eastAsia="MS PGothic" w:cstheme="minorHAnsi"/>
          <w:szCs w:val="20"/>
          <w:lang w:val="sr-Cyrl-CS" w:eastAsia="ja-JP"/>
        </w:rPr>
        <w:t>уџета платила 80,5 млрд динара.</w:t>
      </w:r>
      <w:r w:rsidRPr="00646254">
        <w:rPr>
          <w:rFonts w:eastAsia="MS PGothic" w:cstheme="minorHAnsi"/>
          <w:szCs w:val="20"/>
          <w:lang w:val="sr-Cyrl-CS" w:eastAsia="ja-JP"/>
        </w:rPr>
        <w:t xml:space="preserve"> У 2019. години по основу судских одлука плаћено је 17,6 млрд динара из буџета Републике Србије. У току 2020. године по основу судских одлука плаћено је 22,9 млрд динара, док је за првих осам месеци 2021. године плаћено из буџета по основу судских спорова 8,5 млрд динара. Одлука Европског суда за људска права обавезала је Републику Србију да исплати јавни дуг по основу неисплаћене девизне штедње коју су држављани бивших република СФРЈ и држављани Републике Србије положили код банака са седиштем на територији Републике Србије и њиховим филијалама на територијама бивших република СФРЈ. Такође, потенцијалне обавезе могу проистећи и из одлука Уставног суда по основу поднетих уставних жалби и одлука Европског суда за људска права по поднетим представкама радника некадашњих друштвених предузећа (неисплаћене зараде, доприноси за обавезно социјално осигурање, затезне камате, трошкови поступка, потраживања по основу комерцијалних трансакција).</w:t>
      </w:r>
    </w:p>
    <w:p w14:paraId="7E7E516D" w14:textId="22E6D262" w:rsidR="00F36197" w:rsidRPr="00646254" w:rsidRDefault="00F36197" w:rsidP="008E5519">
      <w:pPr>
        <w:rPr>
          <w:rFonts w:eastAsia="MS PGothic" w:cstheme="minorHAnsi"/>
          <w:szCs w:val="20"/>
          <w:lang w:val="sr-Cyrl-CS" w:eastAsia="ja-JP"/>
        </w:rPr>
      </w:pPr>
      <w:r w:rsidRPr="00646254">
        <w:rPr>
          <w:rFonts w:eastAsia="MS PGothic" w:cstheme="minorHAnsi"/>
          <w:szCs w:val="20"/>
          <w:lang w:val="sr-Cyrl-CS" w:eastAsia="ja-JP"/>
        </w:rPr>
        <w:t>Стално присутан ризик од елементарних непогода и природних катастрофа обавезује улагање у програме превенције како би се умањили потенцијални фискални трошкови за отклањање штета насталих по том основу. Под превенцијом се мисли на укључивање ширег спектра финансијских инструмената (као што су резервни фондови, потенцијалне кредитне линије, а нарочито осигурање) који треба да буду на располагању држави. Република Србија се у 2014.</w:t>
      </w:r>
      <w:r w:rsidR="00F312FE">
        <w:rPr>
          <w:rFonts w:eastAsia="MS PGothic" w:cstheme="minorHAnsi"/>
          <w:szCs w:val="20"/>
          <w:lang w:val="sr-Cyrl-CS" w:eastAsia="ja-JP"/>
        </w:rPr>
        <w:t xml:space="preserve"> години</w:t>
      </w:r>
      <w:r w:rsidRPr="00646254">
        <w:rPr>
          <w:rFonts w:eastAsia="MS PGothic" w:cstheme="minorHAnsi"/>
          <w:szCs w:val="20"/>
          <w:lang w:val="sr-Cyrl-CS" w:eastAsia="ja-JP"/>
        </w:rPr>
        <w:t xml:space="preserve"> суочила са катастрофалним последицама поплава, чија је укупна штета (са губицима) процењена на више од 1,7 млрд евра. Влада је у децембру 2014. усвојила Национални програм за управљање ризицима од елементарних непогода, који ће бити реализован у сарадњи са Светском банком, Уједињеним нацијама и ЕУ. У оквиру Националног програма, новембра 2018. године је донет још један кровни закон који се бави проблематиком елементарних непогода и катастрофа, Закон о смањењу ризика од катастрофа и управљању ванредним ситуацијама. Република Србија је у 2019. години платила из буџета 4,22 млрд динара за накнаде штете за повреде или штете настале услед елементарних непогода или других природних узрока. У току 2020. године за ову намену издвојено је 2,8 млрд динара, док је за првих осам месеци 2021. године износ потрошен на ове намене 247,4 милиона динара.</w:t>
      </w:r>
    </w:p>
    <w:p w14:paraId="4F06AB92" w14:textId="017337B1" w:rsidR="00F36197" w:rsidRPr="00646254" w:rsidRDefault="00F36197" w:rsidP="00C6079A">
      <w:pPr>
        <w:rPr>
          <w:rFonts w:eastAsia="MS PGothic" w:cstheme="minorHAnsi"/>
          <w:szCs w:val="20"/>
          <w:lang w:val="sr-Cyrl-CS" w:eastAsia="ja-JP"/>
        </w:rPr>
      </w:pPr>
      <w:r w:rsidRPr="00646254">
        <w:rPr>
          <w:rFonts w:eastAsia="MS PGothic" w:cstheme="minorHAnsi"/>
          <w:szCs w:val="20"/>
          <w:lang w:val="sr-Cyrl-CS" w:eastAsia="ja-JP"/>
        </w:rPr>
        <w:t>Како је раније наведено, у току је израда Јединствене методологије за праћење фискалних ризика у Републици Србији, у оквиру које су и Методологија за праћење фискалних ризика који се јављају као последица елементарних непогода и Методологија за праћење фискалних ризика по основу судских поступака.</w:t>
      </w:r>
    </w:p>
    <w:p w14:paraId="7CAD7E4B" w14:textId="77777777" w:rsidR="00842D47" w:rsidRPr="00646254" w:rsidRDefault="00842D47" w:rsidP="00C6079A">
      <w:pPr>
        <w:rPr>
          <w:rFonts w:eastAsia="MS PGothic" w:cstheme="minorHAnsi"/>
          <w:szCs w:val="20"/>
          <w:lang w:val="sr-Cyrl-CS" w:eastAsia="ja-JP"/>
        </w:rPr>
        <w:sectPr w:rsidR="00842D47" w:rsidRPr="00646254" w:rsidSect="008265F0">
          <w:type w:val="continuous"/>
          <w:pgSz w:w="12240" w:h="15840" w:code="1"/>
          <w:pgMar w:top="1440" w:right="1440" w:bottom="1440" w:left="1440" w:header="720" w:footer="720" w:gutter="0"/>
          <w:cols w:num="2" w:space="720"/>
          <w:docGrid w:linePitch="360"/>
          <w15:footnoteColumns w:val="1"/>
        </w:sectPr>
      </w:pPr>
    </w:p>
    <w:p w14:paraId="164B49A0" w14:textId="3716B1BD" w:rsidR="008E5519" w:rsidRPr="00646254" w:rsidRDefault="008E5519" w:rsidP="00C6079A">
      <w:pPr>
        <w:rPr>
          <w:rFonts w:eastAsia="MS PGothic" w:cstheme="minorHAnsi"/>
          <w:szCs w:val="20"/>
          <w:lang w:val="sr-Cyrl-CS" w:eastAsia="ja-JP"/>
        </w:rPr>
        <w:sectPr w:rsidR="008E5519" w:rsidRPr="00646254" w:rsidSect="008265F0">
          <w:type w:val="continuous"/>
          <w:pgSz w:w="12240" w:h="15840" w:code="1"/>
          <w:pgMar w:top="1440" w:right="1440" w:bottom="1440" w:left="1440" w:header="720" w:footer="720" w:gutter="0"/>
          <w:cols w:num="2" w:space="720"/>
          <w:docGrid w:linePitch="360"/>
          <w15:footnoteColumns w:val="1"/>
        </w:sectPr>
      </w:pPr>
    </w:p>
    <w:bookmarkEnd w:id="33"/>
    <w:bookmarkEnd w:id="34"/>
    <w:bookmarkEnd w:id="35"/>
    <w:bookmarkEnd w:id="36"/>
    <w:bookmarkEnd w:id="37"/>
    <w:p w14:paraId="1F4ABB1C" w14:textId="77777777" w:rsidR="001A5BCF" w:rsidRPr="00646254" w:rsidRDefault="001A5BCF" w:rsidP="001A5BCF">
      <w:pPr>
        <w:spacing w:after="120" w:line="276" w:lineRule="auto"/>
        <w:rPr>
          <w:rFonts w:eastAsia="MS PGothic" w:cstheme="minorHAnsi"/>
          <w:szCs w:val="20"/>
          <w:lang w:val="sr-Cyrl-CS" w:eastAsia="ja-JP"/>
        </w:rPr>
      </w:pPr>
    </w:p>
    <w:p w14:paraId="6045C35B" w14:textId="626D15DC" w:rsidR="001A5BCF" w:rsidRPr="00646254" w:rsidRDefault="001A5BCF">
      <w:pPr>
        <w:jc w:val="left"/>
        <w:rPr>
          <w:rFonts w:eastAsia="Times New Roman" w:cstheme="minorHAnsi"/>
          <w:b/>
          <w:color w:val="2F5496" w:themeColor="accent1" w:themeShade="BF"/>
          <w:sz w:val="24"/>
          <w:szCs w:val="26"/>
          <w:lang w:val="sr-Cyrl-CS"/>
        </w:rPr>
      </w:pPr>
      <w:r w:rsidRPr="00646254">
        <w:rPr>
          <w:rFonts w:eastAsia="Times New Roman" w:cstheme="minorHAnsi"/>
          <w:b/>
          <w:sz w:val="24"/>
          <w:lang w:val="sr-Cyrl-CS"/>
        </w:rPr>
        <w:br w:type="page"/>
      </w:r>
    </w:p>
    <w:p w14:paraId="6F64552B" w14:textId="77777777" w:rsidR="001A5BCF" w:rsidRPr="00646254" w:rsidRDefault="001A5BCF" w:rsidP="00E96A1D">
      <w:pPr>
        <w:pStyle w:val="Heading2"/>
        <w:spacing w:before="480" w:after="240"/>
        <w:jc w:val="center"/>
        <w:rPr>
          <w:rFonts w:asciiTheme="minorHAnsi" w:eastAsia="MS PGothic" w:hAnsiTheme="minorHAnsi" w:cstheme="minorHAnsi"/>
          <w:b/>
          <w:sz w:val="24"/>
          <w:lang w:val="sr-Cyrl-CS" w:eastAsia="ja-JP"/>
        </w:rPr>
        <w:sectPr w:rsidR="001A5BCF" w:rsidRPr="00646254" w:rsidSect="00AE40EB">
          <w:headerReference w:type="even" r:id="rId164"/>
          <w:footerReference w:type="even" r:id="rId165"/>
          <w:footerReference w:type="default" r:id="rId166"/>
          <w:headerReference w:type="first" r:id="rId167"/>
          <w:type w:val="continuous"/>
          <w:pgSz w:w="12240" w:h="15840" w:code="1"/>
          <w:pgMar w:top="1440" w:right="1440" w:bottom="1440" w:left="1440" w:header="720" w:footer="720" w:gutter="0"/>
          <w:cols w:space="720"/>
          <w:docGrid w:linePitch="360"/>
        </w:sectPr>
      </w:pPr>
      <w:bookmarkStart w:id="40" w:name="_Toc86650478"/>
      <w:r w:rsidRPr="00646254">
        <w:rPr>
          <w:rFonts w:asciiTheme="minorHAnsi" w:eastAsia="Times New Roman" w:hAnsiTheme="minorHAnsi" w:cstheme="minorHAnsi"/>
          <w:b/>
          <w:sz w:val="24"/>
          <w:lang w:val="sr-Cyrl-CS"/>
        </w:rPr>
        <w:t xml:space="preserve">6. </w:t>
      </w:r>
      <w:r w:rsidRPr="00646254">
        <w:rPr>
          <w:rFonts w:asciiTheme="minorHAnsi" w:eastAsia="MS PGothic" w:hAnsiTheme="minorHAnsi" w:cstheme="minorHAnsi"/>
          <w:b/>
          <w:sz w:val="24"/>
          <w:lang w:val="sr-Cyrl-CS" w:eastAsia="ja-JP"/>
        </w:rPr>
        <w:t>Циклично прилагођени и структурни фискални биланс</w:t>
      </w:r>
      <w:bookmarkEnd w:id="30"/>
      <w:bookmarkEnd w:id="40"/>
    </w:p>
    <w:p w14:paraId="77244E06" w14:textId="77777777" w:rsidR="001A5BCF" w:rsidRPr="00646254" w:rsidRDefault="001A5BCF" w:rsidP="008265F0">
      <w:pPr>
        <w:rPr>
          <w:rFonts w:ascii="Calibri" w:eastAsia="MS PGothic" w:hAnsi="Calibri" w:cs="Calibri"/>
          <w:szCs w:val="20"/>
          <w:lang w:val="sr-Cyrl-CS" w:eastAsia="ja-JP"/>
        </w:rPr>
      </w:pPr>
      <w:bookmarkStart w:id="41" w:name="_Toc499650054"/>
      <w:bookmarkStart w:id="42" w:name="_Toc530635110"/>
      <w:bookmarkStart w:id="43" w:name="_Toc11155996"/>
      <w:r w:rsidRPr="00646254">
        <w:rPr>
          <w:rFonts w:eastAsia="MS PGothic" w:cstheme="minorHAnsi"/>
          <w:szCs w:val="20"/>
          <w:lang w:val="sr-Cyrl-CS" w:eastAsia="ja-JP"/>
        </w:rPr>
        <w:t>Циклично прилагођени фискални биланс је фискални биланс из кога је искључен изоловани утицај привредног циклуса, а</w:t>
      </w:r>
      <w:r w:rsidRPr="00646254">
        <w:rPr>
          <w:rFonts w:ascii="Calibri" w:eastAsia="MS PGothic" w:hAnsi="Calibri" w:cs="Calibri"/>
          <w:szCs w:val="20"/>
          <w:lang w:val="sr-Cyrl-CS" w:eastAsia="ja-JP"/>
        </w:rPr>
        <w:t xml:space="preserve"> идентитет од кога се полази је следећи</w:t>
      </w:r>
      <w:r w:rsidRPr="00646254">
        <w:rPr>
          <w:rFonts w:ascii="Calibri" w:eastAsia="MS PGothic" w:hAnsi="Calibri" w:cs="Calibri"/>
          <w:szCs w:val="20"/>
          <w:vertAlign w:val="superscript"/>
          <w:lang w:val="sr-Cyrl-CS" w:eastAsia="ja-JP"/>
        </w:rPr>
        <w:footnoteReference w:id="14"/>
      </w:r>
      <w:r w:rsidRPr="00646254">
        <w:rPr>
          <w:rFonts w:ascii="Calibri" w:eastAsia="MS PGothic" w:hAnsi="Calibri" w:cs="Calibri"/>
          <w:szCs w:val="20"/>
          <w:lang w:val="sr-Cyrl-CS" w:eastAsia="ja-JP"/>
        </w:rPr>
        <w:t>:</w:t>
      </w:r>
    </w:p>
    <w:p w14:paraId="46D242AD" w14:textId="77777777" w:rsidR="001A5BCF" w:rsidRPr="00646254" w:rsidRDefault="001A5BCF" w:rsidP="008265F0">
      <w:pPr>
        <w:jc w:val="center"/>
        <w:rPr>
          <w:rFonts w:ascii="Calibri" w:eastAsia="MS PGothic" w:hAnsi="Calibri" w:cs="Calibri"/>
          <w:szCs w:val="20"/>
          <w:lang w:val="sr-Cyrl-CS" w:eastAsia="ja-JP"/>
        </w:rPr>
      </w:pPr>
      <w:r w:rsidRPr="00646254">
        <w:rPr>
          <w:rFonts w:ascii="Calibri" w:eastAsia="MS PGothic" w:hAnsi="Calibri" w:cs="Calibri"/>
          <w:szCs w:val="20"/>
          <w:lang w:val="sr-Cyrl-CS" w:eastAsia="ja-JP"/>
        </w:rPr>
        <w:t>FB = CB + CAB</w:t>
      </w:r>
    </w:p>
    <w:p w14:paraId="0B54C27D" w14:textId="77777777" w:rsidR="001A5BCF" w:rsidRPr="00646254" w:rsidRDefault="001A5BCF" w:rsidP="008265F0">
      <w:pPr>
        <w:rPr>
          <w:rFonts w:eastAsia="MS PGothic" w:cstheme="minorHAnsi"/>
          <w:szCs w:val="20"/>
          <w:lang w:val="sr-Cyrl-CS" w:eastAsia="ja-JP"/>
        </w:rPr>
      </w:pPr>
      <w:r w:rsidRPr="00646254">
        <w:rPr>
          <w:rFonts w:ascii="Calibri" w:eastAsia="MS PGothic" w:hAnsi="Calibri" w:cs="Calibri"/>
          <w:szCs w:val="20"/>
          <w:lang w:val="sr-Cyrl-CS" w:eastAsia="ja-JP"/>
        </w:rPr>
        <w:t>Део фискалног биланса (FB)</w:t>
      </w:r>
      <w:r w:rsidRPr="00646254">
        <w:rPr>
          <w:rFonts w:ascii="Calibri" w:eastAsia="MS PGothic" w:hAnsi="Calibri" w:cs="Calibri"/>
          <w:i/>
          <w:szCs w:val="20"/>
          <w:lang w:val="sr-Cyrl-CS" w:eastAsia="ja-JP"/>
        </w:rPr>
        <w:t xml:space="preserve"> </w:t>
      </w:r>
      <w:r w:rsidRPr="00646254">
        <w:rPr>
          <w:rFonts w:ascii="Calibri" w:eastAsia="MS PGothic" w:hAnsi="Calibri" w:cs="Calibri"/>
          <w:szCs w:val="20"/>
          <w:lang w:val="sr-Cyrl-CS" w:eastAsia="ja-JP"/>
        </w:rPr>
        <w:t>који није под утицајем цикличних флуктуација назива се циклично прилагођени фискални биланс (CAB</w:t>
      </w:r>
      <w:r w:rsidRPr="00646254">
        <w:rPr>
          <w:rFonts w:ascii="Calibri" w:eastAsia="MS PGothic" w:hAnsi="Calibri" w:cs="Calibri"/>
          <w:i/>
          <w:szCs w:val="20"/>
          <w:lang w:val="sr-Cyrl-CS" w:eastAsia="ja-JP"/>
        </w:rPr>
        <w:t xml:space="preserve">), </w:t>
      </w:r>
      <w:r w:rsidRPr="00646254">
        <w:rPr>
          <w:rFonts w:ascii="Calibri" w:eastAsia="MS PGothic" w:hAnsi="Calibri" w:cs="Calibri"/>
          <w:szCs w:val="20"/>
          <w:lang w:val="sr-Cyrl-CS" w:eastAsia="ja-JP"/>
        </w:rPr>
        <w:t xml:space="preserve">а циљ ове процедуре је изоловање цикличне компоненте </w:t>
      </w:r>
      <w:r w:rsidRPr="00646254">
        <w:rPr>
          <w:rFonts w:eastAsia="MS PGothic" w:cstheme="minorHAnsi"/>
          <w:szCs w:val="20"/>
          <w:lang w:val="sr-Cyrl-CS" w:eastAsia="ja-JP"/>
        </w:rPr>
        <w:t>фискалног биланса (CB) која је резултат дејства производног јаза. Стварни фискални биланс биће једнак циклично прилагођеном у случају да је производни јаз једнак нули, тј. ако је стопа раста реалног БДП једнака потенцијалној. Структурни фискални биланс се даље рачунски добија елиминацијом једнократних ефеката на приходној и расходној страни, и тако показује структурну (трајну) фискалну позицију.</w:t>
      </w:r>
    </w:p>
    <w:p w14:paraId="4DB5EE81" w14:textId="77777777" w:rsidR="001A5BCF" w:rsidRPr="00646254" w:rsidRDefault="001A5BCF" w:rsidP="008265F0">
      <w:pPr>
        <w:rPr>
          <w:rFonts w:ascii="Calibri" w:eastAsia="MS PGothic" w:hAnsi="Calibri" w:cs="Calibri"/>
          <w:szCs w:val="20"/>
          <w:lang w:val="sr-Cyrl-CS" w:eastAsia="ja-JP"/>
        </w:rPr>
      </w:pPr>
      <w:r w:rsidRPr="00646254">
        <w:rPr>
          <w:rFonts w:eastAsia="MS PGothic" w:cstheme="minorHAnsi"/>
          <w:szCs w:val="20"/>
          <w:lang w:val="sr-Cyrl-CS" w:eastAsia="ja-JP"/>
        </w:rPr>
        <w:t xml:space="preserve">Циклично прилагођени дефицит се убрзано смањује након 2014. године, упоредо са кретањем општег фискалног резултата, а у 2017. години улази у зону суфицита. Структурни примарни биланс очишћен од једнократних фактора у 2017. године такође бележи високу позитивну </w:t>
      </w:r>
      <w:r w:rsidRPr="00646254">
        <w:rPr>
          <w:rFonts w:ascii="Calibri" w:eastAsia="MS PGothic" w:hAnsi="Calibri" w:cs="Calibri"/>
          <w:szCs w:val="20"/>
          <w:lang w:val="sr-Cyrl-CS" w:eastAsia="ja-JP"/>
        </w:rPr>
        <w:t>вредност. Структурне промене у пореском систему током 2012. и 2013. године су почеле да дају резултате у наредном периоду, чиме је процес фискалне консолидације суштински и почео. Наредна фаза фискалне консолидације, спроведена током аранжмана са ММФ, али овог пута са нагласком на структурном прилагођавању на расходној страни, значајно је поправила фискалну позицију земље. Анализом и квантификацијом структурног примарног биланса могу се изоловати, пре свега, једнократни ефекти на страни расходна, иако у појединим годинама, нису безначајни и једнократни ефекти у виду непланираних уплата на приходној страни. Анализом структурног примарног биланса оцењена је фискална позиција земље. Тако је у периоду од 2014. до 2019. године фискална позиција значајно побољшана, чиме је и потврђена оцена успеха програма фискалне консолидације.</w:t>
      </w:r>
    </w:p>
    <w:p w14:paraId="578BB470" w14:textId="77777777" w:rsidR="001A5BCF" w:rsidRPr="00646254" w:rsidRDefault="001A5BCF" w:rsidP="008265F0">
      <w:pPr>
        <w:rPr>
          <w:rFonts w:eastAsia="MS PGothic" w:cstheme="minorHAnsi"/>
          <w:szCs w:val="20"/>
          <w:lang w:val="sr-Cyrl-CS" w:eastAsia="ja-JP"/>
        </w:rPr>
      </w:pPr>
      <w:r w:rsidRPr="00646254">
        <w:rPr>
          <w:rFonts w:ascii="Calibri" w:eastAsia="MS PGothic" w:hAnsi="Calibri" w:cs="Calibri"/>
          <w:szCs w:val="20"/>
          <w:lang w:val="sr-Cyrl-CS" w:eastAsia="ja-JP"/>
        </w:rPr>
        <w:t>Ф</w:t>
      </w:r>
      <w:r w:rsidRPr="00646254">
        <w:rPr>
          <w:rFonts w:eastAsia="MS PGothic" w:cstheme="minorHAnsi"/>
          <w:szCs w:val="20"/>
          <w:lang w:val="sr-Cyrl-CS" w:eastAsia="ja-JP"/>
        </w:rPr>
        <w:t>искални простор креиран у претходном периоду и значајно структурно унапређена фискална позиција земље, омогућили су релаксацију фискалне политике у кризним временима.</w:t>
      </w:r>
    </w:p>
    <w:p w14:paraId="259603E8" w14:textId="591971F3" w:rsidR="001A5BCF" w:rsidRPr="00646254" w:rsidRDefault="001A5BCF" w:rsidP="008265F0">
      <w:pPr>
        <w:rPr>
          <w:rFonts w:ascii="Calibri" w:eastAsia="Calibri" w:hAnsi="Calibri" w:cs="Calibri"/>
          <w:szCs w:val="20"/>
          <w:lang w:val="sr-Cyrl-CS"/>
        </w:rPr>
        <w:sectPr w:rsidR="001A5BCF" w:rsidRPr="00646254" w:rsidSect="008265F0">
          <w:type w:val="continuous"/>
          <w:pgSz w:w="12240" w:h="15840" w:code="1"/>
          <w:pgMar w:top="1417" w:right="1417" w:bottom="1417" w:left="1417" w:header="720" w:footer="720" w:gutter="0"/>
          <w:cols w:num="2" w:space="720"/>
          <w15:footnoteColumns w:val="1"/>
        </w:sectPr>
      </w:pPr>
      <w:r w:rsidRPr="00646254">
        <w:rPr>
          <w:rFonts w:ascii="Calibri" w:eastAsia="MS PGothic" w:hAnsi="Calibri" w:cs="Calibri"/>
          <w:spacing w:val="-2"/>
          <w:szCs w:val="20"/>
          <w:lang w:val="sr-Cyrl-CS" w:eastAsia="ja-JP"/>
        </w:rPr>
        <w:t xml:space="preserve">Избијањем пандемије </w:t>
      </w:r>
      <w:r w:rsidR="00F26771" w:rsidRPr="00646254">
        <w:rPr>
          <w:rFonts w:ascii="Calibri" w:eastAsia="MS PGothic" w:hAnsi="Calibri" w:cs="Calibri"/>
          <w:spacing w:val="-2"/>
          <w:szCs w:val="20"/>
          <w:lang w:val="sr-Cyrl-CS" w:eastAsia="ja-JP"/>
        </w:rPr>
        <w:t>COVID-19</w:t>
      </w:r>
      <w:r w:rsidRPr="00646254">
        <w:rPr>
          <w:rFonts w:ascii="Calibri" w:eastAsia="MS PGothic" w:hAnsi="Calibri" w:cs="Calibri"/>
          <w:spacing w:val="-2"/>
          <w:szCs w:val="20"/>
          <w:lang w:val="sr-Cyrl-CS" w:eastAsia="ja-JP"/>
        </w:rPr>
        <w:t xml:space="preserve"> почетком 2020. године и увођењем мера за здравствену заштиту становништва, глобална економија је ушла у кризу без преседана, која и поред назнака постепеног опоравка није још увек окончана. </w:t>
      </w:r>
      <w:r w:rsidRPr="00646254">
        <w:rPr>
          <w:rFonts w:ascii="Calibri" w:eastAsia="Calibri" w:hAnsi="Calibri" w:cs="Calibri"/>
          <w:szCs w:val="20"/>
          <w:lang w:val="sr-Cyrl-CS"/>
        </w:rPr>
        <w:t>Специфичност кризе огледа се у самом узроку који није економске већ здравствене природе, при чему начин борбе у обуздавању даљег ширења вируса производи додатне негативне економске ефекте. Утицај на фискалну позицију је био видљив кроз смањене прихода буџета, који су последица успоравања економске активности услед пандемије, и драматично већих расхода условљених већим трошковима здравствене заштите и доношењем обимног пакета помоћи привреди и грађанима. У таквој ситуацији, уобичајена анализа привредног циклуса, квантификација фискалних мултипликатора и оцена еластичности фискалног баланса у односу на производни јаз не даје сасвим коректне оцене фискалне позиције земље.</w:t>
      </w:r>
    </w:p>
    <w:p w14:paraId="07209F3F" w14:textId="77777777" w:rsidR="001A5BCF" w:rsidRPr="00646254" w:rsidRDefault="001A5BCF" w:rsidP="008265F0">
      <w:pPr>
        <w:jc w:val="left"/>
        <w:rPr>
          <w:rFonts w:ascii="Calibri" w:eastAsia="MS PGothic" w:hAnsi="Calibri" w:cs="Calibri"/>
          <w:b/>
          <w:bCs/>
          <w:lang w:val="sr-Cyrl-CS"/>
        </w:rPr>
      </w:pPr>
    </w:p>
    <w:p w14:paraId="0989DDB3" w14:textId="77777777" w:rsidR="001A5BCF" w:rsidRPr="00646254" w:rsidRDefault="001A5BCF">
      <w:pPr>
        <w:jc w:val="left"/>
        <w:rPr>
          <w:rFonts w:ascii="Calibri" w:eastAsia="MS PGothic" w:hAnsi="Calibri" w:cs="Calibri"/>
          <w:b/>
          <w:bCs/>
          <w:lang w:val="sr-Cyrl-CS"/>
        </w:rPr>
      </w:pPr>
      <w:r w:rsidRPr="00646254">
        <w:rPr>
          <w:rFonts w:ascii="Calibri" w:eastAsia="MS PGothic" w:hAnsi="Calibri" w:cs="Calibri"/>
          <w:b/>
          <w:bCs/>
          <w:color w:val="FF0000"/>
          <w:lang w:val="sr-Cyrl-CS"/>
        </w:rPr>
        <w:br w:type="page"/>
      </w:r>
    </w:p>
    <w:p w14:paraId="090ADD25" w14:textId="77777777" w:rsidR="001A5BCF" w:rsidRPr="00646254" w:rsidRDefault="001A5BCF" w:rsidP="00FC0172">
      <w:pPr>
        <w:jc w:val="center"/>
        <w:rPr>
          <w:rFonts w:ascii="Calibri" w:eastAsia="MS PGothic" w:hAnsi="Calibri" w:cs="Calibri"/>
          <w:b/>
          <w:bCs/>
          <w:color w:val="002060"/>
          <w:lang w:val="sr-Cyrl-CS"/>
        </w:rPr>
      </w:pPr>
      <w:r w:rsidRPr="00646254">
        <w:rPr>
          <w:rFonts w:ascii="Calibri" w:eastAsia="MS PGothic" w:hAnsi="Calibri" w:cs="Calibri"/>
          <w:b/>
          <w:bCs/>
          <w:color w:val="002060"/>
          <w:lang w:val="sr-Cyrl-CS"/>
        </w:rPr>
        <w:t xml:space="preserve">Табела 21. Фискални биланс и компоненте за обрачун циклично прилагођеног биланса </w:t>
      </w:r>
      <w:r w:rsidRPr="00646254">
        <w:rPr>
          <w:rFonts w:ascii="Calibri" w:eastAsia="MS PGothic" w:hAnsi="Calibri" w:cs="Calibri"/>
          <w:b/>
          <w:bCs/>
          <w:color w:val="002060"/>
          <w:lang w:val="sr-Cyrl-CS"/>
        </w:rPr>
        <w:br w:type="textWrapping" w:clear="all"/>
        <w:t>у периоду 2005–2024. године, % БДП*</w:t>
      </w:r>
    </w:p>
    <w:tbl>
      <w:tblPr>
        <w:tblStyle w:val="LightShading-Accent337"/>
        <w:tblpPr w:leftFromText="180" w:rightFromText="180" w:vertAnchor="text" w:horzAnchor="margin" w:tblpXSpec="center" w:tblpY="28"/>
        <w:tblW w:w="5275" w:type="pct"/>
        <w:tblLook w:val="04A0" w:firstRow="1" w:lastRow="0" w:firstColumn="1" w:lastColumn="0" w:noHBand="0" w:noVBand="1"/>
      </w:tblPr>
      <w:tblGrid>
        <w:gridCol w:w="741"/>
        <w:gridCol w:w="1167"/>
        <w:gridCol w:w="1133"/>
        <w:gridCol w:w="1133"/>
        <w:gridCol w:w="1143"/>
        <w:gridCol w:w="1219"/>
        <w:gridCol w:w="1123"/>
        <w:gridCol w:w="1133"/>
        <w:gridCol w:w="1131"/>
      </w:tblGrid>
      <w:tr w:rsidR="001A5BCF" w:rsidRPr="00646254" w14:paraId="1393CA3C" w14:textId="77777777" w:rsidTr="00E96A1D">
        <w:trPr>
          <w:cnfStyle w:val="100000000000" w:firstRow="1" w:lastRow="0" w:firstColumn="0" w:lastColumn="0" w:oddVBand="0" w:evenVBand="0" w:oddHBand="0" w:evenHBand="0" w:firstRowFirstColumn="0" w:firstRowLastColumn="0" w:lastRowFirstColumn="0" w:lastRowLastColumn="0"/>
          <w:trHeight w:val="706"/>
        </w:trPr>
        <w:tc>
          <w:tcPr>
            <w:cnfStyle w:val="001000000000" w:firstRow="0" w:lastRow="0" w:firstColumn="1" w:lastColumn="0" w:oddVBand="0" w:evenVBand="0" w:oddHBand="0" w:evenHBand="0" w:firstRowFirstColumn="0" w:firstRowLastColumn="0" w:lastRowFirstColumn="0" w:lastRowLastColumn="0"/>
            <w:tcW w:w="373" w:type="pct"/>
            <w:tcBorders>
              <w:top w:val="single" w:sz="4" w:space="0" w:color="002060"/>
              <w:bottom w:val="single" w:sz="4" w:space="0" w:color="002060"/>
            </w:tcBorders>
            <w:noWrap/>
            <w:hideMark/>
          </w:tcPr>
          <w:p w14:paraId="00D28201" w14:textId="77777777" w:rsidR="001A5BCF" w:rsidRPr="00646254" w:rsidRDefault="001A5BCF" w:rsidP="00E96A1D">
            <w:pPr>
              <w:spacing w:line="256" w:lineRule="auto"/>
              <w:rPr>
                <w:rFonts w:ascii="Calibri" w:eastAsia="MS PGothic" w:hAnsi="Calibri" w:cs="Calibri"/>
                <w:sz w:val="18"/>
                <w:szCs w:val="18"/>
                <w:lang w:val="sr-Cyrl-CS" w:eastAsia="ja-JP"/>
              </w:rPr>
            </w:pPr>
          </w:p>
        </w:tc>
        <w:tc>
          <w:tcPr>
            <w:tcW w:w="588" w:type="pct"/>
            <w:tcBorders>
              <w:top w:val="single" w:sz="4" w:space="0" w:color="002060"/>
              <w:bottom w:val="single" w:sz="4" w:space="0" w:color="002060"/>
            </w:tcBorders>
          </w:tcPr>
          <w:p w14:paraId="26D1FE43" w14:textId="77777777" w:rsidR="001A5BCF" w:rsidRPr="00646254" w:rsidRDefault="001A5BCF" w:rsidP="00E96A1D">
            <w:pPr>
              <w:shd w:val="clear" w:color="auto" w:fill="FFFFFF" w:themeFill="background1"/>
              <w:spacing w:line="276" w:lineRule="auto"/>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color w:val="002060"/>
                <w:sz w:val="16"/>
                <w:szCs w:val="16"/>
                <w:lang w:val="sr-Cyrl-CS"/>
              </w:rPr>
            </w:pPr>
            <w:r w:rsidRPr="00646254">
              <w:rPr>
                <w:rFonts w:ascii="Calibri" w:hAnsi="Calibri" w:cs="Calibri"/>
                <w:b w:val="0"/>
                <w:color w:val="002060"/>
                <w:sz w:val="16"/>
                <w:szCs w:val="16"/>
                <w:lang w:val="sr-Cyrl-CS"/>
              </w:rPr>
              <w:t>Производни јаз</w:t>
            </w:r>
          </w:p>
        </w:tc>
        <w:tc>
          <w:tcPr>
            <w:tcW w:w="571" w:type="pct"/>
            <w:tcBorders>
              <w:top w:val="single" w:sz="4" w:space="0" w:color="002060"/>
              <w:bottom w:val="single" w:sz="4" w:space="0" w:color="002060"/>
            </w:tcBorders>
            <w:hideMark/>
          </w:tcPr>
          <w:p w14:paraId="61141606" w14:textId="77777777" w:rsidR="001A5BCF" w:rsidRPr="00646254" w:rsidRDefault="001A5BCF" w:rsidP="00E96A1D">
            <w:pPr>
              <w:shd w:val="clear" w:color="auto" w:fill="FFFFFF" w:themeFill="background1"/>
              <w:spacing w:line="276" w:lineRule="auto"/>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color w:val="002060"/>
                <w:sz w:val="16"/>
                <w:szCs w:val="16"/>
                <w:lang w:val="sr-Cyrl-CS"/>
              </w:rPr>
            </w:pPr>
            <w:r w:rsidRPr="00646254">
              <w:rPr>
                <w:rFonts w:ascii="Calibri" w:hAnsi="Calibri" w:cs="Calibri"/>
                <w:b w:val="0"/>
                <w:color w:val="002060"/>
                <w:sz w:val="16"/>
                <w:szCs w:val="16"/>
                <w:lang w:val="sr-Cyrl-CS"/>
              </w:rPr>
              <w:t xml:space="preserve">Фискални </w:t>
            </w:r>
            <w:r w:rsidRPr="00646254">
              <w:rPr>
                <w:rFonts w:ascii="Calibri" w:hAnsi="Calibri" w:cs="Calibri"/>
                <w:b w:val="0"/>
                <w:color w:val="002060"/>
                <w:sz w:val="16"/>
                <w:szCs w:val="16"/>
                <w:lang w:val="sr-Cyrl-CS"/>
              </w:rPr>
              <w:br/>
              <w:t>биланс</w:t>
            </w:r>
          </w:p>
        </w:tc>
        <w:tc>
          <w:tcPr>
            <w:tcW w:w="571" w:type="pct"/>
            <w:tcBorders>
              <w:top w:val="single" w:sz="4" w:space="0" w:color="002060"/>
              <w:bottom w:val="single" w:sz="4" w:space="0" w:color="002060"/>
            </w:tcBorders>
            <w:hideMark/>
          </w:tcPr>
          <w:p w14:paraId="5A9DC6AC" w14:textId="77777777" w:rsidR="001A5BCF" w:rsidRPr="00646254" w:rsidRDefault="001A5BCF" w:rsidP="00E96A1D">
            <w:pPr>
              <w:shd w:val="clear" w:color="auto" w:fill="FFFFFF" w:themeFill="background1"/>
              <w:spacing w:line="276" w:lineRule="auto"/>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color w:val="002060"/>
                <w:sz w:val="16"/>
                <w:szCs w:val="16"/>
                <w:lang w:val="sr-Cyrl-CS"/>
              </w:rPr>
            </w:pPr>
            <w:r w:rsidRPr="00646254">
              <w:rPr>
                <w:rFonts w:ascii="Calibri" w:hAnsi="Calibri" w:cs="Calibri"/>
                <w:b w:val="0"/>
                <w:color w:val="002060"/>
                <w:sz w:val="16"/>
                <w:szCs w:val="16"/>
                <w:lang w:val="sr-Cyrl-CS"/>
              </w:rPr>
              <w:t>Примарни фискални биланс</w:t>
            </w:r>
          </w:p>
        </w:tc>
        <w:tc>
          <w:tcPr>
            <w:tcW w:w="576" w:type="pct"/>
            <w:tcBorders>
              <w:top w:val="single" w:sz="4" w:space="0" w:color="002060"/>
              <w:bottom w:val="single" w:sz="4" w:space="0" w:color="002060"/>
            </w:tcBorders>
            <w:hideMark/>
          </w:tcPr>
          <w:p w14:paraId="71DB9896" w14:textId="38785358" w:rsidR="001A5BCF" w:rsidRPr="00646254" w:rsidRDefault="00076F3A" w:rsidP="00E96A1D">
            <w:pPr>
              <w:shd w:val="clear" w:color="auto" w:fill="FFFFFF" w:themeFill="background1"/>
              <w:spacing w:line="276" w:lineRule="auto"/>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color w:val="002060"/>
                <w:sz w:val="16"/>
                <w:szCs w:val="16"/>
                <w:lang w:val="sr-Cyrl-CS"/>
              </w:rPr>
            </w:pPr>
            <w:r w:rsidRPr="00646254">
              <w:rPr>
                <w:rFonts w:ascii="Calibri" w:hAnsi="Calibri" w:cs="Calibri"/>
                <w:b w:val="0"/>
                <w:color w:val="002060"/>
                <w:sz w:val="16"/>
                <w:szCs w:val="16"/>
                <w:lang w:val="sr-Cyrl-CS"/>
              </w:rPr>
              <w:t xml:space="preserve">Циклично </w:t>
            </w:r>
            <w:r w:rsidRPr="00646254">
              <w:rPr>
                <w:rFonts w:ascii="Calibri" w:hAnsi="Calibri" w:cs="Calibri"/>
                <w:b w:val="0"/>
                <w:color w:val="002060"/>
                <w:sz w:val="16"/>
                <w:szCs w:val="16"/>
                <w:lang w:val="sr-Cyrl-CS"/>
              </w:rPr>
              <w:br/>
              <w:t>прилагођени</w:t>
            </w:r>
            <w:r w:rsidR="001A5BCF" w:rsidRPr="00646254">
              <w:rPr>
                <w:rFonts w:ascii="Calibri" w:hAnsi="Calibri" w:cs="Calibri"/>
                <w:b w:val="0"/>
                <w:color w:val="002060"/>
                <w:sz w:val="16"/>
                <w:szCs w:val="16"/>
                <w:lang w:val="sr-Cyrl-CS"/>
              </w:rPr>
              <w:t xml:space="preserve"> фискални биланс</w:t>
            </w:r>
          </w:p>
        </w:tc>
        <w:tc>
          <w:tcPr>
            <w:tcW w:w="614" w:type="pct"/>
            <w:tcBorders>
              <w:top w:val="single" w:sz="4" w:space="0" w:color="002060"/>
              <w:bottom w:val="single" w:sz="4" w:space="0" w:color="002060"/>
            </w:tcBorders>
            <w:hideMark/>
          </w:tcPr>
          <w:p w14:paraId="1079A61C" w14:textId="77777777" w:rsidR="001A5BCF" w:rsidRPr="00646254" w:rsidRDefault="001A5BCF" w:rsidP="00E96A1D">
            <w:pPr>
              <w:shd w:val="clear" w:color="auto" w:fill="FFFFFF" w:themeFill="background1"/>
              <w:spacing w:line="276" w:lineRule="auto"/>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color w:val="002060"/>
                <w:sz w:val="16"/>
                <w:szCs w:val="16"/>
                <w:lang w:val="sr-Cyrl-CS"/>
              </w:rPr>
            </w:pPr>
            <w:r w:rsidRPr="00646254">
              <w:rPr>
                <w:rFonts w:ascii="Calibri" w:hAnsi="Calibri" w:cs="Calibri"/>
                <w:b w:val="0"/>
                <w:color w:val="002060"/>
                <w:sz w:val="16"/>
                <w:szCs w:val="16"/>
                <w:lang w:val="sr-Cyrl-CS"/>
              </w:rPr>
              <w:t xml:space="preserve">Циклично </w:t>
            </w:r>
            <w:r w:rsidRPr="00646254">
              <w:rPr>
                <w:rFonts w:ascii="Calibri" w:hAnsi="Calibri" w:cs="Calibri"/>
                <w:b w:val="0"/>
                <w:color w:val="002060"/>
                <w:sz w:val="16"/>
                <w:szCs w:val="16"/>
                <w:lang w:val="sr-Cyrl-CS"/>
              </w:rPr>
              <w:br/>
              <w:t>прилагођени примарни фискални биланс</w:t>
            </w:r>
          </w:p>
        </w:tc>
        <w:tc>
          <w:tcPr>
            <w:tcW w:w="566" w:type="pct"/>
            <w:tcBorders>
              <w:top w:val="single" w:sz="4" w:space="0" w:color="002060"/>
              <w:bottom w:val="single" w:sz="4" w:space="0" w:color="002060"/>
            </w:tcBorders>
          </w:tcPr>
          <w:p w14:paraId="25E63E24" w14:textId="6A43A460" w:rsidR="001A5BCF" w:rsidRPr="00646254" w:rsidRDefault="00076F3A" w:rsidP="00E96A1D">
            <w:pPr>
              <w:shd w:val="clear" w:color="auto" w:fill="FFFFFF" w:themeFill="background1"/>
              <w:spacing w:line="276" w:lineRule="auto"/>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color w:val="002060"/>
                <w:sz w:val="16"/>
                <w:szCs w:val="16"/>
                <w:lang w:val="sr-Cyrl-CS"/>
              </w:rPr>
            </w:pPr>
            <w:r w:rsidRPr="00646254">
              <w:rPr>
                <w:rFonts w:ascii="Calibri" w:hAnsi="Calibri" w:cs="Calibri"/>
                <w:b w:val="0"/>
                <w:color w:val="002060"/>
                <w:sz w:val="16"/>
                <w:szCs w:val="16"/>
                <w:lang w:val="sr-Cyrl-CS"/>
              </w:rPr>
              <w:t>Структурни</w:t>
            </w:r>
            <w:r w:rsidR="001A5BCF" w:rsidRPr="00646254">
              <w:rPr>
                <w:rFonts w:ascii="Calibri" w:hAnsi="Calibri" w:cs="Calibri"/>
                <w:b w:val="0"/>
                <w:color w:val="002060"/>
                <w:sz w:val="16"/>
                <w:szCs w:val="16"/>
                <w:lang w:val="sr-Cyrl-CS"/>
              </w:rPr>
              <w:t xml:space="preserve"> фискални биланс</w:t>
            </w:r>
          </w:p>
        </w:tc>
        <w:tc>
          <w:tcPr>
            <w:tcW w:w="571" w:type="pct"/>
            <w:tcBorders>
              <w:top w:val="single" w:sz="4" w:space="0" w:color="002060"/>
              <w:bottom w:val="single" w:sz="4" w:space="0" w:color="002060"/>
            </w:tcBorders>
            <w:hideMark/>
          </w:tcPr>
          <w:p w14:paraId="0CEAA6E0" w14:textId="0F884B95" w:rsidR="001A5BCF" w:rsidRPr="00646254" w:rsidRDefault="001A5BCF" w:rsidP="00E96A1D">
            <w:pPr>
              <w:shd w:val="clear" w:color="auto" w:fill="FFFFFF" w:themeFill="background1"/>
              <w:spacing w:line="276" w:lineRule="auto"/>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color w:val="002060"/>
                <w:sz w:val="16"/>
                <w:szCs w:val="16"/>
                <w:lang w:val="sr-Cyrl-CS"/>
              </w:rPr>
            </w:pPr>
            <w:r w:rsidRPr="00646254">
              <w:rPr>
                <w:rFonts w:ascii="Calibri" w:hAnsi="Calibri" w:cs="Calibri"/>
                <w:b w:val="0"/>
                <w:color w:val="002060"/>
                <w:sz w:val="16"/>
                <w:szCs w:val="16"/>
                <w:lang w:val="sr-Cyrl-CS"/>
              </w:rPr>
              <w:t>Структурни примарни фискални биланс</w:t>
            </w:r>
            <w:r w:rsidR="004F5C29" w:rsidRPr="00646254">
              <w:rPr>
                <w:rFonts w:ascii="Calibri" w:hAnsi="Calibri" w:cs="Calibri"/>
                <w:b w:val="0"/>
                <w:color w:val="002060"/>
                <w:sz w:val="16"/>
                <w:szCs w:val="16"/>
                <w:lang w:val="sr-Cyrl-CS"/>
              </w:rPr>
              <w:t>**</w:t>
            </w:r>
          </w:p>
        </w:tc>
        <w:tc>
          <w:tcPr>
            <w:tcW w:w="570" w:type="pct"/>
            <w:tcBorders>
              <w:top w:val="single" w:sz="4" w:space="0" w:color="002060"/>
              <w:bottom w:val="single" w:sz="4" w:space="0" w:color="002060"/>
            </w:tcBorders>
            <w:hideMark/>
          </w:tcPr>
          <w:p w14:paraId="211090E8" w14:textId="0857A39E" w:rsidR="001A5BCF" w:rsidRPr="00646254" w:rsidRDefault="006329BC" w:rsidP="00E96A1D">
            <w:pPr>
              <w:shd w:val="clear" w:color="auto" w:fill="FFFFFF" w:themeFill="background1"/>
              <w:spacing w:line="276" w:lineRule="auto"/>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color w:val="002060"/>
                <w:sz w:val="16"/>
                <w:szCs w:val="16"/>
                <w:lang w:val="sr-Cyrl-CS"/>
              </w:rPr>
            </w:pPr>
            <w:r w:rsidRPr="00646254">
              <w:rPr>
                <w:rFonts w:ascii="Calibri" w:hAnsi="Calibri" w:cs="Calibri"/>
                <w:b w:val="0"/>
                <w:color w:val="002060"/>
                <w:sz w:val="16"/>
                <w:szCs w:val="16"/>
                <w:lang w:val="sr-Cyrl-CS"/>
              </w:rPr>
              <w:t>Ф</w:t>
            </w:r>
            <w:r w:rsidR="001A5BCF" w:rsidRPr="00646254">
              <w:rPr>
                <w:rFonts w:ascii="Calibri" w:hAnsi="Calibri" w:cs="Calibri"/>
                <w:b w:val="0"/>
                <w:color w:val="002060"/>
                <w:sz w:val="16"/>
                <w:szCs w:val="16"/>
                <w:lang w:val="sr-Cyrl-CS"/>
              </w:rPr>
              <w:t>искални импулс</w:t>
            </w:r>
          </w:p>
        </w:tc>
      </w:tr>
      <w:tr w:rsidR="001A5BCF" w:rsidRPr="00646254" w14:paraId="084CAFFB" w14:textId="77777777" w:rsidTr="00E96A1D">
        <w:trPr>
          <w:cnfStyle w:val="000000100000" w:firstRow="0" w:lastRow="0" w:firstColumn="0" w:lastColumn="0" w:oddVBand="0" w:evenVBand="0" w:oddHBand="1" w:evenHBand="0" w:firstRowFirstColumn="0" w:firstRowLastColumn="0" w:lastRowFirstColumn="0" w:lastRowLastColumn="0"/>
          <w:trHeight w:hRule="exact" w:val="225"/>
        </w:trPr>
        <w:tc>
          <w:tcPr>
            <w:cnfStyle w:val="001000000000" w:firstRow="0" w:lastRow="0" w:firstColumn="1" w:lastColumn="0" w:oddVBand="0" w:evenVBand="0" w:oddHBand="0" w:evenHBand="0" w:firstRowFirstColumn="0" w:firstRowLastColumn="0" w:lastRowFirstColumn="0" w:lastRowLastColumn="0"/>
            <w:tcW w:w="373" w:type="pct"/>
            <w:tcBorders>
              <w:top w:val="single" w:sz="4" w:space="0" w:color="002060"/>
              <w:bottom w:val="nil"/>
            </w:tcBorders>
            <w:shd w:val="clear" w:color="auto" w:fill="FFFFFF" w:themeFill="background1"/>
            <w:noWrap/>
            <w:hideMark/>
          </w:tcPr>
          <w:p w14:paraId="27C20AE2" w14:textId="77777777" w:rsidR="001A5BCF" w:rsidRPr="00646254" w:rsidRDefault="001A5BCF" w:rsidP="00E96A1D">
            <w:pPr>
              <w:shd w:val="clear" w:color="auto" w:fill="FFFFFF" w:themeFill="background1"/>
              <w:spacing w:line="276" w:lineRule="auto"/>
              <w:jc w:val="left"/>
              <w:rPr>
                <w:rFonts w:ascii="Calibri" w:hAnsi="Calibri" w:cs="Calibri"/>
                <w:b w:val="0"/>
                <w:color w:val="002060"/>
                <w:sz w:val="16"/>
                <w:szCs w:val="16"/>
                <w:lang w:val="sr-Cyrl-CS"/>
              </w:rPr>
            </w:pPr>
            <w:r w:rsidRPr="00646254">
              <w:rPr>
                <w:rFonts w:ascii="Calibri" w:hAnsi="Calibri" w:cs="Calibri"/>
                <w:b w:val="0"/>
                <w:color w:val="002060"/>
                <w:sz w:val="16"/>
                <w:szCs w:val="16"/>
                <w:lang w:val="sr-Cyrl-CS"/>
              </w:rPr>
              <w:t>2005</w:t>
            </w:r>
          </w:p>
        </w:tc>
        <w:tc>
          <w:tcPr>
            <w:tcW w:w="588" w:type="pct"/>
            <w:tcBorders>
              <w:top w:val="single" w:sz="4" w:space="0" w:color="002060"/>
              <w:bottom w:val="nil"/>
            </w:tcBorders>
            <w:shd w:val="clear" w:color="auto" w:fill="FFFFFF" w:themeFill="background1"/>
          </w:tcPr>
          <w:p w14:paraId="5A284496" w14:textId="77777777" w:rsidR="001A5BCF" w:rsidRPr="00646254" w:rsidRDefault="001A5BCF" w:rsidP="00E96A1D">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0,0</w:t>
            </w:r>
          </w:p>
        </w:tc>
        <w:tc>
          <w:tcPr>
            <w:tcW w:w="571" w:type="pct"/>
            <w:tcBorders>
              <w:top w:val="single" w:sz="4" w:space="0" w:color="002060"/>
              <w:bottom w:val="nil"/>
            </w:tcBorders>
            <w:shd w:val="clear" w:color="auto" w:fill="FFFFFF" w:themeFill="background1"/>
            <w:hideMark/>
          </w:tcPr>
          <w:p w14:paraId="55DC0914" w14:textId="77777777" w:rsidR="001A5BCF" w:rsidRPr="00646254" w:rsidRDefault="001A5BCF" w:rsidP="00E96A1D">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1,1</w:t>
            </w:r>
          </w:p>
        </w:tc>
        <w:tc>
          <w:tcPr>
            <w:tcW w:w="571" w:type="pct"/>
            <w:tcBorders>
              <w:top w:val="single" w:sz="4" w:space="0" w:color="002060"/>
              <w:bottom w:val="nil"/>
            </w:tcBorders>
            <w:shd w:val="clear" w:color="auto" w:fill="FFFFFF" w:themeFill="background1"/>
            <w:hideMark/>
          </w:tcPr>
          <w:p w14:paraId="75553541" w14:textId="77777777" w:rsidR="001A5BCF" w:rsidRPr="00646254" w:rsidRDefault="001A5BCF" w:rsidP="00E96A1D">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2,0</w:t>
            </w:r>
          </w:p>
        </w:tc>
        <w:tc>
          <w:tcPr>
            <w:tcW w:w="576" w:type="pct"/>
            <w:tcBorders>
              <w:top w:val="single" w:sz="4" w:space="0" w:color="002060"/>
              <w:bottom w:val="nil"/>
            </w:tcBorders>
            <w:shd w:val="clear" w:color="auto" w:fill="FFFFFF" w:themeFill="background1"/>
            <w:noWrap/>
            <w:hideMark/>
          </w:tcPr>
          <w:p w14:paraId="60E8FB84" w14:textId="77777777" w:rsidR="001A5BCF" w:rsidRPr="00646254" w:rsidRDefault="001A5BCF" w:rsidP="00E96A1D">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1,1</w:t>
            </w:r>
          </w:p>
        </w:tc>
        <w:tc>
          <w:tcPr>
            <w:tcW w:w="614" w:type="pct"/>
            <w:tcBorders>
              <w:top w:val="single" w:sz="4" w:space="0" w:color="002060"/>
              <w:bottom w:val="nil"/>
            </w:tcBorders>
            <w:shd w:val="clear" w:color="auto" w:fill="FFFFFF" w:themeFill="background1"/>
            <w:noWrap/>
            <w:hideMark/>
          </w:tcPr>
          <w:p w14:paraId="6505EF5C" w14:textId="77777777" w:rsidR="001A5BCF" w:rsidRPr="00646254" w:rsidRDefault="001A5BCF" w:rsidP="00E96A1D">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2,0</w:t>
            </w:r>
          </w:p>
        </w:tc>
        <w:tc>
          <w:tcPr>
            <w:tcW w:w="566" w:type="pct"/>
            <w:tcBorders>
              <w:top w:val="single" w:sz="4" w:space="0" w:color="002060"/>
              <w:bottom w:val="nil"/>
            </w:tcBorders>
            <w:shd w:val="clear" w:color="auto" w:fill="FFFFFF" w:themeFill="background1"/>
          </w:tcPr>
          <w:p w14:paraId="2FBC98A8" w14:textId="77777777" w:rsidR="001A5BCF" w:rsidRPr="00646254" w:rsidRDefault="001A5BCF" w:rsidP="00E96A1D">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1,3</w:t>
            </w:r>
          </w:p>
        </w:tc>
        <w:tc>
          <w:tcPr>
            <w:tcW w:w="571" w:type="pct"/>
            <w:tcBorders>
              <w:top w:val="single" w:sz="4" w:space="0" w:color="002060"/>
              <w:bottom w:val="nil"/>
            </w:tcBorders>
            <w:shd w:val="clear" w:color="auto" w:fill="FFFFFF" w:themeFill="background1"/>
            <w:noWrap/>
            <w:hideMark/>
          </w:tcPr>
          <w:p w14:paraId="71391EA6" w14:textId="77777777" w:rsidR="001A5BCF" w:rsidRPr="00646254" w:rsidRDefault="001A5BCF" w:rsidP="00E96A1D">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2,2</w:t>
            </w:r>
          </w:p>
        </w:tc>
        <w:tc>
          <w:tcPr>
            <w:tcW w:w="570" w:type="pct"/>
            <w:tcBorders>
              <w:top w:val="single" w:sz="4" w:space="0" w:color="002060"/>
              <w:bottom w:val="nil"/>
            </w:tcBorders>
            <w:shd w:val="clear" w:color="auto" w:fill="FFFFFF" w:themeFill="background1"/>
            <w:noWrap/>
            <w:hideMark/>
          </w:tcPr>
          <w:p w14:paraId="3759BA4B" w14:textId="77777777" w:rsidR="001A5BCF" w:rsidRPr="00646254" w:rsidRDefault="001A5BCF" w:rsidP="00E96A1D">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p>
        </w:tc>
      </w:tr>
      <w:tr w:rsidR="001A5BCF" w:rsidRPr="00646254" w14:paraId="65E98962" w14:textId="77777777" w:rsidTr="00E96A1D">
        <w:trPr>
          <w:trHeight w:hRule="exact" w:val="225"/>
        </w:trPr>
        <w:tc>
          <w:tcPr>
            <w:cnfStyle w:val="001000000000" w:firstRow="0" w:lastRow="0" w:firstColumn="1" w:lastColumn="0" w:oddVBand="0" w:evenVBand="0" w:oddHBand="0" w:evenHBand="0" w:firstRowFirstColumn="0" w:firstRowLastColumn="0" w:lastRowFirstColumn="0" w:lastRowLastColumn="0"/>
            <w:tcW w:w="373" w:type="pct"/>
            <w:tcBorders>
              <w:top w:val="nil"/>
              <w:left w:val="nil"/>
              <w:bottom w:val="nil"/>
              <w:right w:val="nil"/>
            </w:tcBorders>
            <w:shd w:val="clear" w:color="auto" w:fill="FFFFFF" w:themeFill="background1"/>
            <w:noWrap/>
            <w:hideMark/>
          </w:tcPr>
          <w:p w14:paraId="0107F6C5" w14:textId="77777777" w:rsidR="001A5BCF" w:rsidRPr="00646254" w:rsidRDefault="001A5BCF" w:rsidP="00E96A1D">
            <w:pPr>
              <w:shd w:val="clear" w:color="auto" w:fill="FFFFFF" w:themeFill="background1"/>
              <w:spacing w:line="276" w:lineRule="auto"/>
              <w:jc w:val="left"/>
              <w:rPr>
                <w:rFonts w:ascii="Calibri" w:hAnsi="Calibri" w:cs="Calibri"/>
                <w:b w:val="0"/>
                <w:color w:val="002060"/>
                <w:sz w:val="16"/>
                <w:szCs w:val="16"/>
                <w:lang w:val="sr-Cyrl-CS"/>
              </w:rPr>
            </w:pPr>
            <w:r w:rsidRPr="00646254">
              <w:rPr>
                <w:rFonts w:ascii="Calibri" w:hAnsi="Calibri" w:cs="Calibri"/>
                <w:b w:val="0"/>
                <w:color w:val="002060"/>
                <w:sz w:val="16"/>
                <w:szCs w:val="16"/>
                <w:lang w:val="sr-Cyrl-CS"/>
              </w:rPr>
              <w:t>2006</w:t>
            </w:r>
          </w:p>
        </w:tc>
        <w:tc>
          <w:tcPr>
            <w:tcW w:w="588" w:type="pct"/>
            <w:tcBorders>
              <w:top w:val="nil"/>
              <w:left w:val="nil"/>
              <w:bottom w:val="nil"/>
              <w:right w:val="nil"/>
            </w:tcBorders>
            <w:shd w:val="clear" w:color="auto" w:fill="FFFFFF" w:themeFill="background1"/>
          </w:tcPr>
          <w:p w14:paraId="29929B17" w14:textId="77777777" w:rsidR="001A5BCF" w:rsidRPr="00646254" w:rsidRDefault="001A5BCF" w:rsidP="00E96A1D">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-2,7</w:t>
            </w:r>
          </w:p>
        </w:tc>
        <w:tc>
          <w:tcPr>
            <w:tcW w:w="571" w:type="pct"/>
            <w:tcBorders>
              <w:top w:val="nil"/>
              <w:left w:val="nil"/>
              <w:bottom w:val="nil"/>
              <w:right w:val="nil"/>
            </w:tcBorders>
            <w:shd w:val="clear" w:color="auto" w:fill="FFFFFF" w:themeFill="background1"/>
            <w:hideMark/>
          </w:tcPr>
          <w:p w14:paraId="78548BAF" w14:textId="77777777" w:rsidR="001A5BCF" w:rsidRPr="00646254" w:rsidRDefault="001A5BCF" w:rsidP="00E96A1D">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-1,4</w:t>
            </w:r>
          </w:p>
        </w:tc>
        <w:tc>
          <w:tcPr>
            <w:tcW w:w="571" w:type="pct"/>
            <w:tcBorders>
              <w:top w:val="nil"/>
              <w:left w:val="nil"/>
              <w:bottom w:val="nil"/>
              <w:right w:val="nil"/>
            </w:tcBorders>
            <w:shd w:val="clear" w:color="auto" w:fill="FFFFFF" w:themeFill="background1"/>
            <w:hideMark/>
          </w:tcPr>
          <w:p w14:paraId="5E7FA51B" w14:textId="77777777" w:rsidR="001A5BCF" w:rsidRPr="00646254" w:rsidRDefault="001A5BCF" w:rsidP="00E96A1D">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-0,1</w:t>
            </w:r>
          </w:p>
        </w:tc>
        <w:tc>
          <w:tcPr>
            <w:tcW w:w="576" w:type="pct"/>
            <w:tcBorders>
              <w:top w:val="nil"/>
              <w:left w:val="nil"/>
              <w:bottom w:val="nil"/>
              <w:right w:val="nil"/>
            </w:tcBorders>
            <w:shd w:val="clear" w:color="auto" w:fill="FFFFFF" w:themeFill="background1"/>
            <w:noWrap/>
            <w:hideMark/>
          </w:tcPr>
          <w:p w14:paraId="61EDEE06" w14:textId="77777777" w:rsidR="001A5BCF" w:rsidRPr="00646254" w:rsidRDefault="001A5BCF" w:rsidP="00E96A1D">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-0,5</w:t>
            </w:r>
          </w:p>
        </w:tc>
        <w:tc>
          <w:tcPr>
            <w:tcW w:w="614" w:type="pct"/>
            <w:tcBorders>
              <w:top w:val="nil"/>
              <w:left w:val="nil"/>
              <w:bottom w:val="nil"/>
              <w:right w:val="nil"/>
            </w:tcBorders>
            <w:shd w:val="clear" w:color="auto" w:fill="FFFFFF" w:themeFill="background1"/>
            <w:noWrap/>
            <w:hideMark/>
          </w:tcPr>
          <w:p w14:paraId="7FD147A0" w14:textId="77777777" w:rsidR="001A5BCF" w:rsidRPr="00646254" w:rsidRDefault="001A5BCF" w:rsidP="00E96A1D">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0,8</w:t>
            </w:r>
          </w:p>
        </w:tc>
        <w:tc>
          <w:tcPr>
            <w:tcW w:w="566" w:type="pct"/>
            <w:tcBorders>
              <w:top w:val="nil"/>
              <w:left w:val="nil"/>
              <w:bottom w:val="nil"/>
              <w:right w:val="nil"/>
            </w:tcBorders>
            <w:shd w:val="clear" w:color="auto" w:fill="FFFFFF" w:themeFill="background1"/>
          </w:tcPr>
          <w:p w14:paraId="1AB5B119" w14:textId="77777777" w:rsidR="001A5BCF" w:rsidRPr="00646254" w:rsidRDefault="001A5BCF" w:rsidP="00E96A1D">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0,2</w:t>
            </w:r>
          </w:p>
        </w:tc>
        <w:tc>
          <w:tcPr>
            <w:tcW w:w="571" w:type="pct"/>
            <w:tcBorders>
              <w:top w:val="nil"/>
              <w:left w:val="nil"/>
              <w:bottom w:val="nil"/>
              <w:right w:val="nil"/>
            </w:tcBorders>
            <w:shd w:val="clear" w:color="auto" w:fill="FFFFFF" w:themeFill="background1"/>
            <w:noWrap/>
            <w:hideMark/>
          </w:tcPr>
          <w:p w14:paraId="4757DC2E" w14:textId="77777777" w:rsidR="001A5BCF" w:rsidRPr="00646254" w:rsidRDefault="001A5BCF" w:rsidP="00E96A1D">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1,5</w:t>
            </w:r>
          </w:p>
        </w:tc>
        <w:tc>
          <w:tcPr>
            <w:tcW w:w="570" w:type="pct"/>
            <w:tcBorders>
              <w:top w:val="nil"/>
              <w:left w:val="nil"/>
              <w:bottom w:val="nil"/>
              <w:right w:val="nil"/>
            </w:tcBorders>
            <w:shd w:val="clear" w:color="auto" w:fill="FFFFFF" w:themeFill="background1"/>
            <w:noWrap/>
            <w:hideMark/>
          </w:tcPr>
          <w:p w14:paraId="10A6B139" w14:textId="77777777" w:rsidR="001A5BCF" w:rsidRPr="00646254" w:rsidRDefault="001A5BCF" w:rsidP="00E96A1D">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1,2</w:t>
            </w:r>
          </w:p>
        </w:tc>
      </w:tr>
      <w:tr w:rsidR="001A5BCF" w:rsidRPr="00646254" w14:paraId="6BEEF62B" w14:textId="77777777" w:rsidTr="00E96A1D">
        <w:trPr>
          <w:cnfStyle w:val="000000100000" w:firstRow="0" w:lastRow="0" w:firstColumn="0" w:lastColumn="0" w:oddVBand="0" w:evenVBand="0" w:oddHBand="1" w:evenHBand="0" w:firstRowFirstColumn="0" w:firstRowLastColumn="0" w:lastRowFirstColumn="0" w:lastRowLastColumn="0"/>
          <w:trHeight w:hRule="exact" w:val="225"/>
        </w:trPr>
        <w:tc>
          <w:tcPr>
            <w:cnfStyle w:val="001000000000" w:firstRow="0" w:lastRow="0" w:firstColumn="1" w:lastColumn="0" w:oddVBand="0" w:evenVBand="0" w:oddHBand="0" w:evenHBand="0" w:firstRowFirstColumn="0" w:firstRowLastColumn="0" w:lastRowFirstColumn="0" w:lastRowLastColumn="0"/>
            <w:tcW w:w="373" w:type="pct"/>
            <w:tcBorders>
              <w:top w:val="nil"/>
              <w:bottom w:val="nil"/>
            </w:tcBorders>
            <w:shd w:val="clear" w:color="auto" w:fill="FFFFFF" w:themeFill="background1"/>
            <w:noWrap/>
            <w:hideMark/>
          </w:tcPr>
          <w:p w14:paraId="4B485ED9" w14:textId="77777777" w:rsidR="001A5BCF" w:rsidRPr="00646254" w:rsidRDefault="001A5BCF" w:rsidP="00E96A1D">
            <w:pPr>
              <w:shd w:val="clear" w:color="auto" w:fill="FFFFFF" w:themeFill="background1"/>
              <w:spacing w:line="276" w:lineRule="auto"/>
              <w:jc w:val="left"/>
              <w:rPr>
                <w:rFonts w:ascii="Calibri" w:hAnsi="Calibri" w:cs="Calibri"/>
                <w:b w:val="0"/>
                <w:color w:val="002060"/>
                <w:sz w:val="16"/>
                <w:szCs w:val="16"/>
                <w:lang w:val="sr-Cyrl-CS"/>
              </w:rPr>
            </w:pPr>
            <w:r w:rsidRPr="00646254">
              <w:rPr>
                <w:rFonts w:ascii="Calibri" w:hAnsi="Calibri" w:cs="Calibri"/>
                <w:b w:val="0"/>
                <w:color w:val="002060"/>
                <w:sz w:val="16"/>
                <w:szCs w:val="16"/>
                <w:lang w:val="sr-Cyrl-CS"/>
              </w:rPr>
              <w:t>2007</w:t>
            </w:r>
          </w:p>
        </w:tc>
        <w:tc>
          <w:tcPr>
            <w:tcW w:w="588" w:type="pct"/>
            <w:tcBorders>
              <w:top w:val="nil"/>
              <w:bottom w:val="nil"/>
            </w:tcBorders>
            <w:shd w:val="clear" w:color="auto" w:fill="FFFFFF" w:themeFill="background1"/>
          </w:tcPr>
          <w:p w14:paraId="326B9A67" w14:textId="77777777" w:rsidR="001A5BCF" w:rsidRPr="00646254" w:rsidRDefault="001A5BCF" w:rsidP="00E96A1D">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0,8</w:t>
            </w:r>
          </w:p>
        </w:tc>
        <w:tc>
          <w:tcPr>
            <w:tcW w:w="571" w:type="pct"/>
            <w:tcBorders>
              <w:top w:val="nil"/>
              <w:bottom w:val="nil"/>
            </w:tcBorders>
            <w:shd w:val="clear" w:color="auto" w:fill="FFFFFF" w:themeFill="background1"/>
            <w:hideMark/>
          </w:tcPr>
          <w:p w14:paraId="650F26A6" w14:textId="77777777" w:rsidR="001A5BCF" w:rsidRPr="00646254" w:rsidRDefault="001A5BCF" w:rsidP="00E96A1D">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-1,8</w:t>
            </w:r>
          </w:p>
        </w:tc>
        <w:tc>
          <w:tcPr>
            <w:tcW w:w="571" w:type="pct"/>
            <w:tcBorders>
              <w:top w:val="nil"/>
              <w:bottom w:val="nil"/>
            </w:tcBorders>
            <w:shd w:val="clear" w:color="auto" w:fill="FFFFFF" w:themeFill="background1"/>
            <w:hideMark/>
          </w:tcPr>
          <w:p w14:paraId="114AA837" w14:textId="77777777" w:rsidR="001A5BCF" w:rsidRPr="00646254" w:rsidRDefault="001A5BCF" w:rsidP="00E96A1D">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-1,2</w:t>
            </w:r>
          </w:p>
        </w:tc>
        <w:tc>
          <w:tcPr>
            <w:tcW w:w="576" w:type="pct"/>
            <w:tcBorders>
              <w:top w:val="nil"/>
              <w:bottom w:val="nil"/>
            </w:tcBorders>
            <w:shd w:val="clear" w:color="auto" w:fill="FFFFFF" w:themeFill="background1"/>
            <w:hideMark/>
          </w:tcPr>
          <w:p w14:paraId="78240DC2" w14:textId="77777777" w:rsidR="001A5BCF" w:rsidRPr="00646254" w:rsidRDefault="001A5BCF" w:rsidP="00E96A1D">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-2,1</w:t>
            </w:r>
          </w:p>
        </w:tc>
        <w:tc>
          <w:tcPr>
            <w:tcW w:w="614" w:type="pct"/>
            <w:tcBorders>
              <w:top w:val="nil"/>
              <w:bottom w:val="nil"/>
            </w:tcBorders>
            <w:shd w:val="clear" w:color="auto" w:fill="FFFFFF" w:themeFill="background1"/>
            <w:noWrap/>
            <w:hideMark/>
          </w:tcPr>
          <w:p w14:paraId="1A30CC22" w14:textId="77777777" w:rsidR="001A5BCF" w:rsidRPr="00646254" w:rsidRDefault="001A5BCF" w:rsidP="00E96A1D">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-1,5</w:t>
            </w:r>
          </w:p>
        </w:tc>
        <w:tc>
          <w:tcPr>
            <w:tcW w:w="566" w:type="pct"/>
            <w:tcBorders>
              <w:top w:val="nil"/>
              <w:bottom w:val="nil"/>
            </w:tcBorders>
            <w:shd w:val="clear" w:color="auto" w:fill="FFFFFF" w:themeFill="background1"/>
          </w:tcPr>
          <w:p w14:paraId="5D13E32E" w14:textId="77777777" w:rsidR="001A5BCF" w:rsidRPr="00646254" w:rsidRDefault="001A5BCF" w:rsidP="00E96A1D">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-1,7</w:t>
            </w:r>
          </w:p>
        </w:tc>
        <w:tc>
          <w:tcPr>
            <w:tcW w:w="571" w:type="pct"/>
            <w:tcBorders>
              <w:top w:val="nil"/>
              <w:bottom w:val="nil"/>
            </w:tcBorders>
            <w:shd w:val="clear" w:color="auto" w:fill="FFFFFF" w:themeFill="background1"/>
            <w:noWrap/>
            <w:hideMark/>
          </w:tcPr>
          <w:p w14:paraId="5EFF49B4" w14:textId="77777777" w:rsidR="001A5BCF" w:rsidRPr="00646254" w:rsidRDefault="001A5BCF" w:rsidP="00E96A1D">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-1,2</w:t>
            </w:r>
          </w:p>
        </w:tc>
        <w:tc>
          <w:tcPr>
            <w:tcW w:w="570" w:type="pct"/>
            <w:tcBorders>
              <w:top w:val="nil"/>
              <w:bottom w:val="nil"/>
            </w:tcBorders>
            <w:shd w:val="clear" w:color="auto" w:fill="FFFFFF" w:themeFill="background1"/>
            <w:noWrap/>
            <w:hideMark/>
          </w:tcPr>
          <w:p w14:paraId="02BB711C" w14:textId="77777777" w:rsidR="001A5BCF" w:rsidRPr="00646254" w:rsidRDefault="001A5BCF" w:rsidP="00E96A1D">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2,3</w:t>
            </w:r>
          </w:p>
        </w:tc>
      </w:tr>
      <w:tr w:rsidR="001A5BCF" w:rsidRPr="00646254" w14:paraId="18602E18" w14:textId="77777777" w:rsidTr="00E96A1D">
        <w:trPr>
          <w:trHeight w:hRule="exact" w:val="225"/>
        </w:trPr>
        <w:tc>
          <w:tcPr>
            <w:cnfStyle w:val="001000000000" w:firstRow="0" w:lastRow="0" w:firstColumn="1" w:lastColumn="0" w:oddVBand="0" w:evenVBand="0" w:oddHBand="0" w:evenHBand="0" w:firstRowFirstColumn="0" w:firstRowLastColumn="0" w:lastRowFirstColumn="0" w:lastRowLastColumn="0"/>
            <w:tcW w:w="373" w:type="pct"/>
            <w:tcBorders>
              <w:top w:val="nil"/>
              <w:left w:val="nil"/>
              <w:bottom w:val="nil"/>
              <w:right w:val="nil"/>
            </w:tcBorders>
            <w:shd w:val="clear" w:color="auto" w:fill="FFFFFF" w:themeFill="background1"/>
            <w:noWrap/>
            <w:hideMark/>
          </w:tcPr>
          <w:p w14:paraId="4966B5E6" w14:textId="77777777" w:rsidR="001A5BCF" w:rsidRPr="00646254" w:rsidRDefault="001A5BCF" w:rsidP="00E96A1D">
            <w:pPr>
              <w:shd w:val="clear" w:color="auto" w:fill="FFFFFF" w:themeFill="background1"/>
              <w:spacing w:line="276" w:lineRule="auto"/>
              <w:jc w:val="left"/>
              <w:rPr>
                <w:rFonts w:ascii="Calibri" w:hAnsi="Calibri" w:cs="Calibri"/>
                <w:b w:val="0"/>
                <w:color w:val="002060"/>
                <w:sz w:val="16"/>
                <w:szCs w:val="16"/>
                <w:lang w:val="sr-Cyrl-CS"/>
              </w:rPr>
            </w:pPr>
            <w:r w:rsidRPr="00646254">
              <w:rPr>
                <w:rFonts w:ascii="Calibri" w:hAnsi="Calibri" w:cs="Calibri"/>
                <w:b w:val="0"/>
                <w:color w:val="002060"/>
                <w:sz w:val="16"/>
                <w:szCs w:val="16"/>
                <w:lang w:val="sr-Cyrl-CS"/>
              </w:rPr>
              <w:t>2008</w:t>
            </w:r>
          </w:p>
        </w:tc>
        <w:tc>
          <w:tcPr>
            <w:tcW w:w="588" w:type="pct"/>
            <w:tcBorders>
              <w:top w:val="nil"/>
              <w:left w:val="nil"/>
              <w:bottom w:val="nil"/>
              <w:right w:val="nil"/>
            </w:tcBorders>
            <w:shd w:val="clear" w:color="auto" w:fill="FFFFFF" w:themeFill="background1"/>
          </w:tcPr>
          <w:p w14:paraId="045D2714" w14:textId="77777777" w:rsidR="001A5BCF" w:rsidRPr="00646254" w:rsidRDefault="001A5BCF" w:rsidP="00E96A1D">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4,0</w:t>
            </w:r>
          </w:p>
        </w:tc>
        <w:tc>
          <w:tcPr>
            <w:tcW w:w="571" w:type="pct"/>
            <w:tcBorders>
              <w:top w:val="nil"/>
              <w:left w:val="nil"/>
              <w:bottom w:val="nil"/>
              <w:right w:val="nil"/>
            </w:tcBorders>
            <w:shd w:val="clear" w:color="auto" w:fill="FFFFFF" w:themeFill="background1"/>
            <w:hideMark/>
          </w:tcPr>
          <w:p w14:paraId="04B0DAAC" w14:textId="77777777" w:rsidR="001A5BCF" w:rsidRPr="00646254" w:rsidRDefault="001A5BCF" w:rsidP="00E96A1D">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-2,5</w:t>
            </w:r>
          </w:p>
        </w:tc>
        <w:tc>
          <w:tcPr>
            <w:tcW w:w="571" w:type="pct"/>
            <w:tcBorders>
              <w:top w:val="nil"/>
              <w:left w:val="nil"/>
              <w:bottom w:val="nil"/>
              <w:right w:val="nil"/>
            </w:tcBorders>
            <w:shd w:val="clear" w:color="auto" w:fill="FFFFFF" w:themeFill="background1"/>
            <w:hideMark/>
          </w:tcPr>
          <w:p w14:paraId="0FC1B900" w14:textId="77777777" w:rsidR="001A5BCF" w:rsidRPr="00646254" w:rsidRDefault="001A5BCF" w:rsidP="00E96A1D">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-1,9</w:t>
            </w:r>
          </w:p>
        </w:tc>
        <w:tc>
          <w:tcPr>
            <w:tcW w:w="576" w:type="pct"/>
            <w:tcBorders>
              <w:top w:val="nil"/>
              <w:left w:val="nil"/>
              <w:bottom w:val="nil"/>
              <w:right w:val="nil"/>
            </w:tcBorders>
            <w:shd w:val="clear" w:color="auto" w:fill="FFFFFF" w:themeFill="background1"/>
            <w:hideMark/>
          </w:tcPr>
          <w:p w14:paraId="15E2F78A" w14:textId="77777777" w:rsidR="001A5BCF" w:rsidRPr="00646254" w:rsidRDefault="001A5BCF" w:rsidP="00E96A1D">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-3,9</w:t>
            </w:r>
          </w:p>
        </w:tc>
        <w:tc>
          <w:tcPr>
            <w:tcW w:w="614" w:type="pct"/>
            <w:tcBorders>
              <w:top w:val="nil"/>
              <w:left w:val="nil"/>
              <w:bottom w:val="nil"/>
              <w:right w:val="nil"/>
            </w:tcBorders>
            <w:shd w:val="clear" w:color="auto" w:fill="FFFFFF" w:themeFill="background1"/>
            <w:noWrap/>
            <w:hideMark/>
          </w:tcPr>
          <w:p w14:paraId="3F3F27FF" w14:textId="77777777" w:rsidR="001A5BCF" w:rsidRPr="00646254" w:rsidRDefault="001A5BCF" w:rsidP="00E96A1D">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-3,4</w:t>
            </w:r>
          </w:p>
        </w:tc>
        <w:tc>
          <w:tcPr>
            <w:tcW w:w="566" w:type="pct"/>
            <w:tcBorders>
              <w:top w:val="nil"/>
              <w:left w:val="nil"/>
              <w:bottom w:val="nil"/>
              <w:right w:val="nil"/>
            </w:tcBorders>
            <w:shd w:val="clear" w:color="auto" w:fill="FFFFFF" w:themeFill="background1"/>
          </w:tcPr>
          <w:p w14:paraId="74EE4AAF" w14:textId="77777777" w:rsidR="001A5BCF" w:rsidRPr="00646254" w:rsidRDefault="001A5BCF" w:rsidP="00E96A1D">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-4,0</w:t>
            </w:r>
          </w:p>
        </w:tc>
        <w:tc>
          <w:tcPr>
            <w:tcW w:w="571" w:type="pct"/>
            <w:tcBorders>
              <w:top w:val="nil"/>
              <w:left w:val="nil"/>
              <w:bottom w:val="nil"/>
              <w:right w:val="nil"/>
            </w:tcBorders>
            <w:shd w:val="clear" w:color="auto" w:fill="FFFFFF" w:themeFill="background1"/>
            <w:noWrap/>
            <w:hideMark/>
          </w:tcPr>
          <w:p w14:paraId="74B40EBC" w14:textId="77777777" w:rsidR="001A5BCF" w:rsidRPr="00646254" w:rsidRDefault="001A5BCF" w:rsidP="00E96A1D">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-3,4</w:t>
            </w:r>
          </w:p>
        </w:tc>
        <w:tc>
          <w:tcPr>
            <w:tcW w:w="570" w:type="pct"/>
            <w:tcBorders>
              <w:top w:val="nil"/>
              <w:left w:val="nil"/>
              <w:bottom w:val="nil"/>
              <w:right w:val="nil"/>
            </w:tcBorders>
            <w:shd w:val="clear" w:color="auto" w:fill="FFFFFF" w:themeFill="background1"/>
            <w:noWrap/>
            <w:hideMark/>
          </w:tcPr>
          <w:p w14:paraId="3AA6498B" w14:textId="77777777" w:rsidR="001A5BCF" w:rsidRPr="00646254" w:rsidRDefault="001A5BCF" w:rsidP="00E96A1D">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1,9</w:t>
            </w:r>
          </w:p>
        </w:tc>
      </w:tr>
      <w:tr w:rsidR="001A5BCF" w:rsidRPr="00646254" w14:paraId="2849A11E" w14:textId="77777777" w:rsidTr="00E96A1D">
        <w:trPr>
          <w:cnfStyle w:val="000000100000" w:firstRow="0" w:lastRow="0" w:firstColumn="0" w:lastColumn="0" w:oddVBand="0" w:evenVBand="0" w:oddHBand="1" w:evenHBand="0" w:firstRowFirstColumn="0" w:firstRowLastColumn="0" w:lastRowFirstColumn="0" w:lastRowLastColumn="0"/>
          <w:trHeight w:hRule="exact" w:val="225"/>
        </w:trPr>
        <w:tc>
          <w:tcPr>
            <w:cnfStyle w:val="001000000000" w:firstRow="0" w:lastRow="0" w:firstColumn="1" w:lastColumn="0" w:oddVBand="0" w:evenVBand="0" w:oddHBand="0" w:evenHBand="0" w:firstRowFirstColumn="0" w:firstRowLastColumn="0" w:lastRowFirstColumn="0" w:lastRowLastColumn="0"/>
            <w:tcW w:w="373" w:type="pct"/>
            <w:tcBorders>
              <w:top w:val="nil"/>
              <w:bottom w:val="nil"/>
            </w:tcBorders>
            <w:shd w:val="clear" w:color="auto" w:fill="FFFFFF" w:themeFill="background1"/>
            <w:noWrap/>
            <w:hideMark/>
          </w:tcPr>
          <w:p w14:paraId="3CD504F8" w14:textId="77777777" w:rsidR="001A5BCF" w:rsidRPr="00646254" w:rsidRDefault="001A5BCF" w:rsidP="00E96A1D">
            <w:pPr>
              <w:shd w:val="clear" w:color="auto" w:fill="FFFFFF" w:themeFill="background1"/>
              <w:spacing w:line="276" w:lineRule="auto"/>
              <w:jc w:val="left"/>
              <w:rPr>
                <w:rFonts w:ascii="Calibri" w:hAnsi="Calibri" w:cs="Calibri"/>
                <w:b w:val="0"/>
                <w:color w:val="002060"/>
                <w:sz w:val="16"/>
                <w:szCs w:val="16"/>
                <w:lang w:val="sr-Cyrl-CS"/>
              </w:rPr>
            </w:pPr>
            <w:r w:rsidRPr="00646254">
              <w:rPr>
                <w:rFonts w:ascii="Calibri" w:hAnsi="Calibri" w:cs="Calibri"/>
                <w:b w:val="0"/>
                <w:color w:val="002060"/>
                <w:sz w:val="16"/>
                <w:szCs w:val="16"/>
                <w:lang w:val="sr-Cyrl-CS"/>
              </w:rPr>
              <w:t>2009</w:t>
            </w:r>
          </w:p>
        </w:tc>
        <w:tc>
          <w:tcPr>
            <w:tcW w:w="588" w:type="pct"/>
            <w:tcBorders>
              <w:top w:val="nil"/>
              <w:bottom w:val="nil"/>
            </w:tcBorders>
            <w:shd w:val="clear" w:color="auto" w:fill="FFFFFF" w:themeFill="background1"/>
          </w:tcPr>
          <w:p w14:paraId="532C650D" w14:textId="77777777" w:rsidR="001A5BCF" w:rsidRPr="00646254" w:rsidRDefault="001A5BCF" w:rsidP="00E96A1D">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-0,4</w:t>
            </w:r>
          </w:p>
        </w:tc>
        <w:tc>
          <w:tcPr>
            <w:tcW w:w="571" w:type="pct"/>
            <w:tcBorders>
              <w:top w:val="nil"/>
              <w:bottom w:val="nil"/>
            </w:tcBorders>
            <w:shd w:val="clear" w:color="auto" w:fill="FFFFFF" w:themeFill="background1"/>
            <w:hideMark/>
          </w:tcPr>
          <w:p w14:paraId="692D7E16" w14:textId="77777777" w:rsidR="001A5BCF" w:rsidRPr="00646254" w:rsidRDefault="001A5BCF" w:rsidP="00E96A1D">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-4,2</w:t>
            </w:r>
          </w:p>
        </w:tc>
        <w:tc>
          <w:tcPr>
            <w:tcW w:w="571" w:type="pct"/>
            <w:tcBorders>
              <w:top w:val="nil"/>
              <w:bottom w:val="nil"/>
            </w:tcBorders>
            <w:shd w:val="clear" w:color="auto" w:fill="FFFFFF" w:themeFill="background1"/>
            <w:hideMark/>
          </w:tcPr>
          <w:p w14:paraId="114AEE15" w14:textId="77777777" w:rsidR="001A5BCF" w:rsidRPr="00646254" w:rsidRDefault="001A5BCF" w:rsidP="00E96A1D">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-3,6</w:t>
            </w:r>
          </w:p>
        </w:tc>
        <w:tc>
          <w:tcPr>
            <w:tcW w:w="576" w:type="pct"/>
            <w:tcBorders>
              <w:top w:val="nil"/>
              <w:bottom w:val="nil"/>
            </w:tcBorders>
            <w:shd w:val="clear" w:color="auto" w:fill="FFFFFF" w:themeFill="background1"/>
            <w:hideMark/>
          </w:tcPr>
          <w:p w14:paraId="029C582D" w14:textId="77777777" w:rsidR="001A5BCF" w:rsidRPr="00646254" w:rsidRDefault="001A5BCF" w:rsidP="00E96A1D">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-4,0</w:t>
            </w:r>
          </w:p>
        </w:tc>
        <w:tc>
          <w:tcPr>
            <w:tcW w:w="614" w:type="pct"/>
            <w:tcBorders>
              <w:top w:val="nil"/>
              <w:bottom w:val="nil"/>
            </w:tcBorders>
            <w:shd w:val="clear" w:color="auto" w:fill="FFFFFF" w:themeFill="background1"/>
            <w:hideMark/>
          </w:tcPr>
          <w:p w14:paraId="42EF60D5" w14:textId="77777777" w:rsidR="001A5BCF" w:rsidRPr="00646254" w:rsidRDefault="001A5BCF" w:rsidP="00E96A1D">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-3,4</w:t>
            </w:r>
          </w:p>
        </w:tc>
        <w:tc>
          <w:tcPr>
            <w:tcW w:w="566" w:type="pct"/>
            <w:tcBorders>
              <w:top w:val="nil"/>
              <w:bottom w:val="nil"/>
            </w:tcBorders>
            <w:shd w:val="clear" w:color="auto" w:fill="FFFFFF" w:themeFill="background1"/>
          </w:tcPr>
          <w:p w14:paraId="7462A4D8" w14:textId="77777777" w:rsidR="001A5BCF" w:rsidRPr="00646254" w:rsidRDefault="001A5BCF" w:rsidP="00E96A1D">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-4,1</w:t>
            </w:r>
          </w:p>
        </w:tc>
        <w:tc>
          <w:tcPr>
            <w:tcW w:w="571" w:type="pct"/>
            <w:tcBorders>
              <w:top w:val="nil"/>
              <w:bottom w:val="nil"/>
            </w:tcBorders>
            <w:shd w:val="clear" w:color="auto" w:fill="FFFFFF" w:themeFill="background1"/>
            <w:noWrap/>
            <w:hideMark/>
          </w:tcPr>
          <w:p w14:paraId="075ADEAB" w14:textId="77777777" w:rsidR="001A5BCF" w:rsidRPr="00646254" w:rsidRDefault="001A5BCF" w:rsidP="00E96A1D">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-3,5</w:t>
            </w:r>
          </w:p>
        </w:tc>
        <w:tc>
          <w:tcPr>
            <w:tcW w:w="570" w:type="pct"/>
            <w:tcBorders>
              <w:top w:val="nil"/>
              <w:bottom w:val="nil"/>
            </w:tcBorders>
            <w:shd w:val="clear" w:color="auto" w:fill="FFFFFF" w:themeFill="background1"/>
            <w:noWrap/>
            <w:hideMark/>
          </w:tcPr>
          <w:p w14:paraId="441D04B0" w14:textId="77777777" w:rsidR="001A5BCF" w:rsidRPr="00646254" w:rsidRDefault="001A5BCF" w:rsidP="00E96A1D">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0,0</w:t>
            </w:r>
          </w:p>
        </w:tc>
      </w:tr>
      <w:tr w:rsidR="001A5BCF" w:rsidRPr="00646254" w14:paraId="7F43577E" w14:textId="77777777" w:rsidTr="00E96A1D">
        <w:trPr>
          <w:trHeight w:hRule="exact" w:val="225"/>
        </w:trPr>
        <w:tc>
          <w:tcPr>
            <w:cnfStyle w:val="001000000000" w:firstRow="0" w:lastRow="0" w:firstColumn="1" w:lastColumn="0" w:oddVBand="0" w:evenVBand="0" w:oddHBand="0" w:evenHBand="0" w:firstRowFirstColumn="0" w:firstRowLastColumn="0" w:lastRowFirstColumn="0" w:lastRowLastColumn="0"/>
            <w:tcW w:w="373" w:type="pct"/>
            <w:tcBorders>
              <w:top w:val="nil"/>
              <w:left w:val="nil"/>
              <w:bottom w:val="nil"/>
              <w:right w:val="nil"/>
            </w:tcBorders>
            <w:shd w:val="clear" w:color="auto" w:fill="FFFFFF" w:themeFill="background1"/>
            <w:noWrap/>
          </w:tcPr>
          <w:p w14:paraId="2BB6B2D3" w14:textId="77777777" w:rsidR="001A5BCF" w:rsidRPr="00646254" w:rsidRDefault="001A5BCF" w:rsidP="00E96A1D">
            <w:pPr>
              <w:shd w:val="clear" w:color="auto" w:fill="FFFFFF" w:themeFill="background1"/>
              <w:spacing w:line="276" w:lineRule="auto"/>
              <w:jc w:val="left"/>
              <w:rPr>
                <w:rFonts w:ascii="Calibri" w:hAnsi="Calibri" w:cs="Calibri"/>
                <w:b w:val="0"/>
                <w:color w:val="002060"/>
                <w:sz w:val="16"/>
                <w:szCs w:val="16"/>
                <w:lang w:val="sr-Cyrl-CS"/>
              </w:rPr>
            </w:pPr>
            <w:r w:rsidRPr="00646254">
              <w:rPr>
                <w:rFonts w:ascii="Calibri" w:hAnsi="Calibri" w:cs="Calibri"/>
                <w:b w:val="0"/>
                <w:color w:val="002060"/>
                <w:sz w:val="16"/>
                <w:szCs w:val="16"/>
                <w:lang w:val="sr-Cyrl-CS"/>
              </w:rPr>
              <w:t>2010</w:t>
            </w:r>
          </w:p>
          <w:p w14:paraId="1AF7019A" w14:textId="77777777" w:rsidR="001A5BCF" w:rsidRPr="00646254" w:rsidRDefault="001A5BCF" w:rsidP="00E96A1D">
            <w:pPr>
              <w:shd w:val="clear" w:color="auto" w:fill="FFFFFF" w:themeFill="background1"/>
              <w:spacing w:line="276" w:lineRule="auto"/>
              <w:jc w:val="left"/>
              <w:rPr>
                <w:rFonts w:ascii="Calibri" w:hAnsi="Calibri" w:cs="Calibri"/>
                <w:b w:val="0"/>
                <w:color w:val="002060"/>
                <w:sz w:val="16"/>
                <w:szCs w:val="16"/>
                <w:lang w:val="sr-Cyrl-CS"/>
              </w:rPr>
            </w:pPr>
          </w:p>
        </w:tc>
        <w:tc>
          <w:tcPr>
            <w:tcW w:w="588" w:type="pct"/>
            <w:tcBorders>
              <w:top w:val="nil"/>
              <w:left w:val="nil"/>
              <w:bottom w:val="nil"/>
              <w:right w:val="nil"/>
            </w:tcBorders>
            <w:shd w:val="clear" w:color="auto" w:fill="FFFFFF" w:themeFill="background1"/>
          </w:tcPr>
          <w:p w14:paraId="11052639" w14:textId="77777777" w:rsidR="001A5BCF" w:rsidRPr="00646254" w:rsidRDefault="001A5BCF" w:rsidP="00E96A1D">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-0,7</w:t>
            </w:r>
          </w:p>
        </w:tc>
        <w:tc>
          <w:tcPr>
            <w:tcW w:w="571" w:type="pct"/>
            <w:tcBorders>
              <w:top w:val="nil"/>
              <w:left w:val="nil"/>
              <w:bottom w:val="nil"/>
              <w:right w:val="nil"/>
            </w:tcBorders>
            <w:shd w:val="clear" w:color="auto" w:fill="FFFFFF" w:themeFill="background1"/>
            <w:hideMark/>
          </w:tcPr>
          <w:p w14:paraId="0D9811CE" w14:textId="77777777" w:rsidR="001A5BCF" w:rsidRPr="00646254" w:rsidRDefault="001A5BCF" w:rsidP="00E96A1D">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-4,3</w:t>
            </w:r>
          </w:p>
        </w:tc>
        <w:tc>
          <w:tcPr>
            <w:tcW w:w="571" w:type="pct"/>
            <w:tcBorders>
              <w:top w:val="nil"/>
              <w:left w:val="nil"/>
              <w:bottom w:val="nil"/>
              <w:right w:val="nil"/>
            </w:tcBorders>
            <w:shd w:val="clear" w:color="auto" w:fill="FFFFFF" w:themeFill="background1"/>
            <w:hideMark/>
          </w:tcPr>
          <w:p w14:paraId="1DEFCF0D" w14:textId="77777777" w:rsidR="001A5BCF" w:rsidRPr="00646254" w:rsidRDefault="001A5BCF" w:rsidP="00E96A1D">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-3,4</w:t>
            </w:r>
          </w:p>
        </w:tc>
        <w:tc>
          <w:tcPr>
            <w:tcW w:w="576" w:type="pct"/>
            <w:tcBorders>
              <w:top w:val="nil"/>
              <w:left w:val="nil"/>
              <w:bottom w:val="nil"/>
              <w:right w:val="nil"/>
            </w:tcBorders>
            <w:shd w:val="clear" w:color="auto" w:fill="FFFFFF" w:themeFill="background1"/>
            <w:hideMark/>
          </w:tcPr>
          <w:p w14:paraId="13E6D694" w14:textId="77777777" w:rsidR="001A5BCF" w:rsidRPr="00646254" w:rsidRDefault="001A5BCF" w:rsidP="00E96A1D">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-4,1</w:t>
            </w:r>
          </w:p>
        </w:tc>
        <w:tc>
          <w:tcPr>
            <w:tcW w:w="614" w:type="pct"/>
            <w:tcBorders>
              <w:top w:val="nil"/>
              <w:left w:val="nil"/>
              <w:bottom w:val="nil"/>
              <w:right w:val="nil"/>
            </w:tcBorders>
            <w:shd w:val="clear" w:color="auto" w:fill="FFFFFF" w:themeFill="background1"/>
            <w:hideMark/>
          </w:tcPr>
          <w:p w14:paraId="19C2AFBA" w14:textId="77777777" w:rsidR="001A5BCF" w:rsidRPr="00646254" w:rsidRDefault="001A5BCF" w:rsidP="00E96A1D">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-3,1</w:t>
            </w:r>
          </w:p>
        </w:tc>
        <w:tc>
          <w:tcPr>
            <w:tcW w:w="566" w:type="pct"/>
            <w:tcBorders>
              <w:top w:val="nil"/>
              <w:left w:val="nil"/>
              <w:bottom w:val="nil"/>
              <w:right w:val="nil"/>
            </w:tcBorders>
            <w:shd w:val="clear" w:color="auto" w:fill="FFFFFF" w:themeFill="background1"/>
          </w:tcPr>
          <w:p w14:paraId="5CDC42BE" w14:textId="77777777" w:rsidR="001A5BCF" w:rsidRPr="00646254" w:rsidRDefault="001A5BCF" w:rsidP="00E96A1D">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-4,2</w:t>
            </w:r>
          </w:p>
        </w:tc>
        <w:tc>
          <w:tcPr>
            <w:tcW w:w="571" w:type="pct"/>
            <w:tcBorders>
              <w:top w:val="nil"/>
              <w:left w:val="nil"/>
              <w:bottom w:val="nil"/>
              <w:right w:val="nil"/>
            </w:tcBorders>
            <w:shd w:val="clear" w:color="auto" w:fill="FFFFFF" w:themeFill="background1"/>
            <w:noWrap/>
            <w:hideMark/>
          </w:tcPr>
          <w:p w14:paraId="08F95A81" w14:textId="77777777" w:rsidR="001A5BCF" w:rsidRPr="00646254" w:rsidRDefault="001A5BCF" w:rsidP="00E96A1D">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-3,2</w:t>
            </w:r>
          </w:p>
        </w:tc>
        <w:tc>
          <w:tcPr>
            <w:tcW w:w="570" w:type="pct"/>
            <w:tcBorders>
              <w:top w:val="nil"/>
              <w:left w:val="nil"/>
              <w:bottom w:val="nil"/>
              <w:right w:val="nil"/>
            </w:tcBorders>
            <w:shd w:val="clear" w:color="auto" w:fill="FFFFFF" w:themeFill="background1"/>
            <w:noWrap/>
            <w:hideMark/>
          </w:tcPr>
          <w:p w14:paraId="6111B46B" w14:textId="77777777" w:rsidR="001A5BCF" w:rsidRPr="00646254" w:rsidRDefault="001A5BCF" w:rsidP="00E96A1D">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-0,3</w:t>
            </w:r>
          </w:p>
        </w:tc>
      </w:tr>
      <w:tr w:rsidR="001A5BCF" w:rsidRPr="00646254" w14:paraId="7395E8B4" w14:textId="77777777" w:rsidTr="00E96A1D">
        <w:trPr>
          <w:cnfStyle w:val="000000100000" w:firstRow="0" w:lastRow="0" w:firstColumn="0" w:lastColumn="0" w:oddVBand="0" w:evenVBand="0" w:oddHBand="1" w:evenHBand="0" w:firstRowFirstColumn="0" w:firstRowLastColumn="0" w:lastRowFirstColumn="0" w:lastRowLastColumn="0"/>
          <w:trHeight w:hRule="exact" w:val="225"/>
        </w:trPr>
        <w:tc>
          <w:tcPr>
            <w:cnfStyle w:val="001000000000" w:firstRow="0" w:lastRow="0" w:firstColumn="1" w:lastColumn="0" w:oddVBand="0" w:evenVBand="0" w:oddHBand="0" w:evenHBand="0" w:firstRowFirstColumn="0" w:firstRowLastColumn="0" w:lastRowFirstColumn="0" w:lastRowLastColumn="0"/>
            <w:tcW w:w="373" w:type="pct"/>
            <w:tcBorders>
              <w:top w:val="nil"/>
              <w:bottom w:val="nil"/>
            </w:tcBorders>
            <w:shd w:val="clear" w:color="auto" w:fill="FFFFFF" w:themeFill="background1"/>
            <w:noWrap/>
            <w:hideMark/>
          </w:tcPr>
          <w:p w14:paraId="558068D2" w14:textId="77777777" w:rsidR="001A5BCF" w:rsidRPr="00646254" w:rsidRDefault="001A5BCF" w:rsidP="00E96A1D">
            <w:pPr>
              <w:shd w:val="clear" w:color="auto" w:fill="FFFFFF" w:themeFill="background1"/>
              <w:spacing w:line="276" w:lineRule="auto"/>
              <w:jc w:val="left"/>
              <w:rPr>
                <w:rFonts w:ascii="Calibri" w:hAnsi="Calibri" w:cs="Calibri"/>
                <w:b w:val="0"/>
                <w:color w:val="002060"/>
                <w:sz w:val="16"/>
                <w:szCs w:val="16"/>
                <w:lang w:val="sr-Cyrl-CS"/>
              </w:rPr>
            </w:pPr>
            <w:r w:rsidRPr="00646254">
              <w:rPr>
                <w:rFonts w:ascii="Calibri" w:hAnsi="Calibri" w:cs="Calibri"/>
                <w:b w:val="0"/>
                <w:color w:val="002060"/>
                <w:sz w:val="16"/>
                <w:szCs w:val="16"/>
                <w:lang w:val="sr-Cyrl-CS"/>
              </w:rPr>
              <w:t>2011</w:t>
            </w:r>
          </w:p>
        </w:tc>
        <w:tc>
          <w:tcPr>
            <w:tcW w:w="588" w:type="pct"/>
            <w:tcBorders>
              <w:top w:val="nil"/>
              <w:bottom w:val="nil"/>
            </w:tcBorders>
            <w:shd w:val="clear" w:color="auto" w:fill="FFFFFF" w:themeFill="background1"/>
          </w:tcPr>
          <w:p w14:paraId="3A42176E" w14:textId="77777777" w:rsidR="001A5BCF" w:rsidRPr="00646254" w:rsidRDefault="001A5BCF" w:rsidP="00E96A1D">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0,5</w:t>
            </w:r>
          </w:p>
        </w:tc>
        <w:tc>
          <w:tcPr>
            <w:tcW w:w="571" w:type="pct"/>
            <w:tcBorders>
              <w:top w:val="nil"/>
              <w:bottom w:val="nil"/>
            </w:tcBorders>
            <w:shd w:val="clear" w:color="auto" w:fill="FFFFFF" w:themeFill="background1"/>
            <w:hideMark/>
          </w:tcPr>
          <w:p w14:paraId="1489BA52" w14:textId="77777777" w:rsidR="001A5BCF" w:rsidRPr="00646254" w:rsidRDefault="001A5BCF" w:rsidP="00E96A1D">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-4,5</w:t>
            </w:r>
          </w:p>
        </w:tc>
        <w:tc>
          <w:tcPr>
            <w:tcW w:w="571" w:type="pct"/>
            <w:tcBorders>
              <w:top w:val="nil"/>
              <w:bottom w:val="nil"/>
            </w:tcBorders>
            <w:shd w:val="clear" w:color="auto" w:fill="FFFFFF" w:themeFill="background1"/>
            <w:hideMark/>
          </w:tcPr>
          <w:p w14:paraId="02BD89B9" w14:textId="77777777" w:rsidR="001A5BCF" w:rsidRPr="00646254" w:rsidRDefault="001A5BCF" w:rsidP="00E96A1D">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-3,4</w:t>
            </w:r>
          </w:p>
        </w:tc>
        <w:tc>
          <w:tcPr>
            <w:tcW w:w="576" w:type="pct"/>
            <w:tcBorders>
              <w:top w:val="nil"/>
              <w:bottom w:val="nil"/>
            </w:tcBorders>
            <w:shd w:val="clear" w:color="auto" w:fill="FFFFFF" w:themeFill="background1"/>
            <w:hideMark/>
          </w:tcPr>
          <w:p w14:paraId="3C593EF2" w14:textId="77777777" w:rsidR="001A5BCF" w:rsidRPr="00646254" w:rsidRDefault="001A5BCF" w:rsidP="00E96A1D">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-4,7</w:t>
            </w:r>
          </w:p>
        </w:tc>
        <w:tc>
          <w:tcPr>
            <w:tcW w:w="614" w:type="pct"/>
            <w:tcBorders>
              <w:top w:val="nil"/>
              <w:bottom w:val="nil"/>
            </w:tcBorders>
            <w:shd w:val="clear" w:color="auto" w:fill="FFFFFF" w:themeFill="background1"/>
            <w:hideMark/>
          </w:tcPr>
          <w:p w14:paraId="46D0A15C" w14:textId="77777777" w:rsidR="001A5BCF" w:rsidRPr="00646254" w:rsidRDefault="001A5BCF" w:rsidP="00E96A1D">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-3,6</w:t>
            </w:r>
          </w:p>
        </w:tc>
        <w:tc>
          <w:tcPr>
            <w:tcW w:w="566" w:type="pct"/>
            <w:tcBorders>
              <w:top w:val="nil"/>
              <w:bottom w:val="nil"/>
            </w:tcBorders>
            <w:shd w:val="clear" w:color="auto" w:fill="FFFFFF" w:themeFill="background1"/>
          </w:tcPr>
          <w:p w14:paraId="4CCB0FED" w14:textId="77777777" w:rsidR="001A5BCF" w:rsidRPr="00646254" w:rsidRDefault="001A5BCF" w:rsidP="00E96A1D">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-4,9</w:t>
            </w:r>
          </w:p>
        </w:tc>
        <w:tc>
          <w:tcPr>
            <w:tcW w:w="571" w:type="pct"/>
            <w:tcBorders>
              <w:top w:val="nil"/>
              <w:bottom w:val="nil"/>
            </w:tcBorders>
            <w:shd w:val="clear" w:color="auto" w:fill="FFFFFF" w:themeFill="background1"/>
            <w:noWrap/>
            <w:hideMark/>
          </w:tcPr>
          <w:p w14:paraId="252ED835" w14:textId="77777777" w:rsidR="001A5BCF" w:rsidRPr="00646254" w:rsidRDefault="001A5BCF" w:rsidP="00E96A1D">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-3,8</w:t>
            </w:r>
          </w:p>
        </w:tc>
        <w:tc>
          <w:tcPr>
            <w:tcW w:w="570" w:type="pct"/>
            <w:tcBorders>
              <w:top w:val="nil"/>
              <w:bottom w:val="nil"/>
            </w:tcBorders>
            <w:shd w:val="clear" w:color="auto" w:fill="FFFFFF" w:themeFill="background1"/>
            <w:noWrap/>
            <w:hideMark/>
          </w:tcPr>
          <w:p w14:paraId="11292C51" w14:textId="77777777" w:rsidR="001A5BCF" w:rsidRPr="00646254" w:rsidRDefault="001A5BCF" w:rsidP="00E96A1D">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0,4</w:t>
            </w:r>
          </w:p>
        </w:tc>
      </w:tr>
      <w:tr w:rsidR="001A5BCF" w:rsidRPr="00646254" w14:paraId="57F10B00" w14:textId="77777777" w:rsidTr="00E96A1D">
        <w:trPr>
          <w:trHeight w:hRule="exact" w:val="225"/>
        </w:trPr>
        <w:tc>
          <w:tcPr>
            <w:cnfStyle w:val="001000000000" w:firstRow="0" w:lastRow="0" w:firstColumn="1" w:lastColumn="0" w:oddVBand="0" w:evenVBand="0" w:oddHBand="0" w:evenHBand="0" w:firstRowFirstColumn="0" w:firstRowLastColumn="0" w:lastRowFirstColumn="0" w:lastRowLastColumn="0"/>
            <w:tcW w:w="373" w:type="pct"/>
            <w:tcBorders>
              <w:top w:val="nil"/>
              <w:bottom w:val="nil"/>
            </w:tcBorders>
            <w:shd w:val="clear" w:color="auto" w:fill="FFFFFF" w:themeFill="background1"/>
            <w:noWrap/>
          </w:tcPr>
          <w:p w14:paraId="590D33F4" w14:textId="77777777" w:rsidR="001A5BCF" w:rsidRPr="00646254" w:rsidRDefault="001A5BCF" w:rsidP="00E96A1D">
            <w:pPr>
              <w:shd w:val="clear" w:color="auto" w:fill="FFFFFF" w:themeFill="background1"/>
              <w:spacing w:line="276" w:lineRule="auto"/>
              <w:jc w:val="left"/>
              <w:rPr>
                <w:rFonts w:ascii="Calibri" w:hAnsi="Calibri" w:cs="Calibri"/>
                <w:b w:val="0"/>
                <w:color w:val="002060"/>
                <w:sz w:val="16"/>
                <w:szCs w:val="16"/>
                <w:lang w:val="sr-Cyrl-CS"/>
              </w:rPr>
            </w:pPr>
            <w:r w:rsidRPr="00646254">
              <w:rPr>
                <w:rFonts w:ascii="Calibri" w:hAnsi="Calibri" w:cs="Calibri"/>
                <w:b w:val="0"/>
                <w:color w:val="002060"/>
                <w:sz w:val="16"/>
                <w:szCs w:val="16"/>
                <w:lang w:val="sr-Cyrl-CS"/>
              </w:rPr>
              <w:t>2012</w:t>
            </w:r>
          </w:p>
          <w:p w14:paraId="6A8F0D80" w14:textId="77777777" w:rsidR="001A5BCF" w:rsidRPr="00646254" w:rsidRDefault="001A5BCF" w:rsidP="00E96A1D">
            <w:pPr>
              <w:shd w:val="clear" w:color="auto" w:fill="FFFFFF" w:themeFill="background1"/>
              <w:spacing w:line="276" w:lineRule="auto"/>
              <w:jc w:val="left"/>
              <w:rPr>
                <w:rFonts w:ascii="Calibri" w:hAnsi="Calibri" w:cs="Calibri"/>
                <w:b w:val="0"/>
                <w:color w:val="002060"/>
                <w:sz w:val="16"/>
                <w:szCs w:val="16"/>
                <w:lang w:val="sr-Cyrl-CS"/>
              </w:rPr>
            </w:pPr>
          </w:p>
        </w:tc>
        <w:tc>
          <w:tcPr>
            <w:tcW w:w="588" w:type="pct"/>
            <w:tcBorders>
              <w:top w:val="nil"/>
              <w:bottom w:val="nil"/>
            </w:tcBorders>
            <w:shd w:val="clear" w:color="auto" w:fill="FFFFFF" w:themeFill="background1"/>
          </w:tcPr>
          <w:p w14:paraId="0D05DCFE" w14:textId="77777777" w:rsidR="001A5BCF" w:rsidRPr="00646254" w:rsidRDefault="001A5BCF" w:rsidP="00E96A1D">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-0,9</w:t>
            </w:r>
          </w:p>
        </w:tc>
        <w:tc>
          <w:tcPr>
            <w:tcW w:w="571" w:type="pct"/>
            <w:tcBorders>
              <w:top w:val="nil"/>
              <w:bottom w:val="nil"/>
            </w:tcBorders>
            <w:shd w:val="clear" w:color="auto" w:fill="FFFFFF" w:themeFill="background1"/>
          </w:tcPr>
          <w:p w14:paraId="34FBA88F" w14:textId="77777777" w:rsidR="001A5BCF" w:rsidRPr="00646254" w:rsidRDefault="001A5BCF" w:rsidP="00E96A1D">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-6,4</w:t>
            </w:r>
          </w:p>
        </w:tc>
        <w:tc>
          <w:tcPr>
            <w:tcW w:w="571" w:type="pct"/>
            <w:tcBorders>
              <w:top w:val="nil"/>
              <w:bottom w:val="nil"/>
            </w:tcBorders>
            <w:shd w:val="clear" w:color="auto" w:fill="FFFFFF" w:themeFill="background1"/>
          </w:tcPr>
          <w:p w14:paraId="357E36D7" w14:textId="77777777" w:rsidR="001A5BCF" w:rsidRPr="00646254" w:rsidRDefault="001A5BCF" w:rsidP="00E96A1D">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-4,7</w:t>
            </w:r>
          </w:p>
        </w:tc>
        <w:tc>
          <w:tcPr>
            <w:tcW w:w="576" w:type="pct"/>
            <w:tcBorders>
              <w:top w:val="nil"/>
              <w:bottom w:val="nil"/>
            </w:tcBorders>
            <w:shd w:val="clear" w:color="auto" w:fill="FFFFFF" w:themeFill="background1"/>
          </w:tcPr>
          <w:p w14:paraId="460A951F" w14:textId="77777777" w:rsidR="001A5BCF" w:rsidRPr="00646254" w:rsidRDefault="001A5BCF" w:rsidP="00E96A1D">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-6,1</w:t>
            </w:r>
          </w:p>
        </w:tc>
        <w:tc>
          <w:tcPr>
            <w:tcW w:w="614" w:type="pct"/>
            <w:tcBorders>
              <w:top w:val="nil"/>
              <w:bottom w:val="nil"/>
            </w:tcBorders>
            <w:shd w:val="clear" w:color="auto" w:fill="FFFFFF" w:themeFill="background1"/>
          </w:tcPr>
          <w:p w14:paraId="1F0796E3" w14:textId="77777777" w:rsidR="001A5BCF" w:rsidRPr="00646254" w:rsidRDefault="001A5BCF" w:rsidP="00E96A1D">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-4,4</w:t>
            </w:r>
          </w:p>
        </w:tc>
        <w:tc>
          <w:tcPr>
            <w:tcW w:w="566" w:type="pct"/>
            <w:tcBorders>
              <w:top w:val="nil"/>
              <w:bottom w:val="nil"/>
            </w:tcBorders>
            <w:shd w:val="clear" w:color="auto" w:fill="FFFFFF" w:themeFill="background1"/>
          </w:tcPr>
          <w:p w14:paraId="01344707" w14:textId="77777777" w:rsidR="001A5BCF" w:rsidRPr="00646254" w:rsidRDefault="001A5BCF" w:rsidP="00E96A1D">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-6,1</w:t>
            </w:r>
          </w:p>
        </w:tc>
        <w:tc>
          <w:tcPr>
            <w:tcW w:w="571" w:type="pct"/>
            <w:tcBorders>
              <w:top w:val="nil"/>
              <w:bottom w:val="nil"/>
            </w:tcBorders>
            <w:shd w:val="clear" w:color="auto" w:fill="FFFFFF" w:themeFill="background1"/>
            <w:noWrap/>
          </w:tcPr>
          <w:p w14:paraId="4D9592BC" w14:textId="77777777" w:rsidR="001A5BCF" w:rsidRPr="00646254" w:rsidRDefault="001A5BCF" w:rsidP="00E96A1D">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-4,4</w:t>
            </w:r>
          </w:p>
        </w:tc>
        <w:tc>
          <w:tcPr>
            <w:tcW w:w="570" w:type="pct"/>
            <w:tcBorders>
              <w:top w:val="nil"/>
              <w:bottom w:val="nil"/>
            </w:tcBorders>
            <w:shd w:val="clear" w:color="auto" w:fill="FFFFFF" w:themeFill="background1"/>
            <w:noWrap/>
          </w:tcPr>
          <w:p w14:paraId="7E2B232A" w14:textId="77777777" w:rsidR="001A5BCF" w:rsidRPr="00646254" w:rsidRDefault="001A5BCF" w:rsidP="00E96A1D">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0,9</w:t>
            </w:r>
          </w:p>
        </w:tc>
      </w:tr>
      <w:tr w:rsidR="001A5BCF" w:rsidRPr="00646254" w14:paraId="234075A7" w14:textId="77777777" w:rsidTr="00E96A1D">
        <w:trPr>
          <w:cnfStyle w:val="000000100000" w:firstRow="0" w:lastRow="0" w:firstColumn="0" w:lastColumn="0" w:oddVBand="0" w:evenVBand="0" w:oddHBand="1" w:evenHBand="0" w:firstRowFirstColumn="0" w:firstRowLastColumn="0" w:lastRowFirstColumn="0" w:lastRowLastColumn="0"/>
          <w:trHeight w:hRule="exact" w:val="225"/>
        </w:trPr>
        <w:tc>
          <w:tcPr>
            <w:cnfStyle w:val="001000000000" w:firstRow="0" w:lastRow="0" w:firstColumn="1" w:lastColumn="0" w:oddVBand="0" w:evenVBand="0" w:oddHBand="0" w:evenHBand="0" w:firstRowFirstColumn="0" w:firstRowLastColumn="0" w:lastRowFirstColumn="0" w:lastRowLastColumn="0"/>
            <w:tcW w:w="373" w:type="pct"/>
            <w:tcBorders>
              <w:top w:val="nil"/>
              <w:bottom w:val="nil"/>
            </w:tcBorders>
            <w:shd w:val="clear" w:color="auto" w:fill="FFFFFF" w:themeFill="background1"/>
            <w:noWrap/>
          </w:tcPr>
          <w:p w14:paraId="553FEBDF" w14:textId="77777777" w:rsidR="001A5BCF" w:rsidRPr="00646254" w:rsidRDefault="001A5BCF" w:rsidP="00E96A1D">
            <w:pPr>
              <w:shd w:val="clear" w:color="auto" w:fill="FFFFFF" w:themeFill="background1"/>
              <w:spacing w:line="276" w:lineRule="auto"/>
              <w:jc w:val="left"/>
              <w:rPr>
                <w:rFonts w:ascii="Calibri" w:hAnsi="Calibri" w:cs="Calibri"/>
                <w:b w:val="0"/>
                <w:color w:val="002060"/>
                <w:sz w:val="16"/>
                <w:szCs w:val="16"/>
                <w:lang w:val="sr-Cyrl-CS"/>
              </w:rPr>
            </w:pPr>
            <w:r w:rsidRPr="00646254">
              <w:rPr>
                <w:rFonts w:ascii="Calibri" w:hAnsi="Calibri" w:cs="Calibri"/>
                <w:b w:val="0"/>
                <w:color w:val="002060"/>
                <w:sz w:val="16"/>
                <w:szCs w:val="16"/>
                <w:lang w:val="sr-Cyrl-CS"/>
              </w:rPr>
              <w:t>2013</w:t>
            </w:r>
          </w:p>
        </w:tc>
        <w:tc>
          <w:tcPr>
            <w:tcW w:w="588" w:type="pct"/>
            <w:tcBorders>
              <w:top w:val="nil"/>
              <w:bottom w:val="nil"/>
            </w:tcBorders>
            <w:shd w:val="clear" w:color="auto" w:fill="FFFFFF" w:themeFill="background1"/>
          </w:tcPr>
          <w:p w14:paraId="1048A0EF" w14:textId="77777777" w:rsidR="001A5BCF" w:rsidRPr="00646254" w:rsidRDefault="001A5BCF" w:rsidP="00E96A1D">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1,2</w:t>
            </w:r>
          </w:p>
        </w:tc>
        <w:tc>
          <w:tcPr>
            <w:tcW w:w="571" w:type="pct"/>
            <w:tcBorders>
              <w:top w:val="nil"/>
              <w:bottom w:val="nil"/>
            </w:tcBorders>
            <w:shd w:val="clear" w:color="auto" w:fill="FFFFFF" w:themeFill="background1"/>
          </w:tcPr>
          <w:p w14:paraId="4D5298E9" w14:textId="77777777" w:rsidR="001A5BCF" w:rsidRPr="00646254" w:rsidRDefault="001A5BCF" w:rsidP="00E96A1D">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-5,1</w:t>
            </w:r>
          </w:p>
        </w:tc>
        <w:tc>
          <w:tcPr>
            <w:tcW w:w="571" w:type="pct"/>
            <w:tcBorders>
              <w:top w:val="nil"/>
              <w:bottom w:val="nil"/>
            </w:tcBorders>
            <w:shd w:val="clear" w:color="auto" w:fill="FFFFFF" w:themeFill="background1"/>
          </w:tcPr>
          <w:p w14:paraId="74C1034D" w14:textId="77777777" w:rsidR="001A5BCF" w:rsidRPr="00646254" w:rsidRDefault="001A5BCF" w:rsidP="00E96A1D">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-3,0</w:t>
            </w:r>
          </w:p>
        </w:tc>
        <w:tc>
          <w:tcPr>
            <w:tcW w:w="576" w:type="pct"/>
            <w:tcBorders>
              <w:top w:val="nil"/>
              <w:bottom w:val="nil"/>
            </w:tcBorders>
            <w:shd w:val="clear" w:color="auto" w:fill="FFFFFF" w:themeFill="background1"/>
          </w:tcPr>
          <w:p w14:paraId="2BA886F4" w14:textId="77777777" w:rsidR="001A5BCF" w:rsidRPr="00646254" w:rsidRDefault="001A5BCF" w:rsidP="00E96A1D">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-5,6</w:t>
            </w:r>
          </w:p>
        </w:tc>
        <w:tc>
          <w:tcPr>
            <w:tcW w:w="614" w:type="pct"/>
            <w:tcBorders>
              <w:top w:val="nil"/>
              <w:bottom w:val="nil"/>
            </w:tcBorders>
            <w:shd w:val="clear" w:color="auto" w:fill="FFFFFF" w:themeFill="background1"/>
          </w:tcPr>
          <w:p w14:paraId="7B4DFA5B" w14:textId="77777777" w:rsidR="001A5BCF" w:rsidRPr="00646254" w:rsidRDefault="001A5BCF" w:rsidP="00E96A1D">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-3,4</w:t>
            </w:r>
          </w:p>
        </w:tc>
        <w:tc>
          <w:tcPr>
            <w:tcW w:w="566" w:type="pct"/>
            <w:tcBorders>
              <w:top w:val="nil"/>
              <w:bottom w:val="nil"/>
            </w:tcBorders>
            <w:shd w:val="clear" w:color="auto" w:fill="FFFFFF" w:themeFill="background1"/>
          </w:tcPr>
          <w:p w14:paraId="798A6C57" w14:textId="77777777" w:rsidR="001A5BCF" w:rsidRPr="00646254" w:rsidRDefault="001A5BCF" w:rsidP="00E96A1D">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-5,3</w:t>
            </w:r>
          </w:p>
        </w:tc>
        <w:tc>
          <w:tcPr>
            <w:tcW w:w="571" w:type="pct"/>
            <w:tcBorders>
              <w:top w:val="nil"/>
              <w:bottom w:val="nil"/>
            </w:tcBorders>
            <w:shd w:val="clear" w:color="auto" w:fill="FFFFFF" w:themeFill="background1"/>
            <w:noWrap/>
          </w:tcPr>
          <w:p w14:paraId="4E6B4C67" w14:textId="77777777" w:rsidR="001A5BCF" w:rsidRPr="00646254" w:rsidRDefault="001A5BCF" w:rsidP="00E96A1D">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-3,1</w:t>
            </w:r>
          </w:p>
        </w:tc>
        <w:tc>
          <w:tcPr>
            <w:tcW w:w="570" w:type="pct"/>
            <w:tcBorders>
              <w:top w:val="nil"/>
              <w:bottom w:val="nil"/>
            </w:tcBorders>
            <w:shd w:val="clear" w:color="auto" w:fill="FFFFFF" w:themeFill="background1"/>
            <w:noWrap/>
          </w:tcPr>
          <w:p w14:paraId="055EDC92" w14:textId="77777777" w:rsidR="001A5BCF" w:rsidRPr="00646254" w:rsidRDefault="001A5BCF" w:rsidP="00E96A1D">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-1,0</w:t>
            </w:r>
          </w:p>
        </w:tc>
      </w:tr>
      <w:tr w:rsidR="001A5BCF" w:rsidRPr="00646254" w14:paraId="025FE317" w14:textId="77777777" w:rsidTr="00E96A1D">
        <w:trPr>
          <w:trHeight w:hRule="exact" w:val="225"/>
        </w:trPr>
        <w:tc>
          <w:tcPr>
            <w:cnfStyle w:val="001000000000" w:firstRow="0" w:lastRow="0" w:firstColumn="1" w:lastColumn="0" w:oddVBand="0" w:evenVBand="0" w:oddHBand="0" w:evenHBand="0" w:firstRowFirstColumn="0" w:firstRowLastColumn="0" w:lastRowFirstColumn="0" w:lastRowLastColumn="0"/>
            <w:tcW w:w="373" w:type="pct"/>
            <w:tcBorders>
              <w:top w:val="nil"/>
              <w:bottom w:val="nil"/>
            </w:tcBorders>
            <w:shd w:val="clear" w:color="auto" w:fill="FFFFFF" w:themeFill="background1"/>
            <w:noWrap/>
          </w:tcPr>
          <w:p w14:paraId="7AEE4C60" w14:textId="77777777" w:rsidR="001A5BCF" w:rsidRPr="00646254" w:rsidRDefault="001A5BCF" w:rsidP="00E96A1D">
            <w:pPr>
              <w:shd w:val="clear" w:color="auto" w:fill="FFFFFF" w:themeFill="background1"/>
              <w:spacing w:line="276" w:lineRule="auto"/>
              <w:jc w:val="left"/>
              <w:rPr>
                <w:rFonts w:ascii="Calibri" w:hAnsi="Calibri" w:cs="Calibri"/>
                <w:b w:val="0"/>
                <w:color w:val="002060"/>
                <w:sz w:val="16"/>
                <w:szCs w:val="16"/>
                <w:lang w:val="sr-Cyrl-CS"/>
              </w:rPr>
            </w:pPr>
            <w:r w:rsidRPr="00646254">
              <w:rPr>
                <w:rFonts w:ascii="Calibri" w:hAnsi="Calibri" w:cs="Calibri"/>
                <w:b w:val="0"/>
                <w:color w:val="002060"/>
                <w:sz w:val="16"/>
                <w:szCs w:val="16"/>
                <w:lang w:val="sr-Cyrl-CS"/>
              </w:rPr>
              <w:t>2014</w:t>
            </w:r>
          </w:p>
        </w:tc>
        <w:tc>
          <w:tcPr>
            <w:tcW w:w="588" w:type="pct"/>
            <w:tcBorders>
              <w:top w:val="nil"/>
              <w:bottom w:val="nil"/>
            </w:tcBorders>
            <w:shd w:val="clear" w:color="auto" w:fill="FFFFFF" w:themeFill="background1"/>
          </w:tcPr>
          <w:p w14:paraId="22F4EE5F" w14:textId="77777777" w:rsidR="001A5BCF" w:rsidRPr="00646254" w:rsidRDefault="001A5BCF" w:rsidP="00E96A1D">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-1,4</w:t>
            </w:r>
          </w:p>
        </w:tc>
        <w:tc>
          <w:tcPr>
            <w:tcW w:w="571" w:type="pct"/>
            <w:tcBorders>
              <w:top w:val="nil"/>
              <w:bottom w:val="nil"/>
            </w:tcBorders>
            <w:shd w:val="clear" w:color="auto" w:fill="FFFFFF" w:themeFill="background1"/>
          </w:tcPr>
          <w:p w14:paraId="296970C7" w14:textId="77777777" w:rsidR="001A5BCF" w:rsidRPr="00646254" w:rsidRDefault="001A5BCF" w:rsidP="00E96A1D">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-6,2</w:t>
            </w:r>
          </w:p>
        </w:tc>
        <w:tc>
          <w:tcPr>
            <w:tcW w:w="571" w:type="pct"/>
            <w:tcBorders>
              <w:top w:val="nil"/>
              <w:bottom w:val="nil"/>
            </w:tcBorders>
            <w:shd w:val="clear" w:color="auto" w:fill="FFFFFF" w:themeFill="background1"/>
          </w:tcPr>
          <w:p w14:paraId="4D1859F5" w14:textId="77777777" w:rsidR="001A5BCF" w:rsidRPr="00646254" w:rsidRDefault="001A5BCF" w:rsidP="00E96A1D">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-3,5</w:t>
            </w:r>
          </w:p>
        </w:tc>
        <w:tc>
          <w:tcPr>
            <w:tcW w:w="576" w:type="pct"/>
            <w:tcBorders>
              <w:top w:val="nil"/>
              <w:bottom w:val="nil"/>
            </w:tcBorders>
            <w:shd w:val="clear" w:color="auto" w:fill="FFFFFF" w:themeFill="background1"/>
          </w:tcPr>
          <w:p w14:paraId="3A3FF9C6" w14:textId="77777777" w:rsidR="001A5BCF" w:rsidRPr="00646254" w:rsidRDefault="001A5BCF" w:rsidP="00E96A1D">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-5,7</w:t>
            </w:r>
          </w:p>
        </w:tc>
        <w:tc>
          <w:tcPr>
            <w:tcW w:w="614" w:type="pct"/>
            <w:tcBorders>
              <w:top w:val="nil"/>
              <w:bottom w:val="nil"/>
            </w:tcBorders>
            <w:shd w:val="clear" w:color="auto" w:fill="FFFFFF" w:themeFill="background1"/>
          </w:tcPr>
          <w:p w14:paraId="435DFEBD" w14:textId="77777777" w:rsidR="001A5BCF" w:rsidRPr="00646254" w:rsidRDefault="001A5BCF" w:rsidP="00E96A1D">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-3,0</w:t>
            </w:r>
          </w:p>
        </w:tc>
        <w:tc>
          <w:tcPr>
            <w:tcW w:w="566" w:type="pct"/>
            <w:tcBorders>
              <w:top w:val="nil"/>
              <w:bottom w:val="nil"/>
            </w:tcBorders>
            <w:shd w:val="clear" w:color="auto" w:fill="FFFFFF" w:themeFill="background1"/>
          </w:tcPr>
          <w:p w14:paraId="08028263" w14:textId="77777777" w:rsidR="001A5BCF" w:rsidRPr="00646254" w:rsidRDefault="001A5BCF" w:rsidP="00E96A1D">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-4,8</w:t>
            </w:r>
          </w:p>
        </w:tc>
        <w:tc>
          <w:tcPr>
            <w:tcW w:w="571" w:type="pct"/>
            <w:tcBorders>
              <w:top w:val="nil"/>
              <w:bottom w:val="nil"/>
            </w:tcBorders>
            <w:shd w:val="clear" w:color="auto" w:fill="FFFFFF" w:themeFill="background1"/>
            <w:noWrap/>
          </w:tcPr>
          <w:p w14:paraId="6350CEC1" w14:textId="77777777" w:rsidR="001A5BCF" w:rsidRPr="00646254" w:rsidRDefault="001A5BCF" w:rsidP="00E96A1D">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-2,2</w:t>
            </w:r>
          </w:p>
        </w:tc>
        <w:tc>
          <w:tcPr>
            <w:tcW w:w="570" w:type="pct"/>
            <w:tcBorders>
              <w:top w:val="nil"/>
              <w:bottom w:val="nil"/>
            </w:tcBorders>
            <w:shd w:val="clear" w:color="auto" w:fill="FFFFFF" w:themeFill="background1"/>
            <w:noWrap/>
          </w:tcPr>
          <w:p w14:paraId="2E18A432" w14:textId="77777777" w:rsidR="001A5BCF" w:rsidRPr="00646254" w:rsidRDefault="001A5BCF" w:rsidP="00E96A1D">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-0,3</w:t>
            </w:r>
          </w:p>
        </w:tc>
      </w:tr>
      <w:tr w:rsidR="001A5BCF" w:rsidRPr="00646254" w14:paraId="058609EA" w14:textId="77777777" w:rsidTr="00E96A1D">
        <w:trPr>
          <w:cnfStyle w:val="000000100000" w:firstRow="0" w:lastRow="0" w:firstColumn="0" w:lastColumn="0" w:oddVBand="0" w:evenVBand="0" w:oddHBand="1" w:evenHBand="0" w:firstRowFirstColumn="0" w:firstRowLastColumn="0" w:lastRowFirstColumn="0" w:lastRowLastColumn="0"/>
          <w:trHeight w:hRule="exact" w:val="225"/>
        </w:trPr>
        <w:tc>
          <w:tcPr>
            <w:cnfStyle w:val="001000000000" w:firstRow="0" w:lastRow="0" w:firstColumn="1" w:lastColumn="0" w:oddVBand="0" w:evenVBand="0" w:oddHBand="0" w:evenHBand="0" w:firstRowFirstColumn="0" w:firstRowLastColumn="0" w:lastRowFirstColumn="0" w:lastRowLastColumn="0"/>
            <w:tcW w:w="373" w:type="pct"/>
            <w:tcBorders>
              <w:top w:val="nil"/>
              <w:bottom w:val="nil"/>
            </w:tcBorders>
            <w:shd w:val="clear" w:color="auto" w:fill="FFFFFF" w:themeFill="background1"/>
            <w:noWrap/>
          </w:tcPr>
          <w:p w14:paraId="3397A36D" w14:textId="77777777" w:rsidR="001A5BCF" w:rsidRPr="00646254" w:rsidRDefault="001A5BCF" w:rsidP="00E96A1D">
            <w:pPr>
              <w:shd w:val="clear" w:color="auto" w:fill="FFFFFF" w:themeFill="background1"/>
              <w:spacing w:line="276" w:lineRule="auto"/>
              <w:jc w:val="left"/>
              <w:rPr>
                <w:rFonts w:ascii="Calibri" w:hAnsi="Calibri" w:cs="Calibri"/>
                <w:b w:val="0"/>
                <w:color w:val="002060"/>
                <w:sz w:val="16"/>
                <w:szCs w:val="16"/>
                <w:lang w:val="sr-Cyrl-CS"/>
              </w:rPr>
            </w:pPr>
            <w:r w:rsidRPr="00646254">
              <w:rPr>
                <w:rFonts w:ascii="Calibri" w:hAnsi="Calibri" w:cs="Calibri"/>
                <w:b w:val="0"/>
                <w:color w:val="002060"/>
                <w:sz w:val="16"/>
                <w:szCs w:val="16"/>
                <w:lang w:val="sr-Cyrl-CS"/>
              </w:rPr>
              <w:t>2015</w:t>
            </w:r>
          </w:p>
        </w:tc>
        <w:tc>
          <w:tcPr>
            <w:tcW w:w="588" w:type="pct"/>
            <w:tcBorders>
              <w:top w:val="nil"/>
              <w:bottom w:val="nil"/>
            </w:tcBorders>
            <w:shd w:val="clear" w:color="auto" w:fill="FFFFFF" w:themeFill="background1"/>
          </w:tcPr>
          <w:p w14:paraId="5B655DAC" w14:textId="77777777" w:rsidR="001A5BCF" w:rsidRPr="00646254" w:rsidRDefault="001A5BCF" w:rsidP="00E96A1D">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-1,1</w:t>
            </w:r>
          </w:p>
        </w:tc>
        <w:tc>
          <w:tcPr>
            <w:tcW w:w="571" w:type="pct"/>
            <w:tcBorders>
              <w:top w:val="nil"/>
              <w:bottom w:val="nil"/>
            </w:tcBorders>
            <w:shd w:val="clear" w:color="auto" w:fill="FFFFFF" w:themeFill="background1"/>
          </w:tcPr>
          <w:p w14:paraId="5AC76E7E" w14:textId="77777777" w:rsidR="001A5BCF" w:rsidRPr="00646254" w:rsidRDefault="001A5BCF" w:rsidP="00E96A1D">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-3,5</w:t>
            </w:r>
          </w:p>
        </w:tc>
        <w:tc>
          <w:tcPr>
            <w:tcW w:w="571" w:type="pct"/>
            <w:tcBorders>
              <w:top w:val="nil"/>
              <w:bottom w:val="nil"/>
            </w:tcBorders>
            <w:shd w:val="clear" w:color="auto" w:fill="FFFFFF" w:themeFill="background1"/>
          </w:tcPr>
          <w:p w14:paraId="2FE6BDE7" w14:textId="77777777" w:rsidR="001A5BCF" w:rsidRPr="00646254" w:rsidRDefault="001A5BCF" w:rsidP="00E96A1D">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-0,5</w:t>
            </w:r>
          </w:p>
        </w:tc>
        <w:tc>
          <w:tcPr>
            <w:tcW w:w="576" w:type="pct"/>
            <w:tcBorders>
              <w:top w:val="nil"/>
              <w:bottom w:val="nil"/>
            </w:tcBorders>
            <w:shd w:val="clear" w:color="auto" w:fill="FFFFFF" w:themeFill="background1"/>
          </w:tcPr>
          <w:p w14:paraId="4210107F" w14:textId="77777777" w:rsidR="001A5BCF" w:rsidRPr="00646254" w:rsidRDefault="001A5BCF" w:rsidP="00E96A1D">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-3,1</w:t>
            </w:r>
          </w:p>
        </w:tc>
        <w:tc>
          <w:tcPr>
            <w:tcW w:w="614" w:type="pct"/>
            <w:tcBorders>
              <w:top w:val="nil"/>
              <w:bottom w:val="nil"/>
            </w:tcBorders>
            <w:shd w:val="clear" w:color="auto" w:fill="FFFFFF" w:themeFill="background1"/>
          </w:tcPr>
          <w:p w14:paraId="7D55C035" w14:textId="77777777" w:rsidR="001A5BCF" w:rsidRPr="00646254" w:rsidRDefault="001A5BCF" w:rsidP="00E96A1D">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-0,1</w:t>
            </w:r>
          </w:p>
        </w:tc>
        <w:tc>
          <w:tcPr>
            <w:tcW w:w="566" w:type="pct"/>
            <w:tcBorders>
              <w:top w:val="nil"/>
              <w:bottom w:val="nil"/>
            </w:tcBorders>
            <w:shd w:val="clear" w:color="auto" w:fill="FFFFFF" w:themeFill="background1"/>
          </w:tcPr>
          <w:p w14:paraId="5DBBBCEB" w14:textId="77777777" w:rsidR="001A5BCF" w:rsidRPr="00646254" w:rsidRDefault="001A5BCF" w:rsidP="00E96A1D">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-2,2</w:t>
            </w:r>
          </w:p>
        </w:tc>
        <w:tc>
          <w:tcPr>
            <w:tcW w:w="571" w:type="pct"/>
            <w:tcBorders>
              <w:top w:val="nil"/>
              <w:bottom w:val="nil"/>
            </w:tcBorders>
            <w:shd w:val="clear" w:color="auto" w:fill="FFFFFF" w:themeFill="background1"/>
            <w:noWrap/>
          </w:tcPr>
          <w:p w14:paraId="064B7365" w14:textId="77777777" w:rsidR="001A5BCF" w:rsidRPr="00646254" w:rsidRDefault="001A5BCF" w:rsidP="00E96A1D">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0,8</w:t>
            </w:r>
          </w:p>
        </w:tc>
        <w:tc>
          <w:tcPr>
            <w:tcW w:w="570" w:type="pct"/>
            <w:tcBorders>
              <w:top w:val="nil"/>
              <w:bottom w:val="nil"/>
            </w:tcBorders>
            <w:shd w:val="clear" w:color="auto" w:fill="FFFFFF" w:themeFill="background1"/>
            <w:noWrap/>
          </w:tcPr>
          <w:p w14:paraId="17968C03" w14:textId="77777777" w:rsidR="001A5BCF" w:rsidRPr="00646254" w:rsidRDefault="001A5BCF" w:rsidP="00E96A1D">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-3,0</w:t>
            </w:r>
          </w:p>
        </w:tc>
      </w:tr>
      <w:tr w:rsidR="001A5BCF" w:rsidRPr="00646254" w14:paraId="1DAC7D55" w14:textId="77777777" w:rsidTr="00E96A1D">
        <w:trPr>
          <w:trHeight w:hRule="exact" w:val="225"/>
        </w:trPr>
        <w:tc>
          <w:tcPr>
            <w:cnfStyle w:val="001000000000" w:firstRow="0" w:lastRow="0" w:firstColumn="1" w:lastColumn="0" w:oddVBand="0" w:evenVBand="0" w:oddHBand="0" w:evenHBand="0" w:firstRowFirstColumn="0" w:firstRowLastColumn="0" w:lastRowFirstColumn="0" w:lastRowLastColumn="0"/>
            <w:tcW w:w="373" w:type="pct"/>
            <w:tcBorders>
              <w:top w:val="nil"/>
              <w:bottom w:val="nil"/>
            </w:tcBorders>
            <w:shd w:val="clear" w:color="auto" w:fill="FFFFFF" w:themeFill="background1"/>
            <w:noWrap/>
          </w:tcPr>
          <w:p w14:paraId="0236F9AE" w14:textId="77777777" w:rsidR="001A5BCF" w:rsidRPr="00646254" w:rsidRDefault="001A5BCF" w:rsidP="00E96A1D">
            <w:pPr>
              <w:shd w:val="clear" w:color="auto" w:fill="FFFFFF" w:themeFill="background1"/>
              <w:spacing w:line="276" w:lineRule="auto"/>
              <w:jc w:val="left"/>
              <w:rPr>
                <w:rFonts w:ascii="Calibri" w:hAnsi="Calibri" w:cs="Calibri"/>
                <w:b w:val="0"/>
                <w:color w:val="002060"/>
                <w:sz w:val="16"/>
                <w:szCs w:val="16"/>
                <w:lang w:val="sr-Cyrl-CS"/>
              </w:rPr>
            </w:pPr>
            <w:r w:rsidRPr="00646254">
              <w:rPr>
                <w:rFonts w:ascii="Calibri" w:hAnsi="Calibri" w:cs="Calibri"/>
                <w:b w:val="0"/>
                <w:color w:val="002060"/>
                <w:sz w:val="16"/>
                <w:szCs w:val="16"/>
                <w:lang w:val="sr-Cyrl-CS"/>
              </w:rPr>
              <w:t>2016</w:t>
            </w:r>
          </w:p>
        </w:tc>
        <w:tc>
          <w:tcPr>
            <w:tcW w:w="588" w:type="pct"/>
            <w:tcBorders>
              <w:top w:val="nil"/>
              <w:bottom w:val="nil"/>
            </w:tcBorders>
            <w:shd w:val="clear" w:color="auto" w:fill="FFFFFF" w:themeFill="background1"/>
          </w:tcPr>
          <w:p w14:paraId="12152702" w14:textId="77777777" w:rsidR="001A5BCF" w:rsidRPr="00646254" w:rsidRDefault="001A5BCF" w:rsidP="00E96A1D">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0,1</w:t>
            </w:r>
          </w:p>
        </w:tc>
        <w:tc>
          <w:tcPr>
            <w:tcW w:w="571" w:type="pct"/>
            <w:tcBorders>
              <w:top w:val="nil"/>
              <w:bottom w:val="nil"/>
            </w:tcBorders>
            <w:shd w:val="clear" w:color="auto" w:fill="FFFFFF" w:themeFill="background1"/>
          </w:tcPr>
          <w:p w14:paraId="5086444E" w14:textId="77777777" w:rsidR="001A5BCF" w:rsidRPr="00646254" w:rsidRDefault="001A5BCF" w:rsidP="00E96A1D">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-1,2</w:t>
            </w:r>
          </w:p>
        </w:tc>
        <w:tc>
          <w:tcPr>
            <w:tcW w:w="571" w:type="pct"/>
            <w:tcBorders>
              <w:top w:val="nil"/>
              <w:bottom w:val="nil"/>
            </w:tcBorders>
            <w:shd w:val="clear" w:color="auto" w:fill="FFFFFF" w:themeFill="background1"/>
          </w:tcPr>
          <w:p w14:paraId="49F7473E" w14:textId="77777777" w:rsidR="001A5BCF" w:rsidRPr="00646254" w:rsidRDefault="001A5BCF" w:rsidP="00E96A1D">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1,7</w:t>
            </w:r>
          </w:p>
        </w:tc>
        <w:tc>
          <w:tcPr>
            <w:tcW w:w="576" w:type="pct"/>
            <w:tcBorders>
              <w:top w:val="nil"/>
              <w:bottom w:val="nil"/>
            </w:tcBorders>
            <w:shd w:val="clear" w:color="auto" w:fill="FFFFFF" w:themeFill="background1"/>
          </w:tcPr>
          <w:p w14:paraId="2E74E65F" w14:textId="77777777" w:rsidR="001A5BCF" w:rsidRPr="00646254" w:rsidRDefault="001A5BCF" w:rsidP="00E96A1D">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-1,2</w:t>
            </w:r>
          </w:p>
        </w:tc>
        <w:tc>
          <w:tcPr>
            <w:tcW w:w="614" w:type="pct"/>
            <w:tcBorders>
              <w:top w:val="nil"/>
              <w:bottom w:val="nil"/>
            </w:tcBorders>
            <w:shd w:val="clear" w:color="auto" w:fill="FFFFFF" w:themeFill="background1"/>
          </w:tcPr>
          <w:p w14:paraId="55B6A3FA" w14:textId="77777777" w:rsidR="001A5BCF" w:rsidRPr="00646254" w:rsidRDefault="001A5BCF" w:rsidP="00E96A1D">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1,7</w:t>
            </w:r>
          </w:p>
        </w:tc>
        <w:tc>
          <w:tcPr>
            <w:tcW w:w="566" w:type="pct"/>
            <w:tcBorders>
              <w:top w:val="nil"/>
              <w:bottom w:val="nil"/>
            </w:tcBorders>
            <w:shd w:val="clear" w:color="auto" w:fill="FFFFFF" w:themeFill="background1"/>
          </w:tcPr>
          <w:p w14:paraId="5ABD8303" w14:textId="77777777" w:rsidR="001A5BCF" w:rsidRPr="00646254" w:rsidRDefault="001A5BCF" w:rsidP="00E96A1D">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-1,1</w:t>
            </w:r>
          </w:p>
        </w:tc>
        <w:tc>
          <w:tcPr>
            <w:tcW w:w="571" w:type="pct"/>
            <w:tcBorders>
              <w:top w:val="nil"/>
              <w:bottom w:val="nil"/>
            </w:tcBorders>
            <w:shd w:val="clear" w:color="auto" w:fill="FFFFFF" w:themeFill="background1"/>
            <w:noWrap/>
          </w:tcPr>
          <w:p w14:paraId="3357F816" w14:textId="77777777" w:rsidR="001A5BCF" w:rsidRPr="00646254" w:rsidRDefault="001A5BCF" w:rsidP="00E96A1D">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1,8</w:t>
            </w:r>
          </w:p>
        </w:tc>
        <w:tc>
          <w:tcPr>
            <w:tcW w:w="570" w:type="pct"/>
            <w:tcBorders>
              <w:top w:val="nil"/>
              <w:bottom w:val="nil"/>
            </w:tcBorders>
            <w:shd w:val="clear" w:color="auto" w:fill="FFFFFF" w:themeFill="background1"/>
            <w:noWrap/>
          </w:tcPr>
          <w:p w14:paraId="50D53058" w14:textId="77777777" w:rsidR="001A5BCF" w:rsidRPr="00646254" w:rsidRDefault="001A5BCF" w:rsidP="00E96A1D">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-1,7</w:t>
            </w:r>
          </w:p>
        </w:tc>
      </w:tr>
      <w:tr w:rsidR="001A5BCF" w:rsidRPr="00646254" w14:paraId="169719EF" w14:textId="77777777" w:rsidTr="00E96A1D">
        <w:trPr>
          <w:cnfStyle w:val="000000100000" w:firstRow="0" w:lastRow="0" w:firstColumn="0" w:lastColumn="0" w:oddVBand="0" w:evenVBand="0" w:oddHBand="1" w:evenHBand="0" w:firstRowFirstColumn="0" w:firstRowLastColumn="0" w:lastRowFirstColumn="0" w:lastRowLastColumn="0"/>
          <w:trHeight w:hRule="exact" w:val="225"/>
        </w:trPr>
        <w:tc>
          <w:tcPr>
            <w:cnfStyle w:val="001000000000" w:firstRow="0" w:lastRow="0" w:firstColumn="1" w:lastColumn="0" w:oddVBand="0" w:evenVBand="0" w:oddHBand="0" w:evenHBand="0" w:firstRowFirstColumn="0" w:firstRowLastColumn="0" w:lastRowFirstColumn="0" w:lastRowLastColumn="0"/>
            <w:tcW w:w="373" w:type="pct"/>
            <w:tcBorders>
              <w:top w:val="nil"/>
              <w:bottom w:val="nil"/>
            </w:tcBorders>
            <w:shd w:val="clear" w:color="auto" w:fill="FFFFFF" w:themeFill="background1"/>
            <w:noWrap/>
          </w:tcPr>
          <w:p w14:paraId="7D50E5CA" w14:textId="77777777" w:rsidR="001A5BCF" w:rsidRPr="00646254" w:rsidRDefault="001A5BCF" w:rsidP="00E96A1D">
            <w:pPr>
              <w:shd w:val="clear" w:color="auto" w:fill="FFFFFF" w:themeFill="background1"/>
              <w:spacing w:line="276" w:lineRule="auto"/>
              <w:jc w:val="left"/>
              <w:rPr>
                <w:rFonts w:ascii="Calibri" w:hAnsi="Calibri" w:cs="Calibri"/>
                <w:b w:val="0"/>
                <w:color w:val="002060"/>
                <w:sz w:val="16"/>
                <w:szCs w:val="16"/>
                <w:lang w:val="sr-Cyrl-CS"/>
              </w:rPr>
            </w:pPr>
            <w:r w:rsidRPr="00646254">
              <w:rPr>
                <w:rFonts w:ascii="Calibri" w:hAnsi="Calibri" w:cs="Calibri"/>
                <w:b w:val="0"/>
                <w:color w:val="002060"/>
                <w:sz w:val="16"/>
                <w:szCs w:val="16"/>
                <w:lang w:val="sr-Cyrl-CS"/>
              </w:rPr>
              <w:t>2017</w:t>
            </w:r>
          </w:p>
        </w:tc>
        <w:tc>
          <w:tcPr>
            <w:tcW w:w="588" w:type="pct"/>
            <w:tcBorders>
              <w:top w:val="nil"/>
              <w:bottom w:val="nil"/>
            </w:tcBorders>
            <w:shd w:val="clear" w:color="auto" w:fill="FFFFFF" w:themeFill="background1"/>
          </w:tcPr>
          <w:p w14:paraId="238C7444" w14:textId="77777777" w:rsidR="001A5BCF" w:rsidRPr="00646254" w:rsidRDefault="001A5BCF" w:rsidP="00E96A1D">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-0,4</w:t>
            </w:r>
          </w:p>
        </w:tc>
        <w:tc>
          <w:tcPr>
            <w:tcW w:w="571" w:type="pct"/>
            <w:tcBorders>
              <w:top w:val="nil"/>
              <w:bottom w:val="nil"/>
            </w:tcBorders>
            <w:shd w:val="clear" w:color="auto" w:fill="FFFFFF" w:themeFill="background1"/>
          </w:tcPr>
          <w:p w14:paraId="5E550E2C" w14:textId="77777777" w:rsidR="001A5BCF" w:rsidRPr="00646254" w:rsidRDefault="001A5BCF" w:rsidP="00E96A1D">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1,1</w:t>
            </w:r>
          </w:p>
        </w:tc>
        <w:tc>
          <w:tcPr>
            <w:tcW w:w="571" w:type="pct"/>
            <w:tcBorders>
              <w:top w:val="nil"/>
              <w:bottom w:val="nil"/>
            </w:tcBorders>
            <w:shd w:val="clear" w:color="auto" w:fill="FFFFFF" w:themeFill="background1"/>
          </w:tcPr>
          <w:p w14:paraId="000D940A" w14:textId="77777777" w:rsidR="001A5BCF" w:rsidRPr="00646254" w:rsidRDefault="001A5BCF" w:rsidP="00E96A1D">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3,6</w:t>
            </w:r>
          </w:p>
        </w:tc>
        <w:tc>
          <w:tcPr>
            <w:tcW w:w="576" w:type="pct"/>
            <w:tcBorders>
              <w:top w:val="nil"/>
              <w:bottom w:val="nil"/>
            </w:tcBorders>
            <w:shd w:val="clear" w:color="auto" w:fill="FFFFFF" w:themeFill="background1"/>
          </w:tcPr>
          <w:p w14:paraId="23F5063F" w14:textId="77777777" w:rsidR="001A5BCF" w:rsidRPr="00646254" w:rsidRDefault="001A5BCF" w:rsidP="00E96A1D">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1,2</w:t>
            </w:r>
          </w:p>
        </w:tc>
        <w:tc>
          <w:tcPr>
            <w:tcW w:w="614" w:type="pct"/>
            <w:tcBorders>
              <w:top w:val="nil"/>
              <w:bottom w:val="nil"/>
            </w:tcBorders>
            <w:shd w:val="clear" w:color="auto" w:fill="FFFFFF" w:themeFill="background1"/>
          </w:tcPr>
          <w:p w14:paraId="09FD64BA" w14:textId="77777777" w:rsidR="001A5BCF" w:rsidRPr="00646254" w:rsidRDefault="001A5BCF" w:rsidP="00E96A1D">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3,8</w:t>
            </w:r>
          </w:p>
        </w:tc>
        <w:tc>
          <w:tcPr>
            <w:tcW w:w="566" w:type="pct"/>
            <w:tcBorders>
              <w:top w:val="nil"/>
              <w:bottom w:val="nil"/>
            </w:tcBorders>
            <w:shd w:val="clear" w:color="auto" w:fill="FFFFFF" w:themeFill="background1"/>
          </w:tcPr>
          <w:p w14:paraId="590DD968" w14:textId="77777777" w:rsidR="001A5BCF" w:rsidRPr="00646254" w:rsidRDefault="001A5BCF" w:rsidP="00E96A1D">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1,1</w:t>
            </w:r>
          </w:p>
        </w:tc>
        <w:tc>
          <w:tcPr>
            <w:tcW w:w="571" w:type="pct"/>
            <w:tcBorders>
              <w:top w:val="nil"/>
              <w:bottom w:val="nil"/>
            </w:tcBorders>
            <w:shd w:val="clear" w:color="auto" w:fill="FFFFFF" w:themeFill="background1"/>
            <w:noWrap/>
          </w:tcPr>
          <w:p w14:paraId="035A6093" w14:textId="77777777" w:rsidR="001A5BCF" w:rsidRPr="00646254" w:rsidRDefault="001A5BCF" w:rsidP="00E96A1D">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3,6</w:t>
            </w:r>
          </w:p>
        </w:tc>
        <w:tc>
          <w:tcPr>
            <w:tcW w:w="570" w:type="pct"/>
            <w:tcBorders>
              <w:top w:val="nil"/>
              <w:bottom w:val="nil"/>
            </w:tcBorders>
            <w:shd w:val="clear" w:color="auto" w:fill="FFFFFF" w:themeFill="background1"/>
            <w:noWrap/>
          </w:tcPr>
          <w:p w14:paraId="3D378932" w14:textId="77777777" w:rsidR="001A5BCF" w:rsidRPr="00646254" w:rsidRDefault="001A5BCF" w:rsidP="00E96A1D">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-2,1</w:t>
            </w:r>
          </w:p>
        </w:tc>
      </w:tr>
      <w:tr w:rsidR="001A5BCF" w:rsidRPr="00646254" w14:paraId="398AA1D0" w14:textId="77777777" w:rsidTr="00E96A1D">
        <w:trPr>
          <w:trHeight w:hRule="exact" w:val="225"/>
        </w:trPr>
        <w:tc>
          <w:tcPr>
            <w:cnfStyle w:val="001000000000" w:firstRow="0" w:lastRow="0" w:firstColumn="1" w:lastColumn="0" w:oddVBand="0" w:evenVBand="0" w:oddHBand="0" w:evenHBand="0" w:firstRowFirstColumn="0" w:firstRowLastColumn="0" w:lastRowFirstColumn="0" w:lastRowLastColumn="0"/>
            <w:tcW w:w="373" w:type="pct"/>
            <w:tcBorders>
              <w:top w:val="nil"/>
              <w:bottom w:val="nil"/>
            </w:tcBorders>
            <w:shd w:val="clear" w:color="auto" w:fill="FFFFFF" w:themeFill="background1"/>
            <w:noWrap/>
          </w:tcPr>
          <w:p w14:paraId="3DCAA657" w14:textId="77777777" w:rsidR="001A5BCF" w:rsidRPr="00646254" w:rsidRDefault="001A5BCF" w:rsidP="00E96A1D">
            <w:pPr>
              <w:shd w:val="clear" w:color="auto" w:fill="FFFFFF" w:themeFill="background1"/>
              <w:spacing w:line="276" w:lineRule="auto"/>
              <w:jc w:val="left"/>
              <w:rPr>
                <w:rFonts w:ascii="Calibri" w:hAnsi="Calibri" w:cs="Calibri"/>
                <w:b w:val="0"/>
                <w:color w:val="002060"/>
                <w:sz w:val="16"/>
                <w:szCs w:val="16"/>
                <w:lang w:val="sr-Cyrl-CS"/>
              </w:rPr>
            </w:pPr>
            <w:r w:rsidRPr="00646254">
              <w:rPr>
                <w:rFonts w:ascii="Calibri" w:hAnsi="Calibri" w:cs="Calibri"/>
                <w:b w:val="0"/>
                <w:color w:val="002060"/>
                <w:sz w:val="16"/>
                <w:szCs w:val="16"/>
                <w:lang w:val="sr-Cyrl-CS"/>
              </w:rPr>
              <w:t>2018</w:t>
            </w:r>
          </w:p>
        </w:tc>
        <w:tc>
          <w:tcPr>
            <w:tcW w:w="588" w:type="pct"/>
            <w:tcBorders>
              <w:top w:val="nil"/>
              <w:bottom w:val="nil"/>
            </w:tcBorders>
            <w:shd w:val="clear" w:color="auto" w:fill="FFFFFF" w:themeFill="background1"/>
          </w:tcPr>
          <w:p w14:paraId="225C1A25" w14:textId="77777777" w:rsidR="001A5BCF" w:rsidRPr="00646254" w:rsidRDefault="001A5BCF" w:rsidP="00E96A1D">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1,0</w:t>
            </w:r>
          </w:p>
        </w:tc>
        <w:tc>
          <w:tcPr>
            <w:tcW w:w="571" w:type="pct"/>
            <w:tcBorders>
              <w:top w:val="nil"/>
              <w:bottom w:val="nil"/>
            </w:tcBorders>
            <w:shd w:val="clear" w:color="auto" w:fill="FFFFFF" w:themeFill="background1"/>
          </w:tcPr>
          <w:p w14:paraId="4263BC4E" w14:textId="77777777" w:rsidR="001A5BCF" w:rsidRPr="00646254" w:rsidRDefault="001A5BCF" w:rsidP="00E96A1D">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0,6</w:t>
            </w:r>
          </w:p>
        </w:tc>
        <w:tc>
          <w:tcPr>
            <w:tcW w:w="571" w:type="pct"/>
            <w:tcBorders>
              <w:top w:val="nil"/>
              <w:bottom w:val="nil"/>
            </w:tcBorders>
            <w:shd w:val="clear" w:color="auto" w:fill="FFFFFF" w:themeFill="background1"/>
          </w:tcPr>
          <w:p w14:paraId="073BE564" w14:textId="77777777" w:rsidR="001A5BCF" w:rsidRPr="00646254" w:rsidRDefault="001A5BCF" w:rsidP="00E96A1D">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2,7</w:t>
            </w:r>
          </w:p>
        </w:tc>
        <w:tc>
          <w:tcPr>
            <w:tcW w:w="576" w:type="pct"/>
            <w:tcBorders>
              <w:top w:val="nil"/>
              <w:bottom w:val="nil"/>
            </w:tcBorders>
            <w:shd w:val="clear" w:color="auto" w:fill="FFFFFF" w:themeFill="background1"/>
          </w:tcPr>
          <w:p w14:paraId="1FDBD3C5" w14:textId="77777777" w:rsidR="001A5BCF" w:rsidRPr="00646254" w:rsidRDefault="001A5BCF" w:rsidP="00E96A1D">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0,3</w:t>
            </w:r>
          </w:p>
        </w:tc>
        <w:tc>
          <w:tcPr>
            <w:tcW w:w="614" w:type="pct"/>
            <w:tcBorders>
              <w:top w:val="nil"/>
              <w:bottom w:val="nil"/>
            </w:tcBorders>
            <w:shd w:val="clear" w:color="auto" w:fill="FFFFFF" w:themeFill="background1"/>
          </w:tcPr>
          <w:p w14:paraId="4F57E703" w14:textId="77777777" w:rsidR="001A5BCF" w:rsidRPr="00646254" w:rsidRDefault="001A5BCF" w:rsidP="00E96A1D">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2,4</w:t>
            </w:r>
          </w:p>
        </w:tc>
        <w:tc>
          <w:tcPr>
            <w:tcW w:w="566" w:type="pct"/>
            <w:tcBorders>
              <w:top w:val="nil"/>
              <w:bottom w:val="nil"/>
            </w:tcBorders>
            <w:shd w:val="clear" w:color="auto" w:fill="FFFFFF" w:themeFill="background1"/>
          </w:tcPr>
          <w:p w14:paraId="7A462BA3" w14:textId="77777777" w:rsidR="001A5BCF" w:rsidRPr="00646254" w:rsidRDefault="001A5BCF" w:rsidP="00E96A1D">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0,1</w:t>
            </w:r>
          </w:p>
        </w:tc>
        <w:tc>
          <w:tcPr>
            <w:tcW w:w="571" w:type="pct"/>
            <w:tcBorders>
              <w:top w:val="nil"/>
              <w:bottom w:val="nil"/>
            </w:tcBorders>
            <w:shd w:val="clear" w:color="auto" w:fill="FFFFFF" w:themeFill="background1"/>
            <w:noWrap/>
          </w:tcPr>
          <w:p w14:paraId="71050C57" w14:textId="77777777" w:rsidR="001A5BCF" w:rsidRPr="00646254" w:rsidRDefault="001A5BCF" w:rsidP="00E96A1D">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2,2</w:t>
            </w:r>
          </w:p>
        </w:tc>
        <w:tc>
          <w:tcPr>
            <w:tcW w:w="570" w:type="pct"/>
            <w:tcBorders>
              <w:top w:val="nil"/>
              <w:bottom w:val="nil"/>
            </w:tcBorders>
            <w:shd w:val="clear" w:color="auto" w:fill="FFFFFF" w:themeFill="background1"/>
            <w:noWrap/>
          </w:tcPr>
          <w:p w14:paraId="69B756D2" w14:textId="77777777" w:rsidR="001A5BCF" w:rsidRPr="00646254" w:rsidRDefault="001A5BCF" w:rsidP="00E96A1D">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1,4</w:t>
            </w:r>
          </w:p>
        </w:tc>
      </w:tr>
      <w:tr w:rsidR="001A5BCF" w:rsidRPr="00646254" w14:paraId="7006D95D" w14:textId="77777777" w:rsidTr="00E96A1D">
        <w:trPr>
          <w:cnfStyle w:val="000000100000" w:firstRow="0" w:lastRow="0" w:firstColumn="0" w:lastColumn="0" w:oddVBand="0" w:evenVBand="0" w:oddHBand="1" w:evenHBand="0" w:firstRowFirstColumn="0" w:firstRowLastColumn="0" w:lastRowFirstColumn="0" w:lastRowLastColumn="0"/>
          <w:trHeight w:hRule="exact" w:val="225"/>
        </w:trPr>
        <w:tc>
          <w:tcPr>
            <w:cnfStyle w:val="001000000000" w:firstRow="0" w:lastRow="0" w:firstColumn="1" w:lastColumn="0" w:oddVBand="0" w:evenVBand="0" w:oddHBand="0" w:evenHBand="0" w:firstRowFirstColumn="0" w:firstRowLastColumn="0" w:lastRowFirstColumn="0" w:lastRowLastColumn="0"/>
            <w:tcW w:w="373" w:type="pct"/>
            <w:tcBorders>
              <w:top w:val="nil"/>
              <w:bottom w:val="nil"/>
            </w:tcBorders>
            <w:shd w:val="clear" w:color="auto" w:fill="FFFFFF" w:themeFill="background1"/>
            <w:noWrap/>
          </w:tcPr>
          <w:p w14:paraId="166E7524" w14:textId="77777777" w:rsidR="001A5BCF" w:rsidRPr="00646254" w:rsidRDefault="001A5BCF" w:rsidP="00E96A1D">
            <w:pPr>
              <w:shd w:val="clear" w:color="auto" w:fill="FFFFFF" w:themeFill="background1"/>
              <w:spacing w:line="276" w:lineRule="auto"/>
              <w:jc w:val="left"/>
              <w:rPr>
                <w:rFonts w:ascii="Calibri" w:hAnsi="Calibri" w:cs="Calibri"/>
                <w:b w:val="0"/>
                <w:color w:val="002060"/>
                <w:sz w:val="16"/>
                <w:szCs w:val="16"/>
                <w:lang w:val="sr-Cyrl-CS"/>
              </w:rPr>
            </w:pPr>
            <w:r w:rsidRPr="00646254">
              <w:rPr>
                <w:rFonts w:ascii="Calibri" w:hAnsi="Calibri" w:cs="Calibri"/>
                <w:b w:val="0"/>
                <w:color w:val="002060"/>
                <w:sz w:val="16"/>
                <w:szCs w:val="16"/>
                <w:lang w:val="sr-Cyrl-CS"/>
              </w:rPr>
              <w:t>2019</w:t>
            </w:r>
          </w:p>
          <w:p w14:paraId="2690B1FB" w14:textId="77777777" w:rsidR="001A5BCF" w:rsidRPr="00646254" w:rsidRDefault="001A5BCF" w:rsidP="00E96A1D">
            <w:pPr>
              <w:shd w:val="clear" w:color="auto" w:fill="FFFFFF" w:themeFill="background1"/>
              <w:spacing w:line="276" w:lineRule="auto"/>
              <w:jc w:val="left"/>
              <w:rPr>
                <w:rFonts w:ascii="Calibri" w:hAnsi="Calibri" w:cs="Calibri"/>
                <w:b w:val="0"/>
                <w:color w:val="002060"/>
                <w:sz w:val="16"/>
                <w:szCs w:val="16"/>
                <w:lang w:val="sr-Cyrl-CS"/>
              </w:rPr>
            </w:pPr>
          </w:p>
        </w:tc>
        <w:tc>
          <w:tcPr>
            <w:tcW w:w="588" w:type="pct"/>
            <w:tcBorders>
              <w:top w:val="nil"/>
              <w:bottom w:val="nil"/>
            </w:tcBorders>
            <w:shd w:val="clear" w:color="auto" w:fill="FFFFFF" w:themeFill="background1"/>
          </w:tcPr>
          <w:p w14:paraId="1808C41A" w14:textId="77777777" w:rsidR="001A5BCF" w:rsidRPr="00646254" w:rsidRDefault="001A5BCF" w:rsidP="00E96A1D">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1,9</w:t>
            </w:r>
          </w:p>
        </w:tc>
        <w:tc>
          <w:tcPr>
            <w:tcW w:w="571" w:type="pct"/>
            <w:tcBorders>
              <w:top w:val="nil"/>
              <w:bottom w:val="nil"/>
            </w:tcBorders>
            <w:shd w:val="clear" w:color="auto" w:fill="FFFFFF" w:themeFill="background1"/>
          </w:tcPr>
          <w:p w14:paraId="2357CBB9" w14:textId="77777777" w:rsidR="001A5BCF" w:rsidRPr="00646254" w:rsidRDefault="001A5BCF" w:rsidP="00E96A1D">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-0,2</w:t>
            </w:r>
          </w:p>
        </w:tc>
        <w:tc>
          <w:tcPr>
            <w:tcW w:w="571" w:type="pct"/>
            <w:tcBorders>
              <w:top w:val="nil"/>
              <w:bottom w:val="nil"/>
            </w:tcBorders>
            <w:shd w:val="clear" w:color="auto" w:fill="FFFFFF" w:themeFill="background1"/>
          </w:tcPr>
          <w:p w14:paraId="7A2F4D79" w14:textId="77777777" w:rsidR="001A5BCF" w:rsidRPr="00646254" w:rsidRDefault="001A5BCF" w:rsidP="00E96A1D">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1,8</w:t>
            </w:r>
          </w:p>
        </w:tc>
        <w:tc>
          <w:tcPr>
            <w:tcW w:w="576" w:type="pct"/>
            <w:tcBorders>
              <w:top w:val="nil"/>
              <w:bottom w:val="nil"/>
            </w:tcBorders>
            <w:shd w:val="clear" w:color="auto" w:fill="FFFFFF" w:themeFill="background1"/>
          </w:tcPr>
          <w:p w14:paraId="03BC0FED" w14:textId="77777777" w:rsidR="001A5BCF" w:rsidRPr="00646254" w:rsidRDefault="001A5BCF" w:rsidP="00E96A1D">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-0,9</w:t>
            </w:r>
          </w:p>
        </w:tc>
        <w:tc>
          <w:tcPr>
            <w:tcW w:w="614" w:type="pct"/>
            <w:tcBorders>
              <w:top w:val="nil"/>
              <w:bottom w:val="nil"/>
            </w:tcBorders>
            <w:shd w:val="clear" w:color="auto" w:fill="FFFFFF" w:themeFill="background1"/>
          </w:tcPr>
          <w:p w14:paraId="60BB990A" w14:textId="77777777" w:rsidR="001A5BCF" w:rsidRPr="00646254" w:rsidRDefault="001A5BCF" w:rsidP="00E96A1D">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1,1</w:t>
            </w:r>
          </w:p>
        </w:tc>
        <w:tc>
          <w:tcPr>
            <w:tcW w:w="566" w:type="pct"/>
            <w:tcBorders>
              <w:top w:val="nil"/>
              <w:bottom w:val="nil"/>
            </w:tcBorders>
            <w:shd w:val="clear" w:color="auto" w:fill="FFFFFF" w:themeFill="background1"/>
          </w:tcPr>
          <w:p w14:paraId="17EAF957" w14:textId="77777777" w:rsidR="001A5BCF" w:rsidRPr="00646254" w:rsidRDefault="001A5BCF" w:rsidP="00E96A1D">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-1,1</w:t>
            </w:r>
          </w:p>
        </w:tc>
        <w:tc>
          <w:tcPr>
            <w:tcW w:w="571" w:type="pct"/>
            <w:tcBorders>
              <w:top w:val="nil"/>
              <w:bottom w:val="nil"/>
            </w:tcBorders>
            <w:shd w:val="clear" w:color="auto" w:fill="FFFFFF" w:themeFill="background1"/>
            <w:noWrap/>
          </w:tcPr>
          <w:p w14:paraId="2C6C36E1" w14:textId="77777777" w:rsidR="001A5BCF" w:rsidRPr="00646254" w:rsidRDefault="001A5BCF" w:rsidP="00E96A1D">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0,9</w:t>
            </w:r>
          </w:p>
        </w:tc>
        <w:tc>
          <w:tcPr>
            <w:tcW w:w="570" w:type="pct"/>
            <w:tcBorders>
              <w:top w:val="nil"/>
              <w:bottom w:val="nil"/>
            </w:tcBorders>
            <w:shd w:val="clear" w:color="auto" w:fill="FFFFFF" w:themeFill="background1"/>
            <w:noWrap/>
          </w:tcPr>
          <w:p w14:paraId="4E821906" w14:textId="77777777" w:rsidR="001A5BCF" w:rsidRPr="00646254" w:rsidRDefault="001A5BCF" w:rsidP="00E96A1D">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1,3</w:t>
            </w:r>
          </w:p>
        </w:tc>
      </w:tr>
      <w:tr w:rsidR="001A5BCF" w:rsidRPr="00646254" w14:paraId="5F12977B" w14:textId="77777777" w:rsidTr="00E96A1D">
        <w:trPr>
          <w:trHeight w:hRule="exact" w:val="225"/>
        </w:trPr>
        <w:tc>
          <w:tcPr>
            <w:cnfStyle w:val="001000000000" w:firstRow="0" w:lastRow="0" w:firstColumn="1" w:lastColumn="0" w:oddVBand="0" w:evenVBand="0" w:oddHBand="0" w:evenHBand="0" w:firstRowFirstColumn="0" w:firstRowLastColumn="0" w:lastRowFirstColumn="0" w:lastRowLastColumn="0"/>
            <w:tcW w:w="373" w:type="pct"/>
            <w:tcBorders>
              <w:top w:val="nil"/>
              <w:bottom w:val="nil"/>
            </w:tcBorders>
            <w:shd w:val="clear" w:color="auto" w:fill="FFFFFF" w:themeFill="background1"/>
            <w:noWrap/>
          </w:tcPr>
          <w:p w14:paraId="51CDAAFD" w14:textId="77777777" w:rsidR="001A5BCF" w:rsidRPr="00646254" w:rsidRDefault="001A5BCF" w:rsidP="00E96A1D">
            <w:pPr>
              <w:shd w:val="clear" w:color="auto" w:fill="FFFFFF" w:themeFill="background1"/>
              <w:spacing w:line="276" w:lineRule="auto"/>
              <w:jc w:val="left"/>
              <w:rPr>
                <w:rFonts w:ascii="Calibri" w:hAnsi="Calibri" w:cs="Calibri"/>
                <w:b w:val="0"/>
                <w:color w:val="002060"/>
                <w:sz w:val="16"/>
                <w:szCs w:val="16"/>
                <w:lang w:val="sr-Cyrl-CS"/>
              </w:rPr>
            </w:pPr>
            <w:r w:rsidRPr="00646254">
              <w:rPr>
                <w:rFonts w:ascii="Calibri" w:hAnsi="Calibri" w:cs="Calibri"/>
                <w:b w:val="0"/>
                <w:color w:val="002060"/>
                <w:sz w:val="16"/>
                <w:szCs w:val="16"/>
                <w:lang w:val="sr-Cyrl-CS"/>
              </w:rPr>
              <w:t>2020</w:t>
            </w:r>
          </w:p>
          <w:p w14:paraId="5A257C75" w14:textId="77777777" w:rsidR="001A5BCF" w:rsidRPr="00646254" w:rsidRDefault="001A5BCF" w:rsidP="00E96A1D">
            <w:pPr>
              <w:shd w:val="clear" w:color="auto" w:fill="FFFFFF" w:themeFill="background1"/>
              <w:spacing w:line="276" w:lineRule="auto"/>
              <w:jc w:val="left"/>
              <w:rPr>
                <w:rFonts w:ascii="Calibri" w:hAnsi="Calibri" w:cs="Calibri"/>
                <w:b w:val="0"/>
                <w:color w:val="002060"/>
                <w:sz w:val="16"/>
                <w:szCs w:val="16"/>
                <w:lang w:val="sr-Cyrl-CS"/>
              </w:rPr>
            </w:pPr>
            <w:r w:rsidRPr="00646254">
              <w:rPr>
                <w:rFonts w:ascii="Calibri" w:hAnsi="Calibri" w:cs="Calibri"/>
                <w:b w:val="0"/>
                <w:color w:val="002060"/>
                <w:sz w:val="16"/>
                <w:szCs w:val="16"/>
                <w:lang w:val="sr-Cyrl-CS"/>
              </w:rPr>
              <w:t>2021</w:t>
            </w:r>
          </w:p>
          <w:p w14:paraId="6B247875" w14:textId="77777777" w:rsidR="001A5BCF" w:rsidRPr="00646254" w:rsidRDefault="001A5BCF" w:rsidP="00E96A1D">
            <w:pPr>
              <w:shd w:val="clear" w:color="auto" w:fill="FFFFFF" w:themeFill="background1"/>
              <w:spacing w:line="276" w:lineRule="auto"/>
              <w:jc w:val="left"/>
              <w:rPr>
                <w:rFonts w:ascii="Calibri" w:hAnsi="Calibri" w:cs="Calibri"/>
                <w:b w:val="0"/>
                <w:color w:val="002060"/>
                <w:sz w:val="16"/>
                <w:szCs w:val="16"/>
                <w:lang w:val="sr-Cyrl-CS"/>
              </w:rPr>
            </w:pPr>
            <w:r w:rsidRPr="00646254">
              <w:rPr>
                <w:rFonts w:ascii="Calibri" w:hAnsi="Calibri" w:cs="Calibri"/>
                <w:b w:val="0"/>
                <w:color w:val="002060"/>
                <w:sz w:val="16"/>
                <w:szCs w:val="16"/>
                <w:lang w:val="sr-Cyrl-CS"/>
              </w:rPr>
              <w:t>2021</w:t>
            </w:r>
          </w:p>
          <w:p w14:paraId="712E062E" w14:textId="77777777" w:rsidR="001A5BCF" w:rsidRPr="00646254" w:rsidRDefault="001A5BCF" w:rsidP="00E96A1D">
            <w:pPr>
              <w:shd w:val="clear" w:color="auto" w:fill="FFFFFF" w:themeFill="background1"/>
              <w:spacing w:line="276" w:lineRule="auto"/>
              <w:jc w:val="left"/>
              <w:rPr>
                <w:rFonts w:ascii="Calibri" w:hAnsi="Calibri" w:cs="Calibri"/>
                <w:b w:val="0"/>
                <w:color w:val="002060"/>
                <w:sz w:val="16"/>
                <w:szCs w:val="16"/>
                <w:lang w:val="sr-Cyrl-CS"/>
              </w:rPr>
            </w:pPr>
            <w:r w:rsidRPr="00646254">
              <w:rPr>
                <w:rFonts w:ascii="Calibri" w:hAnsi="Calibri" w:cs="Calibri"/>
                <w:b w:val="0"/>
                <w:color w:val="002060"/>
                <w:sz w:val="16"/>
                <w:szCs w:val="16"/>
                <w:lang w:val="sr-Cyrl-CS"/>
              </w:rPr>
              <w:t>202</w:t>
            </w:r>
          </w:p>
        </w:tc>
        <w:tc>
          <w:tcPr>
            <w:tcW w:w="588" w:type="pct"/>
            <w:tcBorders>
              <w:top w:val="nil"/>
              <w:bottom w:val="nil"/>
            </w:tcBorders>
            <w:shd w:val="clear" w:color="auto" w:fill="FFFFFF" w:themeFill="background1"/>
          </w:tcPr>
          <w:p w14:paraId="0DAFFF49" w14:textId="77777777" w:rsidR="001A5BCF" w:rsidRPr="00646254" w:rsidRDefault="001A5BCF" w:rsidP="00E96A1D">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-2,6</w:t>
            </w:r>
          </w:p>
        </w:tc>
        <w:tc>
          <w:tcPr>
            <w:tcW w:w="571" w:type="pct"/>
            <w:tcBorders>
              <w:top w:val="nil"/>
              <w:bottom w:val="nil"/>
            </w:tcBorders>
            <w:shd w:val="clear" w:color="auto" w:fill="FFFFFF" w:themeFill="background1"/>
          </w:tcPr>
          <w:p w14:paraId="33E14EA4" w14:textId="77777777" w:rsidR="001A5BCF" w:rsidRPr="00646254" w:rsidRDefault="001A5BCF" w:rsidP="00E96A1D">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-8,0</w:t>
            </w:r>
          </w:p>
        </w:tc>
        <w:tc>
          <w:tcPr>
            <w:tcW w:w="571" w:type="pct"/>
            <w:tcBorders>
              <w:top w:val="nil"/>
              <w:bottom w:val="nil"/>
            </w:tcBorders>
            <w:shd w:val="clear" w:color="auto" w:fill="FFFFFF" w:themeFill="background1"/>
          </w:tcPr>
          <w:p w14:paraId="6592A91E" w14:textId="77777777" w:rsidR="001A5BCF" w:rsidRPr="00646254" w:rsidRDefault="001A5BCF" w:rsidP="00E96A1D">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-6,0</w:t>
            </w:r>
          </w:p>
        </w:tc>
        <w:tc>
          <w:tcPr>
            <w:tcW w:w="576" w:type="pct"/>
            <w:tcBorders>
              <w:top w:val="nil"/>
              <w:bottom w:val="nil"/>
            </w:tcBorders>
            <w:shd w:val="clear" w:color="auto" w:fill="FFFFFF" w:themeFill="background1"/>
          </w:tcPr>
          <w:p w14:paraId="466EBEF0" w14:textId="77777777" w:rsidR="001A5BCF" w:rsidRPr="00646254" w:rsidRDefault="001A5BCF" w:rsidP="00E96A1D">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-7,1</w:t>
            </w:r>
          </w:p>
        </w:tc>
        <w:tc>
          <w:tcPr>
            <w:tcW w:w="614" w:type="pct"/>
            <w:tcBorders>
              <w:top w:val="nil"/>
              <w:bottom w:val="nil"/>
            </w:tcBorders>
            <w:shd w:val="clear" w:color="auto" w:fill="FFFFFF" w:themeFill="background1"/>
          </w:tcPr>
          <w:p w14:paraId="219FCB44" w14:textId="77777777" w:rsidR="001A5BCF" w:rsidRPr="00646254" w:rsidRDefault="001A5BCF" w:rsidP="00E96A1D">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-5,1</w:t>
            </w:r>
          </w:p>
        </w:tc>
        <w:tc>
          <w:tcPr>
            <w:tcW w:w="566" w:type="pct"/>
            <w:tcBorders>
              <w:top w:val="nil"/>
              <w:bottom w:val="nil"/>
            </w:tcBorders>
            <w:shd w:val="clear" w:color="auto" w:fill="FFFFFF" w:themeFill="background1"/>
          </w:tcPr>
          <w:p w14:paraId="0A45AD86" w14:textId="77777777" w:rsidR="001A5BCF" w:rsidRPr="00646254" w:rsidRDefault="001A5BCF" w:rsidP="00E96A1D">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-0,3</w:t>
            </w:r>
          </w:p>
        </w:tc>
        <w:tc>
          <w:tcPr>
            <w:tcW w:w="571" w:type="pct"/>
            <w:tcBorders>
              <w:top w:val="nil"/>
              <w:bottom w:val="nil"/>
            </w:tcBorders>
            <w:shd w:val="clear" w:color="auto" w:fill="FFFFFF" w:themeFill="background1"/>
            <w:noWrap/>
          </w:tcPr>
          <w:p w14:paraId="2E1E9B8A" w14:textId="77777777" w:rsidR="001A5BCF" w:rsidRPr="00646254" w:rsidRDefault="001A5BCF" w:rsidP="00E96A1D">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1,7</w:t>
            </w:r>
          </w:p>
        </w:tc>
        <w:tc>
          <w:tcPr>
            <w:tcW w:w="570" w:type="pct"/>
            <w:tcBorders>
              <w:top w:val="nil"/>
              <w:bottom w:val="nil"/>
            </w:tcBorders>
            <w:shd w:val="clear" w:color="auto" w:fill="FFFFFF" w:themeFill="background1"/>
            <w:noWrap/>
          </w:tcPr>
          <w:p w14:paraId="6741B6E7" w14:textId="77777777" w:rsidR="001A5BCF" w:rsidRPr="00646254" w:rsidRDefault="001A5BCF" w:rsidP="00E96A1D">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6,2</w:t>
            </w:r>
          </w:p>
        </w:tc>
      </w:tr>
      <w:tr w:rsidR="001A5BCF" w:rsidRPr="00646254" w14:paraId="21A954D9" w14:textId="77777777" w:rsidTr="00E96A1D">
        <w:trPr>
          <w:cnfStyle w:val="000000100000" w:firstRow="0" w:lastRow="0" w:firstColumn="0" w:lastColumn="0" w:oddVBand="0" w:evenVBand="0" w:oddHBand="1" w:evenHBand="0" w:firstRowFirstColumn="0" w:firstRowLastColumn="0" w:lastRowFirstColumn="0" w:lastRowLastColumn="0"/>
          <w:trHeight w:hRule="exact" w:val="225"/>
        </w:trPr>
        <w:tc>
          <w:tcPr>
            <w:cnfStyle w:val="001000000000" w:firstRow="0" w:lastRow="0" w:firstColumn="1" w:lastColumn="0" w:oddVBand="0" w:evenVBand="0" w:oddHBand="0" w:evenHBand="0" w:firstRowFirstColumn="0" w:firstRowLastColumn="0" w:lastRowFirstColumn="0" w:lastRowLastColumn="0"/>
            <w:tcW w:w="373" w:type="pct"/>
            <w:tcBorders>
              <w:top w:val="nil"/>
              <w:bottom w:val="nil"/>
            </w:tcBorders>
            <w:shd w:val="clear" w:color="auto" w:fill="FFFFFF" w:themeFill="background1"/>
            <w:noWrap/>
          </w:tcPr>
          <w:p w14:paraId="674A222C" w14:textId="77777777" w:rsidR="001A5BCF" w:rsidRPr="00646254" w:rsidRDefault="001A5BCF" w:rsidP="00E96A1D">
            <w:pPr>
              <w:shd w:val="clear" w:color="auto" w:fill="FFFFFF" w:themeFill="background1"/>
              <w:spacing w:line="276" w:lineRule="auto"/>
              <w:jc w:val="left"/>
              <w:rPr>
                <w:rFonts w:ascii="Calibri" w:hAnsi="Calibri" w:cs="Calibri"/>
                <w:b w:val="0"/>
                <w:color w:val="002060"/>
                <w:sz w:val="16"/>
                <w:szCs w:val="16"/>
                <w:lang w:val="sr-Cyrl-CS"/>
              </w:rPr>
            </w:pPr>
            <w:r w:rsidRPr="00646254">
              <w:rPr>
                <w:rFonts w:ascii="Calibri" w:hAnsi="Calibri" w:cs="Calibri"/>
                <w:b w:val="0"/>
                <w:color w:val="002060"/>
                <w:sz w:val="16"/>
                <w:szCs w:val="16"/>
                <w:lang w:val="sr-Cyrl-CS"/>
              </w:rPr>
              <w:t>2021</w:t>
            </w:r>
          </w:p>
        </w:tc>
        <w:tc>
          <w:tcPr>
            <w:tcW w:w="588" w:type="pct"/>
            <w:tcBorders>
              <w:top w:val="nil"/>
              <w:bottom w:val="nil"/>
            </w:tcBorders>
            <w:shd w:val="clear" w:color="auto" w:fill="FFFFFF" w:themeFill="background1"/>
          </w:tcPr>
          <w:p w14:paraId="220DDFAE" w14:textId="77777777" w:rsidR="001A5BCF" w:rsidRPr="00646254" w:rsidRDefault="001A5BCF" w:rsidP="00E96A1D">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0,0</w:t>
            </w:r>
          </w:p>
        </w:tc>
        <w:tc>
          <w:tcPr>
            <w:tcW w:w="571" w:type="pct"/>
            <w:tcBorders>
              <w:top w:val="nil"/>
              <w:bottom w:val="nil"/>
            </w:tcBorders>
            <w:shd w:val="clear" w:color="auto" w:fill="FFFFFF" w:themeFill="background1"/>
          </w:tcPr>
          <w:p w14:paraId="094AED0E" w14:textId="77777777" w:rsidR="001A5BCF" w:rsidRPr="00646254" w:rsidRDefault="001A5BCF" w:rsidP="00E96A1D">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-4,9</w:t>
            </w:r>
          </w:p>
        </w:tc>
        <w:tc>
          <w:tcPr>
            <w:tcW w:w="571" w:type="pct"/>
            <w:tcBorders>
              <w:top w:val="nil"/>
              <w:bottom w:val="nil"/>
            </w:tcBorders>
            <w:shd w:val="clear" w:color="auto" w:fill="FFFFFF" w:themeFill="background1"/>
          </w:tcPr>
          <w:p w14:paraId="1A74F992" w14:textId="77777777" w:rsidR="001A5BCF" w:rsidRPr="00646254" w:rsidRDefault="001A5BCF" w:rsidP="00E96A1D">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-3,1</w:t>
            </w:r>
          </w:p>
        </w:tc>
        <w:tc>
          <w:tcPr>
            <w:tcW w:w="576" w:type="pct"/>
            <w:tcBorders>
              <w:top w:val="nil"/>
              <w:bottom w:val="nil"/>
            </w:tcBorders>
            <w:shd w:val="clear" w:color="auto" w:fill="FFFFFF" w:themeFill="background1"/>
          </w:tcPr>
          <w:p w14:paraId="14971475" w14:textId="77777777" w:rsidR="001A5BCF" w:rsidRPr="00646254" w:rsidRDefault="001A5BCF" w:rsidP="00E96A1D">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-4,9</w:t>
            </w:r>
          </w:p>
        </w:tc>
        <w:tc>
          <w:tcPr>
            <w:tcW w:w="614" w:type="pct"/>
            <w:tcBorders>
              <w:top w:val="nil"/>
              <w:bottom w:val="nil"/>
            </w:tcBorders>
            <w:shd w:val="clear" w:color="auto" w:fill="FFFFFF" w:themeFill="background1"/>
          </w:tcPr>
          <w:p w14:paraId="02F88BBF" w14:textId="77777777" w:rsidR="001A5BCF" w:rsidRPr="00646254" w:rsidRDefault="001A5BCF" w:rsidP="00E96A1D">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-3,1</w:t>
            </w:r>
          </w:p>
        </w:tc>
        <w:tc>
          <w:tcPr>
            <w:tcW w:w="566" w:type="pct"/>
            <w:tcBorders>
              <w:top w:val="nil"/>
              <w:bottom w:val="nil"/>
            </w:tcBorders>
            <w:shd w:val="clear" w:color="auto" w:fill="FFFFFF" w:themeFill="background1"/>
          </w:tcPr>
          <w:p w14:paraId="1415DD8E" w14:textId="77777777" w:rsidR="001A5BCF" w:rsidRPr="00646254" w:rsidRDefault="001A5BCF" w:rsidP="00E96A1D">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-0,7</w:t>
            </w:r>
          </w:p>
        </w:tc>
        <w:tc>
          <w:tcPr>
            <w:tcW w:w="571" w:type="pct"/>
            <w:tcBorders>
              <w:top w:val="nil"/>
              <w:bottom w:val="nil"/>
            </w:tcBorders>
            <w:shd w:val="clear" w:color="auto" w:fill="FFFFFF" w:themeFill="background1"/>
            <w:noWrap/>
          </w:tcPr>
          <w:p w14:paraId="25E148C9" w14:textId="77777777" w:rsidR="001A5BCF" w:rsidRPr="00646254" w:rsidRDefault="001A5BCF" w:rsidP="00E96A1D">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1,1</w:t>
            </w:r>
          </w:p>
        </w:tc>
        <w:tc>
          <w:tcPr>
            <w:tcW w:w="570" w:type="pct"/>
            <w:tcBorders>
              <w:top w:val="nil"/>
              <w:bottom w:val="nil"/>
            </w:tcBorders>
            <w:shd w:val="clear" w:color="auto" w:fill="FFFFFF" w:themeFill="background1"/>
            <w:noWrap/>
          </w:tcPr>
          <w:p w14:paraId="4EB21A57" w14:textId="77777777" w:rsidR="001A5BCF" w:rsidRPr="00646254" w:rsidRDefault="001A5BCF" w:rsidP="00E96A1D">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-2,0</w:t>
            </w:r>
          </w:p>
        </w:tc>
      </w:tr>
      <w:tr w:rsidR="001A5BCF" w:rsidRPr="00646254" w14:paraId="209DDB5D" w14:textId="77777777" w:rsidTr="00E96A1D">
        <w:trPr>
          <w:trHeight w:hRule="exact" w:val="225"/>
        </w:trPr>
        <w:tc>
          <w:tcPr>
            <w:cnfStyle w:val="001000000000" w:firstRow="0" w:lastRow="0" w:firstColumn="1" w:lastColumn="0" w:oddVBand="0" w:evenVBand="0" w:oddHBand="0" w:evenHBand="0" w:firstRowFirstColumn="0" w:firstRowLastColumn="0" w:lastRowFirstColumn="0" w:lastRowLastColumn="0"/>
            <w:tcW w:w="373" w:type="pct"/>
            <w:tcBorders>
              <w:top w:val="nil"/>
              <w:bottom w:val="nil"/>
            </w:tcBorders>
            <w:shd w:val="clear" w:color="auto" w:fill="FFFFFF" w:themeFill="background1"/>
            <w:noWrap/>
          </w:tcPr>
          <w:p w14:paraId="7828C91E" w14:textId="77777777" w:rsidR="001A5BCF" w:rsidRPr="00646254" w:rsidRDefault="001A5BCF" w:rsidP="00E96A1D">
            <w:pPr>
              <w:shd w:val="clear" w:color="auto" w:fill="FFFFFF" w:themeFill="background1"/>
              <w:spacing w:line="276" w:lineRule="auto"/>
              <w:jc w:val="left"/>
              <w:rPr>
                <w:rFonts w:ascii="Calibri" w:hAnsi="Calibri" w:cs="Calibri"/>
                <w:b w:val="0"/>
                <w:color w:val="002060"/>
                <w:sz w:val="16"/>
                <w:szCs w:val="16"/>
                <w:lang w:val="sr-Cyrl-CS"/>
              </w:rPr>
            </w:pPr>
            <w:r w:rsidRPr="00646254">
              <w:rPr>
                <w:rFonts w:ascii="Calibri" w:hAnsi="Calibri" w:cs="Calibri"/>
                <w:b w:val="0"/>
                <w:color w:val="002060"/>
                <w:sz w:val="16"/>
                <w:szCs w:val="16"/>
                <w:lang w:val="sr-Cyrl-CS"/>
              </w:rPr>
              <w:t>2022</w:t>
            </w:r>
          </w:p>
        </w:tc>
        <w:tc>
          <w:tcPr>
            <w:tcW w:w="588" w:type="pct"/>
            <w:tcBorders>
              <w:top w:val="nil"/>
              <w:bottom w:val="nil"/>
            </w:tcBorders>
            <w:shd w:val="clear" w:color="auto" w:fill="FFFFFF" w:themeFill="background1"/>
          </w:tcPr>
          <w:p w14:paraId="4FB87E41" w14:textId="77777777" w:rsidR="001A5BCF" w:rsidRPr="00646254" w:rsidRDefault="001A5BCF" w:rsidP="00E96A1D">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0,0</w:t>
            </w:r>
          </w:p>
        </w:tc>
        <w:tc>
          <w:tcPr>
            <w:tcW w:w="571" w:type="pct"/>
            <w:tcBorders>
              <w:top w:val="nil"/>
              <w:bottom w:val="nil"/>
            </w:tcBorders>
            <w:shd w:val="clear" w:color="auto" w:fill="FFFFFF" w:themeFill="background1"/>
          </w:tcPr>
          <w:p w14:paraId="73D07547" w14:textId="77777777" w:rsidR="001A5BCF" w:rsidRPr="00646254" w:rsidRDefault="001A5BCF" w:rsidP="00E96A1D">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-3,0</w:t>
            </w:r>
          </w:p>
        </w:tc>
        <w:tc>
          <w:tcPr>
            <w:tcW w:w="571" w:type="pct"/>
            <w:tcBorders>
              <w:top w:val="nil"/>
              <w:bottom w:val="nil"/>
            </w:tcBorders>
            <w:shd w:val="clear" w:color="auto" w:fill="FFFFFF" w:themeFill="background1"/>
          </w:tcPr>
          <w:p w14:paraId="1F3013B0" w14:textId="77777777" w:rsidR="001A5BCF" w:rsidRPr="00646254" w:rsidRDefault="001A5BCF" w:rsidP="00E96A1D">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-1,2</w:t>
            </w:r>
          </w:p>
        </w:tc>
        <w:tc>
          <w:tcPr>
            <w:tcW w:w="576" w:type="pct"/>
            <w:tcBorders>
              <w:top w:val="nil"/>
              <w:bottom w:val="nil"/>
            </w:tcBorders>
            <w:shd w:val="clear" w:color="auto" w:fill="FFFFFF" w:themeFill="background1"/>
          </w:tcPr>
          <w:p w14:paraId="12701A30" w14:textId="77777777" w:rsidR="001A5BCF" w:rsidRPr="00646254" w:rsidRDefault="001A5BCF" w:rsidP="00E96A1D">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-3,0</w:t>
            </w:r>
          </w:p>
        </w:tc>
        <w:tc>
          <w:tcPr>
            <w:tcW w:w="614" w:type="pct"/>
            <w:tcBorders>
              <w:top w:val="nil"/>
              <w:bottom w:val="nil"/>
            </w:tcBorders>
            <w:shd w:val="clear" w:color="auto" w:fill="FFFFFF" w:themeFill="background1"/>
          </w:tcPr>
          <w:p w14:paraId="71A94F58" w14:textId="77777777" w:rsidR="001A5BCF" w:rsidRPr="00646254" w:rsidRDefault="001A5BCF" w:rsidP="00E96A1D">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-1,2</w:t>
            </w:r>
          </w:p>
        </w:tc>
        <w:tc>
          <w:tcPr>
            <w:tcW w:w="566" w:type="pct"/>
            <w:tcBorders>
              <w:top w:val="nil"/>
              <w:bottom w:val="nil"/>
            </w:tcBorders>
            <w:shd w:val="clear" w:color="auto" w:fill="FFFFFF" w:themeFill="background1"/>
          </w:tcPr>
          <w:p w14:paraId="0755CDBF" w14:textId="77777777" w:rsidR="001A5BCF" w:rsidRPr="00646254" w:rsidRDefault="001A5BCF" w:rsidP="00E96A1D">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-3,0</w:t>
            </w:r>
          </w:p>
        </w:tc>
        <w:tc>
          <w:tcPr>
            <w:tcW w:w="571" w:type="pct"/>
            <w:tcBorders>
              <w:top w:val="nil"/>
              <w:bottom w:val="nil"/>
            </w:tcBorders>
            <w:shd w:val="clear" w:color="auto" w:fill="FFFFFF" w:themeFill="background1"/>
            <w:noWrap/>
          </w:tcPr>
          <w:p w14:paraId="01C2C5B9" w14:textId="77777777" w:rsidR="001A5BCF" w:rsidRPr="00646254" w:rsidRDefault="001A5BCF" w:rsidP="00E96A1D">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-1,3</w:t>
            </w:r>
          </w:p>
        </w:tc>
        <w:tc>
          <w:tcPr>
            <w:tcW w:w="570" w:type="pct"/>
            <w:tcBorders>
              <w:top w:val="nil"/>
              <w:bottom w:val="nil"/>
            </w:tcBorders>
            <w:shd w:val="clear" w:color="auto" w:fill="FFFFFF" w:themeFill="background1"/>
            <w:noWrap/>
          </w:tcPr>
          <w:p w14:paraId="2827F990" w14:textId="77777777" w:rsidR="001A5BCF" w:rsidRPr="00646254" w:rsidRDefault="001A5BCF" w:rsidP="00E96A1D">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-1,9</w:t>
            </w:r>
          </w:p>
        </w:tc>
      </w:tr>
      <w:tr w:rsidR="001A5BCF" w:rsidRPr="00646254" w14:paraId="6AFA4872" w14:textId="77777777" w:rsidTr="00E96A1D">
        <w:trPr>
          <w:cnfStyle w:val="000000100000" w:firstRow="0" w:lastRow="0" w:firstColumn="0" w:lastColumn="0" w:oddVBand="0" w:evenVBand="0" w:oddHBand="1" w:evenHBand="0" w:firstRowFirstColumn="0" w:firstRowLastColumn="0" w:lastRowFirstColumn="0" w:lastRowLastColumn="0"/>
          <w:trHeight w:hRule="exact" w:val="225"/>
        </w:trPr>
        <w:tc>
          <w:tcPr>
            <w:cnfStyle w:val="001000000000" w:firstRow="0" w:lastRow="0" w:firstColumn="1" w:lastColumn="0" w:oddVBand="0" w:evenVBand="0" w:oddHBand="0" w:evenHBand="0" w:firstRowFirstColumn="0" w:firstRowLastColumn="0" w:lastRowFirstColumn="0" w:lastRowLastColumn="0"/>
            <w:tcW w:w="373" w:type="pct"/>
            <w:tcBorders>
              <w:top w:val="nil"/>
              <w:bottom w:val="nil"/>
            </w:tcBorders>
            <w:shd w:val="clear" w:color="auto" w:fill="FFFFFF" w:themeFill="background1"/>
            <w:noWrap/>
          </w:tcPr>
          <w:p w14:paraId="62F5454A" w14:textId="77777777" w:rsidR="001A5BCF" w:rsidRPr="00646254" w:rsidRDefault="001A5BCF" w:rsidP="00E96A1D">
            <w:pPr>
              <w:shd w:val="clear" w:color="auto" w:fill="FFFFFF" w:themeFill="background1"/>
              <w:spacing w:line="276" w:lineRule="auto"/>
              <w:jc w:val="left"/>
              <w:rPr>
                <w:rFonts w:ascii="Calibri" w:hAnsi="Calibri" w:cs="Calibri"/>
                <w:b w:val="0"/>
                <w:color w:val="002060"/>
                <w:sz w:val="16"/>
                <w:szCs w:val="16"/>
                <w:lang w:val="sr-Cyrl-CS"/>
              </w:rPr>
            </w:pPr>
            <w:r w:rsidRPr="00646254">
              <w:rPr>
                <w:rFonts w:ascii="Calibri" w:hAnsi="Calibri" w:cs="Calibri"/>
                <w:b w:val="0"/>
                <w:color w:val="002060"/>
                <w:sz w:val="16"/>
                <w:szCs w:val="16"/>
                <w:lang w:val="sr-Cyrl-CS"/>
              </w:rPr>
              <w:t>2023</w:t>
            </w:r>
          </w:p>
        </w:tc>
        <w:tc>
          <w:tcPr>
            <w:tcW w:w="588" w:type="pct"/>
            <w:tcBorders>
              <w:top w:val="nil"/>
              <w:bottom w:val="nil"/>
            </w:tcBorders>
            <w:shd w:val="clear" w:color="auto" w:fill="FFFFFF" w:themeFill="background1"/>
          </w:tcPr>
          <w:p w14:paraId="76702529" w14:textId="77777777" w:rsidR="001A5BCF" w:rsidRPr="00646254" w:rsidRDefault="001A5BCF" w:rsidP="00E96A1D">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0,2</w:t>
            </w:r>
          </w:p>
        </w:tc>
        <w:tc>
          <w:tcPr>
            <w:tcW w:w="571" w:type="pct"/>
            <w:tcBorders>
              <w:top w:val="nil"/>
              <w:bottom w:val="nil"/>
            </w:tcBorders>
            <w:shd w:val="clear" w:color="auto" w:fill="FFFFFF" w:themeFill="background1"/>
          </w:tcPr>
          <w:p w14:paraId="474E8AB5" w14:textId="77777777" w:rsidR="001A5BCF" w:rsidRPr="00646254" w:rsidRDefault="001A5BCF" w:rsidP="00E96A1D">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-1,5</w:t>
            </w:r>
          </w:p>
        </w:tc>
        <w:tc>
          <w:tcPr>
            <w:tcW w:w="571" w:type="pct"/>
            <w:tcBorders>
              <w:top w:val="nil"/>
              <w:bottom w:val="nil"/>
            </w:tcBorders>
            <w:shd w:val="clear" w:color="auto" w:fill="FFFFFF" w:themeFill="background1"/>
          </w:tcPr>
          <w:p w14:paraId="2B2C227D" w14:textId="77777777" w:rsidR="001A5BCF" w:rsidRPr="00646254" w:rsidRDefault="001A5BCF" w:rsidP="00E96A1D">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0,3</w:t>
            </w:r>
          </w:p>
        </w:tc>
        <w:tc>
          <w:tcPr>
            <w:tcW w:w="576" w:type="pct"/>
            <w:tcBorders>
              <w:top w:val="nil"/>
              <w:bottom w:val="nil"/>
            </w:tcBorders>
            <w:shd w:val="clear" w:color="auto" w:fill="FFFFFF" w:themeFill="background1"/>
          </w:tcPr>
          <w:p w14:paraId="5733DBFE" w14:textId="77777777" w:rsidR="001A5BCF" w:rsidRPr="00646254" w:rsidRDefault="001A5BCF" w:rsidP="00E96A1D">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-1,6</w:t>
            </w:r>
          </w:p>
        </w:tc>
        <w:tc>
          <w:tcPr>
            <w:tcW w:w="614" w:type="pct"/>
            <w:tcBorders>
              <w:top w:val="nil"/>
              <w:bottom w:val="nil"/>
            </w:tcBorders>
            <w:shd w:val="clear" w:color="auto" w:fill="FFFFFF" w:themeFill="background1"/>
          </w:tcPr>
          <w:p w14:paraId="7B8B7D28" w14:textId="77777777" w:rsidR="001A5BCF" w:rsidRPr="00646254" w:rsidRDefault="001A5BCF" w:rsidP="00E96A1D">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0,2</w:t>
            </w:r>
          </w:p>
        </w:tc>
        <w:tc>
          <w:tcPr>
            <w:tcW w:w="566" w:type="pct"/>
            <w:tcBorders>
              <w:top w:val="nil"/>
              <w:bottom w:val="nil"/>
            </w:tcBorders>
            <w:shd w:val="clear" w:color="auto" w:fill="FFFFFF" w:themeFill="background1"/>
          </w:tcPr>
          <w:p w14:paraId="314D583A" w14:textId="77777777" w:rsidR="001A5BCF" w:rsidRPr="00646254" w:rsidRDefault="001A5BCF" w:rsidP="00E96A1D">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-1,6</w:t>
            </w:r>
          </w:p>
        </w:tc>
        <w:tc>
          <w:tcPr>
            <w:tcW w:w="571" w:type="pct"/>
            <w:tcBorders>
              <w:top w:val="nil"/>
              <w:bottom w:val="nil"/>
            </w:tcBorders>
            <w:shd w:val="clear" w:color="auto" w:fill="FFFFFF" w:themeFill="background1"/>
            <w:noWrap/>
          </w:tcPr>
          <w:p w14:paraId="7F3E63BC" w14:textId="77777777" w:rsidR="001A5BCF" w:rsidRPr="00646254" w:rsidRDefault="001A5BCF" w:rsidP="00E96A1D">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0,1</w:t>
            </w:r>
          </w:p>
        </w:tc>
        <w:tc>
          <w:tcPr>
            <w:tcW w:w="570" w:type="pct"/>
            <w:tcBorders>
              <w:top w:val="nil"/>
              <w:bottom w:val="nil"/>
            </w:tcBorders>
            <w:shd w:val="clear" w:color="auto" w:fill="FFFFFF" w:themeFill="background1"/>
            <w:noWrap/>
          </w:tcPr>
          <w:p w14:paraId="17852C1E" w14:textId="77777777" w:rsidR="001A5BCF" w:rsidRPr="00646254" w:rsidRDefault="001A5BCF" w:rsidP="00E96A1D">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-1,4</w:t>
            </w:r>
          </w:p>
        </w:tc>
      </w:tr>
      <w:tr w:rsidR="001A5BCF" w:rsidRPr="00646254" w14:paraId="5E1E49E3" w14:textId="77777777" w:rsidTr="00E96A1D">
        <w:trPr>
          <w:trHeight w:hRule="exact" w:val="225"/>
        </w:trPr>
        <w:tc>
          <w:tcPr>
            <w:cnfStyle w:val="001000000000" w:firstRow="0" w:lastRow="0" w:firstColumn="1" w:lastColumn="0" w:oddVBand="0" w:evenVBand="0" w:oddHBand="0" w:evenHBand="0" w:firstRowFirstColumn="0" w:firstRowLastColumn="0" w:lastRowFirstColumn="0" w:lastRowLastColumn="0"/>
            <w:tcW w:w="373" w:type="pct"/>
            <w:tcBorders>
              <w:top w:val="nil"/>
              <w:bottom w:val="single" w:sz="4" w:space="0" w:color="002060"/>
            </w:tcBorders>
            <w:shd w:val="clear" w:color="auto" w:fill="FFFFFF" w:themeFill="background1"/>
            <w:noWrap/>
          </w:tcPr>
          <w:p w14:paraId="1EBA3D8B" w14:textId="77777777" w:rsidR="001A5BCF" w:rsidRPr="00646254" w:rsidRDefault="001A5BCF" w:rsidP="00E96A1D">
            <w:pPr>
              <w:shd w:val="clear" w:color="auto" w:fill="FFFFFF" w:themeFill="background1"/>
              <w:spacing w:line="276" w:lineRule="auto"/>
              <w:jc w:val="left"/>
              <w:rPr>
                <w:rFonts w:ascii="Calibri" w:hAnsi="Calibri" w:cs="Calibri"/>
                <w:color w:val="002060"/>
                <w:sz w:val="16"/>
                <w:szCs w:val="16"/>
                <w:lang w:val="sr-Cyrl-CS"/>
              </w:rPr>
            </w:pPr>
            <w:r w:rsidRPr="00646254">
              <w:rPr>
                <w:rFonts w:ascii="Calibri" w:hAnsi="Calibri" w:cs="Calibri"/>
                <w:b w:val="0"/>
                <w:color w:val="002060"/>
                <w:sz w:val="16"/>
                <w:szCs w:val="16"/>
                <w:lang w:val="sr-Cyrl-CS"/>
              </w:rPr>
              <w:t>2024</w:t>
            </w:r>
          </w:p>
        </w:tc>
        <w:tc>
          <w:tcPr>
            <w:tcW w:w="588" w:type="pct"/>
            <w:tcBorders>
              <w:top w:val="nil"/>
              <w:bottom w:val="single" w:sz="4" w:space="0" w:color="002060"/>
            </w:tcBorders>
            <w:shd w:val="clear" w:color="auto" w:fill="FFFFFF" w:themeFill="background1"/>
          </w:tcPr>
          <w:p w14:paraId="69D7C859" w14:textId="77777777" w:rsidR="001A5BCF" w:rsidRPr="00646254" w:rsidRDefault="001A5BCF" w:rsidP="00E96A1D">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0,3</w:t>
            </w:r>
          </w:p>
        </w:tc>
        <w:tc>
          <w:tcPr>
            <w:tcW w:w="571" w:type="pct"/>
            <w:tcBorders>
              <w:top w:val="nil"/>
              <w:bottom w:val="single" w:sz="4" w:space="0" w:color="002060"/>
            </w:tcBorders>
            <w:shd w:val="clear" w:color="auto" w:fill="FFFFFF" w:themeFill="background1"/>
          </w:tcPr>
          <w:p w14:paraId="162DE9C8" w14:textId="77777777" w:rsidR="001A5BCF" w:rsidRPr="00646254" w:rsidRDefault="001A5BCF" w:rsidP="00E96A1D">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-1,0</w:t>
            </w:r>
          </w:p>
        </w:tc>
        <w:tc>
          <w:tcPr>
            <w:tcW w:w="571" w:type="pct"/>
            <w:tcBorders>
              <w:top w:val="nil"/>
              <w:bottom w:val="single" w:sz="4" w:space="0" w:color="002060"/>
            </w:tcBorders>
            <w:shd w:val="clear" w:color="auto" w:fill="FFFFFF" w:themeFill="background1"/>
          </w:tcPr>
          <w:p w14:paraId="7A6E6343" w14:textId="77777777" w:rsidR="001A5BCF" w:rsidRPr="00646254" w:rsidRDefault="001A5BCF" w:rsidP="00E96A1D">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0,7</w:t>
            </w:r>
          </w:p>
        </w:tc>
        <w:tc>
          <w:tcPr>
            <w:tcW w:w="576" w:type="pct"/>
            <w:tcBorders>
              <w:top w:val="nil"/>
              <w:bottom w:val="single" w:sz="4" w:space="0" w:color="002060"/>
            </w:tcBorders>
            <w:shd w:val="clear" w:color="auto" w:fill="FFFFFF" w:themeFill="background1"/>
          </w:tcPr>
          <w:p w14:paraId="77E2F7B9" w14:textId="77777777" w:rsidR="001A5BCF" w:rsidRPr="00646254" w:rsidRDefault="001A5BCF" w:rsidP="00E96A1D">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-1,1</w:t>
            </w:r>
          </w:p>
        </w:tc>
        <w:tc>
          <w:tcPr>
            <w:tcW w:w="614" w:type="pct"/>
            <w:tcBorders>
              <w:top w:val="nil"/>
              <w:bottom w:val="single" w:sz="4" w:space="0" w:color="002060"/>
            </w:tcBorders>
            <w:shd w:val="clear" w:color="auto" w:fill="FFFFFF" w:themeFill="background1"/>
          </w:tcPr>
          <w:p w14:paraId="5946741C" w14:textId="77777777" w:rsidR="001A5BCF" w:rsidRPr="00646254" w:rsidRDefault="001A5BCF" w:rsidP="00E96A1D">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0,6</w:t>
            </w:r>
          </w:p>
        </w:tc>
        <w:tc>
          <w:tcPr>
            <w:tcW w:w="566" w:type="pct"/>
            <w:tcBorders>
              <w:top w:val="nil"/>
              <w:bottom w:val="single" w:sz="4" w:space="0" w:color="002060"/>
            </w:tcBorders>
            <w:shd w:val="clear" w:color="auto" w:fill="FFFFFF" w:themeFill="background1"/>
          </w:tcPr>
          <w:p w14:paraId="7EE13268" w14:textId="77777777" w:rsidR="001A5BCF" w:rsidRPr="00646254" w:rsidRDefault="001A5BCF" w:rsidP="00E96A1D">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-1,1</w:t>
            </w:r>
          </w:p>
        </w:tc>
        <w:tc>
          <w:tcPr>
            <w:tcW w:w="571" w:type="pct"/>
            <w:tcBorders>
              <w:top w:val="nil"/>
              <w:bottom w:val="single" w:sz="4" w:space="0" w:color="002060"/>
            </w:tcBorders>
            <w:shd w:val="clear" w:color="auto" w:fill="FFFFFF" w:themeFill="background1"/>
            <w:noWrap/>
          </w:tcPr>
          <w:p w14:paraId="2057B0A0" w14:textId="77777777" w:rsidR="001A5BCF" w:rsidRPr="00646254" w:rsidRDefault="001A5BCF" w:rsidP="00E96A1D">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0,6</w:t>
            </w:r>
          </w:p>
        </w:tc>
        <w:tc>
          <w:tcPr>
            <w:tcW w:w="570" w:type="pct"/>
            <w:tcBorders>
              <w:top w:val="nil"/>
              <w:bottom w:val="single" w:sz="4" w:space="0" w:color="002060"/>
            </w:tcBorders>
            <w:shd w:val="clear" w:color="auto" w:fill="FFFFFF" w:themeFill="background1"/>
            <w:noWrap/>
          </w:tcPr>
          <w:p w14:paraId="5F1FB2E1" w14:textId="77777777" w:rsidR="001A5BCF" w:rsidRPr="00646254" w:rsidRDefault="001A5BCF" w:rsidP="00E96A1D">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646254">
              <w:rPr>
                <w:rFonts w:ascii="Calibri" w:hAnsi="Calibri" w:cs="Calibri"/>
                <w:color w:val="002060"/>
                <w:sz w:val="16"/>
                <w:szCs w:val="16"/>
                <w:lang w:val="sr-Cyrl-CS"/>
              </w:rPr>
              <w:t>-0,4</w:t>
            </w:r>
          </w:p>
        </w:tc>
      </w:tr>
    </w:tbl>
    <w:p w14:paraId="4B0575BC" w14:textId="77777777" w:rsidR="001A5BCF" w:rsidRPr="00646254" w:rsidRDefault="001A5BCF" w:rsidP="008265F0">
      <w:pPr>
        <w:shd w:val="clear" w:color="auto" w:fill="FFFFFF" w:themeFill="background1"/>
        <w:spacing w:before="40" w:after="0" w:line="276" w:lineRule="auto"/>
        <w:rPr>
          <w:rFonts w:ascii="Calibri" w:eastAsia="MS PGothic" w:hAnsi="Calibri" w:cs="Calibri"/>
          <w:sz w:val="16"/>
          <w:szCs w:val="16"/>
          <w:lang w:val="sr-Cyrl-CS" w:eastAsia="ja-JP"/>
        </w:rPr>
      </w:pPr>
      <w:r w:rsidRPr="00646254">
        <w:rPr>
          <w:rFonts w:ascii="Calibri" w:eastAsia="MS PGothic" w:hAnsi="Calibri" w:cs="Calibri"/>
          <w:bCs/>
          <w:sz w:val="16"/>
          <w:szCs w:val="16"/>
          <w:lang w:val="sr-Cyrl-CS" w:eastAsia="ja-JP"/>
        </w:rPr>
        <w:t xml:space="preserve">* </w:t>
      </w:r>
      <w:r w:rsidRPr="00646254">
        <w:rPr>
          <w:rFonts w:ascii="Calibri" w:eastAsia="MS PGothic" w:hAnsi="Calibri" w:cs="Calibri"/>
          <w:sz w:val="16"/>
          <w:szCs w:val="16"/>
          <w:lang w:val="sr-Cyrl-CS" w:eastAsia="ja-JP"/>
        </w:rPr>
        <w:t>За период 2021–2024. године приказане су пројектоване вредности.</w:t>
      </w:r>
    </w:p>
    <w:p w14:paraId="2B829932" w14:textId="77777777" w:rsidR="001A5BCF" w:rsidRPr="00646254" w:rsidRDefault="001A5BCF" w:rsidP="008265F0">
      <w:pPr>
        <w:shd w:val="clear" w:color="auto" w:fill="FFFFFF" w:themeFill="background1"/>
        <w:spacing w:after="0" w:line="276" w:lineRule="auto"/>
        <w:rPr>
          <w:rFonts w:ascii="Calibri" w:eastAsia="MS PGothic" w:hAnsi="Calibri" w:cs="Calibri"/>
          <w:sz w:val="16"/>
          <w:szCs w:val="16"/>
          <w:lang w:val="sr-Cyrl-CS" w:eastAsia="ja-JP"/>
        </w:rPr>
      </w:pPr>
      <w:r w:rsidRPr="00646254">
        <w:rPr>
          <w:rFonts w:ascii="Calibri" w:eastAsia="MS PGothic" w:hAnsi="Calibri" w:cs="Calibri"/>
          <w:bCs/>
          <w:sz w:val="16"/>
          <w:szCs w:val="16"/>
          <w:lang w:val="sr-Cyrl-CS" w:eastAsia="ja-JP"/>
        </w:rPr>
        <w:t>** Структурни примарни биланс добијен је искључивањем процењених једнократних прихода и расхода</w:t>
      </w:r>
      <w:r w:rsidRPr="00646254">
        <w:rPr>
          <w:rFonts w:ascii="Calibri" w:eastAsia="MS PGothic" w:hAnsi="Calibri" w:cs="Calibri"/>
          <w:sz w:val="16"/>
          <w:szCs w:val="16"/>
          <w:lang w:val="sr-Cyrl-CS" w:eastAsia="ja-JP"/>
        </w:rPr>
        <w:t>. Резултати који приказују промену структурног примарног дефицита не искључују експлицитно ефекте повећања ефикасности наплате прихода, па се оцена структурног прилагођавања у 2015. и 2016. години делимично разликује од претходно приказаних ефеката.</w:t>
      </w:r>
    </w:p>
    <w:p w14:paraId="4C3BDC38" w14:textId="77777777" w:rsidR="001A5BCF" w:rsidRPr="00646254" w:rsidRDefault="001A5BCF" w:rsidP="008265F0">
      <w:pPr>
        <w:spacing w:after="120" w:line="276" w:lineRule="auto"/>
        <w:rPr>
          <w:rFonts w:ascii="Calibri" w:eastAsia="Calibri" w:hAnsi="Calibri" w:cs="Calibri"/>
          <w:sz w:val="16"/>
          <w:szCs w:val="16"/>
          <w:lang w:val="sr-Cyrl-CS"/>
        </w:rPr>
      </w:pPr>
      <w:r w:rsidRPr="00646254">
        <w:rPr>
          <w:rFonts w:ascii="Calibri" w:eastAsia="Calibri" w:hAnsi="Calibri" w:cs="Calibri"/>
          <w:sz w:val="16"/>
          <w:szCs w:val="16"/>
          <w:lang w:val="sr-Cyrl-CS"/>
        </w:rPr>
        <w:t xml:space="preserve">Извор: </w:t>
      </w:r>
      <w:r w:rsidRPr="00646254">
        <w:rPr>
          <w:rFonts w:ascii="Calibri" w:eastAsia="Calibri" w:hAnsi="Calibri" w:cs="Calibri"/>
          <w:sz w:val="16"/>
          <w:szCs w:val="20"/>
          <w:lang w:val="sr-Cyrl-CS"/>
        </w:rPr>
        <w:t>Министарство финансија</w:t>
      </w:r>
    </w:p>
    <w:p w14:paraId="2F7C2E01" w14:textId="77777777" w:rsidR="001A5BCF" w:rsidRPr="00646254" w:rsidRDefault="001A5BCF" w:rsidP="008265F0">
      <w:pPr>
        <w:spacing w:after="0" w:line="276" w:lineRule="auto"/>
        <w:rPr>
          <w:rFonts w:ascii="Calibri" w:eastAsia="MS PGothic" w:hAnsi="Calibri" w:cs="Calibri"/>
          <w:b/>
          <w:szCs w:val="20"/>
          <w:lang w:val="sr-Cyrl-CS" w:eastAsia="ja-JP"/>
        </w:rPr>
        <w:sectPr w:rsidR="001A5BCF" w:rsidRPr="00646254" w:rsidSect="00AE40EB">
          <w:type w:val="continuous"/>
          <w:pgSz w:w="12240" w:h="15840" w:code="1"/>
          <w:pgMar w:top="1417" w:right="1417" w:bottom="1417" w:left="1417" w:header="720" w:footer="720" w:gutter="0"/>
          <w:cols w:space="720"/>
        </w:sectPr>
      </w:pPr>
    </w:p>
    <w:p w14:paraId="49FDB826" w14:textId="77777777" w:rsidR="001A5BCF" w:rsidRPr="00646254" w:rsidRDefault="001A5BCF" w:rsidP="008265F0">
      <w:pPr>
        <w:rPr>
          <w:rFonts w:ascii="Calibri" w:eastAsia="Calibri" w:hAnsi="Calibri" w:cs="Calibri"/>
          <w:spacing w:val="-2"/>
          <w:szCs w:val="20"/>
          <w:lang w:val="sr-Cyrl-CS"/>
        </w:rPr>
      </w:pPr>
      <w:r w:rsidRPr="00646254">
        <w:rPr>
          <w:rFonts w:ascii="Calibri" w:eastAsia="Calibri" w:hAnsi="Calibri" w:cs="Calibri"/>
          <w:spacing w:val="-2"/>
          <w:szCs w:val="20"/>
          <w:lang w:val="sr-Cyrl-CS"/>
        </w:rPr>
        <w:t>Одговор фискалне политике на сложену економску ситуацију узроковану пандемијом коронавируса у 2020. години, представљен је опсежним пакетом мера помоћи привреди чија је вредност планирана на 12,8% БДП (реализовано 11,6% БДП). Оцењено је да је директан утицај овог економског пакета на цикличну позицију земље износио преко 7% БДП, при чему</w:t>
      </w:r>
      <w:r w:rsidRPr="00646254">
        <w:rPr>
          <w:rFonts w:ascii="Calibri" w:eastAsia="Calibri" w:hAnsi="Calibri" w:cs="Calibri"/>
          <w:color w:val="FF0000"/>
          <w:spacing w:val="-2"/>
          <w:szCs w:val="20"/>
          <w:lang w:val="sr-Cyrl-CS"/>
        </w:rPr>
        <w:t xml:space="preserve"> </w:t>
      </w:r>
      <w:r w:rsidRPr="00646254">
        <w:rPr>
          <w:rFonts w:ascii="Calibri" w:eastAsia="Calibri" w:hAnsi="Calibri" w:cs="Calibri"/>
          <w:spacing w:val="-2"/>
          <w:szCs w:val="20"/>
          <w:lang w:val="sr-Cyrl-CS"/>
        </w:rPr>
        <w:t>негативан производни јаз достиже 2,6% БДП. У случају одсуства мера подршке привреди и становништву пад БДП у 2020. години био би знатно већи, и износио би преко 5% услед веће контракције привреде и споријег опоравка, а негативан производни јаз би био виши од 6% БДП.</w:t>
      </w:r>
    </w:p>
    <w:p w14:paraId="258E7734" w14:textId="77777777" w:rsidR="001A5BCF" w:rsidRPr="00646254" w:rsidRDefault="001A5BCF" w:rsidP="008265F0">
      <w:pPr>
        <w:rPr>
          <w:rFonts w:ascii="Calibri" w:eastAsia="Calibri" w:hAnsi="Calibri" w:cs="Calibri"/>
          <w:spacing w:val="-2"/>
          <w:szCs w:val="20"/>
          <w:lang w:val="sr-Cyrl-CS"/>
        </w:rPr>
      </w:pPr>
      <w:r w:rsidRPr="00646254">
        <w:rPr>
          <w:rFonts w:ascii="Calibri" w:eastAsia="Calibri" w:hAnsi="Calibri" w:cs="Calibri"/>
          <w:spacing w:val="-2"/>
          <w:szCs w:val="20"/>
          <w:lang w:val="sr-Cyrl-CS"/>
        </w:rPr>
        <w:t>Оцењена негативна циклична компонента фискалног резултата у 2020. години износила је само 0,9% БДП. Иако циклична анализа фискалног резултата наговештава да би уштеде настале неспровођењем пакета мера надмашиле фискалне губитке услед већег пада БДП, дугорочни негативни ефекти губитка производних потенцијала и људских ресурса би били немерљиво већи.</w:t>
      </w:r>
    </w:p>
    <w:p w14:paraId="657FC0DB" w14:textId="063F1942" w:rsidR="001A5BCF" w:rsidRPr="00646254" w:rsidRDefault="001A5BCF" w:rsidP="00FC0172">
      <w:pPr>
        <w:spacing w:after="0"/>
        <w:rPr>
          <w:rFonts w:ascii="Calibri" w:eastAsia="Calibri" w:hAnsi="Calibri" w:cs="Calibri"/>
          <w:szCs w:val="20"/>
          <w:lang w:val="sr-Cyrl-CS"/>
        </w:rPr>
      </w:pPr>
      <w:r w:rsidRPr="00646254">
        <w:rPr>
          <w:rFonts w:ascii="Calibri" w:eastAsia="Calibri" w:hAnsi="Calibri" w:cs="Calibri"/>
          <w:szCs w:val="20"/>
          <w:lang w:val="sr-Cyrl-CS"/>
        </w:rPr>
        <w:t xml:space="preserve">Услед продуженог епидемиолошког и економског дејства пандемије </w:t>
      </w:r>
      <w:r w:rsidR="00F26771" w:rsidRPr="00646254">
        <w:rPr>
          <w:rFonts w:ascii="Calibri" w:eastAsia="Calibri" w:hAnsi="Calibri" w:cs="Calibri"/>
          <w:szCs w:val="20"/>
          <w:lang w:val="sr-Cyrl-CS"/>
        </w:rPr>
        <w:t>COVID-19</w:t>
      </w:r>
      <w:r w:rsidRPr="00646254">
        <w:rPr>
          <w:rFonts w:ascii="Calibri" w:eastAsia="Calibri" w:hAnsi="Calibri" w:cs="Calibri"/>
          <w:szCs w:val="20"/>
          <w:lang w:val="sr-Cyrl-CS"/>
        </w:rPr>
        <w:t xml:space="preserve"> и током 2021. године, било је неопходно донети додатни пакет мера економске подршке привреди и становништву. Првим и другим ребалансом буџета за 2021. годину, поред осталог, предвиђена су средства у висини од 4,2% БДП, као вид подршке привреди и грађанима за лакше превазилажење економских последица пандемије. Акценат је стављен на секторе који су посебно погођени мерама епидемиолошке заштите становништва. Као и у претходном пакету мера, предвиђена су средства подршке становништву, која ће дати додатни стимуланс агрегатној тражњи. Процењени ефекат трећег пакета мера на фискалну позицију земље је 2,3% БДП.</w:t>
      </w:r>
    </w:p>
    <w:p w14:paraId="71168FE3" w14:textId="77777777" w:rsidR="001A5BCF" w:rsidRPr="00646254" w:rsidRDefault="001A5BCF" w:rsidP="008265F0">
      <w:pPr>
        <w:rPr>
          <w:rFonts w:ascii="Calibri" w:eastAsia="Calibri" w:hAnsi="Calibri" w:cs="Calibri"/>
          <w:szCs w:val="20"/>
          <w:lang w:val="sr-Cyrl-CS"/>
        </w:rPr>
        <w:sectPr w:rsidR="001A5BCF" w:rsidRPr="00646254" w:rsidSect="00AE40EB">
          <w:type w:val="continuous"/>
          <w:pgSz w:w="12240" w:h="15840" w:code="1"/>
          <w:pgMar w:top="1417" w:right="1417" w:bottom="1417" w:left="1417" w:header="720" w:footer="720" w:gutter="0"/>
          <w:cols w:num="2" w:space="720"/>
        </w:sectPr>
      </w:pPr>
    </w:p>
    <w:p w14:paraId="14C69ECA" w14:textId="77777777" w:rsidR="001A5BCF" w:rsidRPr="00646254" w:rsidRDefault="001A5BCF" w:rsidP="008265F0">
      <w:pPr>
        <w:spacing w:after="0"/>
        <w:jc w:val="center"/>
        <w:rPr>
          <w:lang w:val="sr-Cyrl-CS" w:eastAsia="sr-Cyrl-RS"/>
        </w:rPr>
      </w:pPr>
      <w:r w:rsidRPr="00646254">
        <w:rPr>
          <w:rFonts w:cstheme="minorHAnsi"/>
          <w:b/>
          <w:color w:val="002060"/>
          <w:lang w:val="sr-Cyrl-CS"/>
        </w:rPr>
        <w:t>Производни јаз, циклично прилаг. и структурни фиск. биланс у периоду 2005–2024. год, % БДП*</w:t>
      </w:r>
    </w:p>
    <w:p w14:paraId="22C67736" w14:textId="77777777" w:rsidR="001A5BCF" w:rsidRPr="00646254" w:rsidRDefault="001A5BCF" w:rsidP="008265F0">
      <w:pPr>
        <w:spacing w:after="0"/>
        <w:jc w:val="left"/>
        <w:rPr>
          <w:lang w:val="sr-Cyrl-CS" w:eastAsia="sr-Cyrl-RS"/>
        </w:rPr>
      </w:pPr>
      <w:r w:rsidRPr="00646254">
        <w:rPr>
          <w:noProof/>
        </w:rPr>
        <w:drawing>
          <wp:inline distT="0" distB="0" distL="0" distR="0" wp14:anchorId="0C890174" wp14:editId="7B6C29F2">
            <wp:extent cx="2757805" cy="2589291"/>
            <wp:effectExtent l="0" t="0" r="4445" b="1905"/>
            <wp:docPr id="72" name="Chart 72"/>
            <wp:cNvGraphicFramePr/>
            <a:graphic xmlns:a="http://schemas.openxmlformats.org/drawingml/2006/main">
              <a:graphicData uri="http://schemas.openxmlformats.org/drawingml/2006/chart">
                <c:chart xmlns:c="http://schemas.openxmlformats.org/drawingml/2006/chart" xmlns:r="http://schemas.openxmlformats.org/officeDocument/2006/relationships" r:id="rId168"/>
              </a:graphicData>
            </a:graphic>
          </wp:inline>
        </w:drawing>
      </w:r>
    </w:p>
    <w:p w14:paraId="32D82590" w14:textId="77777777" w:rsidR="001A5BCF" w:rsidRPr="00646254" w:rsidRDefault="001A5BCF" w:rsidP="00E96A1D">
      <w:pPr>
        <w:spacing w:after="0"/>
        <w:jc w:val="left"/>
        <w:rPr>
          <w:rFonts w:ascii="Calibri" w:eastAsia="MS PGothic" w:hAnsi="Calibri" w:cs="Calibri"/>
          <w:sz w:val="16"/>
          <w:szCs w:val="20"/>
          <w:lang w:val="sr-Cyrl-CS" w:eastAsia="ja-JP"/>
        </w:rPr>
      </w:pPr>
      <w:r w:rsidRPr="00646254">
        <w:rPr>
          <w:rFonts w:ascii="Calibri" w:eastAsia="MS PGothic" w:hAnsi="Calibri" w:cs="Calibri"/>
          <w:sz w:val="16"/>
          <w:szCs w:val="20"/>
          <w:lang w:val="sr-Cyrl-CS" w:eastAsia="ja-JP"/>
        </w:rPr>
        <w:t>*За период 2021–2024. године приказане су пројектоване вредности</w:t>
      </w:r>
    </w:p>
    <w:p w14:paraId="2925E213" w14:textId="77777777" w:rsidR="001A5BCF" w:rsidRPr="00646254" w:rsidRDefault="001A5BCF" w:rsidP="00E96A1D">
      <w:pPr>
        <w:spacing w:after="0"/>
        <w:jc w:val="center"/>
        <w:rPr>
          <w:lang w:val="sr-Cyrl-CS" w:eastAsia="sr-Cyrl-RS"/>
        </w:rPr>
      </w:pPr>
      <w:r w:rsidRPr="00646254">
        <w:rPr>
          <w:rFonts w:cstheme="minorHAnsi"/>
          <w:b/>
          <w:color w:val="002060"/>
          <w:lang w:val="sr-Cyrl-CS"/>
        </w:rPr>
        <w:br w:type="column"/>
        <w:t>Карактер и ефекти фискалне политике у периоду 2006–2024. године, % БДП*</w:t>
      </w:r>
    </w:p>
    <w:p w14:paraId="2D5EC7CC" w14:textId="77777777" w:rsidR="001A5BCF" w:rsidRPr="00646254" w:rsidRDefault="001A5BCF" w:rsidP="00E96A1D">
      <w:pPr>
        <w:spacing w:after="0"/>
        <w:rPr>
          <w:rFonts w:cstheme="minorHAnsi"/>
          <w:bCs/>
          <w:sz w:val="16"/>
          <w:szCs w:val="72"/>
          <w:lang w:val="sr-Cyrl-CS"/>
        </w:rPr>
      </w:pPr>
      <w:r w:rsidRPr="00646254">
        <w:rPr>
          <w:noProof/>
        </w:rPr>
        <w:drawing>
          <wp:inline distT="0" distB="0" distL="0" distR="0" wp14:anchorId="2911827A" wp14:editId="4A41635A">
            <wp:extent cx="2757805" cy="2571184"/>
            <wp:effectExtent l="0" t="0" r="4445" b="635"/>
            <wp:docPr id="73" name="Chart 73"/>
            <wp:cNvGraphicFramePr/>
            <a:graphic xmlns:a="http://schemas.openxmlformats.org/drawingml/2006/main">
              <a:graphicData uri="http://schemas.openxmlformats.org/drawingml/2006/chart">
                <c:chart xmlns:c="http://schemas.openxmlformats.org/drawingml/2006/chart" xmlns:r="http://schemas.openxmlformats.org/officeDocument/2006/relationships" r:id="rId169"/>
              </a:graphicData>
            </a:graphic>
          </wp:inline>
        </w:drawing>
      </w:r>
    </w:p>
    <w:p w14:paraId="2823AF3C" w14:textId="77777777" w:rsidR="001A5BCF" w:rsidRPr="00646254" w:rsidRDefault="001A5BCF" w:rsidP="00E96A1D">
      <w:pPr>
        <w:spacing w:after="0" w:line="276" w:lineRule="auto"/>
        <w:jc w:val="left"/>
        <w:rPr>
          <w:rFonts w:ascii="Calibri" w:eastAsia="MS PGothic" w:hAnsi="Calibri" w:cs="Calibri"/>
          <w:sz w:val="16"/>
          <w:szCs w:val="20"/>
          <w:lang w:val="sr-Cyrl-CS" w:eastAsia="ja-JP"/>
        </w:rPr>
      </w:pPr>
      <w:r w:rsidRPr="00646254">
        <w:rPr>
          <w:rFonts w:ascii="Calibri" w:eastAsia="MS PGothic" w:hAnsi="Calibri" w:cs="Calibri"/>
          <w:sz w:val="16"/>
          <w:szCs w:val="20"/>
          <w:lang w:val="sr-Cyrl-CS" w:eastAsia="ja-JP"/>
        </w:rPr>
        <w:t>*За период 2021–2024. године приказане су пројектоване вредности.</w:t>
      </w:r>
    </w:p>
    <w:p w14:paraId="7C064744" w14:textId="77777777" w:rsidR="001A5BCF" w:rsidRPr="00646254" w:rsidRDefault="001A5BCF" w:rsidP="00E96A1D">
      <w:pPr>
        <w:spacing w:after="0" w:line="276" w:lineRule="auto"/>
        <w:jc w:val="left"/>
        <w:rPr>
          <w:rFonts w:ascii="Calibri" w:eastAsia="MS PGothic" w:hAnsi="Calibri" w:cs="Calibri"/>
          <w:sz w:val="16"/>
          <w:szCs w:val="20"/>
          <w:lang w:val="sr-Cyrl-CS" w:eastAsia="ja-JP"/>
        </w:rPr>
        <w:sectPr w:rsidR="001A5BCF" w:rsidRPr="00646254" w:rsidSect="00AE40EB">
          <w:type w:val="continuous"/>
          <w:pgSz w:w="12240" w:h="15840" w:code="1"/>
          <w:pgMar w:top="1417" w:right="1417" w:bottom="1417" w:left="1417" w:header="720" w:footer="720" w:gutter="0"/>
          <w:cols w:num="2" w:space="720"/>
        </w:sectPr>
      </w:pPr>
    </w:p>
    <w:p w14:paraId="17E8FDEE" w14:textId="77777777" w:rsidR="001A5BCF" w:rsidRPr="00646254" w:rsidRDefault="001A5BCF" w:rsidP="00E96A1D">
      <w:pPr>
        <w:spacing w:after="0" w:line="276" w:lineRule="auto"/>
        <w:rPr>
          <w:lang w:val="sr-Cyrl-CS" w:eastAsia="ja-JP"/>
        </w:rPr>
        <w:sectPr w:rsidR="001A5BCF" w:rsidRPr="00646254" w:rsidSect="00AE40EB">
          <w:type w:val="continuous"/>
          <w:pgSz w:w="12240" w:h="15840" w:code="1"/>
          <w:pgMar w:top="1417" w:right="1417" w:bottom="1417" w:left="1417" w:header="720" w:footer="720" w:gutter="0"/>
          <w:cols w:space="720"/>
        </w:sectPr>
      </w:pPr>
    </w:p>
    <w:p w14:paraId="6062619C" w14:textId="77777777" w:rsidR="001A5BCF" w:rsidRPr="00646254" w:rsidRDefault="001A5BCF" w:rsidP="00E96A1D">
      <w:pPr>
        <w:rPr>
          <w:lang w:val="sr-Cyrl-CS" w:eastAsia="ja-JP"/>
        </w:rPr>
      </w:pPr>
      <w:r w:rsidRPr="00646254">
        <w:rPr>
          <w:lang w:val="sr-Cyrl-CS" w:eastAsia="ja-JP"/>
        </w:rPr>
        <w:t>Структурна фискална позиција земље није значајно нарушена, због тога што су спроведене мере помоћи привреди из домена фискалне политике временски ограниченог карактера. Ипак, у наредном средњорочном периоду на кретање структурног фискалног резултата ће утицати пренeте пореске обавезе из 2020. године у 2021. и 2022. годину. Уплата прихода по основу одлагања пореза и доприноса у 2020. години имаће привремени (неструктурни) ефекат на фискални биланс у 2021. и 2022. години. Услед наведеног, као и по основу значајног повећања расхода за инфраструктуру током 2021. године и касније, долази до привременог, али одрживог, погоршања структурне фискалне позиције. Смањењем обима кризних мера ствара се простор за умерено повећање редовних структурних расхода. Са друге стране, повећање удела јавних инвестиција у БДП, имаће и директан и индиректан утицај на убрзање привредног раста у наредном периоду.</w:t>
      </w:r>
    </w:p>
    <w:p w14:paraId="394788D2" w14:textId="77777777" w:rsidR="001A5BCF" w:rsidRPr="00646254" w:rsidRDefault="001A5BCF" w:rsidP="00E96A1D">
      <w:pPr>
        <w:rPr>
          <w:rFonts w:eastAsia="MS PGothic" w:cs="Calibri"/>
          <w:szCs w:val="20"/>
          <w:lang w:val="sr-Cyrl-CS" w:eastAsia="ja-JP"/>
        </w:rPr>
      </w:pPr>
      <w:r w:rsidRPr="00646254">
        <w:rPr>
          <w:lang w:val="sr-Cyrl-CS" w:eastAsia="ja-JP"/>
        </w:rPr>
        <w:t xml:space="preserve">Како је фискални импулс дефинисан као разлика два узастопна циклично прилагођена (примарна) резултата, оцењује се да је фискална политика током 2018. и 2019. године, у условима позитивног производног јаза, имала проциклични карактер. Са друге стране, фискална политика током 2020. године је изразито експанзивно-контрациклична, усмерена на ублажавање негативног економског циклуса. Услед нешто мањег обима пакета мера економске подршке у 2021. години, фискална политика је рестриктивнија него претходне године, а по карактеру неутрална. У периоду од 2022. до 2024. године рестриктивност и даље постоји услед напуштања кризних мера и смањења примарног фискалног дефицита. </w:t>
      </w:r>
      <w:r w:rsidRPr="00646254">
        <w:rPr>
          <w:rFonts w:eastAsia="MS PGothic" w:cs="Calibri"/>
          <w:szCs w:val="20"/>
          <w:lang w:val="sr-Cyrl-CS" w:eastAsia="ja-JP"/>
        </w:rPr>
        <w:t xml:space="preserve">И даље је присутан одређени </w:t>
      </w:r>
      <w:r w:rsidRPr="00646254">
        <w:rPr>
          <w:lang w:val="sr-Cyrl-CS" w:eastAsia="ja-JP"/>
        </w:rPr>
        <w:t>контрациклични карактер</w:t>
      </w:r>
      <w:r w:rsidRPr="00646254">
        <w:rPr>
          <w:rFonts w:eastAsia="MS PGothic" w:cs="Calibri"/>
          <w:szCs w:val="20"/>
          <w:lang w:val="sr-Cyrl-CS" w:eastAsia="ja-JP"/>
        </w:rPr>
        <w:t>, услед постављених циљева уравнотежења и стабилизације јавних финансија, у условима позитивног производног јаза.</w:t>
      </w:r>
    </w:p>
    <w:p w14:paraId="0858B064" w14:textId="77777777" w:rsidR="001A5BCF" w:rsidRPr="00646254" w:rsidRDefault="001A5BCF" w:rsidP="008265F0">
      <w:pPr>
        <w:spacing w:after="0"/>
        <w:jc w:val="center"/>
        <w:rPr>
          <w:vanish/>
          <w:lang w:val="sr-Cyrl-CS" w:eastAsia="sr-Cyrl-RS"/>
          <w:specVanish/>
        </w:rPr>
      </w:pPr>
      <w:r w:rsidRPr="00646254">
        <w:rPr>
          <w:rFonts w:cstheme="minorHAnsi"/>
          <w:b/>
          <w:color w:val="002060"/>
          <w:lang w:val="sr-Cyrl-CS"/>
        </w:rPr>
        <w:t>Карактер и ефекти фискалне политике у периоду 2006–2021. године, % БДП*</w:t>
      </w:r>
    </w:p>
    <w:p w14:paraId="4D73A679" w14:textId="77777777" w:rsidR="001A5BCF" w:rsidRPr="00646254" w:rsidRDefault="001A5BCF" w:rsidP="00E96A1D">
      <w:pPr>
        <w:jc w:val="center"/>
        <w:rPr>
          <w:rFonts w:cstheme="minorHAnsi"/>
          <w:bCs/>
          <w:sz w:val="16"/>
          <w:szCs w:val="72"/>
          <w:lang w:val="sr-Cyrl-CS"/>
        </w:rPr>
      </w:pPr>
      <w:r w:rsidRPr="00646254">
        <w:rPr>
          <w:lang w:val="sr-Cyrl-CS" w:eastAsia="sr-Cyrl-RS"/>
        </w:rPr>
        <w:t xml:space="preserve"> </w:t>
      </w:r>
    </w:p>
    <w:p w14:paraId="68C647FF" w14:textId="77777777" w:rsidR="001A5BCF" w:rsidRPr="00646254" w:rsidRDefault="001A5BCF" w:rsidP="008265F0">
      <w:pPr>
        <w:spacing w:after="120"/>
        <w:rPr>
          <w:rFonts w:ascii="Calibri" w:eastAsia="MS PGothic" w:hAnsi="Calibri" w:cs="Calibri"/>
          <w:szCs w:val="20"/>
          <w:lang w:val="sr-Cyrl-CS" w:eastAsia="ja-JP"/>
        </w:rPr>
        <w:sectPr w:rsidR="001A5BCF" w:rsidRPr="00646254" w:rsidSect="00AE40EB">
          <w:type w:val="continuous"/>
          <w:pgSz w:w="12240" w:h="15840" w:code="1"/>
          <w:pgMar w:top="1417" w:right="1417" w:bottom="1417" w:left="1417" w:header="720" w:footer="720" w:gutter="0"/>
          <w:cols w:num="2" w:space="720"/>
        </w:sectPr>
      </w:pPr>
      <w:r w:rsidRPr="00646254">
        <w:rPr>
          <w:noProof/>
        </w:rPr>
        <w:drawing>
          <wp:inline distT="0" distB="0" distL="0" distR="0" wp14:anchorId="3B58C2E6" wp14:editId="5739C566">
            <wp:extent cx="2757805" cy="1548142"/>
            <wp:effectExtent l="0" t="0" r="4445" b="13970"/>
            <wp:docPr id="74" name="Chart 74"/>
            <wp:cNvGraphicFramePr/>
            <a:graphic xmlns:a="http://schemas.openxmlformats.org/drawingml/2006/main">
              <a:graphicData uri="http://schemas.openxmlformats.org/drawingml/2006/chart">
                <c:chart xmlns:c="http://schemas.openxmlformats.org/drawingml/2006/chart" xmlns:r="http://schemas.openxmlformats.org/officeDocument/2006/relationships" r:id="rId170"/>
              </a:graphicData>
            </a:graphic>
          </wp:inline>
        </w:drawing>
      </w:r>
    </w:p>
    <w:p w14:paraId="19C4EBE3" w14:textId="77777777" w:rsidR="001A5BCF" w:rsidRPr="00646254" w:rsidRDefault="001A5BCF" w:rsidP="008265F0">
      <w:pPr>
        <w:pStyle w:val="Heading2"/>
        <w:spacing w:before="0" w:after="240"/>
        <w:rPr>
          <w:rFonts w:asciiTheme="minorHAnsi" w:eastAsia="MS PGothic" w:hAnsiTheme="minorHAnsi" w:cstheme="minorHAnsi"/>
          <w:b/>
          <w:sz w:val="24"/>
          <w:lang w:val="sr-Cyrl-CS" w:eastAsia="ja-JP"/>
        </w:rPr>
        <w:sectPr w:rsidR="001A5BCF" w:rsidRPr="00646254" w:rsidSect="00AE40EB">
          <w:type w:val="continuous"/>
          <w:pgSz w:w="12240" w:h="15840" w:code="1"/>
          <w:pgMar w:top="1417" w:right="1417" w:bottom="1417" w:left="1417" w:header="720" w:footer="720" w:gutter="0"/>
          <w:cols w:space="720"/>
        </w:sectPr>
      </w:pPr>
    </w:p>
    <w:p w14:paraId="329A2CAC" w14:textId="77777777" w:rsidR="001A5BCF" w:rsidRPr="00646254" w:rsidRDefault="001A5BCF" w:rsidP="00FE1A26">
      <w:pPr>
        <w:pStyle w:val="Heading2"/>
        <w:spacing w:before="0" w:after="240"/>
        <w:jc w:val="center"/>
        <w:rPr>
          <w:rFonts w:asciiTheme="minorHAnsi" w:eastAsia="MS PGothic" w:hAnsiTheme="minorHAnsi" w:cstheme="minorHAnsi"/>
          <w:b/>
          <w:lang w:val="sr-Cyrl-CS" w:eastAsia="ja-JP"/>
        </w:rPr>
        <w:sectPr w:rsidR="001A5BCF" w:rsidRPr="00646254" w:rsidSect="00AE40EB">
          <w:type w:val="continuous"/>
          <w:pgSz w:w="12240" w:h="15840" w:code="1"/>
          <w:pgMar w:top="1417" w:right="1417" w:bottom="1417" w:left="1417" w:header="720" w:footer="720" w:gutter="0"/>
          <w:cols w:space="720"/>
        </w:sectPr>
      </w:pPr>
      <w:bookmarkStart w:id="44" w:name="_Toc56667081"/>
      <w:bookmarkStart w:id="45" w:name="_Toc86650479"/>
      <w:r w:rsidRPr="00646254">
        <w:rPr>
          <w:rFonts w:asciiTheme="minorHAnsi" w:eastAsia="MS PGothic" w:hAnsiTheme="minorHAnsi" w:cstheme="minorHAnsi"/>
          <w:b/>
          <w:sz w:val="24"/>
          <w:lang w:val="sr-Cyrl-CS" w:eastAsia="ja-JP"/>
        </w:rPr>
        <w:t>7. Програм за смањење дуга</w:t>
      </w:r>
      <w:bookmarkEnd w:id="41"/>
      <w:bookmarkEnd w:id="42"/>
      <w:bookmarkEnd w:id="43"/>
      <w:bookmarkEnd w:id="44"/>
      <w:bookmarkEnd w:id="45"/>
    </w:p>
    <w:p w14:paraId="5FB087B7" w14:textId="77777777" w:rsidR="001A5BCF" w:rsidRPr="00646254" w:rsidRDefault="001A5BCF" w:rsidP="008265F0">
      <w:pPr>
        <w:rPr>
          <w:rFonts w:ascii="Calibri" w:eastAsia="Calibri" w:hAnsi="Calibri" w:cs="Calibri"/>
          <w:spacing w:val="-4"/>
          <w:szCs w:val="20"/>
          <w:lang w:val="sr-Cyrl-CS"/>
        </w:rPr>
      </w:pPr>
      <w:r w:rsidRPr="00646254">
        <w:rPr>
          <w:rFonts w:ascii="Calibri" w:eastAsia="MS PGothic" w:hAnsi="Calibri" w:cs="Calibri"/>
          <w:spacing w:val="-4"/>
          <w:szCs w:val="20"/>
          <w:lang w:val="sr-Cyrl-CS" w:eastAsia="ja-JP"/>
        </w:rPr>
        <w:t>У складу са принципом фискалне одговорности, уколико дуг опште државе пређе 45% БДП, Влада је дужна да предложи мере којима ће се дуг приближити циљаном нивоу и вратити у одрживе оквире</w:t>
      </w:r>
      <w:r w:rsidRPr="00646254">
        <w:rPr>
          <w:rFonts w:ascii="Calibri" w:eastAsia="Calibri" w:hAnsi="Calibri" w:cs="Calibri"/>
          <w:spacing w:val="-4"/>
          <w:szCs w:val="20"/>
          <w:vertAlign w:val="superscript"/>
          <w:lang w:val="sr-Cyrl-CS"/>
        </w:rPr>
        <w:footnoteReference w:id="15"/>
      </w:r>
      <w:r w:rsidRPr="00646254">
        <w:rPr>
          <w:rFonts w:ascii="Calibri" w:eastAsia="Calibri" w:hAnsi="Calibri" w:cs="Calibri"/>
          <w:spacing w:val="-4"/>
          <w:szCs w:val="20"/>
          <w:lang w:val="sr-Cyrl-CS"/>
        </w:rPr>
        <w:t>.</w:t>
      </w:r>
      <w:r w:rsidRPr="00646254">
        <w:rPr>
          <w:rFonts w:ascii="Calibri" w:eastAsia="Calibri" w:hAnsi="Calibri" w:cs="Calibri"/>
          <w:color w:val="2F5496" w:themeColor="accent1" w:themeShade="BF"/>
          <w:spacing w:val="-4"/>
          <w:szCs w:val="20"/>
          <w:lang w:val="sr-Cyrl-CS"/>
        </w:rPr>
        <w:t xml:space="preserve"> </w:t>
      </w:r>
      <w:r w:rsidRPr="00646254">
        <w:rPr>
          <w:rFonts w:ascii="Calibri" w:eastAsia="Calibri" w:hAnsi="Calibri" w:cs="Calibri"/>
          <w:spacing w:val="-4"/>
          <w:szCs w:val="20"/>
          <w:lang w:val="sr-Cyrl-CS"/>
        </w:rPr>
        <w:t>Истовремено, Пактом за стабилност и раст је прописана горња граница учешћа јавног дуга у БДП од 60%, као и обавеза за земље чланице ЕУ да званичним документом представе кредибилан план достизања прописаног нивоа задовољавајућом брзином, уколико је ова граница прекорачена.</w:t>
      </w:r>
    </w:p>
    <w:p w14:paraId="12537164" w14:textId="77777777" w:rsidR="001A5BCF" w:rsidRPr="00646254" w:rsidRDefault="001A5BCF" w:rsidP="008265F0">
      <w:pPr>
        <w:jc w:val="center"/>
        <w:rPr>
          <w:rFonts w:cstheme="minorHAnsi"/>
          <w:b/>
          <w:color w:val="002060"/>
          <w:lang w:val="sr-Cyrl-CS"/>
        </w:rPr>
      </w:pPr>
      <w:r w:rsidRPr="00646254">
        <w:rPr>
          <w:rFonts w:cstheme="minorHAnsi"/>
          <w:b/>
          <w:color w:val="002060"/>
          <w:lang w:val="sr-Cyrl-CS"/>
        </w:rPr>
        <w:t>Јавни дуг опште државе у периоду 2008–2021. године, % БДП</w:t>
      </w:r>
    </w:p>
    <w:p w14:paraId="2631D11D" w14:textId="77777777" w:rsidR="001A5BCF" w:rsidRPr="00646254" w:rsidRDefault="001A5BCF" w:rsidP="008C562A">
      <w:pPr>
        <w:spacing w:after="0"/>
        <w:jc w:val="center"/>
        <w:rPr>
          <w:rFonts w:cstheme="minorHAnsi"/>
          <w:b/>
          <w:color w:val="002060"/>
          <w:lang w:val="sr-Cyrl-CS"/>
        </w:rPr>
      </w:pPr>
      <w:r w:rsidRPr="00646254">
        <w:rPr>
          <w:noProof/>
        </w:rPr>
        <w:drawing>
          <wp:inline distT="0" distB="0" distL="0" distR="0" wp14:anchorId="5E56BDB5" wp14:editId="360378E9">
            <wp:extent cx="2757805" cy="2268000"/>
            <wp:effectExtent l="0" t="0" r="4445" b="0"/>
            <wp:docPr id="75" name="Chart 75"/>
            <wp:cNvGraphicFramePr/>
            <a:graphic xmlns:a="http://schemas.openxmlformats.org/drawingml/2006/main">
              <a:graphicData uri="http://schemas.openxmlformats.org/drawingml/2006/chart">
                <c:chart xmlns:c="http://schemas.openxmlformats.org/drawingml/2006/chart" xmlns:r="http://schemas.openxmlformats.org/officeDocument/2006/relationships" r:id="rId171"/>
              </a:graphicData>
            </a:graphic>
          </wp:inline>
        </w:drawing>
      </w:r>
    </w:p>
    <w:p w14:paraId="602FF975" w14:textId="77777777" w:rsidR="001A5BCF" w:rsidRPr="00646254" w:rsidRDefault="001A5BCF" w:rsidP="008265F0">
      <w:pPr>
        <w:spacing w:after="40" w:line="240" w:lineRule="auto"/>
        <w:rPr>
          <w:rFonts w:cstheme="minorHAnsi"/>
          <w:bCs/>
          <w:sz w:val="16"/>
          <w:szCs w:val="72"/>
          <w:lang w:val="sr-Cyrl-CS"/>
        </w:rPr>
      </w:pPr>
      <w:r w:rsidRPr="00646254">
        <w:rPr>
          <w:rFonts w:ascii="Calibri" w:eastAsia="Calibri" w:hAnsi="Calibri" w:cs="Calibri"/>
          <w:sz w:val="16"/>
          <w:szCs w:val="16"/>
          <w:lang w:val="sr-Cyrl-CS"/>
        </w:rPr>
        <w:t xml:space="preserve">* </w:t>
      </w:r>
      <w:r w:rsidRPr="00646254">
        <w:rPr>
          <w:rFonts w:cstheme="minorHAnsi"/>
          <w:bCs/>
          <w:sz w:val="16"/>
          <w:szCs w:val="72"/>
          <w:lang w:val="sr-Cyrl-CS"/>
        </w:rPr>
        <w:t>апроксимација локалног дуга</w:t>
      </w:r>
    </w:p>
    <w:p w14:paraId="2B81F8FD" w14:textId="77777777" w:rsidR="001A5BCF" w:rsidRPr="00646254" w:rsidRDefault="001A5BCF" w:rsidP="008265F0">
      <w:pPr>
        <w:spacing w:after="120" w:line="276" w:lineRule="auto"/>
        <w:rPr>
          <w:rFonts w:cstheme="minorHAnsi"/>
          <w:bCs/>
          <w:sz w:val="16"/>
          <w:szCs w:val="72"/>
          <w:lang w:val="sr-Cyrl-CS"/>
        </w:rPr>
      </w:pPr>
      <w:r w:rsidRPr="00646254">
        <w:rPr>
          <w:rFonts w:cstheme="minorHAnsi"/>
          <w:bCs/>
          <w:sz w:val="16"/>
          <w:szCs w:val="72"/>
          <w:lang w:val="sr-Cyrl-CS"/>
        </w:rPr>
        <w:t>** процена за 2021. годину</w:t>
      </w:r>
    </w:p>
    <w:p w14:paraId="3439C293" w14:textId="77777777" w:rsidR="001A5BCF" w:rsidRPr="00646254" w:rsidRDefault="001A5BCF" w:rsidP="008265F0">
      <w:pPr>
        <w:rPr>
          <w:rFonts w:ascii="Calibri" w:eastAsia="Calibri" w:hAnsi="Calibri" w:cs="Calibri"/>
          <w:szCs w:val="20"/>
          <w:lang w:val="sr-Cyrl-CS"/>
        </w:rPr>
      </w:pPr>
      <w:r w:rsidRPr="00646254">
        <w:rPr>
          <w:rFonts w:ascii="Calibri" w:eastAsia="Calibri" w:hAnsi="Calibri" w:cs="Calibri"/>
          <w:szCs w:val="20"/>
          <w:lang w:val="sr-Cyrl-CS"/>
        </w:rPr>
        <w:t xml:space="preserve">У периоду од 2008. до 2014. године дефицит опште државе је значајно повећан уз истовремено експлозивну путању раста јавног дуга, при чему је однос дуга и БДП више него удвостручен. Мере фискалне консолидације усвојене крајем 2012. и током 2013. године делимично су ублажиле овај тренд, али је ниво јавног дуга и даље значајно растао. Смањивање примарног дефицита у периоду 2012–2014. године није било довољно да стабилизује учешће нивоа јавног дуга у БДП. Ефекти првог таласа фискалне консолидације, која се односила углавном на приходну страну, изостали су, услед повећаног обима сиве економије, карактеристичног у периоду након подизања пореских стопа. На расходној страни, високе камате и одређени једнократни расходи су додатно погоршавали фискалну позицију. </w:t>
      </w:r>
    </w:p>
    <w:p w14:paraId="26EA51E1" w14:textId="77777777" w:rsidR="001A5BCF" w:rsidRPr="00646254" w:rsidRDefault="001A5BCF" w:rsidP="008265F0">
      <w:pPr>
        <w:rPr>
          <w:rFonts w:ascii="Calibri" w:eastAsia="Calibri" w:hAnsi="Calibri" w:cs="Calibri"/>
          <w:szCs w:val="20"/>
          <w:lang w:val="sr-Cyrl-CS"/>
        </w:rPr>
      </w:pPr>
      <w:r w:rsidRPr="00646254">
        <w:rPr>
          <w:rFonts w:ascii="Calibri" w:eastAsia="Calibri" w:hAnsi="Calibri" w:cs="Calibri"/>
          <w:szCs w:val="20"/>
          <w:lang w:val="sr-Cyrl-CS"/>
        </w:rPr>
        <w:t>Мере фискалне консолидације донете крајем 2014. године спустиле су примарни дефицит и успориле раст јавног дуга већ током 2015. године. До смањења јавног дуга у БДП дошло је у 2016. години, годину дана раније него што је било предвиђено аранжманом са ММФ. У 2016. години остварен је примарни суфицит од 1,7% БДП, чиме су се коначно стекли услови за пад учешћа јавног дуга у БДП. Након тога, у 2017. години, остварени примарни фискални суфицит од 3,6% БДП доводи до још значајнијег пада учешћа дуга, за више од 10 п.п. БДП, на 58,6% БДП.</w:t>
      </w:r>
      <w:r w:rsidRPr="00646254">
        <w:rPr>
          <w:lang w:val="sr-Cyrl-CS"/>
        </w:rPr>
        <w:t xml:space="preserve"> </w:t>
      </w:r>
      <w:r w:rsidRPr="00646254">
        <w:rPr>
          <w:rFonts w:ascii="Calibri" w:eastAsia="Calibri" w:hAnsi="Calibri" w:cs="Calibri"/>
          <w:szCs w:val="20"/>
          <w:lang w:val="sr-Cyrl-CS"/>
        </w:rPr>
        <w:t>Током 2018. године настављен је тренд смањења учешћа јавног дуга у БДП на 54,4% БДП. Фискална релаксација током 2019. године није угрозила опадајућу путању јавног дуга. Позитиван примарни фискални резултат у 2019. години од 1,8% БДП утицао je на даље смањење јавног дуга за још 1,6 п.п. БДП.</w:t>
      </w:r>
    </w:p>
    <w:p w14:paraId="0653DB5D" w14:textId="77777777" w:rsidR="001A5BCF" w:rsidRPr="00646254" w:rsidRDefault="001A5BCF" w:rsidP="00312CEA">
      <w:pPr>
        <w:spacing w:after="120"/>
        <w:rPr>
          <w:rFonts w:ascii="Calibri" w:eastAsia="Calibri" w:hAnsi="Calibri" w:cs="Calibri"/>
          <w:spacing w:val="-2"/>
          <w:szCs w:val="20"/>
          <w:lang w:val="sr-Cyrl-CS"/>
        </w:rPr>
      </w:pPr>
      <w:r w:rsidRPr="00646254">
        <w:rPr>
          <w:rFonts w:ascii="Calibri" w:eastAsia="Calibri" w:hAnsi="Calibri" w:cs="Calibri"/>
          <w:spacing w:val="-2"/>
          <w:szCs w:val="20"/>
          <w:lang w:val="sr-Cyrl-CS"/>
        </w:rPr>
        <w:t>Претходну и текућу годину обележила је једна од највећих здравствених и последично економских криза у последњих неколико деценија, изазвана пандемијом COVID-19. Најважнији фактори који су утицали на кретања дуга током 2020. и 2021. године су ниво укупног и примарног фискалног дефицита, додатне потребе за финансирањем и отплата доспелог дела дуга. Остварени фискални дефицит од 8% БДП (примарни дефицит од 6% БДП) у претходној години и процењени дефицит од 4,9% БДП у текућој години, утицали су на то да се, до сада, опадајућа путања учешћа јавног дуга преокрене. Учешће јавног дуга опште државе у БДП достиже 58,2% на крају 2021. године. Фискалном стратегијом за наредни средњорочни период предвиђена је стабилизација јавних финансија и значајно мањи нивои дефицита који ће јавни дуг вратити у зону опадајућег тренда. Процес стабилизације јавних финансија ће бити постепен и одмерен како се сувише рестриктивним политикама на би нарушиле претпоставке убрзаног привредног раста.</w:t>
      </w:r>
    </w:p>
    <w:p w14:paraId="5A134238" w14:textId="77777777" w:rsidR="001A5BCF" w:rsidRPr="00646254" w:rsidRDefault="001A5BCF" w:rsidP="00312CEA">
      <w:pPr>
        <w:spacing w:after="0"/>
        <w:jc w:val="center"/>
        <w:rPr>
          <w:rFonts w:cstheme="minorHAnsi"/>
          <w:b/>
          <w:color w:val="002060"/>
          <w:lang w:val="sr-Cyrl-CS"/>
        </w:rPr>
      </w:pPr>
      <w:r w:rsidRPr="00646254">
        <w:rPr>
          <w:rFonts w:cstheme="minorHAnsi"/>
          <w:b/>
          <w:color w:val="002060"/>
          <w:lang w:val="sr-Cyrl-CS"/>
        </w:rPr>
        <w:t xml:space="preserve">Примарни резултат који стабилизује учешће дуга у БДП и остварени/пројектовани резултат*, </w:t>
      </w:r>
      <w:r w:rsidRPr="00646254">
        <w:rPr>
          <w:rFonts w:cstheme="minorHAnsi"/>
          <w:b/>
          <w:color w:val="002060"/>
          <w:lang w:val="sr-Cyrl-CS"/>
        </w:rPr>
        <w:br w:type="textWrapping" w:clear="all"/>
        <w:t>% БДП</w:t>
      </w:r>
    </w:p>
    <w:p w14:paraId="2FE04A77" w14:textId="77777777" w:rsidR="001A5BCF" w:rsidRPr="00646254" w:rsidRDefault="001A5BCF" w:rsidP="00312CEA">
      <w:pPr>
        <w:spacing w:after="0" w:line="276" w:lineRule="auto"/>
        <w:rPr>
          <w:rFonts w:cstheme="minorHAnsi"/>
          <w:b/>
          <w:color w:val="002060"/>
          <w:lang w:val="sr-Cyrl-CS"/>
        </w:rPr>
      </w:pPr>
      <w:r w:rsidRPr="00646254">
        <w:rPr>
          <w:noProof/>
        </w:rPr>
        <w:drawing>
          <wp:inline distT="0" distB="0" distL="0" distR="0" wp14:anchorId="099B0C5B" wp14:editId="3244BEF7">
            <wp:extent cx="2757805" cy="1692000"/>
            <wp:effectExtent l="0" t="0" r="4445" b="0"/>
            <wp:docPr id="76" name="Chart 76"/>
            <wp:cNvGraphicFramePr/>
            <a:graphic xmlns:a="http://schemas.openxmlformats.org/drawingml/2006/main">
              <a:graphicData uri="http://schemas.openxmlformats.org/drawingml/2006/chart">
                <c:chart xmlns:c="http://schemas.openxmlformats.org/drawingml/2006/chart" xmlns:r="http://schemas.openxmlformats.org/officeDocument/2006/relationships" r:id="rId172"/>
              </a:graphicData>
            </a:graphic>
          </wp:inline>
        </w:drawing>
      </w:r>
    </w:p>
    <w:p w14:paraId="4A959531" w14:textId="77777777" w:rsidR="001A5BCF" w:rsidRPr="00646254" w:rsidRDefault="001A5BCF" w:rsidP="008265F0">
      <w:pPr>
        <w:spacing w:after="40" w:line="240" w:lineRule="auto"/>
        <w:rPr>
          <w:rFonts w:cstheme="minorHAnsi"/>
          <w:bCs/>
          <w:sz w:val="16"/>
          <w:szCs w:val="72"/>
          <w:lang w:val="sr-Cyrl-CS"/>
        </w:rPr>
      </w:pPr>
      <w:r w:rsidRPr="00646254">
        <w:rPr>
          <w:rFonts w:ascii="Calibri" w:eastAsia="Calibri" w:hAnsi="Calibri" w:cs="Calibri"/>
          <w:sz w:val="16"/>
          <w:szCs w:val="16"/>
          <w:lang w:val="sr-Cyrl-CS"/>
        </w:rPr>
        <w:t xml:space="preserve">* </w:t>
      </w:r>
      <w:r w:rsidRPr="00646254">
        <w:rPr>
          <w:rFonts w:cstheme="minorHAnsi"/>
          <w:bCs/>
          <w:sz w:val="16"/>
          <w:szCs w:val="72"/>
          <w:lang w:val="sr-Cyrl-CS"/>
        </w:rPr>
        <w:t>за период 2021. до 2024. дате су пројектоване вредности</w:t>
      </w:r>
    </w:p>
    <w:p w14:paraId="67894A19" w14:textId="77777777" w:rsidR="001A5BCF" w:rsidRPr="00646254" w:rsidRDefault="001A5BCF" w:rsidP="008265F0">
      <w:pPr>
        <w:spacing w:after="120" w:line="276" w:lineRule="auto"/>
        <w:rPr>
          <w:rFonts w:ascii="Calibri" w:eastAsia="MS PGothic" w:hAnsi="Calibri" w:cs="Calibri"/>
          <w:b/>
          <w:szCs w:val="20"/>
          <w:lang w:val="sr-Cyrl-CS" w:eastAsia="ja-JP"/>
        </w:rPr>
      </w:pPr>
      <w:r w:rsidRPr="00646254">
        <w:rPr>
          <w:rFonts w:cstheme="minorHAnsi"/>
          <w:bCs/>
          <w:sz w:val="16"/>
          <w:szCs w:val="72"/>
          <w:lang w:val="sr-Cyrl-CS"/>
        </w:rPr>
        <w:t>Извор: Министарство финансија</w:t>
      </w:r>
    </w:p>
    <w:p w14:paraId="18EC7DFF" w14:textId="77777777" w:rsidR="001A5BCF" w:rsidRPr="00646254" w:rsidRDefault="001A5BCF" w:rsidP="008265F0">
      <w:pPr>
        <w:rPr>
          <w:rFonts w:ascii="Calibri" w:eastAsia="Calibri" w:hAnsi="Calibri" w:cs="Calibri"/>
          <w:spacing w:val="-2"/>
          <w:szCs w:val="20"/>
          <w:lang w:val="sr-Cyrl-CS"/>
        </w:rPr>
      </w:pPr>
      <w:r w:rsidRPr="00646254">
        <w:rPr>
          <w:rFonts w:ascii="Calibri" w:eastAsia="Calibri" w:hAnsi="Calibri" w:cs="Calibri"/>
          <w:spacing w:val="-2"/>
          <w:szCs w:val="20"/>
          <w:lang w:val="sr-Cyrl-CS"/>
        </w:rPr>
        <w:t>Анализом примарног стабилизационог јаза који је дефинисан као разлика између оствареног примарног резултата и примарног резултата који је неопходан да би се стабилизовало учешће јавног дуга у текућој години могуће је оценити постављене квантитативне фискалне лимите. Од 2016. године присутан је позитиван примарни стабилизациони јаз, а путања дуга преокренута. Током 2017. и 2018. године позитиван јаз се повећава и у том периоду је остварено највеће смањење учешћа дуга у БДП. Супротан тренд бележи се током 2020. године кад се достиже највећа негативна вредност овог показатеља. У периоду од 2021–2024. године, у складу са фискалним оквиром датим у овом документу, пројектоване су позитивне вредности овог параметра.</w:t>
      </w:r>
    </w:p>
    <w:p w14:paraId="43AA5C1B" w14:textId="77777777" w:rsidR="001A5BCF" w:rsidRPr="00646254" w:rsidRDefault="001A5BCF" w:rsidP="008265F0">
      <w:pPr>
        <w:rPr>
          <w:rFonts w:ascii="Calibri" w:eastAsia="Calibri" w:hAnsi="Calibri" w:cs="Calibri"/>
          <w:szCs w:val="20"/>
          <w:lang w:val="sr-Cyrl-CS"/>
        </w:rPr>
      </w:pPr>
      <w:r w:rsidRPr="00646254">
        <w:rPr>
          <w:rFonts w:ascii="Calibri" w:eastAsia="Calibri" w:hAnsi="Calibri" w:cs="Calibri"/>
          <w:szCs w:val="20"/>
          <w:lang w:val="sr-Cyrl-CS"/>
        </w:rPr>
        <w:t>Пројектована је динамика спуштања нивоа јавног дуга на 45% БДП, у складу са важећим фискалним правилима, а основни сценарио представљен овим фискалним оквиром предвиђа постепено смањивање фискалног дефицита на 1% БДП на крају 2024. године.</w:t>
      </w:r>
    </w:p>
    <w:p w14:paraId="799C41AF" w14:textId="77777777" w:rsidR="001A5BCF" w:rsidRPr="00646254" w:rsidRDefault="001A5BCF" w:rsidP="000E2298">
      <w:pPr>
        <w:spacing w:after="40"/>
        <w:rPr>
          <w:rFonts w:ascii="Calibri" w:eastAsia="Calibri" w:hAnsi="Calibri" w:cs="Calibri"/>
          <w:szCs w:val="20"/>
          <w:lang w:val="sr-Cyrl-CS"/>
        </w:rPr>
      </w:pPr>
      <w:r w:rsidRPr="00646254">
        <w:rPr>
          <w:rFonts w:ascii="Calibri" w:eastAsia="Calibri" w:hAnsi="Calibri" w:cs="Calibri"/>
          <w:szCs w:val="20"/>
          <w:lang w:val="sr-Cyrl-CS"/>
        </w:rPr>
        <w:t>Управљање и одрживост јавног дуга ће се додатно обезбедити:</w:t>
      </w:r>
    </w:p>
    <w:p w14:paraId="7A90DA85" w14:textId="77777777" w:rsidR="001A5BCF" w:rsidRPr="00646254" w:rsidRDefault="001A5BCF" w:rsidP="001A5BCF">
      <w:pPr>
        <w:numPr>
          <w:ilvl w:val="0"/>
          <w:numId w:val="10"/>
        </w:numPr>
        <w:spacing w:after="60"/>
        <w:ind w:left="180" w:hanging="180"/>
        <w:rPr>
          <w:rFonts w:ascii="Calibri" w:eastAsia="Calibri" w:hAnsi="Calibri" w:cs="Calibri"/>
          <w:szCs w:val="20"/>
          <w:lang w:val="sr-Cyrl-CS"/>
        </w:rPr>
      </w:pPr>
      <w:r w:rsidRPr="00646254">
        <w:rPr>
          <w:rFonts w:ascii="Calibri" w:eastAsia="Calibri" w:hAnsi="Calibri" w:cs="Calibri"/>
          <w:szCs w:val="20"/>
          <w:lang w:val="sr-Cyrl-CS"/>
        </w:rPr>
        <w:t>ограничењем издавања нових гаранција;</w:t>
      </w:r>
    </w:p>
    <w:p w14:paraId="221C1B93" w14:textId="77777777" w:rsidR="001A5BCF" w:rsidRPr="00646254" w:rsidRDefault="001A5BCF" w:rsidP="001A5BCF">
      <w:pPr>
        <w:numPr>
          <w:ilvl w:val="0"/>
          <w:numId w:val="10"/>
        </w:numPr>
        <w:spacing w:after="60"/>
        <w:ind w:left="180" w:hanging="180"/>
        <w:rPr>
          <w:rFonts w:ascii="Calibri" w:eastAsia="Calibri" w:hAnsi="Calibri" w:cs="Calibri"/>
          <w:szCs w:val="20"/>
          <w:lang w:val="sr-Cyrl-CS"/>
        </w:rPr>
      </w:pPr>
      <w:r w:rsidRPr="00646254">
        <w:rPr>
          <w:rFonts w:ascii="Calibri" w:eastAsia="Calibri" w:hAnsi="Calibri" w:cs="Calibri"/>
          <w:szCs w:val="20"/>
          <w:lang w:val="sr-Cyrl-CS"/>
        </w:rPr>
        <w:t>ограничењем закључивања нових пројектних зајмова у случајевима да претходно одобрени зајмови нису ефикасно коришћени;</w:t>
      </w:r>
    </w:p>
    <w:p w14:paraId="2B5AA89A" w14:textId="77777777" w:rsidR="001A5BCF" w:rsidRPr="00646254" w:rsidRDefault="001A5BCF" w:rsidP="001A5BCF">
      <w:pPr>
        <w:numPr>
          <w:ilvl w:val="0"/>
          <w:numId w:val="10"/>
        </w:numPr>
        <w:spacing w:after="60"/>
        <w:ind w:left="180" w:hanging="180"/>
        <w:rPr>
          <w:rFonts w:ascii="Calibri" w:eastAsia="Calibri" w:hAnsi="Calibri" w:cs="Calibri"/>
          <w:szCs w:val="20"/>
          <w:lang w:val="sr-Cyrl-CS"/>
        </w:rPr>
      </w:pPr>
      <w:r w:rsidRPr="00646254">
        <w:rPr>
          <w:rFonts w:ascii="Calibri" w:eastAsia="Calibri" w:hAnsi="Calibri" w:cs="Calibri"/>
          <w:szCs w:val="20"/>
          <w:lang w:val="sr-Cyrl-CS"/>
        </w:rPr>
        <w:t>откупом једног дела скупог дуга коришћењем средстава из повољнијих зајмова или приватизационих прихода уколико за то постоје могућности;</w:t>
      </w:r>
    </w:p>
    <w:p w14:paraId="5002D963" w14:textId="77777777" w:rsidR="001A5BCF" w:rsidRPr="00646254" w:rsidRDefault="001A5BCF" w:rsidP="001A5BCF">
      <w:pPr>
        <w:numPr>
          <w:ilvl w:val="0"/>
          <w:numId w:val="10"/>
        </w:numPr>
        <w:spacing w:after="60"/>
        <w:ind w:left="181" w:hanging="181"/>
        <w:rPr>
          <w:rFonts w:ascii="Calibri" w:eastAsia="Calibri" w:hAnsi="Calibri" w:cs="Calibri"/>
          <w:szCs w:val="20"/>
          <w:lang w:val="sr-Cyrl-CS"/>
        </w:rPr>
      </w:pPr>
      <w:r w:rsidRPr="00646254">
        <w:rPr>
          <w:rFonts w:ascii="Calibri" w:eastAsia="Calibri" w:hAnsi="Calibri" w:cs="Calibri"/>
          <w:szCs w:val="20"/>
          <w:lang w:val="sr-Cyrl-CS"/>
        </w:rPr>
        <w:t>идентификацијом и бољим управљањем фискалним ризицима.</w:t>
      </w:r>
    </w:p>
    <w:p w14:paraId="185A82B5" w14:textId="77777777" w:rsidR="001A5BCF" w:rsidRPr="00646254" w:rsidRDefault="001A5BCF" w:rsidP="000E2298">
      <w:pPr>
        <w:spacing w:after="40"/>
        <w:rPr>
          <w:rFonts w:ascii="Calibri" w:eastAsia="Calibri" w:hAnsi="Calibri" w:cs="Calibri"/>
          <w:spacing w:val="-4"/>
          <w:szCs w:val="20"/>
          <w:lang w:val="sr-Cyrl-CS"/>
        </w:rPr>
      </w:pPr>
      <w:r w:rsidRPr="00646254">
        <w:rPr>
          <w:rFonts w:ascii="Calibri" w:eastAsia="Calibri" w:hAnsi="Calibri" w:cs="Calibri"/>
          <w:spacing w:val="-4"/>
          <w:szCs w:val="20"/>
          <w:lang w:val="sr-Cyrl-CS"/>
        </w:rPr>
        <w:t>Законски предвиђено учешће јавног дуга у БДП од 45% биће достигнуто током 2028. године. Успех претходног програма структурног фискалног прилагођавања омогућио је смањење учешћа дуга од 2015. до 2019. године за 18,4 п.п. БДП. Овакве околности утицале су на могућност Републике Србије да без тешкоће обезбеди потребно финансирање фискалног дефицита током 2020. и 2021. године, као и несметану отплату доспелог дуга.</w:t>
      </w:r>
    </w:p>
    <w:p w14:paraId="63552821" w14:textId="77777777" w:rsidR="001A5BCF" w:rsidRPr="00646254" w:rsidRDefault="001A5BCF" w:rsidP="008265F0">
      <w:pPr>
        <w:rPr>
          <w:rFonts w:ascii="Calibri" w:eastAsia="Calibri" w:hAnsi="Calibri" w:cs="Calibri"/>
          <w:szCs w:val="20"/>
          <w:lang w:val="sr-Cyrl-CS"/>
        </w:rPr>
      </w:pPr>
      <w:r w:rsidRPr="00646254">
        <w:rPr>
          <w:rFonts w:ascii="Calibri" w:eastAsia="Calibri" w:hAnsi="Calibri" w:cs="Calibri"/>
          <w:szCs w:val="20"/>
          <w:lang w:val="sr-Cyrl-CS"/>
        </w:rPr>
        <w:t>Неизвесност у погледу тока и трајања пандемије на светском нивоу, предузетих здравствених мера као и присутне глобалне економске кризе , захтева опрезно вођење фискалне политике у наредном периоду.</w:t>
      </w:r>
    </w:p>
    <w:p w14:paraId="54F153AD" w14:textId="77777777" w:rsidR="001A5BCF" w:rsidRPr="00646254" w:rsidRDefault="001A5BCF" w:rsidP="008265F0">
      <w:pPr>
        <w:rPr>
          <w:rFonts w:ascii="Calibri" w:eastAsia="Calibri" w:hAnsi="Calibri" w:cs="Calibri"/>
          <w:szCs w:val="20"/>
          <w:lang w:val="sr-Cyrl-CS"/>
        </w:rPr>
      </w:pPr>
      <w:r w:rsidRPr="00646254">
        <w:rPr>
          <w:rFonts w:ascii="Calibri" w:eastAsia="Calibri" w:hAnsi="Calibri" w:cs="Calibri"/>
          <w:szCs w:val="20"/>
          <w:lang w:val="sr-Cyrl-CS"/>
        </w:rPr>
        <w:t>Како је фискалним правилима предвиђена граница дуга од 45% БДП која се достиже током 2028. године, урађена је симулација кретања учешћа у случају варијације фактора који утичу на динамику дуга.</w:t>
      </w:r>
    </w:p>
    <w:p w14:paraId="4923FDF2" w14:textId="77777777" w:rsidR="001A5BCF" w:rsidRPr="00646254" w:rsidRDefault="001A5BCF" w:rsidP="00B523F9">
      <w:pPr>
        <w:spacing w:after="60"/>
        <w:rPr>
          <w:rFonts w:ascii="Calibri" w:eastAsia="Calibri" w:hAnsi="Calibri" w:cs="Calibri"/>
          <w:szCs w:val="20"/>
          <w:lang w:val="sr-Cyrl-CS"/>
        </w:rPr>
      </w:pPr>
      <w:r w:rsidRPr="00646254">
        <w:rPr>
          <w:rFonts w:ascii="Calibri" w:eastAsia="Calibri" w:hAnsi="Calibri" w:cs="Calibri"/>
          <w:szCs w:val="20"/>
          <w:lang w:val="sr-Cyrl-CS"/>
        </w:rPr>
        <w:t>Претпоставке у основном сценарију су:</w:t>
      </w:r>
    </w:p>
    <w:p w14:paraId="04D20E8D" w14:textId="77777777" w:rsidR="001A5BCF" w:rsidRPr="00646254" w:rsidRDefault="001A5BCF" w:rsidP="001A5BCF">
      <w:pPr>
        <w:numPr>
          <w:ilvl w:val="0"/>
          <w:numId w:val="11"/>
        </w:numPr>
        <w:ind w:left="90" w:hanging="180"/>
        <w:contextualSpacing/>
        <w:rPr>
          <w:rFonts w:cs="Calibri"/>
          <w:bCs/>
          <w:szCs w:val="20"/>
          <w:lang w:val="sr-Cyrl-CS" w:eastAsia="ja-JP"/>
        </w:rPr>
      </w:pPr>
      <w:r w:rsidRPr="00646254">
        <w:rPr>
          <w:rFonts w:cs="Calibri"/>
          <w:bCs/>
          <w:szCs w:val="20"/>
          <w:lang w:val="sr-Cyrl-CS" w:eastAsia="ja-JP"/>
        </w:rPr>
        <w:t>након оствареног високог нивоа фискалног дефицита у 2020. и 2021. години, у периоду од 2022. до 2024. године ниво општег и примарног фискалног резултата омогућава постепено смањење учешћа јавног дуга у БДП. Након тога, фискални дефицит је коригован на 0,5% БДП;</w:t>
      </w:r>
    </w:p>
    <w:p w14:paraId="0984DE57" w14:textId="77777777" w:rsidR="001A5BCF" w:rsidRPr="00646254" w:rsidRDefault="001A5BCF" w:rsidP="001A5BCF">
      <w:pPr>
        <w:numPr>
          <w:ilvl w:val="0"/>
          <w:numId w:val="11"/>
        </w:numPr>
        <w:ind w:left="90" w:hanging="180"/>
        <w:contextualSpacing/>
        <w:rPr>
          <w:rFonts w:cs="Calibri"/>
          <w:bCs/>
          <w:szCs w:val="20"/>
          <w:lang w:val="sr-Cyrl-CS" w:eastAsia="ja-JP"/>
        </w:rPr>
      </w:pPr>
      <w:r w:rsidRPr="00646254">
        <w:rPr>
          <w:rFonts w:cs="Calibri"/>
          <w:bCs/>
          <w:szCs w:val="20"/>
          <w:lang w:val="sr-Cyrl-CS" w:eastAsia="ja-JP"/>
        </w:rPr>
        <w:t>спорији раст фискалних прихода у односу на номинални раст БДП услед промене структуре привреде, јачања инвестиционе активности и раста извоза. Не предвиђају се значајније промене у пореској политици, уз задржавање постојећег напора у борби против сиве економије;</w:t>
      </w:r>
    </w:p>
    <w:p w14:paraId="49525C0A" w14:textId="77777777" w:rsidR="001A5BCF" w:rsidRPr="00646254" w:rsidRDefault="001A5BCF" w:rsidP="001A5BCF">
      <w:pPr>
        <w:numPr>
          <w:ilvl w:val="0"/>
          <w:numId w:val="11"/>
        </w:numPr>
        <w:ind w:left="90" w:hanging="180"/>
        <w:contextualSpacing/>
        <w:rPr>
          <w:rFonts w:cs="Calibri"/>
          <w:bCs/>
          <w:szCs w:val="20"/>
          <w:lang w:val="sr-Cyrl-CS" w:eastAsia="ja-JP"/>
        </w:rPr>
      </w:pPr>
      <w:r w:rsidRPr="00646254">
        <w:rPr>
          <w:rFonts w:cs="Calibri"/>
          <w:bCs/>
          <w:szCs w:val="20"/>
          <w:lang w:val="sr-Cyrl-CS" w:eastAsia="ja-JP"/>
        </w:rPr>
        <w:t>изостанак нето прираста издатих гаранција након 2024. године;</w:t>
      </w:r>
    </w:p>
    <w:p w14:paraId="77A1BA74" w14:textId="77777777" w:rsidR="001A5BCF" w:rsidRPr="00646254" w:rsidRDefault="001A5BCF" w:rsidP="001A5BCF">
      <w:pPr>
        <w:numPr>
          <w:ilvl w:val="0"/>
          <w:numId w:val="11"/>
        </w:numPr>
        <w:ind w:left="90" w:hanging="180"/>
        <w:contextualSpacing/>
        <w:rPr>
          <w:rFonts w:cs="Calibri"/>
          <w:szCs w:val="20"/>
          <w:lang w:val="sr-Cyrl-CS" w:eastAsia="ja-JP"/>
        </w:rPr>
      </w:pPr>
      <w:r w:rsidRPr="00646254">
        <w:rPr>
          <w:rFonts w:cs="Calibri"/>
          <w:bCs/>
          <w:szCs w:val="20"/>
          <w:lang w:val="sr-Cyrl-CS" w:eastAsia="ja-JP"/>
        </w:rPr>
        <w:t>просечна стопа реалног раста БДП од 4% у дугом року</w:t>
      </w:r>
      <w:r w:rsidRPr="00646254">
        <w:rPr>
          <w:rFonts w:cs="Calibri"/>
          <w:szCs w:val="20"/>
          <w:lang w:val="sr-Cyrl-CS" w:eastAsia="ja-JP"/>
        </w:rPr>
        <w:t>;</w:t>
      </w:r>
    </w:p>
    <w:p w14:paraId="127AF7A5" w14:textId="77777777" w:rsidR="001A5BCF" w:rsidRPr="00646254" w:rsidRDefault="001A5BCF" w:rsidP="001A5BCF">
      <w:pPr>
        <w:numPr>
          <w:ilvl w:val="0"/>
          <w:numId w:val="11"/>
        </w:numPr>
        <w:ind w:left="90" w:hanging="180"/>
        <w:contextualSpacing/>
        <w:rPr>
          <w:rFonts w:cs="Calibri"/>
          <w:szCs w:val="20"/>
          <w:lang w:val="sr-Cyrl-CS" w:eastAsia="ja-JP"/>
        </w:rPr>
      </w:pPr>
      <w:r w:rsidRPr="00646254">
        <w:rPr>
          <w:rFonts w:cs="Calibri"/>
          <w:bCs/>
          <w:szCs w:val="20"/>
          <w:lang w:val="sr-Cyrl-CS" w:eastAsia="ja-JP"/>
        </w:rPr>
        <w:t>годишња инфлација од око 3% просечно у посматраном периоду</w:t>
      </w:r>
      <w:r w:rsidRPr="00646254">
        <w:rPr>
          <w:rFonts w:cs="Calibri"/>
          <w:szCs w:val="20"/>
          <w:lang w:val="sr-Cyrl-CS" w:eastAsia="ja-JP"/>
        </w:rPr>
        <w:t>;</w:t>
      </w:r>
    </w:p>
    <w:p w14:paraId="127B2007" w14:textId="77777777" w:rsidR="001A5BCF" w:rsidRPr="00646254" w:rsidRDefault="001A5BCF" w:rsidP="001A5BCF">
      <w:pPr>
        <w:numPr>
          <w:ilvl w:val="0"/>
          <w:numId w:val="11"/>
        </w:numPr>
        <w:ind w:left="90" w:hanging="181"/>
        <w:rPr>
          <w:rFonts w:cs="Calibri"/>
          <w:szCs w:val="20"/>
          <w:lang w:val="sr-Cyrl-CS" w:eastAsia="ja-JP"/>
        </w:rPr>
      </w:pPr>
      <w:r w:rsidRPr="00646254">
        <w:rPr>
          <w:rFonts w:cs="Calibri"/>
          <w:bCs/>
          <w:szCs w:val="20"/>
          <w:lang w:val="sr-Cyrl-CS" w:eastAsia="ja-JP"/>
        </w:rPr>
        <w:t>изостанак значајних прилива од приватизације у посматраном периоду 2025–2029. године</w:t>
      </w:r>
      <w:r w:rsidRPr="00646254">
        <w:rPr>
          <w:rFonts w:cs="Calibri"/>
          <w:szCs w:val="20"/>
          <w:lang w:val="sr-Cyrl-CS" w:eastAsia="ja-JP"/>
        </w:rPr>
        <w:t>. Евентуални већи приватизациони приходи смањују потребу за финансирањем и додатно смањују учешће јавног дуга.</w:t>
      </w:r>
    </w:p>
    <w:p w14:paraId="18887108" w14:textId="77777777" w:rsidR="001A5BCF" w:rsidRPr="00646254" w:rsidRDefault="001A5BCF" w:rsidP="001A5BCF">
      <w:pPr>
        <w:numPr>
          <w:ilvl w:val="0"/>
          <w:numId w:val="11"/>
        </w:numPr>
        <w:ind w:left="90" w:hanging="181"/>
        <w:rPr>
          <w:rFonts w:cs="Calibri"/>
          <w:szCs w:val="20"/>
          <w:lang w:val="sr-Cyrl-CS" w:eastAsia="ja-JP"/>
        </w:rPr>
        <w:sectPr w:rsidR="001A5BCF" w:rsidRPr="00646254" w:rsidSect="008265F0">
          <w:type w:val="continuous"/>
          <w:pgSz w:w="12240" w:h="15840" w:code="1"/>
          <w:pgMar w:top="1417" w:right="1417" w:bottom="1417" w:left="1417" w:header="720" w:footer="720" w:gutter="0"/>
          <w:cols w:num="2" w:space="720"/>
          <w15:footnoteColumns w:val="1"/>
        </w:sectPr>
      </w:pPr>
    </w:p>
    <w:p w14:paraId="4564F422" w14:textId="77777777" w:rsidR="001A5BCF" w:rsidRPr="00646254" w:rsidRDefault="001A5BCF" w:rsidP="008265F0">
      <w:pPr>
        <w:spacing w:after="0" w:line="240" w:lineRule="auto"/>
        <w:rPr>
          <w:rFonts w:ascii="Calibri" w:eastAsia="Calibri" w:hAnsi="Calibri" w:cs="Calibri"/>
          <w:b/>
          <w:color w:val="002060"/>
          <w:sz w:val="16"/>
          <w:szCs w:val="20"/>
          <w:lang w:val="sr-Cyrl-CS"/>
        </w:rPr>
        <w:sectPr w:rsidR="001A5BCF" w:rsidRPr="00646254" w:rsidSect="00AE40EB">
          <w:type w:val="continuous"/>
          <w:pgSz w:w="12240" w:h="15840" w:code="1"/>
          <w:pgMar w:top="1417" w:right="1417" w:bottom="1417" w:left="1417" w:header="720" w:footer="720" w:gutter="0"/>
          <w:cols w:space="720"/>
        </w:sectPr>
      </w:pPr>
    </w:p>
    <w:p w14:paraId="4CF686FB" w14:textId="77777777" w:rsidR="001A5BCF" w:rsidRPr="00646254" w:rsidRDefault="001A5BCF" w:rsidP="008265F0">
      <w:pPr>
        <w:spacing w:after="120" w:line="240" w:lineRule="auto"/>
        <w:jc w:val="center"/>
        <w:rPr>
          <w:rFonts w:ascii="Calibri" w:eastAsia="Calibri" w:hAnsi="Calibri" w:cs="Calibri"/>
          <w:color w:val="002060"/>
          <w:szCs w:val="20"/>
          <w:lang w:val="sr-Cyrl-CS"/>
        </w:rPr>
      </w:pPr>
      <w:r w:rsidRPr="00646254">
        <w:rPr>
          <w:rFonts w:ascii="Calibri" w:eastAsia="Calibri" w:hAnsi="Calibri" w:cs="Calibri"/>
          <w:b/>
          <w:color w:val="002060"/>
          <w:szCs w:val="20"/>
          <w:lang w:val="sr-Cyrl-CS"/>
        </w:rPr>
        <w:t>Табела 22. Симулација нивоа укупног дуга у основном сценарију до 2029. године</w:t>
      </w:r>
      <w:r w:rsidRPr="00646254">
        <w:rPr>
          <w:rFonts w:ascii="Calibri" w:eastAsia="Calibri" w:hAnsi="Calibri" w:cs="Calibri"/>
          <w:color w:val="002060"/>
          <w:szCs w:val="20"/>
          <w:lang w:val="sr-Cyrl-CS"/>
        </w:rPr>
        <w:t xml:space="preserve">, </w:t>
      </w:r>
      <w:r w:rsidRPr="00646254">
        <w:rPr>
          <w:rFonts w:ascii="Calibri" w:eastAsia="Calibri" w:hAnsi="Calibri" w:cs="Calibri"/>
          <w:b/>
          <w:color w:val="002060"/>
          <w:szCs w:val="20"/>
          <w:lang w:val="sr-Cyrl-CS"/>
        </w:rPr>
        <w:t>%</w:t>
      </w:r>
      <w:r w:rsidRPr="00646254">
        <w:rPr>
          <w:rFonts w:ascii="Calibri" w:eastAsia="Calibri" w:hAnsi="Calibri" w:cs="Calibri"/>
          <w:color w:val="002060"/>
          <w:sz w:val="24"/>
          <w:szCs w:val="24"/>
          <w:lang w:val="sr-Cyrl-CS"/>
        </w:rPr>
        <w:t xml:space="preserve"> </w:t>
      </w:r>
      <w:r w:rsidRPr="00646254">
        <w:rPr>
          <w:rFonts w:ascii="Calibri" w:eastAsia="Calibri" w:hAnsi="Calibri" w:cs="Calibri"/>
          <w:b/>
          <w:color w:val="002060"/>
          <w:szCs w:val="20"/>
          <w:lang w:val="sr-Cyrl-CS"/>
        </w:rPr>
        <w:t>БДП</w:t>
      </w:r>
    </w:p>
    <w:tbl>
      <w:tblPr>
        <w:tblStyle w:val="LightShading-Accent3382"/>
        <w:tblW w:w="5147" w:type="pct"/>
        <w:jc w:val="center"/>
        <w:tblLook w:val="04A0" w:firstRow="1" w:lastRow="0" w:firstColumn="1" w:lastColumn="0" w:noHBand="0" w:noVBand="1"/>
      </w:tblPr>
      <w:tblGrid>
        <w:gridCol w:w="2366"/>
        <w:gridCol w:w="814"/>
        <w:gridCol w:w="814"/>
        <w:gridCol w:w="813"/>
        <w:gridCol w:w="813"/>
        <w:gridCol w:w="813"/>
        <w:gridCol w:w="813"/>
        <w:gridCol w:w="813"/>
        <w:gridCol w:w="813"/>
        <w:gridCol w:w="811"/>
      </w:tblGrid>
      <w:tr w:rsidR="00262F10" w:rsidRPr="00646254" w14:paraId="5340E007" w14:textId="77777777" w:rsidTr="00E96A1D">
        <w:trPr>
          <w:cnfStyle w:val="100000000000" w:firstRow="1" w:lastRow="0" w:firstColumn="0" w:lastColumn="0" w:oddVBand="0" w:evenVBand="0" w:oddHBand="0" w:evenHBand="0" w:firstRowFirstColumn="0" w:firstRowLastColumn="0" w:lastRowFirstColumn="0" w:lastRowLastColumn="0"/>
          <w:trHeight w:hRule="exact" w:val="288"/>
          <w:jc w:val="center"/>
        </w:trPr>
        <w:tc>
          <w:tcPr>
            <w:cnfStyle w:val="001000000000" w:firstRow="0" w:lastRow="0" w:firstColumn="1" w:lastColumn="0" w:oddVBand="0" w:evenVBand="0" w:oddHBand="0" w:evenHBand="0" w:firstRowFirstColumn="0" w:firstRowLastColumn="0" w:lastRowFirstColumn="0" w:lastRowLastColumn="0"/>
            <w:tcW w:w="1221" w:type="pct"/>
            <w:tcBorders>
              <w:top w:val="single" w:sz="4" w:space="0" w:color="002060"/>
              <w:bottom w:val="single" w:sz="4" w:space="0" w:color="002060"/>
            </w:tcBorders>
            <w:shd w:val="clear" w:color="auto" w:fill="auto"/>
            <w:vAlign w:val="center"/>
            <w:hideMark/>
          </w:tcPr>
          <w:p w14:paraId="28A521BA" w14:textId="77777777" w:rsidR="001A5BCF" w:rsidRPr="00646254" w:rsidRDefault="001A5BCF" w:rsidP="008265F0">
            <w:pPr>
              <w:spacing w:after="160" w:line="259" w:lineRule="auto"/>
              <w:ind w:right="-427"/>
              <w:rPr>
                <w:rFonts w:ascii="Calibri" w:eastAsia="Times New Roman" w:hAnsi="Calibri" w:cs="Calibri"/>
                <w:bCs w:val="0"/>
                <w:color w:val="002060"/>
                <w:sz w:val="18"/>
                <w:szCs w:val="18"/>
                <w:lang w:val="sr-Cyrl-CS"/>
              </w:rPr>
            </w:pPr>
            <w:r w:rsidRPr="00646254">
              <w:rPr>
                <w:rFonts w:ascii="Calibri" w:eastAsia="Times New Roman" w:hAnsi="Calibri" w:cs="Calibri"/>
                <w:b w:val="0"/>
                <w:bCs w:val="0"/>
                <w:color w:val="002060"/>
                <w:sz w:val="18"/>
                <w:szCs w:val="18"/>
                <w:lang w:val="sr-Cyrl-CS"/>
              </w:rPr>
              <w:t>Основни сценарио</w:t>
            </w:r>
          </w:p>
        </w:tc>
        <w:tc>
          <w:tcPr>
            <w:tcW w:w="420" w:type="pct"/>
            <w:tcBorders>
              <w:top w:val="single" w:sz="4" w:space="0" w:color="002060"/>
              <w:bottom w:val="single" w:sz="4" w:space="0" w:color="002060"/>
            </w:tcBorders>
            <w:shd w:val="clear" w:color="auto" w:fill="auto"/>
            <w:noWrap/>
            <w:vAlign w:val="center"/>
            <w:hideMark/>
          </w:tcPr>
          <w:p w14:paraId="620BAE8A" w14:textId="77777777" w:rsidR="001A5BCF" w:rsidRPr="00646254" w:rsidRDefault="001A5BCF" w:rsidP="008265F0">
            <w:pPr>
              <w:spacing w:after="160" w:line="259" w:lineRule="auto"/>
              <w:jc w:val="right"/>
              <w:cnfStyle w:val="100000000000" w:firstRow="1" w:lastRow="0" w:firstColumn="0" w:lastColumn="0" w:oddVBand="0" w:evenVBand="0" w:oddHBand="0" w:evenHBand="0" w:firstRowFirstColumn="0" w:firstRowLastColumn="0" w:lastRowFirstColumn="0" w:lastRowLastColumn="0"/>
              <w:rPr>
                <w:rFonts w:ascii="Calibri" w:eastAsiaTheme="minorHAnsi" w:hAnsi="Calibri" w:cs="Calibri"/>
                <w:bCs w:val="0"/>
                <w:color w:val="002060"/>
                <w:sz w:val="18"/>
                <w:szCs w:val="18"/>
                <w:lang w:val="sr-Cyrl-CS"/>
              </w:rPr>
            </w:pPr>
            <w:r w:rsidRPr="00646254">
              <w:rPr>
                <w:rFonts w:ascii="Calibri" w:eastAsiaTheme="minorHAnsi" w:hAnsi="Calibri" w:cs="Calibri"/>
                <w:b w:val="0"/>
                <w:bCs w:val="0"/>
                <w:color w:val="002060"/>
                <w:sz w:val="18"/>
                <w:szCs w:val="18"/>
                <w:lang w:val="sr-Cyrl-CS"/>
              </w:rPr>
              <w:t>2020</w:t>
            </w:r>
          </w:p>
        </w:tc>
        <w:tc>
          <w:tcPr>
            <w:tcW w:w="420" w:type="pct"/>
            <w:tcBorders>
              <w:top w:val="single" w:sz="4" w:space="0" w:color="002060"/>
              <w:bottom w:val="single" w:sz="4" w:space="0" w:color="002060"/>
            </w:tcBorders>
            <w:shd w:val="clear" w:color="auto" w:fill="auto"/>
            <w:noWrap/>
            <w:vAlign w:val="center"/>
            <w:hideMark/>
          </w:tcPr>
          <w:p w14:paraId="7533D965" w14:textId="77777777" w:rsidR="001A5BCF" w:rsidRPr="00646254" w:rsidRDefault="001A5BCF" w:rsidP="008265F0">
            <w:pPr>
              <w:spacing w:after="160" w:line="259" w:lineRule="auto"/>
              <w:jc w:val="right"/>
              <w:cnfStyle w:val="100000000000" w:firstRow="1" w:lastRow="0" w:firstColumn="0" w:lastColumn="0" w:oddVBand="0" w:evenVBand="0" w:oddHBand="0" w:evenHBand="0" w:firstRowFirstColumn="0" w:firstRowLastColumn="0" w:lastRowFirstColumn="0" w:lastRowLastColumn="0"/>
              <w:rPr>
                <w:rFonts w:ascii="Calibri" w:eastAsiaTheme="minorHAnsi" w:hAnsi="Calibri" w:cs="Calibri"/>
                <w:bCs w:val="0"/>
                <w:color w:val="002060"/>
                <w:sz w:val="18"/>
                <w:szCs w:val="18"/>
                <w:lang w:val="sr-Cyrl-CS"/>
              </w:rPr>
            </w:pPr>
            <w:r w:rsidRPr="00646254">
              <w:rPr>
                <w:rFonts w:ascii="Calibri" w:eastAsiaTheme="minorHAnsi" w:hAnsi="Calibri" w:cs="Calibri"/>
                <w:b w:val="0"/>
                <w:bCs w:val="0"/>
                <w:color w:val="002060"/>
                <w:sz w:val="18"/>
                <w:szCs w:val="18"/>
                <w:lang w:val="sr-Cyrl-CS"/>
              </w:rPr>
              <w:t>2021</w:t>
            </w:r>
          </w:p>
        </w:tc>
        <w:tc>
          <w:tcPr>
            <w:tcW w:w="420" w:type="pct"/>
            <w:tcBorders>
              <w:top w:val="single" w:sz="4" w:space="0" w:color="002060"/>
              <w:bottom w:val="single" w:sz="4" w:space="0" w:color="002060"/>
            </w:tcBorders>
            <w:shd w:val="clear" w:color="auto" w:fill="auto"/>
            <w:noWrap/>
            <w:vAlign w:val="center"/>
            <w:hideMark/>
          </w:tcPr>
          <w:p w14:paraId="6127DBCB" w14:textId="77777777" w:rsidR="001A5BCF" w:rsidRPr="00646254" w:rsidRDefault="001A5BCF" w:rsidP="008265F0">
            <w:pPr>
              <w:spacing w:after="160" w:line="259" w:lineRule="auto"/>
              <w:jc w:val="right"/>
              <w:cnfStyle w:val="100000000000" w:firstRow="1" w:lastRow="0" w:firstColumn="0" w:lastColumn="0" w:oddVBand="0" w:evenVBand="0" w:oddHBand="0" w:evenHBand="0" w:firstRowFirstColumn="0" w:firstRowLastColumn="0" w:lastRowFirstColumn="0" w:lastRowLastColumn="0"/>
              <w:rPr>
                <w:rFonts w:ascii="Calibri" w:eastAsiaTheme="minorHAnsi" w:hAnsi="Calibri" w:cs="Calibri"/>
                <w:bCs w:val="0"/>
                <w:color w:val="002060"/>
                <w:sz w:val="18"/>
                <w:szCs w:val="18"/>
                <w:lang w:val="sr-Cyrl-CS"/>
              </w:rPr>
            </w:pPr>
            <w:r w:rsidRPr="00646254">
              <w:rPr>
                <w:rFonts w:ascii="Calibri" w:eastAsiaTheme="minorHAnsi" w:hAnsi="Calibri" w:cs="Calibri"/>
                <w:b w:val="0"/>
                <w:bCs w:val="0"/>
                <w:color w:val="002060"/>
                <w:sz w:val="18"/>
                <w:szCs w:val="18"/>
                <w:lang w:val="sr-Cyrl-CS"/>
              </w:rPr>
              <w:t>2022</w:t>
            </w:r>
          </w:p>
        </w:tc>
        <w:tc>
          <w:tcPr>
            <w:tcW w:w="420" w:type="pct"/>
            <w:tcBorders>
              <w:top w:val="single" w:sz="4" w:space="0" w:color="002060"/>
              <w:bottom w:val="single" w:sz="4" w:space="0" w:color="002060"/>
            </w:tcBorders>
            <w:shd w:val="clear" w:color="auto" w:fill="auto"/>
            <w:noWrap/>
            <w:vAlign w:val="center"/>
            <w:hideMark/>
          </w:tcPr>
          <w:p w14:paraId="5127EE5C" w14:textId="77777777" w:rsidR="001A5BCF" w:rsidRPr="00646254" w:rsidRDefault="001A5BCF" w:rsidP="008265F0">
            <w:pPr>
              <w:spacing w:after="160" w:line="259" w:lineRule="auto"/>
              <w:jc w:val="right"/>
              <w:cnfStyle w:val="100000000000" w:firstRow="1" w:lastRow="0" w:firstColumn="0" w:lastColumn="0" w:oddVBand="0" w:evenVBand="0" w:oddHBand="0" w:evenHBand="0" w:firstRowFirstColumn="0" w:firstRowLastColumn="0" w:lastRowFirstColumn="0" w:lastRowLastColumn="0"/>
              <w:rPr>
                <w:rFonts w:ascii="Calibri" w:eastAsiaTheme="minorHAnsi" w:hAnsi="Calibri" w:cs="Calibri"/>
                <w:bCs w:val="0"/>
                <w:color w:val="002060"/>
                <w:sz w:val="18"/>
                <w:szCs w:val="18"/>
                <w:lang w:val="sr-Cyrl-CS"/>
              </w:rPr>
            </w:pPr>
            <w:r w:rsidRPr="00646254">
              <w:rPr>
                <w:rFonts w:ascii="Calibri" w:eastAsiaTheme="minorHAnsi" w:hAnsi="Calibri" w:cs="Calibri"/>
                <w:b w:val="0"/>
                <w:bCs w:val="0"/>
                <w:color w:val="002060"/>
                <w:sz w:val="18"/>
                <w:szCs w:val="18"/>
                <w:lang w:val="sr-Cyrl-CS"/>
              </w:rPr>
              <w:t>2023</w:t>
            </w:r>
          </w:p>
        </w:tc>
        <w:tc>
          <w:tcPr>
            <w:tcW w:w="420" w:type="pct"/>
            <w:tcBorders>
              <w:top w:val="single" w:sz="4" w:space="0" w:color="002060"/>
              <w:bottom w:val="single" w:sz="4" w:space="0" w:color="002060"/>
            </w:tcBorders>
            <w:shd w:val="clear" w:color="auto" w:fill="auto"/>
            <w:noWrap/>
            <w:vAlign w:val="center"/>
            <w:hideMark/>
          </w:tcPr>
          <w:p w14:paraId="03F023AE" w14:textId="77777777" w:rsidR="001A5BCF" w:rsidRPr="00646254" w:rsidRDefault="001A5BCF" w:rsidP="008265F0">
            <w:pPr>
              <w:spacing w:after="160" w:line="259" w:lineRule="auto"/>
              <w:jc w:val="right"/>
              <w:cnfStyle w:val="100000000000" w:firstRow="1" w:lastRow="0" w:firstColumn="0" w:lastColumn="0" w:oddVBand="0" w:evenVBand="0" w:oddHBand="0" w:evenHBand="0" w:firstRowFirstColumn="0" w:firstRowLastColumn="0" w:lastRowFirstColumn="0" w:lastRowLastColumn="0"/>
              <w:rPr>
                <w:rFonts w:ascii="Calibri" w:eastAsiaTheme="minorHAnsi" w:hAnsi="Calibri" w:cs="Calibri"/>
                <w:bCs w:val="0"/>
                <w:color w:val="002060"/>
                <w:sz w:val="18"/>
                <w:szCs w:val="18"/>
                <w:lang w:val="sr-Cyrl-CS"/>
              </w:rPr>
            </w:pPr>
            <w:r w:rsidRPr="00646254">
              <w:rPr>
                <w:rFonts w:ascii="Calibri" w:eastAsiaTheme="minorHAnsi" w:hAnsi="Calibri" w:cs="Calibri"/>
                <w:b w:val="0"/>
                <w:bCs w:val="0"/>
                <w:color w:val="002060"/>
                <w:sz w:val="18"/>
                <w:szCs w:val="18"/>
                <w:lang w:val="sr-Cyrl-CS"/>
              </w:rPr>
              <w:t>2024</w:t>
            </w:r>
          </w:p>
        </w:tc>
        <w:tc>
          <w:tcPr>
            <w:tcW w:w="420" w:type="pct"/>
            <w:tcBorders>
              <w:top w:val="single" w:sz="4" w:space="0" w:color="002060"/>
              <w:bottom w:val="single" w:sz="4" w:space="0" w:color="002060"/>
            </w:tcBorders>
            <w:shd w:val="clear" w:color="auto" w:fill="auto"/>
            <w:noWrap/>
            <w:vAlign w:val="center"/>
            <w:hideMark/>
          </w:tcPr>
          <w:p w14:paraId="2E957F09" w14:textId="77777777" w:rsidR="001A5BCF" w:rsidRPr="00646254" w:rsidRDefault="001A5BCF" w:rsidP="008265F0">
            <w:pPr>
              <w:spacing w:after="160" w:line="259" w:lineRule="auto"/>
              <w:jc w:val="right"/>
              <w:cnfStyle w:val="100000000000" w:firstRow="1" w:lastRow="0" w:firstColumn="0" w:lastColumn="0" w:oddVBand="0" w:evenVBand="0" w:oddHBand="0" w:evenHBand="0" w:firstRowFirstColumn="0" w:firstRowLastColumn="0" w:lastRowFirstColumn="0" w:lastRowLastColumn="0"/>
              <w:rPr>
                <w:rFonts w:ascii="Calibri" w:eastAsiaTheme="minorHAnsi" w:hAnsi="Calibri" w:cs="Calibri"/>
                <w:bCs w:val="0"/>
                <w:color w:val="002060"/>
                <w:sz w:val="18"/>
                <w:szCs w:val="18"/>
                <w:lang w:val="sr-Cyrl-CS"/>
              </w:rPr>
            </w:pPr>
            <w:r w:rsidRPr="00646254">
              <w:rPr>
                <w:rFonts w:ascii="Calibri" w:eastAsiaTheme="minorHAnsi" w:hAnsi="Calibri" w:cs="Calibri"/>
                <w:b w:val="0"/>
                <w:bCs w:val="0"/>
                <w:color w:val="002060"/>
                <w:sz w:val="18"/>
                <w:szCs w:val="18"/>
                <w:lang w:val="sr-Cyrl-CS"/>
              </w:rPr>
              <w:t>2025</w:t>
            </w:r>
          </w:p>
        </w:tc>
        <w:tc>
          <w:tcPr>
            <w:tcW w:w="420" w:type="pct"/>
            <w:tcBorders>
              <w:top w:val="single" w:sz="4" w:space="0" w:color="002060"/>
              <w:bottom w:val="single" w:sz="4" w:space="0" w:color="002060"/>
            </w:tcBorders>
            <w:shd w:val="clear" w:color="auto" w:fill="auto"/>
            <w:noWrap/>
            <w:vAlign w:val="center"/>
            <w:hideMark/>
          </w:tcPr>
          <w:p w14:paraId="38375848" w14:textId="77777777" w:rsidR="001A5BCF" w:rsidRPr="00646254" w:rsidRDefault="001A5BCF" w:rsidP="008265F0">
            <w:pPr>
              <w:spacing w:after="160" w:line="259" w:lineRule="auto"/>
              <w:jc w:val="right"/>
              <w:cnfStyle w:val="100000000000" w:firstRow="1" w:lastRow="0" w:firstColumn="0" w:lastColumn="0" w:oddVBand="0" w:evenVBand="0" w:oddHBand="0" w:evenHBand="0" w:firstRowFirstColumn="0" w:firstRowLastColumn="0" w:lastRowFirstColumn="0" w:lastRowLastColumn="0"/>
              <w:rPr>
                <w:rFonts w:ascii="Calibri" w:eastAsiaTheme="minorHAnsi" w:hAnsi="Calibri" w:cs="Calibri"/>
                <w:bCs w:val="0"/>
                <w:color w:val="002060"/>
                <w:sz w:val="18"/>
                <w:szCs w:val="18"/>
                <w:lang w:val="sr-Cyrl-CS"/>
              </w:rPr>
            </w:pPr>
            <w:r w:rsidRPr="00646254">
              <w:rPr>
                <w:rFonts w:ascii="Calibri" w:eastAsiaTheme="minorHAnsi" w:hAnsi="Calibri" w:cs="Calibri"/>
                <w:b w:val="0"/>
                <w:bCs w:val="0"/>
                <w:color w:val="002060"/>
                <w:sz w:val="18"/>
                <w:szCs w:val="18"/>
                <w:lang w:val="sr-Cyrl-CS"/>
              </w:rPr>
              <w:t>2026</w:t>
            </w:r>
          </w:p>
        </w:tc>
        <w:tc>
          <w:tcPr>
            <w:tcW w:w="420" w:type="pct"/>
            <w:tcBorders>
              <w:top w:val="single" w:sz="4" w:space="0" w:color="002060"/>
              <w:bottom w:val="single" w:sz="4" w:space="0" w:color="002060"/>
            </w:tcBorders>
            <w:shd w:val="clear" w:color="auto" w:fill="auto"/>
            <w:noWrap/>
            <w:vAlign w:val="center"/>
            <w:hideMark/>
          </w:tcPr>
          <w:p w14:paraId="3E429E18" w14:textId="77777777" w:rsidR="001A5BCF" w:rsidRPr="00646254" w:rsidRDefault="001A5BCF" w:rsidP="008265F0">
            <w:pPr>
              <w:spacing w:after="160" w:line="259" w:lineRule="auto"/>
              <w:jc w:val="right"/>
              <w:cnfStyle w:val="100000000000" w:firstRow="1" w:lastRow="0" w:firstColumn="0" w:lastColumn="0" w:oddVBand="0" w:evenVBand="0" w:oddHBand="0" w:evenHBand="0" w:firstRowFirstColumn="0" w:firstRowLastColumn="0" w:lastRowFirstColumn="0" w:lastRowLastColumn="0"/>
              <w:rPr>
                <w:rFonts w:ascii="Calibri" w:eastAsiaTheme="minorHAnsi" w:hAnsi="Calibri" w:cs="Calibri"/>
                <w:bCs w:val="0"/>
                <w:color w:val="002060"/>
                <w:sz w:val="18"/>
                <w:szCs w:val="18"/>
                <w:lang w:val="sr-Cyrl-CS"/>
              </w:rPr>
            </w:pPr>
            <w:r w:rsidRPr="00646254">
              <w:rPr>
                <w:rFonts w:ascii="Calibri" w:eastAsiaTheme="minorHAnsi" w:hAnsi="Calibri" w:cs="Calibri"/>
                <w:b w:val="0"/>
                <w:bCs w:val="0"/>
                <w:color w:val="002060"/>
                <w:sz w:val="18"/>
                <w:szCs w:val="18"/>
                <w:lang w:val="sr-Cyrl-CS"/>
              </w:rPr>
              <w:t>2027</w:t>
            </w:r>
          </w:p>
        </w:tc>
        <w:tc>
          <w:tcPr>
            <w:tcW w:w="420" w:type="pct"/>
            <w:tcBorders>
              <w:top w:val="single" w:sz="4" w:space="0" w:color="002060"/>
              <w:bottom w:val="single" w:sz="4" w:space="0" w:color="002060"/>
            </w:tcBorders>
            <w:shd w:val="clear" w:color="auto" w:fill="auto"/>
            <w:noWrap/>
            <w:vAlign w:val="center"/>
            <w:hideMark/>
          </w:tcPr>
          <w:p w14:paraId="1CB7D3B1" w14:textId="77777777" w:rsidR="001A5BCF" w:rsidRPr="00646254" w:rsidRDefault="001A5BCF" w:rsidP="008265F0">
            <w:pPr>
              <w:spacing w:after="160" w:line="259" w:lineRule="auto"/>
              <w:jc w:val="right"/>
              <w:cnfStyle w:val="100000000000" w:firstRow="1" w:lastRow="0" w:firstColumn="0" w:lastColumn="0" w:oddVBand="0" w:evenVBand="0" w:oddHBand="0" w:evenHBand="0" w:firstRowFirstColumn="0" w:firstRowLastColumn="0" w:lastRowFirstColumn="0" w:lastRowLastColumn="0"/>
              <w:rPr>
                <w:rFonts w:ascii="Calibri" w:eastAsiaTheme="minorHAnsi" w:hAnsi="Calibri" w:cs="Calibri"/>
                <w:bCs w:val="0"/>
                <w:color w:val="002060"/>
                <w:sz w:val="18"/>
                <w:szCs w:val="18"/>
                <w:lang w:val="sr-Cyrl-CS"/>
              </w:rPr>
            </w:pPr>
            <w:r w:rsidRPr="00646254">
              <w:rPr>
                <w:rFonts w:ascii="Calibri" w:eastAsiaTheme="minorHAnsi" w:hAnsi="Calibri" w:cs="Calibri"/>
                <w:b w:val="0"/>
                <w:bCs w:val="0"/>
                <w:color w:val="002060"/>
                <w:sz w:val="18"/>
                <w:szCs w:val="18"/>
                <w:lang w:val="sr-Cyrl-CS"/>
              </w:rPr>
              <w:t>2028</w:t>
            </w:r>
          </w:p>
        </w:tc>
      </w:tr>
      <w:tr w:rsidR="00262F10" w:rsidRPr="00646254" w14:paraId="5690DDBD" w14:textId="77777777" w:rsidTr="00E96A1D">
        <w:trPr>
          <w:cnfStyle w:val="000000100000" w:firstRow="0" w:lastRow="0" w:firstColumn="0" w:lastColumn="0" w:oddVBand="0" w:evenVBand="0" w:oddHBand="1" w:evenHBand="0" w:firstRowFirstColumn="0" w:firstRowLastColumn="0" w:lastRowFirstColumn="0" w:lastRowLastColumn="0"/>
          <w:trHeight w:hRule="exact" w:val="288"/>
          <w:jc w:val="center"/>
        </w:trPr>
        <w:tc>
          <w:tcPr>
            <w:cnfStyle w:val="001000000000" w:firstRow="0" w:lastRow="0" w:firstColumn="1" w:lastColumn="0" w:oddVBand="0" w:evenVBand="0" w:oddHBand="0" w:evenHBand="0" w:firstRowFirstColumn="0" w:firstRowLastColumn="0" w:lastRowFirstColumn="0" w:lastRowLastColumn="0"/>
            <w:tcW w:w="1221" w:type="pct"/>
            <w:tcBorders>
              <w:top w:val="single" w:sz="4" w:space="0" w:color="002060"/>
              <w:bottom w:val="nil"/>
            </w:tcBorders>
            <w:shd w:val="clear" w:color="auto" w:fill="auto"/>
            <w:noWrap/>
            <w:vAlign w:val="center"/>
            <w:hideMark/>
          </w:tcPr>
          <w:p w14:paraId="7ADF4541" w14:textId="77777777" w:rsidR="001A5BCF" w:rsidRPr="00646254" w:rsidRDefault="001A5BCF" w:rsidP="00E96A1D">
            <w:pPr>
              <w:spacing w:after="160" w:line="259" w:lineRule="auto"/>
              <w:rPr>
                <w:rFonts w:ascii="Calibri" w:eastAsia="Times New Roman" w:hAnsi="Calibri" w:cs="Calibri"/>
                <w:bCs w:val="0"/>
                <w:color w:val="002060"/>
                <w:sz w:val="18"/>
                <w:szCs w:val="18"/>
                <w:lang w:val="sr-Cyrl-CS"/>
              </w:rPr>
            </w:pPr>
            <w:r w:rsidRPr="00646254">
              <w:rPr>
                <w:rFonts w:ascii="Calibri" w:eastAsia="Times New Roman" w:hAnsi="Calibri" w:cs="Calibri"/>
                <w:b w:val="0"/>
                <w:bCs w:val="0"/>
                <w:color w:val="002060"/>
                <w:sz w:val="18"/>
                <w:szCs w:val="18"/>
                <w:lang w:val="sr-Cyrl-CS"/>
              </w:rPr>
              <w:t>Приходи</w:t>
            </w:r>
          </w:p>
        </w:tc>
        <w:tc>
          <w:tcPr>
            <w:tcW w:w="420" w:type="pct"/>
            <w:tcBorders>
              <w:top w:val="single" w:sz="4" w:space="0" w:color="002060"/>
              <w:bottom w:val="nil"/>
            </w:tcBorders>
            <w:shd w:val="clear" w:color="auto" w:fill="auto"/>
            <w:noWrap/>
            <w:hideMark/>
          </w:tcPr>
          <w:p w14:paraId="6270D136" w14:textId="77777777" w:rsidR="001A5BCF" w:rsidRPr="00646254" w:rsidRDefault="001A5BCF" w:rsidP="00E96A1D">
            <w:pPr>
              <w:spacing w:after="160" w:line="259" w:lineRule="auto"/>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Calibri"/>
                <w:color w:val="002060"/>
                <w:sz w:val="18"/>
                <w:szCs w:val="18"/>
                <w:lang w:val="sr-Cyrl-CS"/>
              </w:rPr>
            </w:pPr>
            <w:r w:rsidRPr="00646254">
              <w:rPr>
                <w:rFonts w:asciiTheme="minorHAnsi" w:hAnsiTheme="minorHAnsi"/>
                <w:color w:val="002060"/>
                <w:sz w:val="18"/>
                <w:szCs w:val="18"/>
                <w:lang w:val="sr-Cyrl-CS"/>
              </w:rPr>
              <w:t>41,0</w:t>
            </w:r>
          </w:p>
        </w:tc>
        <w:tc>
          <w:tcPr>
            <w:tcW w:w="420" w:type="pct"/>
            <w:tcBorders>
              <w:top w:val="single" w:sz="4" w:space="0" w:color="002060"/>
              <w:bottom w:val="nil"/>
            </w:tcBorders>
            <w:shd w:val="clear" w:color="auto" w:fill="auto"/>
            <w:noWrap/>
            <w:hideMark/>
          </w:tcPr>
          <w:p w14:paraId="1D16F589" w14:textId="77777777" w:rsidR="001A5BCF" w:rsidRPr="00646254" w:rsidRDefault="001A5BCF" w:rsidP="00E96A1D">
            <w:pPr>
              <w:spacing w:after="160" w:line="259" w:lineRule="auto"/>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Calibri"/>
                <w:color w:val="002060"/>
                <w:sz w:val="18"/>
                <w:szCs w:val="18"/>
                <w:lang w:val="sr-Cyrl-CS"/>
              </w:rPr>
            </w:pPr>
            <w:r w:rsidRPr="00646254">
              <w:rPr>
                <w:rFonts w:asciiTheme="minorHAnsi" w:hAnsiTheme="minorHAnsi"/>
                <w:color w:val="002060"/>
                <w:sz w:val="18"/>
                <w:szCs w:val="18"/>
                <w:lang w:val="sr-Cyrl-CS"/>
              </w:rPr>
              <w:t>43,5</w:t>
            </w:r>
          </w:p>
        </w:tc>
        <w:tc>
          <w:tcPr>
            <w:tcW w:w="420" w:type="pct"/>
            <w:tcBorders>
              <w:top w:val="single" w:sz="4" w:space="0" w:color="002060"/>
              <w:bottom w:val="nil"/>
            </w:tcBorders>
            <w:shd w:val="clear" w:color="auto" w:fill="auto"/>
            <w:noWrap/>
            <w:hideMark/>
          </w:tcPr>
          <w:p w14:paraId="14D65859" w14:textId="77777777" w:rsidR="001A5BCF" w:rsidRPr="00646254" w:rsidRDefault="001A5BCF" w:rsidP="00E96A1D">
            <w:pPr>
              <w:spacing w:after="160" w:line="259" w:lineRule="auto"/>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Calibri"/>
                <w:color w:val="002060"/>
                <w:sz w:val="18"/>
                <w:szCs w:val="18"/>
                <w:lang w:val="sr-Cyrl-CS"/>
              </w:rPr>
            </w:pPr>
            <w:r w:rsidRPr="00646254">
              <w:rPr>
                <w:rFonts w:asciiTheme="minorHAnsi" w:hAnsiTheme="minorHAnsi"/>
                <w:color w:val="002060"/>
                <w:sz w:val="18"/>
                <w:szCs w:val="18"/>
                <w:lang w:val="sr-Cyrl-CS"/>
              </w:rPr>
              <w:t>42,1</w:t>
            </w:r>
          </w:p>
        </w:tc>
        <w:tc>
          <w:tcPr>
            <w:tcW w:w="420" w:type="pct"/>
            <w:tcBorders>
              <w:top w:val="single" w:sz="4" w:space="0" w:color="002060"/>
              <w:bottom w:val="nil"/>
            </w:tcBorders>
            <w:shd w:val="clear" w:color="auto" w:fill="auto"/>
            <w:noWrap/>
            <w:hideMark/>
          </w:tcPr>
          <w:p w14:paraId="7E07FE0F" w14:textId="77777777" w:rsidR="001A5BCF" w:rsidRPr="00646254" w:rsidRDefault="001A5BCF" w:rsidP="00E96A1D">
            <w:pPr>
              <w:spacing w:after="160" w:line="259" w:lineRule="auto"/>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Calibri"/>
                <w:color w:val="002060"/>
                <w:sz w:val="18"/>
                <w:szCs w:val="18"/>
                <w:lang w:val="sr-Cyrl-CS"/>
              </w:rPr>
            </w:pPr>
            <w:r w:rsidRPr="00646254">
              <w:rPr>
                <w:rFonts w:asciiTheme="minorHAnsi" w:hAnsiTheme="minorHAnsi"/>
                <w:color w:val="002060"/>
                <w:sz w:val="18"/>
                <w:szCs w:val="18"/>
                <w:lang w:val="sr-Cyrl-CS"/>
              </w:rPr>
              <w:t>41,0</w:t>
            </w:r>
          </w:p>
        </w:tc>
        <w:tc>
          <w:tcPr>
            <w:tcW w:w="420" w:type="pct"/>
            <w:tcBorders>
              <w:top w:val="single" w:sz="4" w:space="0" w:color="002060"/>
              <w:bottom w:val="nil"/>
            </w:tcBorders>
            <w:shd w:val="clear" w:color="auto" w:fill="auto"/>
            <w:noWrap/>
            <w:hideMark/>
          </w:tcPr>
          <w:p w14:paraId="13AA7A57" w14:textId="77777777" w:rsidR="001A5BCF" w:rsidRPr="00646254" w:rsidRDefault="001A5BCF" w:rsidP="00E96A1D">
            <w:pPr>
              <w:spacing w:after="160" w:line="259" w:lineRule="auto"/>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Calibri"/>
                <w:color w:val="002060"/>
                <w:sz w:val="18"/>
                <w:szCs w:val="18"/>
                <w:lang w:val="sr-Cyrl-CS"/>
              </w:rPr>
            </w:pPr>
            <w:r w:rsidRPr="00646254">
              <w:rPr>
                <w:rFonts w:asciiTheme="minorHAnsi" w:hAnsiTheme="minorHAnsi"/>
                <w:color w:val="002060"/>
                <w:sz w:val="18"/>
                <w:szCs w:val="18"/>
                <w:lang w:val="sr-Cyrl-CS"/>
              </w:rPr>
              <w:t>40,5</w:t>
            </w:r>
          </w:p>
        </w:tc>
        <w:tc>
          <w:tcPr>
            <w:tcW w:w="420" w:type="pct"/>
            <w:tcBorders>
              <w:top w:val="single" w:sz="4" w:space="0" w:color="002060"/>
              <w:bottom w:val="nil"/>
            </w:tcBorders>
            <w:shd w:val="clear" w:color="auto" w:fill="auto"/>
            <w:noWrap/>
            <w:hideMark/>
          </w:tcPr>
          <w:p w14:paraId="0E241CDF" w14:textId="77777777" w:rsidR="001A5BCF" w:rsidRPr="00646254" w:rsidRDefault="001A5BCF" w:rsidP="00E96A1D">
            <w:pPr>
              <w:spacing w:after="160" w:line="259" w:lineRule="auto"/>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Calibri"/>
                <w:color w:val="002060"/>
                <w:sz w:val="18"/>
                <w:szCs w:val="18"/>
                <w:lang w:val="sr-Cyrl-CS"/>
              </w:rPr>
            </w:pPr>
            <w:r w:rsidRPr="00646254">
              <w:rPr>
                <w:rFonts w:asciiTheme="minorHAnsi" w:hAnsiTheme="minorHAnsi"/>
                <w:color w:val="002060"/>
                <w:sz w:val="18"/>
                <w:szCs w:val="18"/>
                <w:lang w:val="sr-Cyrl-CS"/>
              </w:rPr>
              <w:t>40,3</w:t>
            </w:r>
          </w:p>
        </w:tc>
        <w:tc>
          <w:tcPr>
            <w:tcW w:w="420" w:type="pct"/>
            <w:tcBorders>
              <w:top w:val="single" w:sz="4" w:space="0" w:color="002060"/>
              <w:bottom w:val="nil"/>
            </w:tcBorders>
            <w:shd w:val="clear" w:color="auto" w:fill="auto"/>
            <w:noWrap/>
            <w:hideMark/>
          </w:tcPr>
          <w:p w14:paraId="1A745282" w14:textId="77777777" w:rsidR="001A5BCF" w:rsidRPr="00646254" w:rsidRDefault="001A5BCF" w:rsidP="00E96A1D">
            <w:pPr>
              <w:spacing w:after="160" w:line="259" w:lineRule="auto"/>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Calibri"/>
                <w:color w:val="002060"/>
                <w:sz w:val="18"/>
                <w:szCs w:val="18"/>
                <w:lang w:val="sr-Cyrl-CS"/>
              </w:rPr>
            </w:pPr>
            <w:r w:rsidRPr="00646254">
              <w:rPr>
                <w:rFonts w:asciiTheme="minorHAnsi" w:hAnsiTheme="minorHAnsi"/>
                <w:color w:val="002060"/>
                <w:sz w:val="18"/>
                <w:szCs w:val="18"/>
                <w:lang w:val="sr-Cyrl-CS"/>
              </w:rPr>
              <w:t>40,1</w:t>
            </w:r>
          </w:p>
        </w:tc>
        <w:tc>
          <w:tcPr>
            <w:tcW w:w="420" w:type="pct"/>
            <w:tcBorders>
              <w:top w:val="single" w:sz="4" w:space="0" w:color="002060"/>
              <w:bottom w:val="nil"/>
            </w:tcBorders>
            <w:shd w:val="clear" w:color="auto" w:fill="auto"/>
            <w:noWrap/>
            <w:hideMark/>
          </w:tcPr>
          <w:p w14:paraId="7B8E013E" w14:textId="77777777" w:rsidR="001A5BCF" w:rsidRPr="00646254" w:rsidRDefault="001A5BCF" w:rsidP="00E96A1D">
            <w:pPr>
              <w:spacing w:after="160" w:line="259" w:lineRule="auto"/>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Calibri"/>
                <w:color w:val="002060"/>
                <w:sz w:val="18"/>
                <w:szCs w:val="18"/>
                <w:lang w:val="sr-Cyrl-CS"/>
              </w:rPr>
            </w:pPr>
            <w:r w:rsidRPr="00646254">
              <w:rPr>
                <w:rFonts w:asciiTheme="minorHAnsi" w:hAnsiTheme="minorHAnsi"/>
                <w:color w:val="002060"/>
                <w:sz w:val="18"/>
                <w:szCs w:val="18"/>
                <w:lang w:val="sr-Cyrl-CS"/>
              </w:rPr>
              <w:t>39,9</w:t>
            </w:r>
          </w:p>
        </w:tc>
        <w:tc>
          <w:tcPr>
            <w:tcW w:w="420" w:type="pct"/>
            <w:tcBorders>
              <w:top w:val="single" w:sz="4" w:space="0" w:color="002060"/>
              <w:bottom w:val="nil"/>
            </w:tcBorders>
            <w:shd w:val="clear" w:color="auto" w:fill="auto"/>
            <w:noWrap/>
            <w:hideMark/>
          </w:tcPr>
          <w:p w14:paraId="11D29453" w14:textId="77777777" w:rsidR="001A5BCF" w:rsidRPr="00646254" w:rsidRDefault="001A5BCF" w:rsidP="00E96A1D">
            <w:pPr>
              <w:spacing w:after="160" w:line="259" w:lineRule="auto"/>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Calibri"/>
                <w:color w:val="002060"/>
                <w:sz w:val="18"/>
                <w:szCs w:val="18"/>
                <w:lang w:val="sr-Cyrl-CS"/>
              </w:rPr>
            </w:pPr>
            <w:r w:rsidRPr="00646254">
              <w:rPr>
                <w:rFonts w:asciiTheme="minorHAnsi" w:hAnsiTheme="minorHAnsi"/>
                <w:color w:val="002060"/>
                <w:sz w:val="18"/>
                <w:szCs w:val="18"/>
                <w:lang w:val="sr-Cyrl-CS"/>
              </w:rPr>
              <w:t>39,7</w:t>
            </w:r>
          </w:p>
        </w:tc>
      </w:tr>
      <w:tr w:rsidR="00262F10" w:rsidRPr="00646254" w14:paraId="01EB02E6" w14:textId="77777777" w:rsidTr="00E96A1D">
        <w:trPr>
          <w:trHeight w:hRule="exact" w:val="288"/>
          <w:jc w:val="center"/>
        </w:trPr>
        <w:tc>
          <w:tcPr>
            <w:cnfStyle w:val="001000000000" w:firstRow="0" w:lastRow="0" w:firstColumn="1" w:lastColumn="0" w:oddVBand="0" w:evenVBand="0" w:oddHBand="0" w:evenHBand="0" w:firstRowFirstColumn="0" w:firstRowLastColumn="0" w:lastRowFirstColumn="0" w:lastRowLastColumn="0"/>
            <w:tcW w:w="1221" w:type="pct"/>
            <w:tcBorders>
              <w:top w:val="nil"/>
              <w:left w:val="nil"/>
              <w:bottom w:val="nil"/>
              <w:right w:val="nil"/>
            </w:tcBorders>
            <w:shd w:val="clear" w:color="auto" w:fill="auto"/>
            <w:noWrap/>
            <w:vAlign w:val="center"/>
            <w:hideMark/>
          </w:tcPr>
          <w:p w14:paraId="0E976E3C" w14:textId="77777777" w:rsidR="001A5BCF" w:rsidRPr="00646254" w:rsidRDefault="001A5BCF" w:rsidP="00E96A1D">
            <w:pPr>
              <w:spacing w:after="160" w:line="259" w:lineRule="auto"/>
              <w:rPr>
                <w:rFonts w:ascii="Calibri" w:eastAsia="Times New Roman" w:hAnsi="Calibri" w:cs="Calibri"/>
                <w:bCs w:val="0"/>
                <w:color w:val="002060"/>
                <w:sz w:val="18"/>
                <w:szCs w:val="18"/>
                <w:lang w:val="sr-Cyrl-CS"/>
              </w:rPr>
            </w:pPr>
            <w:r w:rsidRPr="00646254">
              <w:rPr>
                <w:rFonts w:ascii="Calibri" w:eastAsia="Times New Roman" w:hAnsi="Calibri" w:cs="Calibri"/>
                <w:b w:val="0"/>
                <w:bCs w:val="0"/>
                <w:color w:val="002060"/>
                <w:sz w:val="18"/>
                <w:szCs w:val="18"/>
                <w:lang w:val="sr-Cyrl-CS"/>
              </w:rPr>
              <w:t>Расходи</w:t>
            </w:r>
          </w:p>
        </w:tc>
        <w:tc>
          <w:tcPr>
            <w:tcW w:w="420" w:type="pct"/>
            <w:tcBorders>
              <w:top w:val="nil"/>
              <w:left w:val="nil"/>
              <w:bottom w:val="nil"/>
              <w:right w:val="nil"/>
            </w:tcBorders>
            <w:shd w:val="clear" w:color="auto" w:fill="auto"/>
            <w:noWrap/>
            <w:hideMark/>
          </w:tcPr>
          <w:p w14:paraId="626CADB7" w14:textId="77777777" w:rsidR="001A5BCF" w:rsidRPr="00646254" w:rsidRDefault="001A5BCF" w:rsidP="00E96A1D">
            <w:pPr>
              <w:spacing w:after="160" w:line="259"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Calibri"/>
                <w:color w:val="002060"/>
                <w:sz w:val="18"/>
                <w:szCs w:val="18"/>
                <w:lang w:val="sr-Cyrl-CS"/>
              </w:rPr>
            </w:pPr>
            <w:r w:rsidRPr="00646254">
              <w:rPr>
                <w:rFonts w:asciiTheme="minorHAnsi" w:hAnsiTheme="minorHAnsi"/>
                <w:color w:val="002060"/>
                <w:sz w:val="18"/>
                <w:szCs w:val="18"/>
                <w:lang w:val="sr-Cyrl-CS"/>
              </w:rPr>
              <w:t>49,0</w:t>
            </w:r>
          </w:p>
        </w:tc>
        <w:tc>
          <w:tcPr>
            <w:tcW w:w="420" w:type="pct"/>
            <w:tcBorders>
              <w:top w:val="nil"/>
              <w:left w:val="nil"/>
              <w:bottom w:val="nil"/>
              <w:right w:val="nil"/>
            </w:tcBorders>
            <w:shd w:val="clear" w:color="auto" w:fill="auto"/>
            <w:noWrap/>
            <w:hideMark/>
          </w:tcPr>
          <w:p w14:paraId="7E512EFA" w14:textId="77777777" w:rsidR="001A5BCF" w:rsidRPr="00646254" w:rsidRDefault="001A5BCF" w:rsidP="00E96A1D">
            <w:pPr>
              <w:spacing w:after="160" w:line="259"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Calibri"/>
                <w:color w:val="002060"/>
                <w:sz w:val="18"/>
                <w:szCs w:val="18"/>
                <w:lang w:val="sr-Cyrl-CS"/>
              </w:rPr>
            </w:pPr>
            <w:r w:rsidRPr="00646254">
              <w:rPr>
                <w:rFonts w:asciiTheme="minorHAnsi" w:hAnsiTheme="minorHAnsi"/>
                <w:color w:val="002060"/>
                <w:sz w:val="18"/>
                <w:szCs w:val="18"/>
                <w:lang w:val="sr-Cyrl-CS"/>
              </w:rPr>
              <w:t>48,4</w:t>
            </w:r>
          </w:p>
        </w:tc>
        <w:tc>
          <w:tcPr>
            <w:tcW w:w="420" w:type="pct"/>
            <w:tcBorders>
              <w:top w:val="nil"/>
              <w:left w:val="nil"/>
              <w:bottom w:val="nil"/>
              <w:right w:val="nil"/>
            </w:tcBorders>
            <w:shd w:val="clear" w:color="auto" w:fill="auto"/>
            <w:noWrap/>
            <w:hideMark/>
          </w:tcPr>
          <w:p w14:paraId="0B84236F" w14:textId="77777777" w:rsidR="001A5BCF" w:rsidRPr="00646254" w:rsidRDefault="001A5BCF" w:rsidP="00E96A1D">
            <w:pPr>
              <w:spacing w:after="160" w:line="259"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Calibri"/>
                <w:color w:val="002060"/>
                <w:sz w:val="18"/>
                <w:szCs w:val="18"/>
                <w:lang w:val="sr-Cyrl-CS"/>
              </w:rPr>
            </w:pPr>
            <w:r w:rsidRPr="00646254">
              <w:rPr>
                <w:rFonts w:asciiTheme="minorHAnsi" w:hAnsiTheme="minorHAnsi"/>
                <w:color w:val="002060"/>
                <w:sz w:val="18"/>
                <w:szCs w:val="18"/>
                <w:lang w:val="sr-Cyrl-CS"/>
              </w:rPr>
              <w:t>45,1</w:t>
            </w:r>
          </w:p>
        </w:tc>
        <w:tc>
          <w:tcPr>
            <w:tcW w:w="420" w:type="pct"/>
            <w:tcBorders>
              <w:top w:val="nil"/>
              <w:left w:val="nil"/>
              <w:bottom w:val="nil"/>
              <w:right w:val="nil"/>
            </w:tcBorders>
            <w:shd w:val="clear" w:color="auto" w:fill="auto"/>
            <w:noWrap/>
            <w:hideMark/>
          </w:tcPr>
          <w:p w14:paraId="6750217A" w14:textId="77777777" w:rsidR="001A5BCF" w:rsidRPr="00646254" w:rsidRDefault="001A5BCF" w:rsidP="00E96A1D">
            <w:pPr>
              <w:spacing w:after="160" w:line="259"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Calibri"/>
                <w:color w:val="002060"/>
                <w:sz w:val="18"/>
                <w:szCs w:val="18"/>
                <w:lang w:val="sr-Cyrl-CS"/>
              </w:rPr>
            </w:pPr>
            <w:r w:rsidRPr="00646254">
              <w:rPr>
                <w:rFonts w:asciiTheme="minorHAnsi" w:hAnsiTheme="minorHAnsi"/>
                <w:color w:val="002060"/>
                <w:sz w:val="18"/>
                <w:szCs w:val="18"/>
                <w:lang w:val="sr-Cyrl-CS"/>
              </w:rPr>
              <w:t>42,5</w:t>
            </w:r>
          </w:p>
        </w:tc>
        <w:tc>
          <w:tcPr>
            <w:tcW w:w="420" w:type="pct"/>
            <w:tcBorders>
              <w:top w:val="nil"/>
              <w:left w:val="nil"/>
              <w:bottom w:val="nil"/>
              <w:right w:val="nil"/>
            </w:tcBorders>
            <w:shd w:val="clear" w:color="auto" w:fill="auto"/>
            <w:noWrap/>
            <w:hideMark/>
          </w:tcPr>
          <w:p w14:paraId="08214274" w14:textId="77777777" w:rsidR="001A5BCF" w:rsidRPr="00646254" w:rsidRDefault="001A5BCF" w:rsidP="00E96A1D">
            <w:pPr>
              <w:spacing w:after="160" w:line="259"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Calibri"/>
                <w:color w:val="002060"/>
                <w:sz w:val="18"/>
                <w:szCs w:val="18"/>
                <w:lang w:val="sr-Cyrl-CS"/>
              </w:rPr>
            </w:pPr>
            <w:r w:rsidRPr="00646254">
              <w:rPr>
                <w:rFonts w:asciiTheme="minorHAnsi" w:hAnsiTheme="minorHAnsi"/>
                <w:color w:val="002060"/>
                <w:sz w:val="18"/>
                <w:szCs w:val="18"/>
                <w:lang w:val="sr-Cyrl-CS"/>
              </w:rPr>
              <w:t>41,5</w:t>
            </w:r>
          </w:p>
        </w:tc>
        <w:tc>
          <w:tcPr>
            <w:tcW w:w="420" w:type="pct"/>
            <w:tcBorders>
              <w:top w:val="nil"/>
              <w:left w:val="nil"/>
              <w:bottom w:val="nil"/>
              <w:right w:val="nil"/>
            </w:tcBorders>
            <w:shd w:val="clear" w:color="auto" w:fill="auto"/>
            <w:noWrap/>
            <w:hideMark/>
          </w:tcPr>
          <w:p w14:paraId="7EFF1CA6" w14:textId="77777777" w:rsidR="001A5BCF" w:rsidRPr="00646254" w:rsidRDefault="001A5BCF" w:rsidP="00E96A1D">
            <w:pPr>
              <w:spacing w:after="160" w:line="259"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Calibri"/>
                <w:color w:val="002060"/>
                <w:sz w:val="18"/>
                <w:szCs w:val="18"/>
                <w:lang w:val="sr-Cyrl-CS"/>
              </w:rPr>
            </w:pPr>
            <w:r w:rsidRPr="00646254">
              <w:rPr>
                <w:rFonts w:asciiTheme="minorHAnsi" w:hAnsiTheme="minorHAnsi"/>
                <w:color w:val="002060"/>
                <w:sz w:val="18"/>
                <w:szCs w:val="18"/>
                <w:lang w:val="sr-Cyrl-CS"/>
              </w:rPr>
              <w:t>40,8</w:t>
            </w:r>
          </w:p>
        </w:tc>
        <w:tc>
          <w:tcPr>
            <w:tcW w:w="420" w:type="pct"/>
            <w:tcBorders>
              <w:top w:val="nil"/>
              <w:left w:val="nil"/>
              <w:bottom w:val="nil"/>
              <w:right w:val="nil"/>
            </w:tcBorders>
            <w:shd w:val="clear" w:color="auto" w:fill="auto"/>
            <w:noWrap/>
            <w:hideMark/>
          </w:tcPr>
          <w:p w14:paraId="1BFB1B92" w14:textId="77777777" w:rsidR="001A5BCF" w:rsidRPr="00646254" w:rsidRDefault="001A5BCF" w:rsidP="00E96A1D">
            <w:pPr>
              <w:spacing w:after="160" w:line="259"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Calibri"/>
                <w:color w:val="002060"/>
                <w:sz w:val="18"/>
                <w:szCs w:val="18"/>
                <w:lang w:val="sr-Cyrl-CS"/>
              </w:rPr>
            </w:pPr>
            <w:r w:rsidRPr="00646254">
              <w:rPr>
                <w:rFonts w:asciiTheme="minorHAnsi" w:hAnsiTheme="minorHAnsi"/>
                <w:color w:val="002060"/>
                <w:sz w:val="18"/>
                <w:szCs w:val="18"/>
                <w:lang w:val="sr-Cyrl-CS"/>
              </w:rPr>
              <w:t>40,6</w:t>
            </w:r>
          </w:p>
        </w:tc>
        <w:tc>
          <w:tcPr>
            <w:tcW w:w="420" w:type="pct"/>
            <w:tcBorders>
              <w:top w:val="nil"/>
              <w:left w:val="nil"/>
              <w:bottom w:val="nil"/>
              <w:right w:val="nil"/>
            </w:tcBorders>
            <w:shd w:val="clear" w:color="auto" w:fill="auto"/>
            <w:noWrap/>
            <w:hideMark/>
          </w:tcPr>
          <w:p w14:paraId="0B5D6EE8" w14:textId="77777777" w:rsidR="001A5BCF" w:rsidRPr="00646254" w:rsidRDefault="001A5BCF" w:rsidP="00E96A1D">
            <w:pPr>
              <w:spacing w:after="160" w:line="259"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Calibri"/>
                <w:color w:val="002060"/>
                <w:sz w:val="18"/>
                <w:szCs w:val="18"/>
                <w:lang w:val="sr-Cyrl-CS"/>
              </w:rPr>
            </w:pPr>
            <w:r w:rsidRPr="00646254">
              <w:rPr>
                <w:rFonts w:asciiTheme="minorHAnsi" w:hAnsiTheme="minorHAnsi"/>
                <w:color w:val="002060"/>
                <w:sz w:val="18"/>
                <w:szCs w:val="18"/>
                <w:lang w:val="sr-Cyrl-CS"/>
              </w:rPr>
              <w:t>40,4</w:t>
            </w:r>
          </w:p>
        </w:tc>
        <w:tc>
          <w:tcPr>
            <w:tcW w:w="420" w:type="pct"/>
            <w:tcBorders>
              <w:top w:val="nil"/>
              <w:left w:val="nil"/>
              <w:bottom w:val="nil"/>
              <w:right w:val="nil"/>
            </w:tcBorders>
            <w:shd w:val="clear" w:color="auto" w:fill="auto"/>
            <w:noWrap/>
            <w:hideMark/>
          </w:tcPr>
          <w:p w14:paraId="1A747CF8" w14:textId="77777777" w:rsidR="001A5BCF" w:rsidRPr="00646254" w:rsidRDefault="001A5BCF" w:rsidP="00E96A1D">
            <w:pPr>
              <w:spacing w:after="160" w:line="259"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Calibri"/>
                <w:color w:val="002060"/>
                <w:sz w:val="18"/>
                <w:szCs w:val="18"/>
                <w:lang w:val="sr-Cyrl-CS"/>
              </w:rPr>
            </w:pPr>
            <w:r w:rsidRPr="00646254">
              <w:rPr>
                <w:rFonts w:asciiTheme="minorHAnsi" w:hAnsiTheme="minorHAnsi"/>
                <w:color w:val="002060"/>
                <w:sz w:val="18"/>
                <w:szCs w:val="18"/>
                <w:lang w:val="sr-Cyrl-CS"/>
              </w:rPr>
              <w:t>40,2</w:t>
            </w:r>
          </w:p>
        </w:tc>
      </w:tr>
      <w:tr w:rsidR="00262F10" w:rsidRPr="00646254" w14:paraId="39B0698C" w14:textId="77777777" w:rsidTr="00E96A1D">
        <w:trPr>
          <w:cnfStyle w:val="000000100000" w:firstRow="0" w:lastRow="0" w:firstColumn="0" w:lastColumn="0" w:oddVBand="0" w:evenVBand="0" w:oddHBand="1" w:evenHBand="0" w:firstRowFirstColumn="0" w:firstRowLastColumn="0" w:lastRowFirstColumn="0" w:lastRowLastColumn="0"/>
          <w:trHeight w:hRule="exact" w:val="288"/>
          <w:jc w:val="center"/>
        </w:trPr>
        <w:tc>
          <w:tcPr>
            <w:cnfStyle w:val="001000000000" w:firstRow="0" w:lastRow="0" w:firstColumn="1" w:lastColumn="0" w:oddVBand="0" w:evenVBand="0" w:oddHBand="0" w:evenHBand="0" w:firstRowFirstColumn="0" w:firstRowLastColumn="0" w:lastRowFirstColumn="0" w:lastRowLastColumn="0"/>
            <w:tcW w:w="1221" w:type="pct"/>
            <w:tcBorders>
              <w:top w:val="nil"/>
              <w:bottom w:val="nil"/>
            </w:tcBorders>
            <w:shd w:val="clear" w:color="auto" w:fill="auto"/>
            <w:noWrap/>
            <w:vAlign w:val="center"/>
            <w:hideMark/>
          </w:tcPr>
          <w:p w14:paraId="2FDAEC00" w14:textId="77777777" w:rsidR="001A5BCF" w:rsidRPr="00646254" w:rsidRDefault="001A5BCF" w:rsidP="00E96A1D">
            <w:pPr>
              <w:spacing w:after="160" w:line="259" w:lineRule="auto"/>
              <w:rPr>
                <w:rFonts w:ascii="Calibri" w:eastAsia="Times New Roman" w:hAnsi="Calibri" w:cs="Calibri"/>
                <w:bCs w:val="0"/>
                <w:iCs/>
                <w:color w:val="002060"/>
                <w:sz w:val="18"/>
                <w:szCs w:val="18"/>
                <w:lang w:val="sr-Cyrl-CS"/>
              </w:rPr>
            </w:pPr>
            <w:r w:rsidRPr="00646254">
              <w:rPr>
                <w:rFonts w:ascii="Calibri" w:eastAsia="Times New Roman" w:hAnsi="Calibri" w:cs="Calibri"/>
                <w:b w:val="0"/>
                <w:bCs w:val="0"/>
                <w:iCs/>
                <w:color w:val="002060"/>
                <w:sz w:val="18"/>
                <w:szCs w:val="18"/>
                <w:lang w:val="sr-Cyrl-CS"/>
              </w:rPr>
              <w:t>Пад учешћа расхода</w:t>
            </w:r>
          </w:p>
        </w:tc>
        <w:tc>
          <w:tcPr>
            <w:tcW w:w="420" w:type="pct"/>
            <w:tcBorders>
              <w:top w:val="nil"/>
              <w:bottom w:val="nil"/>
            </w:tcBorders>
            <w:shd w:val="clear" w:color="auto" w:fill="auto"/>
            <w:noWrap/>
            <w:hideMark/>
          </w:tcPr>
          <w:p w14:paraId="7C9C898D" w14:textId="77777777" w:rsidR="001A5BCF" w:rsidRPr="00646254" w:rsidRDefault="001A5BCF" w:rsidP="00E96A1D">
            <w:pPr>
              <w:spacing w:after="160" w:line="259" w:lineRule="auto"/>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Calibri"/>
                <w:color w:val="002060"/>
                <w:sz w:val="18"/>
                <w:szCs w:val="18"/>
                <w:lang w:val="sr-Cyrl-CS"/>
              </w:rPr>
            </w:pPr>
          </w:p>
        </w:tc>
        <w:tc>
          <w:tcPr>
            <w:tcW w:w="420" w:type="pct"/>
            <w:tcBorders>
              <w:top w:val="nil"/>
              <w:bottom w:val="nil"/>
            </w:tcBorders>
            <w:shd w:val="clear" w:color="auto" w:fill="auto"/>
            <w:noWrap/>
            <w:hideMark/>
          </w:tcPr>
          <w:p w14:paraId="1C55D6FE" w14:textId="77777777" w:rsidR="001A5BCF" w:rsidRPr="00646254" w:rsidRDefault="001A5BCF" w:rsidP="00E96A1D">
            <w:pPr>
              <w:spacing w:after="160" w:line="259" w:lineRule="auto"/>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Calibri"/>
                <w:color w:val="002060"/>
                <w:sz w:val="18"/>
                <w:szCs w:val="18"/>
                <w:lang w:val="sr-Cyrl-CS"/>
              </w:rPr>
            </w:pPr>
            <w:r w:rsidRPr="00646254">
              <w:rPr>
                <w:rFonts w:asciiTheme="minorHAnsi" w:hAnsiTheme="minorHAnsi"/>
                <w:color w:val="002060"/>
                <w:sz w:val="18"/>
                <w:szCs w:val="18"/>
                <w:lang w:val="sr-Cyrl-CS"/>
              </w:rPr>
              <w:t>-0,6</w:t>
            </w:r>
          </w:p>
        </w:tc>
        <w:tc>
          <w:tcPr>
            <w:tcW w:w="420" w:type="pct"/>
            <w:tcBorders>
              <w:top w:val="nil"/>
              <w:bottom w:val="nil"/>
            </w:tcBorders>
            <w:shd w:val="clear" w:color="auto" w:fill="auto"/>
            <w:noWrap/>
            <w:hideMark/>
          </w:tcPr>
          <w:p w14:paraId="24258FFD" w14:textId="77777777" w:rsidR="001A5BCF" w:rsidRPr="00646254" w:rsidRDefault="001A5BCF" w:rsidP="00E96A1D">
            <w:pPr>
              <w:spacing w:after="160" w:line="259" w:lineRule="auto"/>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Calibri"/>
                <w:color w:val="002060"/>
                <w:sz w:val="18"/>
                <w:szCs w:val="18"/>
                <w:lang w:val="sr-Cyrl-CS"/>
              </w:rPr>
            </w:pPr>
            <w:r w:rsidRPr="00646254">
              <w:rPr>
                <w:rFonts w:asciiTheme="minorHAnsi" w:hAnsiTheme="minorHAnsi"/>
                <w:color w:val="002060"/>
                <w:sz w:val="18"/>
                <w:szCs w:val="18"/>
                <w:lang w:val="sr-Cyrl-CS"/>
              </w:rPr>
              <w:t>-3,3</w:t>
            </w:r>
          </w:p>
        </w:tc>
        <w:tc>
          <w:tcPr>
            <w:tcW w:w="420" w:type="pct"/>
            <w:tcBorders>
              <w:top w:val="nil"/>
              <w:bottom w:val="nil"/>
            </w:tcBorders>
            <w:shd w:val="clear" w:color="auto" w:fill="auto"/>
            <w:noWrap/>
            <w:hideMark/>
          </w:tcPr>
          <w:p w14:paraId="50119BD9" w14:textId="77777777" w:rsidR="001A5BCF" w:rsidRPr="00646254" w:rsidRDefault="001A5BCF" w:rsidP="00E96A1D">
            <w:pPr>
              <w:spacing w:after="160" w:line="259" w:lineRule="auto"/>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Calibri"/>
                <w:color w:val="002060"/>
                <w:sz w:val="18"/>
                <w:szCs w:val="18"/>
                <w:lang w:val="sr-Cyrl-CS"/>
              </w:rPr>
            </w:pPr>
            <w:r w:rsidRPr="00646254">
              <w:rPr>
                <w:rFonts w:asciiTheme="minorHAnsi" w:hAnsiTheme="minorHAnsi"/>
                <w:color w:val="002060"/>
                <w:sz w:val="18"/>
                <w:szCs w:val="18"/>
                <w:lang w:val="sr-Cyrl-CS"/>
              </w:rPr>
              <w:t>-2,6</w:t>
            </w:r>
          </w:p>
        </w:tc>
        <w:tc>
          <w:tcPr>
            <w:tcW w:w="420" w:type="pct"/>
            <w:tcBorders>
              <w:top w:val="nil"/>
              <w:bottom w:val="nil"/>
            </w:tcBorders>
            <w:shd w:val="clear" w:color="auto" w:fill="auto"/>
            <w:noWrap/>
            <w:hideMark/>
          </w:tcPr>
          <w:p w14:paraId="4E94C3D9" w14:textId="77777777" w:rsidR="001A5BCF" w:rsidRPr="00646254" w:rsidRDefault="001A5BCF" w:rsidP="00E96A1D">
            <w:pPr>
              <w:spacing w:after="160" w:line="259" w:lineRule="auto"/>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Calibri"/>
                <w:color w:val="002060"/>
                <w:sz w:val="18"/>
                <w:szCs w:val="18"/>
                <w:lang w:val="sr-Cyrl-CS"/>
              </w:rPr>
            </w:pPr>
            <w:r w:rsidRPr="00646254">
              <w:rPr>
                <w:rFonts w:asciiTheme="minorHAnsi" w:hAnsiTheme="minorHAnsi"/>
                <w:color w:val="002060"/>
                <w:sz w:val="18"/>
                <w:szCs w:val="18"/>
                <w:lang w:val="sr-Cyrl-CS"/>
              </w:rPr>
              <w:t>-0,9</w:t>
            </w:r>
          </w:p>
        </w:tc>
        <w:tc>
          <w:tcPr>
            <w:tcW w:w="420" w:type="pct"/>
            <w:tcBorders>
              <w:top w:val="nil"/>
              <w:bottom w:val="nil"/>
            </w:tcBorders>
            <w:shd w:val="clear" w:color="auto" w:fill="auto"/>
            <w:noWrap/>
            <w:hideMark/>
          </w:tcPr>
          <w:p w14:paraId="3C2A4AE0" w14:textId="77777777" w:rsidR="001A5BCF" w:rsidRPr="00646254" w:rsidRDefault="001A5BCF" w:rsidP="00E96A1D">
            <w:pPr>
              <w:spacing w:after="160" w:line="259" w:lineRule="auto"/>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Calibri"/>
                <w:color w:val="002060"/>
                <w:sz w:val="18"/>
                <w:szCs w:val="18"/>
                <w:lang w:val="sr-Cyrl-CS"/>
              </w:rPr>
            </w:pPr>
            <w:r w:rsidRPr="00646254">
              <w:rPr>
                <w:rFonts w:asciiTheme="minorHAnsi" w:hAnsiTheme="minorHAnsi"/>
                <w:color w:val="002060"/>
                <w:sz w:val="18"/>
                <w:szCs w:val="18"/>
                <w:lang w:val="sr-Cyrl-CS"/>
              </w:rPr>
              <w:t>-0,7</w:t>
            </w:r>
          </w:p>
        </w:tc>
        <w:tc>
          <w:tcPr>
            <w:tcW w:w="420" w:type="pct"/>
            <w:tcBorders>
              <w:top w:val="nil"/>
              <w:bottom w:val="nil"/>
            </w:tcBorders>
            <w:shd w:val="clear" w:color="auto" w:fill="auto"/>
            <w:noWrap/>
            <w:hideMark/>
          </w:tcPr>
          <w:p w14:paraId="3D87548F" w14:textId="77777777" w:rsidR="001A5BCF" w:rsidRPr="00646254" w:rsidRDefault="001A5BCF" w:rsidP="00E96A1D">
            <w:pPr>
              <w:spacing w:after="160" w:line="259" w:lineRule="auto"/>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Calibri"/>
                <w:color w:val="002060"/>
                <w:sz w:val="18"/>
                <w:szCs w:val="18"/>
                <w:lang w:val="sr-Cyrl-CS"/>
              </w:rPr>
            </w:pPr>
            <w:r w:rsidRPr="00646254">
              <w:rPr>
                <w:rFonts w:asciiTheme="minorHAnsi" w:hAnsiTheme="minorHAnsi"/>
                <w:color w:val="002060"/>
                <w:sz w:val="18"/>
                <w:szCs w:val="18"/>
                <w:lang w:val="sr-Cyrl-CS"/>
              </w:rPr>
              <w:t>-0,2</w:t>
            </w:r>
          </w:p>
        </w:tc>
        <w:tc>
          <w:tcPr>
            <w:tcW w:w="420" w:type="pct"/>
            <w:tcBorders>
              <w:top w:val="nil"/>
              <w:bottom w:val="nil"/>
            </w:tcBorders>
            <w:shd w:val="clear" w:color="auto" w:fill="auto"/>
            <w:noWrap/>
            <w:hideMark/>
          </w:tcPr>
          <w:p w14:paraId="0BC3BBFB" w14:textId="77777777" w:rsidR="001A5BCF" w:rsidRPr="00646254" w:rsidRDefault="001A5BCF" w:rsidP="00E96A1D">
            <w:pPr>
              <w:spacing w:after="160" w:line="259" w:lineRule="auto"/>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Calibri"/>
                <w:color w:val="002060"/>
                <w:sz w:val="18"/>
                <w:szCs w:val="18"/>
                <w:lang w:val="sr-Cyrl-CS"/>
              </w:rPr>
            </w:pPr>
            <w:r w:rsidRPr="00646254">
              <w:rPr>
                <w:rFonts w:asciiTheme="minorHAnsi" w:hAnsiTheme="minorHAnsi"/>
                <w:color w:val="002060"/>
                <w:sz w:val="18"/>
                <w:szCs w:val="18"/>
                <w:lang w:val="sr-Cyrl-CS"/>
              </w:rPr>
              <w:t>-0,2</w:t>
            </w:r>
          </w:p>
        </w:tc>
        <w:tc>
          <w:tcPr>
            <w:tcW w:w="420" w:type="pct"/>
            <w:tcBorders>
              <w:top w:val="nil"/>
              <w:bottom w:val="nil"/>
            </w:tcBorders>
            <w:shd w:val="clear" w:color="auto" w:fill="auto"/>
            <w:noWrap/>
            <w:hideMark/>
          </w:tcPr>
          <w:p w14:paraId="6F0F5157" w14:textId="77777777" w:rsidR="001A5BCF" w:rsidRPr="00646254" w:rsidRDefault="001A5BCF" w:rsidP="00E96A1D">
            <w:pPr>
              <w:spacing w:after="160" w:line="259" w:lineRule="auto"/>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Calibri"/>
                <w:color w:val="002060"/>
                <w:sz w:val="18"/>
                <w:szCs w:val="18"/>
                <w:lang w:val="sr-Cyrl-CS"/>
              </w:rPr>
            </w:pPr>
            <w:r w:rsidRPr="00646254">
              <w:rPr>
                <w:rFonts w:asciiTheme="minorHAnsi" w:hAnsiTheme="minorHAnsi"/>
                <w:color w:val="002060"/>
                <w:sz w:val="18"/>
                <w:szCs w:val="18"/>
                <w:lang w:val="sr-Cyrl-CS"/>
              </w:rPr>
              <w:t>-0,2</w:t>
            </w:r>
          </w:p>
        </w:tc>
      </w:tr>
      <w:tr w:rsidR="00262F10" w:rsidRPr="00646254" w14:paraId="1683A521" w14:textId="77777777" w:rsidTr="00E96A1D">
        <w:trPr>
          <w:trHeight w:hRule="exact" w:val="288"/>
          <w:jc w:val="center"/>
        </w:trPr>
        <w:tc>
          <w:tcPr>
            <w:cnfStyle w:val="001000000000" w:firstRow="0" w:lastRow="0" w:firstColumn="1" w:lastColumn="0" w:oddVBand="0" w:evenVBand="0" w:oddHBand="0" w:evenHBand="0" w:firstRowFirstColumn="0" w:firstRowLastColumn="0" w:lastRowFirstColumn="0" w:lastRowLastColumn="0"/>
            <w:tcW w:w="1221" w:type="pct"/>
            <w:tcBorders>
              <w:top w:val="nil"/>
              <w:left w:val="nil"/>
              <w:bottom w:val="nil"/>
              <w:right w:val="nil"/>
            </w:tcBorders>
            <w:shd w:val="clear" w:color="auto" w:fill="auto"/>
            <w:noWrap/>
            <w:vAlign w:val="center"/>
            <w:hideMark/>
          </w:tcPr>
          <w:p w14:paraId="3FCDEBE9" w14:textId="77777777" w:rsidR="001A5BCF" w:rsidRPr="00646254" w:rsidRDefault="001A5BCF" w:rsidP="00E96A1D">
            <w:pPr>
              <w:spacing w:after="160" w:line="259" w:lineRule="auto"/>
              <w:rPr>
                <w:rFonts w:ascii="Calibri" w:eastAsia="Times New Roman" w:hAnsi="Calibri" w:cs="Calibri"/>
                <w:bCs w:val="0"/>
                <w:color w:val="002060"/>
                <w:sz w:val="18"/>
                <w:szCs w:val="18"/>
                <w:lang w:val="sr-Cyrl-CS"/>
              </w:rPr>
            </w:pPr>
            <w:r w:rsidRPr="00646254">
              <w:rPr>
                <w:rFonts w:ascii="Calibri" w:eastAsia="Times New Roman" w:hAnsi="Calibri" w:cs="Calibri"/>
                <w:b w:val="0"/>
                <w:bCs w:val="0"/>
                <w:color w:val="002060"/>
                <w:sz w:val="18"/>
                <w:szCs w:val="18"/>
                <w:lang w:val="sr-Cyrl-CS"/>
              </w:rPr>
              <w:t xml:space="preserve">Фискални резултат </w:t>
            </w:r>
          </w:p>
        </w:tc>
        <w:tc>
          <w:tcPr>
            <w:tcW w:w="420" w:type="pct"/>
            <w:tcBorders>
              <w:top w:val="nil"/>
              <w:left w:val="nil"/>
              <w:bottom w:val="nil"/>
              <w:right w:val="nil"/>
            </w:tcBorders>
            <w:shd w:val="clear" w:color="auto" w:fill="auto"/>
            <w:noWrap/>
            <w:hideMark/>
          </w:tcPr>
          <w:p w14:paraId="59E0317E" w14:textId="77777777" w:rsidR="001A5BCF" w:rsidRPr="00646254" w:rsidRDefault="001A5BCF" w:rsidP="00E96A1D">
            <w:pPr>
              <w:spacing w:after="160" w:line="259"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Calibri"/>
                <w:color w:val="002060"/>
                <w:sz w:val="18"/>
                <w:szCs w:val="18"/>
                <w:lang w:val="sr-Cyrl-CS"/>
              </w:rPr>
            </w:pPr>
            <w:r w:rsidRPr="00646254">
              <w:rPr>
                <w:rFonts w:asciiTheme="minorHAnsi" w:hAnsiTheme="minorHAnsi"/>
                <w:color w:val="002060"/>
                <w:sz w:val="18"/>
                <w:szCs w:val="18"/>
                <w:lang w:val="sr-Cyrl-CS"/>
              </w:rPr>
              <w:t>-8,0</w:t>
            </w:r>
          </w:p>
        </w:tc>
        <w:tc>
          <w:tcPr>
            <w:tcW w:w="420" w:type="pct"/>
            <w:tcBorders>
              <w:top w:val="nil"/>
              <w:left w:val="nil"/>
              <w:bottom w:val="nil"/>
              <w:right w:val="nil"/>
            </w:tcBorders>
            <w:shd w:val="clear" w:color="auto" w:fill="auto"/>
            <w:noWrap/>
            <w:hideMark/>
          </w:tcPr>
          <w:p w14:paraId="08D7A58A" w14:textId="77777777" w:rsidR="001A5BCF" w:rsidRPr="00646254" w:rsidRDefault="001A5BCF" w:rsidP="00E96A1D">
            <w:pPr>
              <w:spacing w:after="160" w:line="259"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Calibri"/>
                <w:color w:val="002060"/>
                <w:sz w:val="18"/>
                <w:szCs w:val="18"/>
                <w:lang w:val="sr-Cyrl-CS"/>
              </w:rPr>
            </w:pPr>
            <w:r w:rsidRPr="00646254">
              <w:rPr>
                <w:rFonts w:asciiTheme="minorHAnsi" w:hAnsiTheme="minorHAnsi"/>
                <w:color w:val="002060"/>
                <w:sz w:val="18"/>
                <w:szCs w:val="18"/>
                <w:lang w:val="sr-Cyrl-CS"/>
              </w:rPr>
              <w:t>-4,9</w:t>
            </w:r>
          </w:p>
        </w:tc>
        <w:tc>
          <w:tcPr>
            <w:tcW w:w="420" w:type="pct"/>
            <w:tcBorders>
              <w:top w:val="nil"/>
              <w:left w:val="nil"/>
              <w:bottom w:val="nil"/>
              <w:right w:val="nil"/>
            </w:tcBorders>
            <w:shd w:val="clear" w:color="auto" w:fill="auto"/>
            <w:noWrap/>
            <w:hideMark/>
          </w:tcPr>
          <w:p w14:paraId="53F64EC9" w14:textId="77777777" w:rsidR="001A5BCF" w:rsidRPr="00646254" w:rsidRDefault="001A5BCF" w:rsidP="00E96A1D">
            <w:pPr>
              <w:spacing w:after="160" w:line="259"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Calibri"/>
                <w:color w:val="002060"/>
                <w:sz w:val="18"/>
                <w:szCs w:val="18"/>
                <w:lang w:val="sr-Cyrl-CS"/>
              </w:rPr>
            </w:pPr>
            <w:r w:rsidRPr="00646254">
              <w:rPr>
                <w:rFonts w:asciiTheme="minorHAnsi" w:hAnsiTheme="minorHAnsi"/>
                <w:color w:val="002060"/>
                <w:sz w:val="18"/>
                <w:szCs w:val="18"/>
                <w:lang w:val="sr-Cyrl-CS"/>
              </w:rPr>
              <w:t>-3,0</w:t>
            </w:r>
          </w:p>
        </w:tc>
        <w:tc>
          <w:tcPr>
            <w:tcW w:w="420" w:type="pct"/>
            <w:tcBorders>
              <w:top w:val="nil"/>
              <w:left w:val="nil"/>
              <w:bottom w:val="nil"/>
              <w:right w:val="nil"/>
            </w:tcBorders>
            <w:shd w:val="clear" w:color="auto" w:fill="auto"/>
            <w:noWrap/>
            <w:hideMark/>
          </w:tcPr>
          <w:p w14:paraId="2B3962F1" w14:textId="77777777" w:rsidR="001A5BCF" w:rsidRPr="00646254" w:rsidRDefault="001A5BCF" w:rsidP="00E96A1D">
            <w:pPr>
              <w:spacing w:after="160" w:line="259"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Calibri"/>
                <w:color w:val="002060"/>
                <w:sz w:val="18"/>
                <w:szCs w:val="18"/>
                <w:lang w:val="sr-Cyrl-CS"/>
              </w:rPr>
            </w:pPr>
            <w:r w:rsidRPr="00646254">
              <w:rPr>
                <w:rFonts w:asciiTheme="minorHAnsi" w:hAnsiTheme="minorHAnsi"/>
                <w:color w:val="002060"/>
                <w:sz w:val="18"/>
                <w:szCs w:val="18"/>
                <w:lang w:val="sr-Cyrl-CS"/>
              </w:rPr>
              <w:t>-1,5</w:t>
            </w:r>
          </w:p>
        </w:tc>
        <w:tc>
          <w:tcPr>
            <w:tcW w:w="420" w:type="pct"/>
            <w:tcBorders>
              <w:top w:val="nil"/>
              <w:left w:val="nil"/>
              <w:bottom w:val="nil"/>
              <w:right w:val="nil"/>
            </w:tcBorders>
            <w:shd w:val="clear" w:color="auto" w:fill="auto"/>
            <w:noWrap/>
            <w:hideMark/>
          </w:tcPr>
          <w:p w14:paraId="53957CEF" w14:textId="77777777" w:rsidR="001A5BCF" w:rsidRPr="00646254" w:rsidRDefault="001A5BCF" w:rsidP="00E96A1D">
            <w:pPr>
              <w:spacing w:after="160" w:line="259"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Calibri"/>
                <w:color w:val="002060"/>
                <w:sz w:val="18"/>
                <w:szCs w:val="18"/>
                <w:lang w:val="sr-Cyrl-CS"/>
              </w:rPr>
            </w:pPr>
            <w:r w:rsidRPr="00646254">
              <w:rPr>
                <w:rFonts w:asciiTheme="minorHAnsi" w:hAnsiTheme="minorHAnsi"/>
                <w:color w:val="002060"/>
                <w:sz w:val="18"/>
                <w:szCs w:val="18"/>
                <w:lang w:val="sr-Cyrl-CS"/>
              </w:rPr>
              <w:t>-1,0</w:t>
            </w:r>
          </w:p>
        </w:tc>
        <w:tc>
          <w:tcPr>
            <w:tcW w:w="420" w:type="pct"/>
            <w:tcBorders>
              <w:top w:val="nil"/>
              <w:left w:val="nil"/>
              <w:bottom w:val="nil"/>
              <w:right w:val="nil"/>
            </w:tcBorders>
            <w:shd w:val="clear" w:color="auto" w:fill="auto"/>
            <w:noWrap/>
            <w:hideMark/>
          </w:tcPr>
          <w:p w14:paraId="28E6BE4F" w14:textId="77777777" w:rsidR="001A5BCF" w:rsidRPr="00646254" w:rsidRDefault="001A5BCF" w:rsidP="00E96A1D">
            <w:pPr>
              <w:spacing w:after="160" w:line="259"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Calibri"/>
                <w:color w:val="002060"/>
                <w:sz w:val="18"/>
                <w:szCs w:val="18"/>
                <w:lang w:val="sr-Cyrl-CS"/>
              </w:rPr>
            </w:pPr>
            <w:r w:rsidRPr="00646254">
              <w:rPr>
                <w:rFonts w:asciiTheme="minorHAnsi" w:hAnsiTheme="minorHAnsi"/>
                <w:color w:val="002060"/>
                <w:sz w:val="18"/>
                <w:szCs w:val="18"/>
                <w:lang w:val="sr-Cyrl-CS"/>
              </w:rPr>
              <w:t>-0,5</w:t>
            </w:r>
          </w:p>
        </w:tc>
        <w:tc>
          <w:tcPr>
            <w:tcW w:w="420" w:type="pct"/>
            <w:tcBorders>
              <w:top w:val="nil"/>
              <w:left w:val="nil"/>
              <w:bottom w:val="nil"/>
              <w:right w:val="nil"/>
            </w:tcBorders>
            <w:shd w:val="clear" w:color="auto" w:fill="auto"/>
            <w:noWrap/>
            <w:hideMark/>
          </w:tcPr>
          <w:p w14:paraId="371F9C3D" w14:textId="77777777" w:rsidR="001A5BCF" w:rsidRPr="00646254" w:rsidRDefault="001A5BCF" w:rsidP="00E96A1D">
            <w:pPr>
              <w:spacing w:after="160" w:line="259"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Calibri"/>
                <w:color w:val="002060"/>
                <w:sz w:val="18"/>
                <w:szCs w:val="18"/>
                <w:lang w:val="sr-Cyrl-CS"/>
              </w:rPr>
            </w:pPr>
            <w:r w:rsidRPr="00646254">
              <w:rPr>
                <w:rFonts w:asciiTheme="minorHAnsi" w:hAnsiTheme="minorHAnsi"/>
                <w:color w:val="002060"/>
                <w:sz w:val="18"/>
                <w:szCs w:val="18"/>
                <w:lang w:val="sr-Cyrl-CS"/>
              </w:rPr>
              <w:t>-0,5</w:t>
            </w:r>
          </w:p>
        </w:tc>
        <w:tc>
          <w:tcPr>
            <w:tcW w:w="420" w:type="pct"/>
            <w:tcBorders>
              <w:top w:val="nil"/>
              <w:left w:val="nil"/>
              <w:bottom w:val="nil"/>
              <w:right w:val="nil"/>
            </w:tcBorders>
            <w:shd w:val="clear" w:color="auto" w:fill="auto"/>
            <w:noWrap/>
            <w:hideMark/>
          </w:tcPr>
          <w:p w14:paraId="52B9AB32" w14:textId="77777777" w:rsidR="001A5BCF" w:rsidRPr="00646254" w:rsidRDefault="001A5BCF" w:rsidP="00E96A1D">
            <w:pPr>
              <w:spacing w:after="160" w:line="259"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Calibri"/>
                <w:color w:val="002060"/>
                <w:sz w:val="18"/>
                <w:szCs w:val="18"/>
                <w:lang w:val="sr-Cyrl-CS"/>
              </w:rPr>
            </w:pPr>
            <w:r w:rsidRPr="00646254">
              <w:rPr>
                <w:rFonts w:asciiTheme="minorHAnsi" w:hAnsiTheme="minorHAnsi"/>
                <w:color w:val="002060"/>
                <w:sz w:val="18"/>
                <w:szCs w:val="18"/>
                <w:lang w:val="sr-Cyrl-CS"/>
              </w:rPr>
              <w:t>-0,5</w:t>
            </w:r>
          </w:p>
        </w:tc>
        <w:tc>
          <w:tcPr>
            <w:tcW w:w="420" w:type="pct"/>
            <w:tcBorders>
              <w:top w:val="nil"/>
              <w:left w:val="nil"/>
              <w:bottom w:val="nil"/>
              <w:right w:val="nil"/>
            </w:tcBorders>
            <w:shd w:val="clear" w:color="auto" w:fill="auto"/>
            <w:noWrap/>
            <w:hideMark/>
          </w:tcPr>
          <w:p w14:paraId="37E9919A" w14:textId="77777777" w:rsidR="001A5BCF" w:rsidRPr="00646254" w:rsidRDefault="001A5BCF" w:rsidP="00E96A1D">
            <w:pPr>
              <w:spacing w:after="160" w:line="259"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Calibri"/>
                <w:color w:val="002060"/>
                <w:sz w:val="18"/>
                <w:szCs w:val="18"/>
                <w:lang w:val="sr-Cyrl-CS"/>
              </w:rPr>
            </w:pPr>
            <w:r w:rsidRPr="00646254">
              <w:rPr>
                <w:rFonts w:asciiTheme="minorHAnsi" w:hAnsiTheme="minorHAnsi"/>
                <w:color w:val="002060"/>
                <w:sz w:val="18"/>
                <w:szCs w:val="18"/>
                <w:lang w:val="sr-Cyrl-CS"/>
              </w:rPr>
              <w:t>-0,5</w:t>
            </w:r>
          </w:p>
        </w:tc>
      </w:tr>
      <w:tr w:rsidR="00262F10" w:rsidRPr="00646254" w14:paraId="1082E330" w14:textId="77777777" w:rsidTr="00E96A1D">
        <w:trPr>
          <w:cnfStyle w:val="000000100000" w:firstRow="0" w:lastRow="0" w:firstColumn="0" w:lastColumn="0" w:oddVBand="0" w:evenVBand="0" w:oddHBand="1" w:evenHBand="0" w:firstRowFirstColumn="0" w:firstRowLastColumn="0" w:lastRowFirstColumn="0" w:lastRowLastColumn="0"/>
          <w:trHeight w:hRule="exact" w:val="288"/>
          <w:jc w:val="center"/>
        </w:trPr>
        <w:tc>
          <w:tcPr>
            <w:cnfStyle w:val="001000000000" w:firstRow="0" w:lastRow="0" w:firstColumn="1" w:lastColumn="0" w:oddVBand="0" w:evenVBand="0" w:oddHBand="0" w:evenHBand="0" w:firstRowFirstColumn="0" w:firstRowLastColumn="0" w:lastRowFirstColumn="0" w:lastRowLastColumn="0"/>
            <w:tcW w:w="1221" w:type="pct"/>
            <w:tcBorders>
              <w:top w:val="nil"/>
              <w:bottom w:val="nil"/>
            </w:tcBorders>
            <w:shd w:val="clear" w:color="auto" w:fill="auto"/>
            <w:noWrap/>
            <w:vAlign w:val="center"/>
            <w:hideMark/>
          </w:tcPr>
          <w:p w14:paraId="536290D8" w14:textId="77777777" w:rsidR="001A5BCF" w:rsidRPr="00646254" w:rsidRDefault="001A5BCF" w:rsidP="00E96A1D">
            <w:pPr>
              <w:spacing w:after="160" w:line="259" w:lineRule="auto"/>
              <w:rPr>
                <w:rFonts w:ascii="Calibri" w:eastAsia="Times New Roman" w:hAnsi="Calibri" w:cs="Calibri"/>
                <w:bCs w:val="0"/>
                <w:color w:val="002060"/>
                <w:sz w:val="18"/>
                <w:szCs w:val="18"/>
                <w:lang w:val="sr-Cyrl-CS"/>
              </w:rPr>
            </w:pPr>
            <w:r w:rsidRPr="00646254">
              <w:rPr>
                <w:rFonts w:ascii="Calibri" w:eastAsia="Times New Roman" w:hAnsi="Calibri" w:cs="Calibri"/>
                <w:b w:val="0"/>
                <w:bCs w:val="0"/>
                <w:color w:val="002060"/>
                <w:sz w:val="18"/>
                <w:szCs w:val="18"/>
                <w:lang w:val="sr-Cyrl-CS"/>
              </w:rPr>
              <w:t>Примарни фис. резултат</w:t>
            </w:r>
          </w:p>
        </w:tc>
        <w:tc>
          <w:tcPr>
            <w:tcW w:w="420" w:type="pct"/>
            <w:tcBorders>
              <w:top w:val="nil"/>
              <w:bottom w:val="nil"/>
            </w:tcBorders>
            <w:shd w:val="clear" w:color="auto" w:fill="auto"/>
            <w:noWrap/>
            <w:hideMark/>
          </w:tcPr>
          <w:p w14:paraId="075B8E9B" w14:textId="77777777" w:rsidR="001A5BCF" w:rsidRPr="00646254" w:rsidRDefault="001A5BCF" w:rsidP="00E96A1D">
            <w:pPr>
              <w:spacing w:after="160" w:line="259" w:lineRule="auto"/>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Calibri"/>
                <w:color w:val="002060"/>
                <w:sz w:val="18"/>
                <w:szCs w:val="18"/>
                <w:lang w:val="sr-Cyrl-CS"/>
              </w:rPr>
            </w:pPr>
            <w:r w:rsidRPr="00646254">
              <w:rPr>
                <w:rFonts w:asciiTheme="minorHAnsi" w:hAnsiTheme="minorHAnsi"/>
                <w:color w:val="002060"/>
                <w:sz w:val="18"/>
                <w:szCs w:val="18"/>
                <w:lang w:val="sr-Cyrl-CS"/>
              </w:rPr>
              <w:t>-6,0</w:t>
            </w:r>
          </w:p>
        </w:tc>
        <w:tc>
          <w:tcPr>
            <w:tcW w:w="420" w:type="pct"/>
            <w:tcBorders>
              <w:top w:val="nil"/>
              <w:bottom w:val="nil"/>
            </w:tcBorders>
            <w:shd w:val="clear" w:color="auto" w:fill="auto"/>
            <w:noWrap/>
            <w:hideMark/>
          </w:tcPr>
          <w:p w14:paraId="5E7A8582" w14:textId="77777777" w:rsidR="001A5BCF" w:rsidRPr="00646254" w:rsidRDefault="001A5BCF" w:rsidP="00E96A1D">
            <w:pPr>
              <w:spacing w:after="160" w:line="259" w:lineRule="auto"/>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Calibri"/>
                <w:color w:val="002060"/>
                <w:sz w:val="18"/>
                <w:szCs w:val="18"/>
                <w:lang w:val="sr-Cyrl-CS"/>
              </w:rPr>
            </w:pPr>
            <w:r w:rsidRPr="00646254">
              <w:rPr>
                <w:rFonts w:asciiTheme="minorHAnsi" w:hAnsiTheme="minorHAnsi"/>
                <w:color w:val="002060"/>
                <w:sz w:val="18"/>
                <w:szCs w:val="18"/>
                <w:lang w:val="sr-Cyrl-CS"/>
              </w:rPr>
              <w:t>-3,1</w:t>
            </w:r>
          </w:p>
        </w:tc>
        <w:tc>
          <w:tcPr>
            <w:tcW w:w="420" w:type="pct"/>
            <w:tcBorders>
              <w:top w:val="nil"/>
              <w:bottom w:val="nil"/>
            </w:tcBorders>
            <w:shd w:val="clear" w:color="auto" w:fill="auto"/>
            <w:noWrap/>
            <w:hideMark/>
          </w:tcPr>
          <w:p w14:paraId="1D60A4B8" w14:textId="77777777" w:rsidR="001A5BCF" w:rsidRPr="00646254" w:rsidRDefault="001A5BCF" w:rsidP="00E96A1D">
            <w:pPr>
              <w:spacing w:after="160" w:line="259" w:lineRule="auto"/>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Calibri"/>
                <w:color w:val="002060"/>
                <w:sz w:val="18"/>
                <w:szCs w:val="18"/>
                <w:lang w:val="sr-Cyrl-CS"/>
              </w:rPr>
            </w:pPr>
            <w:r w:rsidRPr="00646254">
              <w:rPr>
                <w:rFonts w:asciiTheme="minorHAnsi" w:hAnsiTheme="minorHAnsi"/>
                <w:color w:val="002060"/>
                <w:sz w:val="18"/>
                <w:szCs w:val="18"/>
                <w:lang w:val="sr-Cyrl-CS"/>
              </w:rPr>
              <w:t>-1,2</w:t>
            </w:r>
          </w:p>
        </w:tc>
        <w:tc>
          <w:tcPr>
            <w:tcW w:w="420" w:type="pct"/>
            <w:tcBorders>
              <w:top w:val="nil"/>
              <w:bottom w:val="nil"/>
            </w:tcBorders>
            <w:shd w:val="clear" w:color="auto" w:fill="auto"/>
            <w:noWrap/>
            <w:hideMark/>
          </w:tcPr>
          <w:p w14:paraId="1F9BEE2E" w14:textId="77777777" w:rsidR="001A5BCF" w:rsidRPr="00646254" w:rsidRDefault="001A5BCF" w:rsidP="00E96A1D">
            <w:pPr>
              <w:spacing w:after="160" w:line="259" w:lineRule="auto"/>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Calibri"/>
                <w:color w:val="002060"/>
                <w:sz w:val="18"/>
                <w:szCs w:val="18"/>
                <w:lang w:val="sr-Cyrl-CS"/>
              </w:rPr>
            </w:pPr>
            <w:r w:rsidRPr="00646254">
              <w:rPr>
                <w:rFonts w:asciiTheme="minorHAnsi" w:hAnsiTheme="minorHAnsi"/>
                <w:color w:val="002060"/>
                <w:sz w:val="18"/>
                <w:szCs w:val="18"/>
                <w:lang w:val="sr-Cyrl-CS"/>
              </w:rPr>
              <w:t>0,3</w:t>
            </w:r>
          </w:p>
        </w:tc>
        <w:tc>
          <w:tcPr>
            <w:tcW w:w="420" w:type="pct"/>
            <w:tcBorders>
              <w:top w:val="nil"/>
              <w:bottom w:val="nil"/>
            </w:tcBorders>
            <w:shd w:val="clear" w:color="auto" w:fill="auto"/>
            <w:noWrap/>
            <w:hideMark/>
          </w:tcPr>
          <w:p w14:paraId="3C0D0B31" w14:textId="77777777" w:rsidR="001A5BCF" w:rsidRPr="00646254" w:rsidRDefault="001A5BCF" w:rsidP="00E96A1D">
            <w:pPr>
              <w:spacing w:after="160" w:line="259" w:lineRule="auto"/>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Calibri"/>
                <w:color w:val="002060"/>
                <w:sz w:val="18"/>
                <w:szCs w:val="18"/>
                <w:lang w:val="sr-Cyrl-CS"/>
              </w:rPr>
            </w:pPr>
            <w:r w:rsidRPr="00646254">
              <w:rPr>
                <w:rFonts w:asciiTheme="minorHAnsi" w:hAnsiTheme="minorHAnsi"/>
                <w:color w:val="002060"/>
                <w:sz w:val="18"/>
                <w:szCs w:val="18"/>
                <w:lang w:val="sr-Cyrl-CS"/>
              </w:rPr>
              <w:t>0,7</w:t>
            </w:r>
          </w:p>
        </w:tc>
        <w:tc>
          <w:tcPr>
            <w:tcW w:w="420" w:type="pct"/>
            <w:tcBorders>
              <w:top w:val="nil"/>
              <w:bottom w:val="nil"/>
            </w:tcBorders>
            <w:shd w:val="clear" w:color="auto" w:fill="auto"/>
            <w:noWrap/>
            <w:hideMark/>
          </w:tcPr>
          <w:p w14:paraId="5B731E48" w14:textId="77777777" w:rsidR="001A5BCF" w:rsidRPr="00646254" w:rsidRDefault="001A5BCF" w:rsidP="00E96A1D">
            <w:pPr>
              <w:spacing w:after="160" w:line="259" w:lineRule="auto"/>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Calibri"/>
                <w:color w:val="002060"/>
                <w:sz w:val="18"/>
                <w:szCs w:val="18"/>
                <w:lang w:val="sr-Cyrl-CS"/>
              </w:rPr>
            </w:pPr>
            <w:r w:rsidRPr="00646254">
              <w:rPr>
                <w:rFonts w:asciiTheme="minorHAnsi" w:hAnsiTheme="minorHAnsi"/>
                <w:color w:val="002060"/>
                <w:sz w:val="18"/>
                <w:szCs w:val="18"/>
                <w:lang w:val="sr-Cyrl-CS"/>
              </w:rPr>
              <w:t>1,0</w:t>
            </w:r>
          </w:p>
        </w:tc>
        <w:tc>
          <w:tcPr>
            <w:tcW w:w="420" w:type="pct"/>
            <w:tcBorders>
              <w:top w:val="nil"/>
              <w:bottom w:val="nil"/>
            </w:tcBorders>
            <w:shd w:val="clear" w:color="auto" w:fill="auto"/>
            <w:noWrap/>
            <w:hideMark/>
          </w:tcPr>
          <w:p w14:paraId="6A5D94EF" w14:textId="77777777" w:rsidR="001A5BCF" w:rsidRPr="00646254" w:rsidRDefault="001A5BCF" w:rsidP="00E96A1D">
            <w:pPr>
              <w:spacing w:after="160" w:line="259" w:lineRule="auto"/>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Calibri"/>
                <w:color w:val="002060"/>
                <w:sz w:val="18"/>
                <w:szCs w:val="18"/>
                <w:lang w:val="sr-Cyrl-CS"/>
              </w:rPr>
            </w:pPr>
            <w:r w:rsidRPr="00646254">
              <w:rPr>
                <w:rFonts w:asciiTheme="minorHAnsi" w:hAnsiTheme="minorHAnsi"/>
                <w:color w:val="002060"/>
                <w:sz w:val="18"/>
                <w:szCs w:val="18"/>
                <w:lang w:val="sr-Cyrl-CS"/>
              </w:rPr>
              <w:t>0,9</w:t>
            </w:r>
          </w:p>
        </w:tc>
        <w:tc>
          <w:tcPr>
            <w:tcW w:w="420" w:type="pct"/>
            <w:tcBorders>
              <w:top w:val="nil"/>
              <w:bottom w:val="nil"/>
            </w:tcBorders>
            <w:shd w:val="clear" w:color="auto" w:fill="auto"/>
            <w:noWrap/>
            <w:hideMark/>
          </w:tcPr>
          <w:p w14:paraId="23277A6E" w14:textId="77777777" w:rsidR="001A5BCF" w:rsidRPr="00646254" w:rsidRDefault="001A5BCF" w:rsidP="00E96A1D">
            <w:pPr>
              <w:spacing w:after="160" w:line="259" w:lineRule="auto"/>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Calibri"/>
                <w:color w:val="002060"/>
                <w:sz w:val="18"/>
                <w:szCs w:val="18"/>
                <w:lang w:val="sr-Cyrl-CS"/>
              </w:rPr>
            </w:pPr>
            <w:r w:rsidRPr="00646254">
              <w:rPr>
                <w:rFonts w:asciiTheme="minorHAnsi" w:hAnsiTheme="minorHAnsi"/>
                <w:color w:val="002060"/>
                <w:sz w:val="18"/>
                <w:szCs w:val="18"/>
                <w:lang w:val="sr-Cyrl-CS"/>
              </w:rPr>
              <w:t>0,8</w:t>
            </w:r>
          </w:p>
        </w:tc>
        <w:tc>
          <w:tcPr>
            <w:tcW w:w="420" w:type="pct"/>
            <w:tcBorders>
              <w:top w:val="nil"/>
              <w:bottom w:val="nil"/>
            </w:tcBorders>
            <w:shd w:val="clear" w:color="auto" w:fill="auto"/>
            <w:noWrap/>
            <w:hideMark/>
          </w:tcPr>
          <w:p w14:paraId="3C908D20" w14:textId="77777777" w:rsidR="001A5BCF" w:rsidRPr="00646254" w:rsidRDefault="001A5BCF" w:rsidP="00E96A1D">
            <w:pPr>
              <w:spacing w:after="160" w:line="259" w:lineRule="auto"/>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Calibri"/>
                <w:color w:val="002060"/>
                <w:sz w:val="18"/>
                <w:szCs w:val="18"/>
                <w:lang w:val="sr-Cyrl-CS"/>
              </w:rPr>
            </w:pPr>
            <w:r w:rsidRPr="00646254">
              <w:rPr>
                <w:rFonts w:asciiTheme="minorHAnsi" w:hAnsiTheme="minorHAnsi"/>
                <w:color w:val="002060"/>
                <w:sz w:val="18"/>
                <w:szCs w:val="18"/>
                <w:lang w:val="sr-Cyrl-CS"/>
              </w:rPr>
              <w:t>0,7</w:t>
            </w:r>
          </w:p>
        </w:tc>
      </w:tr>
      <w:tr w:rsidR="00262F10" w:rsidRPr="00646254" w14:paraId="5E480268" w14:textId="77777777" w:rsidTr="00E96A1D">
        <w:trPr>
          <w:trHeight w:hRule="exact" w:val="288"/>
          <w:jc w:val="center"/>
        </w:trPr>
        <w:tc>
          <w:tcPr>
            <w:cnfStyle w:val="001000000000" w:firstRow="0" w:lastRow="0" w:firstColumn="1" w:lastColumn="0" w:oddVBand="0" w:evenVBand="0" w:oddHBand="0" w:evenHBand="0" w:firstRowFirstColumn="0" w:firstRowLastColumn="0" w:lastRowFirstColumn="0" w:lastRowLastColumn="0"/>
            <w:tcW w:w="1221" w:type="pct"/>
            <w:tcBorders>
              <w:top w:val="nil"/>
              <w:left w:val="nil"/>
              <w:bottom w:val="nil"/>
              <w:right w:val="nil"/>
            </w:tcBorders>
            <w:shd w:val="clear" w:color="auto" w:fill="auto"/>
            <w:noWrap/>
            <w:vAlign w:val="center"/>
            <w:hideMark/>
          </w:tcPr>
          <w:p w14:paraId="085264C2" w14:textId="77777777" w:rsidR="001A5BCF" w:rsidRPr="00646254" w:rsidRDefault="001A5BCF" w:rsidP="00E96A1D">
            <w:pPr>
              <w:spacing w:after="160" w:line="259" w:lineRule="auto"/>
              <w:rPr>
                <w:rFonts w:ascii="Calibri" w:eastAsia="Times New Roman" w:hAnsi="Calibri" w:cs="Calibri"/>
                <w:bCs w:val="0"/>
                <w:color w:val="002060"/>
                <w:sz w:val="18"/>
                <w:szCs w:val="18"/>
                <w:lang w:val="sr-Cyrl-CS"/>
              </w:rPr>
            </w:pPr>
            <w:r w:rsidRPr="00646254">
              <w:rPr>
                <w:rFonts w:ascii="Calibri" w:eastAsia="Times New Roman" w:hAnsi="Calibri" w:cs="Calibri"/>
                <w:b w:val="0"/>
                <w:bCs w:val="0"/>
                <w:color w:val="002060"/>
                <w:sz w:val="18"/>
                <w:szCs w:val="18"/>
                <w:lang w:val="sr-Cyrl-CS"/>
              </w:rPr>
              <w:t>Јавни дуг у БДП</w:t>
            </w:r>
          </w:p>
        </w:tc>
        <w:tc>
          <w:tcPr>
            <w:tcW w:w="420" w:type="pct"/>
            <w:tcBorders>
              <w:top w:val="nil"/>
              <w:left w:val="nil"/>
              <w:bottom w:val="nil"/>
              <w:right w:val="nil"/>
            </w:tcBorders>
            <w:shd w:val="clear" w:color="auto" w:fill="auto"/>
            <w:noWrap/>
            <w:hideMark/>
          </w:tcPr>
          <w:p w14:paraId="5BF0226B" w14:textId="77777777" w:rsidR="001A5BCF" w:rsidRPr="00646254" w:rsidRDefault="001A5BCF" w:rsidP="00E96A1D">
            <w:pPr>
              <w:spacing w:after="160" w:line="259"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Calibri"/>
                <w:color w:val="002060"/>
                <w:sz w:val="18"/>
                <w:szCs w:val="18"/>
                <w:lang w:val="sr-Cyrl-CS"/>
              </w:rPr>
            </w:pPr>
            <w:r w:rsidRPr="00646254">
              <w:rPr>
                <w:rFonts w:asciiTheme="minorHAnsi" w:hAnsiTheme="minorHAnsi"/>
                <w:color w:val="002060"/>
                <w:sz w:val="18"/>
                <w:szCs w:val="18"/>
                <w:lang w:val="sr-Cyrl-CS"/>
              </w:rPr>
              <w:t>57,8</w:t>
            </w:r>
          </w:p>
        </w:tc>
        <w:tc>
          <w:tcPr>
            <w:tcW w:w="420" w:type="pct"/>
            <w:tcBorders>
              <w:top w:val="nil"/>
              <w:left w:val="nil"/>
              <w:bottom w:val="nil"/>
              <w:right w:val="nil"/>
            </w:tcBorders>
            <w:shd w:val="clear" w:color="auto" w:fill="auto"/>
            <w:noWrap/>
            <w:hideMark/>
          </w:tcPr>
          <w:p w14:paraId="266548B3" w14:textId="77777777" w:rsidR="001A5BCF" w:rsidRPr="00646254" w:rsidRDefault="001A5BCF" w:rsidP="00E96A1D">
            <w:pPr>
              <w:spacing w:after="160" w:line="259"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Calibri"/>
                <w:color w:val="002060"/>
                <w:sz w:val="18"/>
                <w:szCs w:val="18"/>
                <w:lang w:val="sr-Cyrl-CS"/>
              </w:rPr>
            </w:pPr>
            <w:r w:rsidRPr="00646254">
              <w:rPr>
                <w:rFonts w:asciiTheme="minorHAnsi" w:hAnsiTheme="minorHAnsi"/>
                <w:color w:val="002060"/>
                <w:sz w:val="18"/>
                <w:szCs w:val="18"/>
                <w:lang w:val="sr-Cyrl-CS"/>
              </w:rPr>
              <w:t>58,2</w:t>
            </w:r>
          </w:p>
        </w:tc>
        <w:tc>
          <w:tcPr>
            <w:tcW w:w="420" w:type="pct"/>
            <w:tcBorders>
              <w:top w:val="nil"/>
              <w:left w:val="nil"/>
              <w:bottom w:val="nil"/>
              <w:right w:val="nil"/>
            </w:tcBorders>
            <w:shd w:val="clear" w:color="auto" w:fill="auto"/>
            <w:noWrap/>
            <w:hideMark/>
          </w:tcPr>
          <w:p w14:paraId="16A2CF1A" w14:textId="77777777" w:rsidR="001A5BCF" w:rsidRPr="00646254" w:rsidRDefault="001A5BCF" w:rsidP="00E96A1D">
            <w:pPr>
              <w:spacing w:after="160" w:line="259"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Calibri"/>
                <w:color w:val="002060"/>
                <w:sz w:val="18"/>
                <w:szCs w:val="18"/>
                <w:lang w:val="sr-Cyrl-CS"/>
              </w:rPr>
            </w:pPr>
            <w:r w:rsidRPr="00646254">
              <w:rPr>
                <w:rFonts w:asciiTheme="minorHAnsi" w:hAnsiTheme="minorHAnsi"/>
                <w:color w:val="002060"/>
                <w:sz w:val="18"/>
                <w:szCs w:val="18"/>
                <w:lang w:val="sr-Cyrl-CS"/>
              </w:rPr>
              <w:t>56,5</w:t>
            </w:r>
          </w:p>
        </w:tc>
        <w:tc>
          <w:tcPr>
            <w:tcW w:w="420" w:type="pct"/>
            <w:tcBorders>
              <w:top w:val="nil"/>
              <w:left w:val="nil"/>
              <w:bottom w:val="nil"/>
              <w:right w:val="nil"/>
            </w:tcBorders>
            <w:shd w:val="clear" w:color="auto" w:fill="auto"/>
            <w:noWrap/>
            <w:hideMark/>
          </w:tcPr>
          <w:p w14:paraId="7EEFC446" w14:textId="77777777" w:rsidR="001A5BCF" w:rsidRPr="00646254" w:rsidRDefault="001A5BCF" w:rsidP="00E96A1D">
            <w:pPr>
              <w:spacing w:after="160" w:line="259"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Calibri"/>
                <w:color w:val="002060"/>
                <w:sz w:val="18"/>
                <w:szCs w:val="18"/>
                <w:lang w:val="sr-Cyrl-CS"/>
              </w:rPr>
            </w:pPr>
            <w:r w:rsidRPr="00646254">
              <w:rPr>
                <w:rFonts w:asciiTheme="minorHAnsi" w:hAnsiTheme="minorHAnsi"/>
                <w:color w:val="002060"/>
                <w:sz w:val="18"/>
                <w:szCs w:val="18"/>
                <w:lang w:val="sr-Cyrl-CS"/>
              </w:rPr>
              <w:t>55,3</w:t>
            </w:r>
          </w:p>
        </w:tc>
        <w:tc>
          <w:tcPr>
            <w:tcW w:w="420" w:type="pct"/>
            <w:tcBorders>
              <w:top w:val="nil"/>
              <w:left w:val="nil"/>
              <w:bottom w:val="nil"/>
              <w:right w:val="nil"/>
            </w:tcBorders>
            <w:shd w:val="clear" w:color="auto" w:fill="auto"/>
            <w:noWrap/>
            <w:hideMark/>
          </w:tcPr>
          <w:p w14:paraId="4F49BB99" w14:textId="77777777" w:rsidR="001A5BCF" w:rsidRPr="00646254" w:rsidRDefault="001A5BCF" w:rsidP="00E96A1D">
            <w:pPr>
              <w:spacing w:after="160" w:line="259"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Calibri"/>
                <w:color w:val="002060"/>
                <w:sz w:val="18"/>
                <w:szCs w:val="18"/>
                <w:lang w:val="sr-Cyrl-CS"/>
              </w:rPr>
            </w:pPr>
            <w:r w:rsidRPr="00646254">
              <w:rPr>
                <w:rFonts w:asciiTheme="minorHAnsi" w:hAnsiTheme="minorHAnsi"/>
                <w:color w:val="002060"/>
                <w:sz w:val="18"/>
                <w:szCs w:val="18"/>
                <w:lang w:val="sr-Cyrl-CS"/>
              </w:rPr>
              <w:t>53,8</w:t>
            </w:r>
          </w:p>
        </w:tc>
        <w:tc>
          <w:tcPr>
            <w:tcW w:w="420" w:type="pct"/>
            <w:tcBorders>
              <w:top w:val="nil"/>
              <w:left w:val="nil"/>
              <w:bottom w:val="nil"/>
              <w:right w:val="nil"/>
            </w:tcBorders>
            <w:shd w:val="clear" w:color="auto" w:fill="auto"/>
            <w:noWrap/>
            <w:hideMark/>
          </w:tcPr>
          <w:p w14:paraId="5AAEB452" w14:textId="77777777" w:rsidR="001A5BCF" w:rsidRPr="00646254" w:rsidRDefault="001A5BCF" w:rsidP="00E96A1D">
            <w:pPr>
              <w:spacing w:after="160" w:line="259"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Calibri"/>
                <w:color w:val="002060"/>
                <w:sz w:val="18"/>
                <w:szCs w:val="18"/>
                <w:lang w:val="sr-Cyrl-CS"/>
              </w:rPr>
            </w:pPr>
            <w:r w:rsidRPr="00646254">
              <w:rPr>
                <w:rFonts w:asciiTheme="minorHAnsi" w:hAnsiTheme="minorHAnsi"/>
                <w:color w:val="002060"/>
                <w:sz w:val="18"/>
                <w:szCs w:val="18"/>
                <w:lang w:val="sr-Cyrl-CS"/>
              </w:rPr>
              <w:t>51,4</w:t>
            </w:r>
          </w:p>
        </w:tc>
        <w:tc>
          <w:tcPr>
            <w:tcW w:w="420" w:type="pct"/>
            <w:tcBorders>
              <w:top w:val="nil"/>
              <w:left w:val="nil"/>
              <w:bottom w:val="nil"/>
              <w:right w:val="nil"/>
            </w:tcBorders>
            <w:shd w:val="clear" w:color="auto" w:fill="auto"/>
            <w:noWrap/>
            <w:hideMark/>
          </w:tcPr>
          <w:p w14:paraId="7B48A286" w14:textId="77777777" w:rsidR="001A5BCF" w:rsidRPr="00646254" w:rsidRDefault="001A5BCF" w:rsidP="00E96A1D">
            <w:pPr>
              <w:spacing w:after="160" w:line="259"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Calibri"/>
                <w:color w:val="002060"/>
                <w:sz w:val="18"/>
                <w:szCs w:val="18"/>
                <w:lang w:val="sr-Cyrl-CS"/>
              </w:rPr>
            </w:pPr>
            <w:r w:rsidRPr="00646254">
              <w:rPr>
                <w:rFonts w:asciiTheme="minorHAnsi" w:hAnsiTheme="minorHAnsi"/>
                <w:color w:val="002060"/>
                <w:sz w:val="18"/>
                <w:szCs w:val="18"/>
                <w:lang w:val="sr-Cyrl-CS"/>
              </w:rPr>
              <w:t>49,0</w:t>
            </w:r>
          </w:p>
        </w:tc>
        <w:tc>
          <w:tcPr>
            <w:tcW w:w="420" w:type="pct"/>
            <w:tcBorders>
              <w:top w:val="nil"/>
              <w:left w:val="nil"/>
              <w:bottom w:val="nil"/>
              <w:right w:val="nil"/>
            </w:tcBorders>
            <w:shd w:val="clear" w:color="auto" w:fill="auto"/>
            <w:noWrap/>
            <w:hideMark/>
          </w:tcPr>
          <w:p w14:paraId="2C8FEEBC" w14:textId="77777777" w:rsidR="001A5BCF" w:rsidRPr="00646254" w:rsidRDefault="001A5BCF" w:rsidP="00E96A1D">
            <w:pPr>
              <w:spacing w:after="160" w:line="259"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Calibri"/>
                <w:color w:val="002060"/>
                <w:sz w:val="18"/>
                <w:szCs w:val="18"/>
                <w:lang w:val="sr-Cyrl-CS"/>
              </w:rPr>
            </w:pPr>
            <w:r w:rsidRPr="00646254">
              <w:rPr>
                <w:rFonts w:asciiTheme="minorHAnsi" w:hAnsiTheme="minorHAnsi"/>
                <w:color w:val="002060"/>
                <w:sz w:val="18"/>
                <w:szCs w:val="18"/>
                <w:lang w:val="sr-Cyrl-CS"/>
              </w:rPr>
              <w:t>46,8</w:t>
            </w:r>
          </w:p>
        </w:tc>
        <w:tc>
          <w:tcPr>
            <w:tcW w:w="420" w:type="pct"/>
            <w:tcBorders>
              <w:top w:val="nil"/>
              <w:left w:val="nil"/>
              <w:bottom w:val="nil"/>
              <w:right w:val="nil"/>
            </w:tcBorders>
            <w:shd w:val="clear" w:color="auto" w:fill="auto"/>
            <w:noWrap/>
            <w:hideMark/>
          </w:tcPr>
          <w:p w14:paraId="28C6661C" w14:textId="77777777" w:rsidR="001A5BCF" w:rsidRPr="00646254" w:rsidRDefault="001A5BCF" w:rsidP="00E96A1D">
            <w:pPr>
              <w:spacing w:after="160" w:line="259"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Calibri"/>
                <w:color w:val="002060"/>
                <w:sz w:val="18"/>
                <w:szCs w:val="18"/>
                <w:lang w:val="sr-Cyrl-CS"/>
              </w:rPr>
            </w:pPr>
            <w:r w:rsidRPr="00646254">
              <w:rPr>
                <w:rFonts w:asciiTheme="minorHAnsi" w:hAnsiTheme="minorHAnsi"/>
                <w:color w:val="002060"/>
                <w:sz w:val="18"/>
                <w:szCs w:val="18"/>
                <w:lang w:val="sr-Cyrl-CS"/>
              </w:rPr>
              <w:t>44,8</w:t>
            </w:r>
          </w:p>
        </w:tc>
      </w:tr>
      <w:tr w:rsidR="00262F10" w:rsidRPr="00646254" w14:paraId="3C458416" w14:textId="77777777" w:rsidTr="00E96A1D">
        <w:trPr>
          <w:cnfStyle w:val="000000100000" w:firstRow="0" w:lastRow="0" w:firstColumn="0" w:lastColumn="0" w:oddVBand="0" w:evenVBand="0" w:oddHBand="1" w:evenHBand="0" w:firstRowFirstColumn="0" w:firstRowLastColumn="0" w:lastRowFirstColumn="0" w:lastRowLastColumn="0"/>
          <w:trHeight w:hRule="exact" w:val="288"/>
          <w:jc w:val="center"/>
        </w:trPr>
        <w:tc>
          <w:tcPr>
            <w:cnfStyle w:val="001000000000" w:firstRow="0" w:lastRow="0" w:firstColumn="1" w:lastColumn="0" w:oddVBand="0" w:evenVBand="0" w:oddHBand="0" w:evenHBand="0" w:firstRowFirstColumn="0" w:firstRowLastColumn="0" w:lastRowFirstColumn="0" w:lastRowLastColumn="0"/>
            <w:tcW w:w="1221" w:type="pct"/>
            <w:tcBorders>
              <w:top w:val="nil"/>
              <w:bottom w:val="single" w:sz="4" w:space="0" w:color="002060"/>
            </w:tcBorders>
            <w:shd w:val="clear" w:color="auto" w:fill="auto"/>
            <w:noWrap/>
            <w:vAlign w:val="center"/>
            <w:hideMark/>
          </w:tcPr>
          <w:p w14:paraId="0B913F81" w14:textId="77777777" w:rsidR="001A5BCF" w:rsidRPr="00646254" w:rsidRDefault="001A5BCF" w:rsidP="00E96A1D">
            <w:pPr>
              <w:spacing w:after="160" w:line="259" w:lineRule="auto"/>
              <w:rPr>
                <w:rFonts w:ascii="Calibri" w:eastAsia="Times New Roman" w:hAnsi="Calibri" w:cs="Calibri"/>
                <w:bCs w:val="0"/>
                <w:color w:val="002060"/>
                <w:sz w:val="18"/>
                <w:szCs w:val="18"/>
                <w:lang w:val="sr-Cyrl-CS"/>
              </w:rPr>
            </w:pPr>
            <w:r w:rsidRPr="00646254">
              <w:rPr>
                <w:rFonts w:ascii="Calibri" w:eastAsia="Times New Roman" w:hAnsi="Calibri" w:cs="Calibri"/>
                <w:b w:val="0"/>
                <w:bCs w:val="0"/>
                <w:color w:val="002060"/>
                <w:sz w:val="18"/>
                <w:szCs w:val="18"/>
                <w:lang w:val="sr-Cyrl-CS"/>
              </w:rPr>
              <w:t>БДП реални раст, %</w:t>
            </w:r>
          </w:p>
        </w:tc>
        <w:tc>
          <w:tcPr>
            <w:tcW w:w="420" w:type="pct"/>
            <w:tcBorders>
              <w:top w:val="nil"/>
              <w:bottom w:val="single" w:sz="4" w:space="0" w:color="002060"/>
            </w:tcBorders>
            <w:shd w:val="clear" w:color="auto" w:fill="auto"/>
            <w:noWrap/>
            <w:hideMark/>
          </w:tcPr>
          <w:p w14:paraId="5E3DE4AB" w14:textId="77777777" w:rsidR="001A5BCF" w:rsidRPr="00646254" w:rsidRDefault="001A5BCF" w:rsidP="00E96A1D">
            <w:pPr>
              <w:spacing w:after="160" w:line="259" w:lineRule="auto"/>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Calibri"/>
                <w:color w:val="002060"/>
                <w:sz w:val="18"/>
                <w:szCs w:val="18"/>
                <w:lang w:val="sr-Cyrl-CS"/>
              </w:rPr>
            </w:pPr>
            <w:r w:rsidRPr="00646254">
              <w:rPr>
                <w:rFonts w:asciiTheme="minorHAnsi" w:hAnsiTheme="minorHAnsi"/>
                <w:color w:val="002060"/>
                <w:sz w:val="18"/>
                <w:szCs w:val="18"/>
                <w:lang w:val="sr-Cyrl-CS"/>
              </w:rPr>
              <w:t>-0,9</w:t>
            </w:r>
          </w:p>
        </w:tc>
        <w:tc>
          <w:tcPr>
            <w:tcW w:w="420" w:type="pct"/>
            <w:tcBorders>
              <w:top w:val="nil"/>
              <w:bottom w:val="single" w:sz="4" w:space="0" w:color="002060"/>
            </w:tcBorders>
            <w:shd w:val="clear" w:color="auto" w:fill="auto"/>
            <w:noWrap/>
            <w:hideMark/>
          </w:tcPr>
          <w:p w14:paraId="077A65CB" w14:textId="77777777" w:rsidR="001A5BCF" w:rsidRPr="00646254" w:rsidRDefault="001A5BCF" w:rsidP="00E96A1D">
            <w:pPr>
              <w:spacing w:after="160" w:line="259" w:lineRule="auto"/>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Calibri"/>
                <w:color w:val="002060"/>
                <w:sz w:val="18"/>
                <w:szCs w:val="18"/>
                <w:lang w:val="sr-Cyrl-CS"/>
              </w:rPr>
            </w:pPr>
            <w:r w:rsidRPr="00646254">
              <w:rPr>
                <w:rFonts w:asciiTheme="minorHAnsi" w:hAnsiTheme="minorHAnsi"/>
                <w:color w:val="002060"/>
                <w:sz w:val="18"/>
                <w:szCs w:val="18"/>
                <w:lang w:val="sr-Cyrl-CS"/>
              </w:rPr>
              <w:t>7,0</w:t>
            </w:r>
          </w:p>
        </w:tc>
        <w:tc>
          <w:tcPr>
            <w:tcW w:w="420" w:type="pct"/>
            <w:tcBorders>
              <w:top w:val="nil"/>
              <w:bottom w:val="single" w:sz="4" w:space="0" w:color="002060"/>
            </w:tcBorders>
            <w:shd w:val="clear" w:color="auto" w:fill="auto"/>
            <w:noWrap/>
            <w:hideMark/>
          </w:tcPr>
          <w:p w14:paraId="7D9FBEE9" w14:textId="77777777" w:rsidR="001A5BCF" w:rsidRPr="00646254" w:rsidRDefault="001A5BCF" w:rsidP="00E96A1D">
            <w:pPr>
              <w:spacing w:after="160" w:line="259" w:lineRule="auto"/>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Calibri"/>
                <w:color w:val="002060"/>
                <w:sz w:val="18"/>
                <w:szCs w:val="18"/>
                <w:lang w:val="sr-Cyrl-CS"/>
              </w:rPr>
            </w:pPr>
            <w:r w:rsidRPr="00646254">
              <w:rPr>
                <w:rFonts w:asciiTheme="minorHAnsi" w:hAnsiTheme="minorHAnsi"/>
                <w:color w:val="002060"/>
                <w:sz w:val="18"/>
                <w:szCs w:val="18"/>
                <w:lang w:val="sr-Cyrl-CS"/>
              </w:rPr>
              <w:t>4,5</w:t>
            </w:r>
          </w:p>
        </w:tc>
        <w:tc>
          <w:tcPr>
            <w:tcW w:w="420" w:type="pct"/>
            <w:tcBorders>
              <w:top w:val="nil"/>
              <w:bottom w:val="single" w:sz="4" w:space="0" w:color="002060"/>
            </w:tcBorders>
            <w:shd w:val="clear" w:color="auto" w:fill="auto"/>
            <w:noWrap/>
            <w:hideMark/>
          </w:tcPr>
          <w:p w14:paraId="746BEA40" w14:textId="77777777" w:rsidR="001A5BCF" w:rsidRPr="00646254" w:rsidRDefault="001A5BCF" w:rsidP="00E96A1D">
            <w:pPr>
              <w:spacing w:after="160" w:line="259" w:lineRule="auto"/>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Calibri"/>
                <w:color w:val="002060"/>
                <w:sz w:val="18"/>
                <w:szCs w:val="18"/>
                <w:lang w:val="sr-Cyrl-CS"/>
              </w:rPr>
            </w:pPr>
            <w:r w:rsidRPr="00646254">
              <w:rPr>
                <w:rFonts w:asciiTheme="minorHAnsi" w:hAnsiTheme="minorHAnsi"/>
                <w:color w:val="002060"/>
                <w:sz w:val="18"/>
                <w:szCs w:val="18"/>
                <w:lang w:val="sr-Cyrl-CS"/>
              </w:rPr>
              <w:t>5,0</w:t>
            </w:r>
          </w:p>
        </w:tc>
        <w:tc>
          <w:tcPr>
            <w:tcW w:w="420" w:type="pct"/>
            <w:tcBorders>
              <w:top w:val="nil"/>
              <w:bottom w:val="single" w:sz="4" w:space="0" w:color="002060"/>
            </w:tcBorders>
            <w:shd w:val="clear" w:color="auto" w:fill="auto"/>
            <w:noWrap/>
            <w:hideMark/>
          </w:tcPr>
          <w:p w14:paraId="6B0691F5" w14:textId="77777777" w:rsidR="001A5BCF" w:rsidRPr="00646254" w:rsidRDefault="001A5BCF" w:rsidP="00E96A1D">
            <w:pPr>
              <w:spacing w:after="160" w:line="259" w:lineRule="auto"/>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Calibri"/>
                <w:color w:val="002060"/>
                <w:sz w:val="18"/>
                <w:szCs w:val="18"/>
                <w:lang w:val="sr-Cyrl-CS"/>
              </w:rPr>
            </w:pPr>
            <w:r w:rsidRPr="00646254">
              <w:rPr>
                <w:rFonts w:asciiTheme="minorHAnsi" w:hAnsiTheme="minorHAnsi"/>
                <w:color w:val="002060"/>
                <w:sz w:val="18"/>
                <w:szCs w:val="18"/>
                <w:lang w:val="sr-Cyrl-CS"/>
              </w:rPr>
              <w:t>5,0</w:t>
            </w:r>
          </w:p>
        </w:tc>
        <w:tc>
          <w:tcPr>
            <w:tcW w:w="420" w:type="pct"/>
            <w:tcBorders>
              <w:top w:val="nil"/>
              <w:bottom w:val="single" w:sz="4" w:space="0" w:color="002060"/>
            </w:tcBorders>
            <w:shd w:val="clear" w:color="auto" w:fill="auto"/>
            <w:noWrap/>
            <w:hideMark/>
          </w:tcPr>
          <w:p w14:paraId="761A55D1" w14:textId="77777777" w:rsidR="001A5BCF" w:rsidRPr="00646254" w:rsidRDefault="001A5BCF" w:rsidP="00E96A1D">
            <w:pPr>
              <w:spacing w:after="160" w:line="259" w:lineRule="auto"/>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Calibri"/>
                <w:color w:val="002060"/>
                <w:sz w:val="18"/>
                <w:szCs w:val="18"/>
                <w:lang w:val="sr-Cyrl-CS"/>
              </w:rPr>
            </w:pPr>
            <w:r w:rsidRPr="00646254">
              <w:rPr>
                <w:rFonts w:asciiTheme="minorHAnsi" w:hAnsiTheme="minorHAnsi"/>
                <w:color w:val="002060"/>
                <w:sz w:val="18"/>
                <w:szCs w:val="18"/>
                <w:lang w:val="sr-Cyrl-CS"/>
              </w:rPr>
              <w:t>4,0</w:t>
            </w:r>
          </w:p>
        </w:tc>
        <w:tc>
          <w:tcPr>
            <w:tcW w:w="420" w:type="pct"/>
            <w:tcBorders>
              <w:top w:val="nil"/>
              <w:bottom w:val="single" w:sz="4" w:space="0" w:color="002060"/>
            </w:tcBorders>
            <w:shd w:val="clear" w:color="auto" w:fill="auto"/>
            <w:noWrap/>
            <w:hideMark/>
          </w:tcPr>
          <w:p w14:paraId="6B5B2FD4" w14:textId="77777777" w:rsidR="001A5BCF" w:rsidRPr="00646254" w:rsidRDefault="001A5BCF" w:rsidP="00E96A1D">
            <w:pPr>
              <w:spacing w:after="160" w:line="259" w:lineRule="auto"/>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Calibri"/>
                <w:color w:val="002060"/>
                <w:sz w:val="18"/>
                <w:szCs w:val="18"/>
                <w:lang w:val="sr-Cyrl-CS"/>
              </w:rPr>
            </w:pPr>
            <w:r w:rsidRPr="00646254">
              <w:rPr>
                <w:rFonts w:asciiTheme="minorHAnsi" w:hAnsiTheme="minorHAnsi"/>
                <w:color w:val="002060"/>
                <w:sz w:val="18"/>
                <w:szCs w:val="18"/>
                <w:lang w:val="sr-Cyrl-CS"/>
              </w:rPr>
              <w:t>4,0</w:t>
            </w:r>
          </w:p>
        </w:tc>
        <w:tc>
          <w:tcPr>
            <w:tcW w:w="420" w:type="pct"/>
            <w:tcBorders>
              <w:top w:val="nil"/>
              <w:bottom w:val="single" w:sz="4" w:space="0" w:color="002060"/>
            </w:tcBorders>
            <w:shd w:val="clear" w:color="auto" w:fill="auto"/>
            <w:noWrap/>
            <w:hideMark/>
          </w:tcPr>
          <w:p w14:paraId="2446D06D" w14:textId="77777777" w:rsidR="001A5BCF" w:rsidRPr="00646254" w:rsidRDefault="001A5BCF" w:rsidP="00E96A1D">
            <w:pPr>
              <w:spacing w:after="160" w:line="259" w:lineRule="auto"/>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Calibri"/>
                <w:color w:val="002060"/>
                <w:sz w:val="18"/>
                <w:szCs w:val="18"/>
                <w:lang w:val="sr-Cyrl-CS"/>
              </w:rPr>
            </w:pPr>
            <w:r w:rsidRPr="00646254">
              <w:rPr>
                <w:rFonts w:asciiTheme="minorHAnsi" w:hAnsiTheme="minorHAnsi"/>
                <w:color w:val="002060"/>
                <w:sz w:val="18"/>
                <w:szCs w:val="18"/>
                <w:lang w:val="sr-Cyrl-CS"/>
              </w:rPr>
              <w:t>4,0</w:t>
            </w:r>
          </w:p>
        </w:tc>
        <w:tc>
          <w:tcPr>
            <w:tcW w:w="420" w:type="pct"/>
            <w:tcBorders>
              <w:top w:val="nil"/>
              <w:bottom w:val="single" w:sz="4" w:space="0" w:color="002060"/>
            </w:tcBorders>
            <w:shd w:val="clear" w:color="auto" w:fill="auto"/>
            <w:noWrap/>
            <w:hideMark/>
          </w:tcPr>
          <w:p w14:paraId="4BB6BB8A" w14:textId="77777777" w:rsidR="001A5BCF" w:rsidRPr="00646254" w:rsidRDefault="001A5BCF" w:rsidP="00E96A1D">
            <w:pPr>
              <w:spacing w:after="160" w:line="259" w:lineRule="auto"/>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Calibri"/>
                <w:color w:val="002060"/>
                <w:sz w:val="18"/>
                <w:szCs w:val="18"/>
                <w:lang w:val="sr-Cyrl-CS"/>
              </w:rPr>
            </w:pPr>
            <w:r w:rsidRPr="00646254">
              <w:rPr>
                <w:rFonts w:asciiTheme="minorHAnsi" w:hAnsiTheme="minorHAnsi"/>
                <w:color w:val="002060"/>
                <w:sz w:val="18"/>
                <w:szCs w:val="18"/>
                <w:lang w:val="sr-Cyrl-CS"/>
              </w:rPr>
              <w:t>4,0</w:t>
            </w:r>
          </w:p>
        </w:tc>
      </w:tr>
    </w:tbl>
    <w:p w14:paraId="51E9097F" w14:textId="77777777" w:rsidR="001A5BCF" w:rsidRPr="00646254" w:rsidRDefault="001A5BCF" w:rsidP="00B523F9">
      <w:pPr>
        <w:spacing w:after="80"/>
        <w:jc w:val="left"/>
        <w:rPr>
          <w:rFonts w:ascii="Calibri" w:eastAsia="MS PGothic" w:hAnsi="Calibri" w:cs="Calibri"/>
          <w:sz w:val="16"/>
          <w:szCs w:val="16"/>
          <w:lang w:val="sr-Cyrl-CS" w:eastAsia="ja-JP"/>
        </w:rPr>
      </w:pPr>
      <w:r w:rsidRPr="00646254">
        <w:rPr>
          <w:rFonts w:ascii="Calibri" w:eastAsia="MS PGothic" w:hAnsi="Calibri" w:cs="Calibri"/>
          <w:sz w:val="16"/>
          <w:szCs w:val="16"/>
          <w:lang w:val="sr-Cyrl-CS" w:eastAsia="ja-JP"/>
        </w:rPr>
        <w:t xml:space="preserve">Извор: </w:t>
      </w:r>
      <w:r w:rsidRPr="00646254">
        <w:rPr>
          <w:rFonts w:ascii="Calibri" w:eastAsia="Calibri" w:hAnsi="Calibri" w:cs="Calibri"/>
          <w:sz w:val="16"/>
          <w:szCs w:val="20"/>
          <w:lang w:val="sr-Cyrl-CS"/>
        </w:rPr>
        <w:t>Министарство финансија</w:t>
      </w:r>
    </w:p>
    <w:p w14:paraId="741E2E3E" w14:textId="77777777" w:rsidR="001A5BCF" w:rsidRPr="00646254" w:rsidRDefault="001A5BCF" w:rsidP="00B523F9">
      <w:pPr>
        <w:spacing w:after="80"/>
        <w:rPr>
          <w:rFonts w:ascii="Calibri" w:eastAsia="Calibri" w:hAnsi="Calibri" w:cs="Calibri"/>
          <w:szCs w:val="20"/>
          <w:lang w:val="sr-Cyrl-CS" w:eastAsia="ja-JP"/>
        </w:rPr>
        <w:sectPr w:rsidR="001A5BCF" w:rsidRPr="00646254" w:rsidSect="00AE40EB">
          <w:type w:val="continuous"/>
          <w:pgSz w:w="12240" w:h="15840" w:code="1"/>
          <w:pgMar w:top="1417" w:right="1417" w:bottom="1417" w:left="1417" w:header="720" w:footer="720" w:gutter="0"/>
          <w:cols w:space="720"/>
        </w:sectPr>
      </w:pPr>
    </w:p>
    <w:p w14:paraId="44E0E9F3" w14:textId="77777777" w:rsidR="001A5BCF" w:rsidRPr="00646254" w:rsidRDefault="001A5BCF" w:rsidP="008265F0">
      <w:pPr>
        <w:rPr>
          <w:rFonts w:ascii="Calibri" w:eastAsia="Calibri" w:hAnsi="Calibri" w:cs="Calibri"/>
          <w:szCs w:val="20"/>
          <w:lang w:val="sr-Cyrl-CS"/>
        </w:rPr>
      </w:pPr>
      <w:r w:rsidRPr="00646254">
        <w:rPr>
          <w:rFonts w:ascii="Calibri" w:eastAsia="Calibri" w:hAnsi="Calibri" w:cs="Calibri"/>
          <w:szCs w:val="20"/>
          <w:lang w:val="sr-Cyrl-CS"/>
        </w:rPr>
        <w:t xml:space="preserve">Основним сценаријем предвиђено је спуштање јавног дуга на око 45% БДП у 2028. години. </w:t>
      </w:r>
      <w:r w:rsidRPr="00646254">
        <w:rPr>
          <w:rFonts w:ascii="Calibri" w:eastAsia="Calibri" w:hAnsi="Calibri" w:cs="Calibri"/>
          <w:spacing w:val="-2"/>
          <w:szCs w:val="20"/>
          <w:lang w:val="sr-Cyrl-CS"/>
        </w:rPr>
        <w:t xml:space="preserve">На графикону су приказане симулације алтернативних сценарија кретања јавног дуга, у зависности од промена одређених претпоставки у основном сценарију. </w:t>
      </w:r>
      <w:r w:rsidRPr="00646254">
        <w:rPr>
          <w:rFonts w:ascii="Calibri" w:eastAsia="Calibri" w:hAnsi="Calibri" w:cs="Calibri"/>
          <w:szCs w:val="20"/>
          <w:lang w:val="sr-Cyrl-CS"/>
        </w:rPr>
        <w:t>Ради бољег поређења, извршена је варијација само једне варијабле, као фактора ризика који утиче на ниво дуга.</w:t>
      </w:r>
    </w:p>
    <w:p w14:paraId="037BD8A3" w14:textId="0427DC83" w:rsidR="001A5BCF" w:rsidRPr="00646254" w:rsidRDefault="001A5BCF" w:rsidP="008265F0">
      <w:pPr>
        <w:rPr>
          <w:rFonts w:ascii="Calibri" w:eastAsia="Calibri" w:hAnsi="Calibri" w:cs="Calibri"/>
          <w:szCs w:val="20"/>
          <w:lang w:val="sr-Cyrl-CS"/>
        </w:rPr>
      </w:pPr>
      <w:r w:rsidRPr="00646254">
        <w:rPr>
          <w:rFonts w:ascii="Calibri" w:eastAsia="Calibri" w:hAnsi="Calibri" w:cs="Calibri"/>
          <w:szCs w:val="20"/>
          <w:lang w:val="sr-Cyrl-CS"/>
        </w:rPr>
        <w:t xml:space="preserve">Сценарио </w:t>
      </w:r>
      <w:r w:rsidR="000E2298" w:rsidRPr="00646254">
        <w:rPr>
          <w:rFonts w:ascii="Calibri" w:eastAsia="Calibri" w:hAnsi="Calibri" w:cs="Calibri"/>
          <w:szCs w:val="20"/>
          <w:lang w:val="sr-Cyrl-CS"/>
        </w:rPr>
        <w:t>„</w:t>
      </w:r>
      <w:r w:rsidRPr="00646254">
        <w:rPr>
          <w:rFonts w:ascii="Calibri" w:eastAsia="Calibri" w:hAnsi="Calibri" w:cs="Calibri"/>
          <w:szCs w:val="20"/>
          <w:lang w:val="sr-Cyrl-CS"/>
        </w:rPr>
        <w:t>успорени раст након 2024</w:t>
      </w:r>
      <w:r w:rsidR="000E2298" w:rsidRPr="00646254">
        <w:rPr>
          <w:rFonts w:ascii="Calibri" w:eastAsia="Calibri" w:hAnsi="Calibri" w:cs="Calibri"/>
          <w:szCs w:val="20"/>
          <w:lang w:val="sr-Cyrl-CS"/>
        </w:rPr>
        <w:t>”</w:t>
      </w:r>
      <w:r w:rsidRPr="00646254">
        <w:rPr>
          <w:rFonts w:ascii="Calibri" w:eastAsia="Calibri" w:hAnsi="Calibri" w:cs="Calibri"/>
          <w:szCs w:val="20"/>
          <w:lang w:val="sr-Cyrl-CS"/>
        </w:rPr>
        <w:t xml:space="preserve"> подразумева просечан реални раст БДП од око 0,7% у посматраном периоду, уз исти ниво фискалног дефицита у односу на основни сценарио. Ово не подразумева и исти ниво фискалног прилагођавања, јер је потребна већа акомодација на расходној страни у ситуацијама када се бележи нижи привредни раст. На крају 2028. године, јавни дуг према овом сценарију достиже ниво од 50,3% БДП. Једна од опасности коју носи сценарио продуженог успореног раста, лежи у томе што и поред одржавања нивоа фискалног дефицита на ниском нивоу, ниво јавног дуга не пада довољно брзо. Са друге стране, успорени раст, путем аутоматских стабилизатора, продукује више нивое фискалног дефицита, па су неопходна већа смањења расхода како би се задржала опадајућа путања учешћа јавног дуга. Присутан је ризик уласка у спиралу успореног раста и неопходност додатних мера штедње. И поред ових ризика, сценарио омогућава постепено смањење учешћа јавног дуга, али не и достизање нивоа од 45% у посматраном року, при осталим датим претпоставкама.</w:t>
      </w:r>
    </w:p>
    <w:p w14:paraId="41329206" w14:textId="2E6E8FA8" w:rsidR="001A5BCF" w:rsidRPr="00646254" w:rsidRDefault="000E2298" w:rsidP="00E96A1D">
      <w:pPr>
        <w:spacing w:after="0"/>
        <w:jc w:val="center"/>
        <w:rPr>
          <w:rFonts w:cstheme="minorHAnsi"/>
          <w:b/>
          <w:color w:val="002060"/>
          <w:lang w:val="sr-Cyrl-CS"/>
        </w:rPr>
      </w:pPr>
      <w:r w:rsidRPr="00646254">
        <w:rPr>
          <w:rFonts w:cstheme="minorHAnsi"/>
          <w:b/>
          <w:color w:val="002060"/>
          <w:lang w:val="sr-Cyrl-CS"/>
        </w:rPr>
        <w:br w:type="column"/>
      </w:r>
      <w:r w:rsidR="001A5BCF" w:rsidRPr="00646254">
        <w:rPr>
          <w:rFonts w:cstheme="minorHAnsi"/>
          <w:b/>
          <w:color w:val="002060"/>
          <w:lang w:val="sr-Cyrl-CS"/>
        </w:rPr>
        <w:t>Поређење различитих сценарија и утицај на висину јавног дуга, % БДП</w:t>
      </w:r>
    </w:p>
    <w:p w14:paraId="4C18BB7B" w14:textId="77777777" w:rsidR="001A5BCF" w:rsidRPr="00646254" w:rsidRDefault="001A5BCF" w:rsidP="00312CEA">
      <w:pPr>
        <w:spacing w:after="0" w:line="276" w:lineRule="auto"/>
        <w:rPr>
          <w:lang w:val="sr-Cyrl-CS"/>
        </w:rPr>
      </w:pPr>
      <w:r w:rsidRPr="00646254">
        <w:rPr>
          <w:noProof/>
        </w:rPr>
        <w:drawing>
          <wp:inline distT="0" distB="0" distL="0" distR="0" wp14:anchorId="52EC84FE" wp14:editId="21BEECD4">
            <wp:extent cx="2743200" cy="2232000"/>
            <wp:effectExtent l="0" t="0" r="0" b="0"/>
            <wp:docPr id="78" name="Chart 78"/>
            <wp:cNvGraphicFramePr/>
            <a:graphic xmlns:a="http://schemas.openxmlformats.org/drawingml/2006/main">
              <a:graphicData uri="http://schemas.openxmlformats.org/drawingml/2006/chart">
                <c:chart xmlns:c="http://schemas.openxmlformats.org/drawingml/2006/chart" xmlns:r="http://schemas.openxmlformats.org/officeDocument/2006/relationships" r:id="rId173"/>
              </a:graphicData>
            </a:graphic>
          </wp:inline>
        </w:drawing>
      </w:r>
    </w:p>
    <w:p w14:paraId="6BDD4C93" w14:textId="77777777" w:rsidR="001A5BCF" w:rsidRPr="00646254" w:rsidRDefault="001A5BCF" w:rsidP="00B523F9">
      <w:pPr>
        <w:spacing w:after="120"/>
        <w:rPr>
          <w:rFonts w:ascii="Calibri" w:eastAsia="Calibri" w:hAnsi="Calibri" w:cs="Calibri"/>
          <w:spacing w:val="-4"/>
          <w:szCs w:val="20"/>
          <w:lang w:val="sr-Cyrl-CS"/>
        </w:rPr>
      </w:pPr>
      <w:r w:rsidRPr="00646254">
        <w:rPr>
          <w:rFonts w:ascii="Calibri" w:eastAsia="Calibri" w:hAnsi="Calibri" w:cs="Calibri"/>
          <w:spacing w:val="-4"/>
          <w:szCs w:val="20"/>
          <w:lang w:val="sr-Cyrl-CS"/>
        </w:rPr>
        <w:t>Сценарио „фискална експанзија након 2024. године” подразумева значајније одступање од садашњег средњорочно постављеног циља фискалне политике и достизање фискалног дефицита од 3%. У овом случају, учешће јавног дуга у БДП у највећој мери стагнира да би у 2028. години достигло 53,7% БДП. Јавни дуг не достиже законску границу од 45% БДП, а ниво испод 60% одржава се у целом посматраном периоду. И поред значајног погоршања фискалних перформанси, овај сценарио подразумева и даље присутан примарни фискални резултат који омогућава релативну стабилност учешћа дуга при датим позитивним стопама раста БДП.</w:t>
      </w:r>
    </w:p>
    <w:p w14:paraId="04DECA9B" w14:textId="77777777" w:rsidR="000E2298" w:rsidRPr="00646254" w:rsidRDefault="001A5BCF" w:rsidP="00B523F9">
      <w:pPr>
        <w:spacing w:after="120"/>
        <w:rPr>
          <w:rFonts w:ascii="Calibri" w:eastAsia="Calibri" w:hAnsi="Calibri" w:cs="Calibri"/>
          <w:spacing w:val="-2"/>
          <w:szCs w:val="20"/>
          <w:lang w:val="sr-Cyrl-CS"/>
        </w:rPr>
      </w:pPr>
      <w:r w:rsidRPr="00646254">
        <w:rPr>
          <w:rFonts w:ascii="Calibri" w:eastAsia="Calibri" w:hAnsi="Calibri" w:cs="Calibri"/>
          <w:spacing w:val="-2"/>
          <w:szCs w:val="20"/>
          <w:lang w:val="sr-Cyrl-CS"/>
        </w:rPr>
        <w:t>Сценарио који комбинује мањи реални раст БДП и подизање нивоа фискалног дефицита у просеку од 3% БДП има најнеповољнију путању јавног дуга. При томе једино у овом сценарију дуг има изразито растућу путању у периоду након 2024. године, а учешће јавног дуга почиње да убрзава ка нивоу значајно изнад 60% БДП на крају посматраног периода.</w:t>
      </w:r>
    </w:p>
    <w:p w14:paraId="28CBD6E1" w14:textId="77777777" w:rsidR="006B2397" w:rsidRPr="00646254" w:rsidRDefault="006B2397" w:rsidP="006C766D">
      <w:pPr>
        <w:spacing w:after="0"/>
        <w:rPr>
          <w:sz w:val="12"/>
          <w:lang w:val="sr-Cyrl-CS"/>
        </w:rPr>
      </w:pPr>
    </w:p>
    <w:p w14:paraId="2EFF50AA" w14:textId="77777777" w:rsidR="006B2397" w:rsidRPr="00646254" w:rsidRDefault="006B2397" w:rsidP="006C766D">
      <w:pPr>
        <w:spacing w:after="0"/>
        <w:rPr>
          <w:sz w:val="12"/>
          <w:lang w:val="sr-Cyrl-CS"/>
        </w:rPr>
        <w:sectPr w:rsidR="006B2397" w:rsidRPr="00646254" w:rsidSect="008265F0">
          <w:headerReference w:type="even" r:id="rId174"/>
          <w:headerReference w:type="default" r:id="rId175"/>
          <w:footerReference w:type="even" r:id="rId176"/>
          <w:footerReference w:type="default" r:id="rId177"/>
          <w:headerReference w:type="first" r:id="rId178"/>
          <w:type w:val="continuous"/>
          <w:pgSz w:w="12240" w:h="15840" w:code="1"/>
          <w:pgMar w:top="1440" w:right="1440" w:bottom="1440" w:left="1440" w:header="720" w:footer="720" w:gutter="0"/>
          <w:cols w:num="2" w:space="720"/>
          <w:docGrid w:linePitch="360"/>
        </w:sectPr>
      </w:pPr>
    </w:p>
    <w:p w14:paraId="13C66091" w14:textId="77777777" w:rsidR="006B2397" w:rsidRPr="00646254" w:rsidRDefault="006B2397" w:rsidP="002863EF">
      <w:pPr>
        <w:pStyle w:val="Heading1"/>
        <w:spacing w:before="0" w:after="240"/>
        <w:jc w:val="center"/>
        <w:rPr>
          <w:rFonts w:asciiTheme="minorHAnsi" w:hAnsiTheme="minorHAnsi" w:cstheme="minorHAnsi"/>
          <w:b/>
          <w:sz w:val="26"/>
          <w:szCs w:val="26"/>
          <w:lang w:val="sr-Cyrl-CS"/>
        </w:rPr>
      </w:pPr>
      <w:bookmarkStart w:id="46" w:name="_Toc86650480"/>
      <w:r w:rsidRPr="00646254">
        <w:rPr>
          <w:rFonts w:asciiTheme="minorHAnsi" w:hAnsiTheme="minorHAnsi" w:cstheme="minorHAnsi"/>
          <w:b/>
          <w:sz w:val="26"/>
          <w:szCs w:val="26"/>
          <w:lang w:val="sr-Cyrl-CS"/>
        </w:rPr>
        <w:t>III. СТРАТЕГИЈА УПРАВЉАЊА ЈАВНИМ ДУГОМ ОД 2022. ДО 2024. ГОДИНЕ</w:t>
      </w:r>
      <w:bookmarkEnd w:id="46"/>
    </w:p>
    <w:p w14:paraId="3C734B7E" w14:textId="77777777" w:rsidR="006B2397" w:rsidRPr="00646254" w:rsidRDefault="006B2397" w:rsidP="006C766D">
      <w:pPr>
        <w:spacing w:after="120" w:line="276" w:lineRule="auto"/>
        <w:jc w:val="center"/>
        <w:rPr>
          <w:rFonts w:ascii="Calibri" w:eastAsia="Calibri" w:hAnsi="Calibri" w:cs="Calibri"/>
          <w:color w:val="2F5496" w:themeColor="accent1" w:themeShade="BF"/>
          <w:szCs w:val="20"/>
          <w:lang w:val="sr-Cyrl-CS"/>
        </w:rPr>
        <w:sectPr w:rsidR="006B2397" w:rsidRPr="00646254" w:rsidSect="00645E43">
          <w:type w:val="continuous"/>
          <w:pgSz w:w="12240" w:h="15840" w:code="1"/>
          <w:pgMar w:top="1440" w:right="1440" w:bottom="1440" w:left="1440" w:header="720" w:footer="720" w:gutter="0"/>
          <w:cols w:space="720"/>
          <w:docGrid w:linePitch="360"/>
        </w:sectPr>
      </w:pPr>
    </w:p>
    <w:p w14:paraId="2E23F46F" w14:textId="77777777" w:rsidR="006B2397" w:rsidRPr="00646254" w:rsidRDefault="006B2397" w:rsidP="00BA266B">
      <w:pPr>
        <w:rPr>
          <w:rFonts w:ascii="Calibri" w:eastAsia="Calibri" w:hAnsi="Calibri" w:cs="Calibri"/>
          <w:bCs/>
          <w:szCs w:val="72"/>
          <w:lang w:val="sr-Cyrl-CS"/>
        </w:rPr>
      </w:pPr>
      <w:r w:rsidRPr="00646254">
        <w:rPr>
          <w:rFonts w:ascii="Calibri" w:eastAsia="Calibri" w:hAnsi="Calibri" w:cs="Calibri"/>
          <w:bCs/>
          <w:szCs w:val="72"/>
          <w:lang w:val="sr-Cyrl-CS"/>
        </w:rPr>
        <w:t xml:space="preserve">Према Закону о јавном дугу, као правном основу задуживања Републике Србије, јавни дуг чине све директне обавезе Републике по основу задуживања, као и гаранције издате од Републике за задуживање јавних предузећа и јединица локалне самоуправе, као и других правних лица. </w:t>
      </w:r>
      <w:r w:rsidRPr="00646254">
        <w:rPr>
          <w:rFonts w:ascii="Calibri" w:eastAsia="Calibri" w:hAnsi="Calibri" w:cs="Calibri"/>
          <w:bCs/>
          <w:spacing w:val="-2"/>
          <w:szCs w:val="72"/>
          <w:lang w:val="sr-Cyrl-CS"/>
        </w:rPr>
        <w:t>Република се може задуживати у домаћој и страној валути, ради финансирања буџетског дефицита, дефицита текуће ликвидности, рефинансирања неизмиреног дуга, за финансирање инвестиционих пројеката, као и за извршавање обавеза по датим гаранцијама.</w:t>
      </w:r>
      <w:r w:rsidRPr="00646254">
        <w:rPr>
          <w:rFonts w:ascii="Calibri" w:eastAsia="Calibri" w:hAnsi="Calibri" w:cs="Calibri"/>
          <w:bCs/>
          <w:szCs w:val="72"/>
          <w:lang w:val="sr-Cyrl-CS"/>
        </w:rPr>
        <w:t xml:space="preserve"> Одредбама Закона о јавном дугу назначено је да јавни дуг представља безусловну и неопозиву обавезу Републике Србије у односу на отплату главнице, камате и осталих припадајућих трошкова.</w:t>
      </w:r>
    </w:p>
    <w:p w14:paraId="3465056A" w14:textId="77777777" w:rsidR="006B2397" w:rsidRPr="00646254" w:rsidRDefault="006B2397" w:rsidP="00BA266B">
      <w:pPr>
        <w:rPr>
          <w:rFonts w:ascii="Calibri" w:eastAsia="Calibri" w:hAnsi="Calibri" w:cs="Calibri"/>
          <w:bCs/>
          <w:szCs w:val="72"/>
          <w:lang w:val="sr-Cyrl-CS"/>
        </w:rPr>
      </w:pPr>
      <w:r w:rsidRPr="00646254">
        <w:rPr>
          <w:rFonts w:ascii="Calibri" w:eastAsia="Calibri" w:hAnsi="Calibri" w:cs="Calibri"/>
          <w:bCs/>
          <w:szCs w:val="72"/>
          <w:lang w:val="sr-Cyrl-CS"/>
        </w:rPr>
        <w:t>За формулисање Стратегије за управљање јавним дугом коришћен је квантитативни приступ, идентификујући могућа ограничења кроз макро-економске показатеље, анализу трошкова и ризика и тржишних услова који утичу на управљање јавним дугом. У сврху анализе коришћени су инструменти финансирања доступни на домаћем и међународном финансијском тржишту. Стратегија управљања јавним дугом заснива се на принципима који дефинишу потребу за транспарентним и предвидивим процесом задуживања, уз перманентан развој тржишта државних хартија од вредности и прихватљив ниво изложености финансијским ризицима.</w:t>
      </w:r>
    </w:p>
    <w:p w14:paraId="228D8B1A" w14:textId="77777777" w:rsidR="006B2397" w:rsidRPr="00646254" w:rsidRDefault="006B2397" w:rsidP="00BA266B">
      <w:pPr>
        <w:rPr>
          <w:rFonts w:ascii="Calibri" w:eastAsia="Calibri" w:hAnsi="Calibri" w:cs="Calibri"/>
          <w:bCs/>
          <w:szCs w:val="72"/>
          <w:lang w:val="sr-Cyrl-CS"/>
        </w:rPr>
      </w:pPr>
      <w:r w:rsidRPr="00646254">
        <w:rPr>
          <w:rFonts w:ascii="Calibri" w:eastAsia="Calibri" w:hAnsi="Calibri" w:cs="Calibri"/>
          <w:bCs/>
          <w:szCs w:val="72"/>
          <w:lang w:val="sr-Cyrl-CS"/>
        </w:rPr>
        <w:t>Ситуација на међународном и домаћем финансијском тржишту, успешна примена мера фискалне консолидације уз добру координацију фискалне и монетарне политике довела је до значајног пада трошкова задуживања на динарским и евро деноминованим хартијама од вредности у последњих неколико година и смањивања ризико премије за српске државне хартије од вредности на историјски минимум.</w:t>
      </w:r>
    </w:p>
    <w:p w14:paraId="2B1E24E3" w14:textId="54772BFC" w:rsidR="006B2397" w:rsidRPr="00646254" w:rsidRDefault="006B2397" w:rsidP="00BA266B">
      <w:pPr>
        <w:rPr>
          <w:rFonts w:ascii="Calibri" w:eastAsia="Calibri" w:hAnsi="Calibri" w:cs="Calibri"/>
          <w:bCs/>
          <w:szCs w:val="72"/>
          <w:lang w:val="sr-Cyrl-CS"/>
        </w:rPr>
      </w:pPr>
      <w:r w:rsidRPr="00646254">
        <w:rPr>
          <w:rFonts w:ascii="Calibri" w:eastAsia="Calibri" w:hAnsi="Calibri" w:cs="Calibri"/>
          <w:bCs/>
          <w:szCs w:val="72"/>
          <w:lang w:val="sr-Cyrl-CS"/>
        </w:rPr>
        <w:t xml:space="preserve">Фискална стратегија предвиђа смањење јавног дуга општег нивоа државе до краја 2024. године на ниво од 53,8% БДП, </w:t>
      </w:r>
      <w:r w:rsidR="00B9598B" w:rsidRPr="00646254">
        <w:rPr>
          <w:rFonts w:ascii="Calibri" w:eastAsia="Calibri" w:hAnsi="Calibri" w:cs="Calibri"/>
          <w:bCs/>
          <w:szCs w:val="72"/>
          <w:lang w:val="sr-Cyrl-CS"/>
        </w:rPr>
        <w:t>при чему се у складу са с</w:t>
      </w:r>
      <w:r w:rsidRPr="00646254">
        <w:rPr>
          <w:rFonts w:ascii="Calibri" w:eastAsia="Calibri" w:hAnsi="Calibri" w:cs="Calibri"/>
          <w:bCs/>
          <w:szCs w:val="72"/>
          <w:lang w:val="sr-Cyrl-CS"/>
        </w:rPr>
        <w:t>мерницама управљања јавним дугом дефинисаним од стране Светске банке и ММФ, у оквиру Стратегије управљања јавним дугом врши стрес-сценарио анализа утицаја промене девизног курса домаће валуте у односу на валуте у којима је деноминован јавни дуг Републике Србије.</w:t>
      </w:r>
    </w:p>
    <w:p w14:paraId="3E79D409" w14:textId="77777777" w:rsidR="006B2397" w:rsidRPr="00646254" w:rsidRDefault="006B2397" w:rsidP="00BA266B">
      <w:pPr>
        <w:rPr>
          <w:rFonts w:ascii="Calibri" w:eastAsia="Calibri" w:hAnsi="Calibri" w:cs="Calibri"/>
          <w:bCs/>
          <w:szCs w:val="72"/>
          <w:lang w:val="sr-Cyrl-CS"/>
        </w:rPr>
      </w:pPr>
      <w:r w:rsidRPr="00646254">
        <w:rPr>
          <w:rFonts w:ascii="Calibri" w:eastAsia="Calibri" w:hAnsi="Calibri" w:cs="Calibri"/>
          <w:bCs/>
          <w:szCs w:val="72"/>
          <w:lang w:val="sr-Cyrl-CS"/>
        </w:rPr>
        <w:t>У последњих осам година учињен је значајан напредак у погледу повећања просечне рочности динарских државних хартија од вредности и смањења трошкова финансирања по основу овог вида задуживања, чиме је смањена изложеност ризику рефинансирања. Битно је напоменути да је у наведеном периоду просечна купонска стопа динарских државних хартија од вредности смањена са 13,68%, колико је износила на крају 2012. године, на 4,59% на крају августа 2021. године.</w:t>
      </w:r>
    </w:p>
    <w:p w14:paraId="62C82041" w14:textId="77777777" w:rsidR="006B2397" w:rsidRPr="00646254" w:rsidRDefault="006B2397" w:rsidP="00BA266B">
      <w:pPr>
        <w:rPr>
          <w:rFonts w:ascii="Calibri" w:eastAsia="Calibri" w:hAnsi="Calibri" w:cs="Calibri"/>
          <w:bCs/>
          <w:szCs w:val="72"/>
          <w:lang w:val="sr-Cyrl-CS"/>
        </w:rPr>
      </w:pPr>
      <w:r w:rsidRPr="00646254">
        <w:rPr>
          <w:rFonts w:ascii="Calibri" w:eastAsia="Calibri" w:hAnsi="Calibri" w:cs="Calibri"/>
          <w:bCs/>
          <w:szCs w:val="72"/>
          <w:lang w:val="sr-Cyrl-CS"/>
        </w:rPr>
        <w:t>Стратегијом управљања јавним дугом се дефинишу основне мере за даљи наставак развоја динарског тржишта државних хартија од вредности. Развојем овог тржишта очекује се да ће доћи до раста унутрашњег дуга и повећања његовог учешћа у укупном дугу, као и смањењу изложености јавног дуга према девизном ризику, што ће позитивно утицати на повећање кредитног рејтинга Републике Србије.</w:t>
      </w:r>
    </w:p>
    <w:p w14:paraId="328A464A" w14:textId="77777777" w:rsidR="006B2397" w:rsidRPr="00646254" w:rsidRDefault="006B2397" w:rsidP="00BA266B">
      <w:pPr>
        <w:rPr>
          <w:rFonts w:ascii="Calibri" w:eastAsia="Calibri" w:hAnsi="Calibri" w:cs="Calibri"/>
          <w:bCs/>
          <w:szCs w:val="72"/>
          <w:lang w:val="sr-Cyrl-CS"/>
        </w:rPr>
      </w:pPr>
      <w:r w:rsidRPr="00646254">
        <w:rPr>
          <w:rFonts w:ascii="Calibri" w:eastAsia="Calibri" w:hAnsi="Calibri" w:cs="Calibri"/>
          <w:bCs/>
          <w:szCs w:val="72"/>
          <w:lang w:val="sr-Cyrl-CS"/>
        </w:rPr>
        <w:t>Након успешно спроведених мера фискалне консолидације у 2016. години је преокренута растућа путања кретања јавног дуга и учешће јавног дуга у БДП-у, те долази до пада учешћа са 70,0% БДП-а колико је износило на централном нивоу власти крају 2015. године на 67,7% на крају 2016. године. Током 2017. године дошло је до још значајнијег пада на 57,8% БДП. Тренд је настављен и током 2018. године када удео јавног дуга у БДП пада на 53,6% , као на крају 2019. године када је учешће јавног дуга у БДП смањено на ниво од 51,9% БДП-а. Како би се смањио утицај кризе изазване пандемијом вируса COVID-19, јавила се потреба за финансирањем мера подршке привреди и грађанима, што је резултирало учешћем дуга у БДП од 57,0% на крају 2020. године да би у августу 2021. године учешће јавног дуга у БДП било смањено на 54,3%.</w:t>
      </w:r>
    </w:p>
    <w:p w14:paraId="7DB75534" w14:textId="77777777" w:rsidR="006B2397" w:rsidRPr="00646254" w:rsidRDefault="006B2397" w:rsidP="00BA266B">
      <w:pPr>
        <w:rPr>
          <w:rFonts w:ascii="Calibri" w:eastAsia="Calibri" w:hAnsi="Calibri" w:cs="Calibri"/>
          <w:bCs/>
          <w:szCs w:val="72"/>
          <w:lang w:val="sr-Cyrl-CS"/>
        </w:rPr>
      </w:pPr>
      <w:r w:rsidRPr="00646254">
        <w:rPr>
          <w:rFonts w:ascii="Calibri" w:eastAsia="Calibri" w:hAnsi="Calibri" w:cs="Calibri"/>
          <w:bCs/>
          <w:szCs w:val="72"/>
          <w:lang w:val="sr-Cyrl-CS"/>
        </w:rPr>
        <w:t>Услед појачане контроле издавања гаранција претходних година је преполовљен гарантовани јавни дуг, који је пао са 2,8 милијарде EUR колико је износио на крају 2013. године на 1,4 милијарди EUR на крају августа 2021. године.</w:t>
      </w:r>
    </w:p>
    <w:p w14:paraId="7D4CA14D" w14:textId="514154CE" w:rsidR="006B2397" w:rsidRPr="00646254" w:rsidRDefault="006B2397" w:rsidP="00BA266B">
      <w:pPr>
        <w:rPr>
          <w:rFonts w:ascii="Calibri" w:eastAsia="Calibri" w:hAnsi="Calibri" w:cs="Calibri"/>
          <w:bCs/>
          <w:szCs w:val="72"/>
          <w:lang w:val="sr-Cyrl-CS"/>
        </w:rPr>
      </w:pPr>
      <w:r w:rsidRPr="00646254">
        <w:rPr>
          <w:rFonts w:ascii="Calibri" w:eastAsia="Calibri" w:hAnsi="Calibri" w:cs="Calibri"/>
          <w:bCs/>
          <w:szCs w:val="72"/>
          <w:lang w:val="sr-Cyrl-CS"/>
        </w:rPr>
        <w:t xml:space="preserve">Позитивни фискални резултати које остварује Република Србија потврђени су и преко кретања кредитног рејтинга Србије. Рејтинг агенције Fitch Ratings и Standard and Poor’s у 2019. години повећале су рејтинг Србије на ББ+ са ББ, док је рејтинг агенција Moody’s поправила изглед за повећање кредитног рејтинга Републике Србије са стабилног на позитивни. </w:t>
      </w:r>
      <w:r w:rsidR="009B1DCA" w:rsidRPr="00646254">
        <w:rPr>
          <w:rFonts w:ascii="Calibri" w:eastAsia="Calibri" w:hAnsi="Calibri" w:cs="Calibri"/>
          <w:bCs/>
          <w:szCs w:val="72"/>
          <w:lang w:val="sr-Cyrl-CS"/>
        </w:rPr>
        <w:t xml:space="preserve">У 2020. години Република Србија успела је да сачува непромењен кредитни рејтинг који је добила у 2019. години. </w:t>
      </w:r>
      <w:r w:rsidRPr="00646254">
        <w:rPr>
          <w:rFonts w:ascii="Calibri" w:eastAsia="Calibri" w:hAnsi="Calibri" w:cs="Calibri"/>
          <w:bCs/>
          <w:szCs w:val="72"/>
          <w:lang w:val="sr-Cyrl-CS"/>
        </w:rPr>
        <w:t>Moody’s је у марту 2021. године повећала кредитни рејтинг Републике Србије на Ба2 са Ба3 као резултат веома успешног одговора на кризу изазвану пандемијом вируса COVID-19 и очувања макроекономске стабилности током јако тешке и изазовне 2020. године. Рејтинг агенција Standard and Poor’s, у извештају који је објављен 11. јуна 2021. године, потврдила је оцену кредитног рејтинга Републике Србије на нивоу ББ+ и задржала стабилне изгледе за његово даље повећање, а исто је ура</w:t>
      </w:r>
      <w:r w:rsidR="00B9598B" w:rsidRPr="00646254">
        <w:rPr>
          <w:rFonts w:ascii="Calibri" w:eastAsia="Calibri" w:hAnsi="Calibri" w:cs="Calibri"/>
          <w:bCs/>
          <w:szCs w:val="72"/>
          <w:lang w:val="sr-Cyrl-CS"/>
        </w:rPr>
        <w:t>дила и агенција Fitch Ratings</w:t>
      </w:r>
      <w:r w:rsidRPr="00646254">
        <w:rPr>
          <w:rFonts w:ascii="Calibri" w:eastAsia="Calibri" w:hAnsi="Calibri" w:cs="Calibri"/>
          <w:bCs/>
          <w:szCs w:val="72"/>
          <w:lang w:val="sr-Cyrl-CS"/>
        </w:rPr>
        <w:t xml:space="preserve"> у најновијем извештају од 3. септембра 2021. године.</w:t>
      </w:r>
    </w:p>
    <w:p w14:paraId="7FD4F916" w14:textId="61CDD432" w:rsidR="006B2397" w:rsidRPr="00646254" w:rsidRDefault="006B2397" w:rsidP="00BA266B">
      <w:pPr>
        <w:rPr>
          <w:rFonts w:ascii="Calibri" w:eastAsia="Calibri" w:hAnsi="Calibri" w:cs="Times New Roman"/>
          <w:lang w:val="sr-Cyrl-CS"/>
        </w:rPr>
      </w:pPr>
      <w:r w:rsidRPr="00646254">
        <w:rPr>
          <w:rFonts w:ascii="Calibri" w:eastAsia="Calibri" w:hAnsi="Calibri" w:cs="Calibri"/>
          <w:bCs/>
          <w:szCs w:val="72"/>
          <w:lang w:val="sr-Cyrl-CS"/>
        </w:rPr>
        <w:t>Република Србија је током 2020. године у два наврата емитовала еврообвезнице како би финансирала пакет мера помоћи привреди и грађанима у циљу минимизирања утицаја кризе изазване пандемијом вируса COVID-19 и превремено отплатиле раније емитоване скупе еврообвезнице. Прва</w:t>
      </w:r>
      <w:r w:rsidR="00B9598B" w:rsidRPr="00646254">
        <w:rPr>
          <w:rFonts w:ascii="Calibri" w:eastAsia="Calibri" w:hAnsi="Calibri" w:cs="Calibri"/>
          <w:bCs/>
          <w:szCs w:val="72"/>
          <w:lang w:val="sr-Cyrl-CS"/>
        </w:rPr>
        <w:t xml:space="preserve"> емисија еврообвезница је била 15</w:t>
      </w:r>
      <w:r w:rsidRPr="00646254">
        <w:rPr>
          <w:rFonts w:ascii="Calibri" w:eastAsia="Calibri" w:hAnsi="Calibri" w:cs="Calibri"/>
          <w:bCs/>
          <w:szCs w:val="72"/>
          <w:lang w:val="sr-Cyrl-CS"/>
        </w:rPr>
        <w:t xml:space="preserve">. маја 2020. године, у еврима, у најделикатнијем тренутку у првом таласу пандемије, у укупном износу од 2,0 милијарде EUR. Купонска стопа је износила 3,125%, доспева 2027. године и листирана је на Лондонској берзи, једном од највећих и најрепрезентативнијих тржишта на свету. Друга емисија еврообвезница је била 1. децембра 2020. године, у укупном износу од 1,2 милијарде америчких долара са доспећем 2030. године. Купонска стопа је износила 2,125%, а финална каматна стопа у еврима, након реализације хеџинг трансакције 1,066%. Повратак на доларско тржиште хартија и нова емисија деноминована у доларима, омогућава Србији да остане присутна у индексу обвезница тржишта у развоју – EMBI Index, чиме се осигурава њена видљивост на америчком тржишту капитала, као и на широј међународној инвестиционој мапи. Средствима емисије еврообвезница из децембра 2020. године извршeна je превремена отплата 900 милиона долара еврообвезница емитованих 2011. године, од укупно 1,6 милијарде долара колико је доспевало у септембру 2021. године. Превремено су откупљене обвезнице које су биле емитоване по купонској стопи од чак 7,25%. Како би снизила трошкове финансирања и продужила рочност дуга Република Србија је </w:t>
      </w:r>
      <w:r w:rsidR="00B9598B" w:rsidRPr="00646254">
        <w:rPr>
          <w:rFonts w:ascii="Calibri" w:eastAsia="Calibri" w:hAnsi="Calibri" w:cs="Calibri"/>
          <w:bCs/>
          <w:szCs w:val="72"/>
          <w:lang w:val="sr-Cyrl-CS"/>
        </w:rPr>
        <w:t>3</w:t>
      </w:r>
      <w:r w:rsidRPr="00646254">
        <w:rPr>
          <w:rFonts w:ascii="Calibri" w:eastAsia="Calibri" w:hAnsi="Calibri" w:cs="Calibri"/>
          <w:bCs/>
          <w:szCs w:val="72"/>
          <w:lang w:val="sr-Cyrl-CS"/>
        </w:rPr>
        <w:t xml:space="preserve">. </w:t>
      </w:r>
      <w:r w:rsidR="00B9598B" w:rsidRPr="00646254">
        <w:rPr>
          <w:rFonts w:ascii="Calibri" w:eastAsia="Calibri" w:hAnsi="Calibri" w:cs="Calibri"/>
          <w:bCs/>
          <w:szCs w:val="72"/>
          <w:lang w:val="sr-Cyrl-CS"/>
        </w:rPr>
        <w:t>март</w:t>
      </w:r>
      <w:r w:rsidRPr="00646254">
        <w:rPr>
          <w:rFonts w:ascii="Calibri" w:eastAsia="Calibri" w:hAnsi="Calibri" w:cs="Calibri"/>
          <w:bCs/>
          <w:szCs w:val="72"/>
          <w:lang w:val="sr-Cyrl-CS"/>
        </w:rPr>
        <w:t xml:space="preserve">а 2021. године успешно искористила још увек повољне услове на међународном финансијском тржишту и по први пут емитовала дванаестогодишње државне обвезнице деноминоване у еврима у износу од једне милијарде евра </w:t>
      </w:r>
      <w:r w:rsidRPr="00646254">
        <w:rPr>
          <w:rFonts w:ascii="Calibri" w:eastAsia="Calibri" w:hAnsi="Calibri" w:cs="Times New Roman"/>
          <w:lang w:val="sr-Cyrl-CS"/>
        </w:rPr>
        <w:t>по купонској стопи од 1,65%.</w:t>
      </w:r>
    </w:p>
    <w:p w14:paraId="2864B369" w14:textId="78ACB180" w:rsidR="006B2397" w:rsidRPr="00646254" w:rsidRDefault="006C3A39" w:rsidP="00BA266B">
      <w:pPr>
        <w:rPr>
          <w:lang w:val="sr-Cyrl-CS"/>
        </w:rPr>
      </w:pPr>
      <w:r w:rsidRPr="00646254">
        <w:rPr>
          <w:rFonts w:ascii="Calibri" w:eastAsia="Calibri" w:hAnsi="Calibri" w:cs="Times New Roman"/>
          <w:lang w:val="sr-Cyrl-CS"/>
        </w:rPr>
        <w:t xml:space="preserve">23. септембра </w:t>
      </w:r>
      <w:r w:rsidR="006B2397" w:rsidRPr="00646254">
        <w:rPr>
          <w:rFonts w:ascii="Calibri" w:eastAsia="Calibri" w:hAnsi="Calibri" w:cs="Times New Roman"/>
          <w:lang w:val="sr-Cyrl-CS"/>
        </w:rPr>
        <w:t xml:space="preserve">2021. године Република </w:t>
      </w:r>
      <w:r w:rsidR="006B2397" w:rsidRPr="00646254">
        <w:rPr>
          <w:lang w:val="sr-Cyrl-CS"/>
        </w:rPr>
        <w:t xml:space="preserve">Србија је поново померила границе у избору финансирања својих инвестиција изласком на међународно тржиште зелених обвезница. Зелена еврообвезница емитована је у износу од 1,0 милијарде евра са роком доспећа од седам година и купонском стопом од 1,00%, најнижом до сада постигнутом на међународном тржишту. Република Србија се сврстала у ред ретких европских земаља које су на међународном финансијском тржишту емитовале зелене еврообвезнице, а које су намењене искључиво </w:t>
      </w:r>
      <w:r w:rsidR="00267EED">
        <w:rPr>
          <w:lang w:val="sr-Cyrl-CS"/>
        </w:rPr>
        <w:t>за финансирање еколошки прихватљ</w:t>
      </w:r>
      <w:r w:rsidR="006B2397" w:rsidRPr="00646254">
        <w:rPr>
          <w:lang w:val="sr-Cyrl-CS"/>
        </w:rPr>
        <w:t>ивих пројеката. Истовремено, са емисијом зелене еврообвезнице, емитована је и петнаестогодишња еврообвезница најдуже рочности до сада у износу од 750 милиона евра, са годишњом купонском стопом од 2,05%, чијом емисијом је додатно повећана рочност јавног дуга.</w:t>
      </w:r>
    </w:p>
    <w:p w14:paraId="3A4384B5" w14:textId="77777777" w:rsidR="006B2397" w:rsidRPr="00646254" w:rsidRDefault="006B2397" w:rsidP="00BA266B">
      <w:pPr>
        <w:rPr>
          <w:rFonts w:ascii="Calibri" w:eastAsia="Calibri" w:hAnsi="Calibri" w:cs="Calibri"/>
          <w:bCs/>
          <w:szCs w:val="72"/>
          <w:lang w:val="sr-Cyrl-CS"/>
        </w:rPr>
      </w:pPr>
      <w:r w:rsidRPr="00646254">
        <w:rPr>
          <w:rFonts w:ascii="Calibri" w:eastAsia="Calibri" w:hAnsi="Calibri" w:cs="Calibri"/>
          <w:bCs/>
          <w:szCs w:val="72"/>
          <w:lang w:val="sr-Cyrl-CS"/>
        </w:rPr>
        <w:t>Водећи се најбољом међународном праксом активног управљања јавним дугом, Република Србија је у децембру 2020. године по први пут реализовала хеџинг трансакцију, тј. коришћење финансијских деривата у сврху заштите од девизног и каматног ризика, у складу са међународно препознатим ISDA стандардима (</w:t>
      </w:r>
      <w:r w:rsidRPr="00646254">
        <w:rPr>
          <w:rFonts w:ascii="Calibri" w:eastAsia="Calibri" w:hAnsi="Calibri" w:cs="Calibri"/>
          <w:bCs/>
          <w:i/>
          <w:szCs w:val="72"/>
          <w:lang w:val="sr-Cyrl-CS"/>
        </w:rPr>
        <w:t>International Swaps and Derivatives Association</w:t>
      </w:r>
      <w:r w:rsidRPr="00646254">
        <w:rPr>
          <w:rFonts w:ascii="Calibri" w:eastAsia="Calibri" w:hAnsi="Calibri" w:cs="Calibri"/>
          <w:bCs/>
          <w:szCs w:val="72"/>
          <w:lang w:val="sr-Cyrl-CS"/>
        </w:rPr>
        <w:t xml:space="preserve">), односно унакрсна валутна своп трансакција којом су обавезе по основу емитоване обвезнице конвертоване из америчких долара у евре по значајно нижој финалној каматној стопи. Своје обавезе по основу емисије деноминоване у доларима, у износу од 1,2 милијарди USD, Република Србија ће исплаћивати у еврима по купонској стопи од 1,066% на номиналну вредност емисије након конверзије од 1,016 милијарди евра. Искоришћен је повољни односа курса евра и америчког долара у датом тренутку као и тренутне дивергенције између доларских и еурских каматних стопа на међународном тржишту капитала и постигнута је најповољнија цена задуживања, уз оптимизацију валутне структуре јавног дуга, а све у циљу заштите од ризика промене девизног курса. На овај начин остварене су додатне уштеде од око 11,6 милијарди динара. Током фебруара 2021. године реализована је друга своп трансакција, којом је обавеза по основу Споразума о репрограму дуга између Републике Србије и Kuwait Investment Authority конвертована из америчких долара у евре, по значајно нижој каматној стопи. Обавезе по основу наведеног репрограмираног зајма, уговорене у доларима по каматној стопи од 1,5%, Република Србија ће исплаћивати у еврима по каматној стопи од 0,393%, чиме ће се остварити уштеда у износу од око 16,5 милиона евра. У априлу 2021. године је закључена нова своп трансакција којом је кредит код Export - Import Bank of China за пројекат изградње обилазнице око Београда на аутопуту Е70/Е75, који је 2018. године иницијално уговорен у кинеским јуанима конвертован у евре са негативном каматном стопом. Наведени зајам, на који је плаћана фиксна каматна стопа од 2,50% годишње у кинеским јуанима, конвертован је у евре по фиксној негативној каматној стопи од </w:t>
      </w:r>
      <w:r w:rsidRPr="00646254">
        <w:rPr>
          <w:rFonts w:ascii="Calibri" w:eastAsia="Calibri" w:hAnsi="Calibri" w:cs="Calibri"/>
          <w:bCs/>
          <w:szCs w:val="72"/>
          <w:lang w:val="sr-Cyrl-CS"/>
        </w:rPr>
        <w:br w:type="textWrapping" w:clear="all"/>
        <w:t>-0,07%. Како је уговорена негативна каматна стопа, Република Србија неће имати никакве трошкове по основу камата у првих 5 година своп аранжмана, који важи до 2030. године, већ ће остваривати додатна примања од банака са којима је трансакција закључена.</w:t>
      </w:r>
    </w:p>
    <w:p w14:paraId="4B46EB1F" w14:textId="331B7BFE" w:rsidR="006B2397" w:rsidRPr="00646254" w:rsidRDefault="006B2397" w:rsidP="00BA266B">
      <w:pPr>
        <w:rPr>
          <w:rFonts w:ascii="Calibri" w:eastAsia="Calibri" w:hAnsi="Calibri" w:cs="Calibri"/>
          <w:bCs/>
          <w:szCs w:val="72"/>
          <w:lang w:val="sr-Cyrl-CS"/>
        </w:rPr>
      </w:pPr>
      <w:r w:rsidRPr="00646254">
        <w:rPr>
          <w:rFonts w:ascii="Calibri" w:eastAsia="Calibri" w:hAnsi="Calibri" w:cs="Calibri"/>
          <w:bCs/>
          <w:szCs w:val="72"/>
          <w:lang w:val="sr-Cyrl-CS"/>
        </w:rPr>
        <w:t>Током 2020. године настављено је са емитовањем „бенчмарк</w:t>
      </w:r>
      <w:r w:rsidRPr="00646254">
        <w:rPr>
          <w:rFonts w:eastAsia="MS PGothic" w:cstheme="minorHAnsi"/>
          <w:szCs w:val="20"/>
          <w:lang w:val="sr-Cyrl-CS" w:eastAsia="ja-JP"/>
        </w:rPr>
        <w:t>”</w:t>
      </w:r>
      <w:r w:rsidR="00B9598B" w:rsidRPr="00646254">
        <w:rPr>
          <w:rFonts w:ascii="Calibri" w:eastAsia="Calibri" w:hAnsi="Calibri" w:cs="Calibri"/>
          <w:bCs/>
          <w:szCs w:val="72"/>
          <w:lang w:val="sr-Cyrl-CS"/>
        </w:rPr>
        <w:t xml:space="preserve"> обвезница</w:t>
      </w:r>
      <w:r w:rsidRPr="00646254">
        <w:rPr>
          <w:rFonts w:ascii="Calibri" w:eastAsia="Calibri" w:hAnsi="Calibri" w:cs="Calibri"/>
          <w:bCs/>
          <w:szCs w:val="72"/>
          <w:lang w:val="sr-Cyrl-CS"/>
        </w:rPr>
        <w:t xml:space="preserve"> на домаћем тржишту. Емитоване су обвезнице рочности 5,5 и 12,5 година у RSD номиналнe вредности од по 100 милијарди динара, чији обими су повећани на по 150 милијарди током 2021. године. 30. јуна 2021. године </w:t>
      </w:r>
      <w:r w:rsidR="00B9598B" w:rsidRPr="00646254">
        <w:rPr>
          <w:rFonts w:ascii="Calibri" w:eastAsia="Calibri" w:hAnsi="Calibri" w:cs="Calibri"/>
          <w:bCs/>
          <w:szCs w:val="72"/>
          <w:lang w:val="sr-Cyrl-CS"/>
        </w:rPr>
        <w:t>динарске</w:t>
      </w:r>
      <w:r w:rsidRPr="00646254">
        <w:rPr>
          <w:rFonts w:ascii="Calibri" w:eastAsia="Calibri" w:hAnsi="Calibri" w:cs="Calibri"/>
          <w:bCs/>
          <w:szCs w:val="72"/>
          <w:lang w:val="sr-Cyrl-CS"/>
        </w:rPr>
        <w:t xml:space="preserve"> бенчмарк обв</w:t>
      </w:r>
      <w:r w:rsidR="00B9598B" w:rsidRPr="00646254">
        <w:rPr>
          <w:rFonts w:ascii="Calibri" w:eastAsia="Calibri" w:hAnsi="Calibri" w:cs="Calibri"/>
          <w:bCs/>
          <w:szCs w:val="72"/>
          <w:lang w:val="sr-Cyrl-CS"/>
        </w:rPr>
        <w:t>езнице</w:t>
      </w:r>
      <w:r w:rsidRPr="00646254">
        <w:rPr>
          <w:rFonts w:ascii="Calibri" w:eastAsia="Calibri" w:hAnsi="Calibri" w:cs="Calibri"/>
          <w:bCs/>
          <w:szCs w:val="72"/>
          <w:lang w:val="sr-Cyrl-CS"/>
        </w:rPr>
        <w:t xml:space="preserve"> Републике </w:t>
      </w:r>
      <w:r w:rsidR="00B9598B" w:rsidRPr="00646254">
        <w:rPr>
          <w:rFonts w:ascii="Calibri" w:eastAsia="Calibri" w:hAnsi="Calibri" w:cs="Calibri"/>
          <w:bCs/>
          <w:szCs w:val="72"/>
          <w:lang w:val="sr-Cyrl-CS"/>
        </w:rPr>
        <w:t xml:space="preserve">Србије </w:t>
      </w:r>
      <w:r w:rsidRPr="00646254">
        <w:rPr>
          <w:rFonts w:ascii="Calibri" w:eastAsia="Calibri" w:hAnsi="Calibri" w:cs="Calibri"/>
          <w:bCs/>
          <w:szCs w:val="72"/>
          <w:lang w:val="sr-Cyrl-CS"/>
        </w:rPr>
        <w:t xml:space="preserve">рочности 7, 10 и 12,5 година </w:t>
      </w:r>
      <w:r w:rsidR="00B9598B" w:rsidRPr="00646254">
        <w:rPr>
          <w:rFonts w:ascii="Calibri" w:eastAsia="Calibri" w:hAnsi="Calibri" w:cs="Calibri"/>
          <w:bCs/>
          <w:szCs w:val="72"/>
          <w:lang w:val="sr-Cyrl-CS"/>
        </w:rPr>
        <w:t>укључене су у J.P.</w:t>
      </w:r>
      <w:r w:rsidR="00E672FD">
        <w:rPr>
          <w:rFonts w:ascii="Calibri" w:eastAsia="Calibri" w:hAnsi="Calibri" w:cs="Calibri"/>
          <w:bCs/>
          <w:szCs w:val="72"/>
          <w:lang w:val="sr-Latn-RS"/>
        </w:rPr>
        <w:t xml:space="preserve"> </w:t>
      </w:r>
      <w:r w:rsidR="00B9598B" w:rsidRPr="00646254">
        <w:rPr>
          <w:rFonts w:ascii="Calibri" w:eastAsia="Calibri" w:hAnsi="Calibri" w:cs="Calibri"/>
          <w:bCs/>
          <w:szCs w:val="72"/>
          <w:lang w:val="sr-Cyrl-CS"/>
        </w:rPr>
        <w:t xml:space="preserve">Morgan GBI-EM Index. </w:t>
      </w:r>
      <w:r w:rsidRPr="00646254">
        <w:rPr>
          <w:rFonts w:ascii="Calibri" w:eastAsia="Calibri" w:hAnsi="Calibri" w:cs="Calibri"/>
          <w:bCs/>
          <w:szCs w:val="72"/>
          <w:lang w:val="sr-Cyrl-CS"/>
        </w:rPr>
        <w:t>Укључивањем у наведени индекс начињен је значајан напредак у јачању ликвидности секундарног тржишта државних обвезница и обезбеђен долазак нових међународних страних инвестиционих фондова, што ће резултирати већом конкуренцијом и даљим падом трошкова задуживања. У октобру 2021. године, Clearstream, међународни централни регистар хартија од вредности, који обавља послове клиринга и салдирања (ICSD), отвара рачун хартија од вре</w:t>
      </w:r>
      <w:r w:rsidR="00B9598B" w:rsidRPr="00646254">
        <w:rPr>
          <w:rFonts w:ascii="Calibri" w:eastAsia="Calibri" w:hAnsi="Calibri" w:cs="Calibri"/>
          <w:bCs/>
          <w:szCs w:val="72"/>
          <w:lang w:val="sr-Cyrl-CS"/>
        </w:rPr>
        <w:t>дности у домаћем регистру и омо</w:t>
      </w:r>
      <w:r w:rsidRPr="00646254">
        <w:rPr>
          <w:rFonts w:ascii="Calibri" w:eastAsia="Calibri" w:hAnsi="Calibri" w:cs="Calibri"/>
          <w:bCs/>
          <w:szCs w:val="72"/>
          <w:lang w:val="sr-Cyrl-CS"/>
        </w:rPr>
        <w:t>гућава страним инвеститорима салдирање српских обвезница, чиме је начињен још један корак ка даљем повећању базе инвеститора.</w:t>
      </w:r>
    </w:p>
    <w:p w14:paraId="7AB6D628" w14:textId="58A4DB25" w:rsidR="006B2397" w:rsidRPr="00646254" w:rsidRDefault="006B2397" w:rsidP="00BA266B">
      <w:pPr>
        <w:rPr>
          <w:rFonts w:ascii="Calibri" w:eastAsia="Calibri" w:hAnsi="Calibri" w:cs="Calibri"/>
          <w:bCs/>
          <w:szCs w:val="72"/>
          <w:lang w:val="sr-Cyrl-CS"/>
        </w:rPr>
      </w:pPr>
      <w:r w:rsidRPr="00646254">
        <w:rPr>
          <w:rFonts w:ascii="Calibri" w:eastAsia="Calibri" w:hAnsi="Calibri" w:cs="Calibri"/>
          <w:bCs/>
          <w:szCs w:val="72"/>
          <w:lang w:val="sr-Cyrl-CS"/>
        </w:rPr>
        <w:t>У 2019. години Република Србија је извршила превремени откуп раније емитованих државних хартија од вредности на домаћем тржишту путем редовних аукција на којима је откупила државне обвезнице деноминоване у динарима са високим купонским стопама 4,5% на обвезнице рочности 3 године и 10,0% на обвезнице рочности 7 година, у укупном износу од 35,1 милијарде RSD. Са истом праксом је настављено и у 2020. години када је превремено откупљено 10,2 милијарде RSD обвезница са високим купонским стопама. У 2021. години до средине октобра превремено је откупљено 21,3 милијарди RSD обвезница оригиналне рочности 3 године, са купоном 3,75% и доспећем 17.</w:t>
      </w:r>
      <w:r w:rsidR="00B9598B" w:rsidRPr="00646254">
        <w:rPr>
          <w:rFonts w:ascii="Calibri" w:eastAsia="Calibri" w:hAnsi="Calibri" w:cs="Calibri"/>
          <w:bCs/>
          <w:szCs w:val="72"/>
          <w:lang w:val="sr-Cyrl-CS"/>
        </w:rPr>
        <w:t xml:space="preserve"> </w:t>
      </w:r>
      <w:r w:rsidRPr="00646254">
        <w:rPr>
          <w:rFonts w:ascii="Calibri" w:eastAsia="Calibri" w:hAnsi="Calibri" w:cs="Calibri"/>
          <w:bCs/>
          <w:szCs w:val="72"/>
          <w:lang w:val="sr-Cyrl-CS"/>
        </w:rPr>
        <w:t>јануара 2022. године. Путем наведених аукција, настављено је активно управљање јавним дугом у циљу замене дуга са краћим роком доспећа и вишим каматним стопама дугом дуже рочности са мањим трошковима задуживања. Истовремено, пружена је могућност инвеститорима који активно улажу у домаће хартије од вредности да продуже рочност својих инвестиција и наставе инвестирање у земљи, што је од велике важности за даљи развој тржишта капитала и емисије државних обвезница у будућности.</w:t>
      </w:r>
    </w:p>
    <w:p w14:paraId="5342AAD3" w14:textId="21DB1347" w:rsidR="006B2397" w:rsidRPr="00646254" w:rsidRDefault="006B2397" w:rsidP="00BA266B">
      <w:pPr>
        <w:rPr>
          <w:rFonts w:ascii="Calibri" w:eastAsia="Calibri" w:hAnsi="Calibri" w:cs="Calibri"/>
          <w:bCs/>
          <w:szCs w:val="72"/>
          <w:lang w:val="sr-Cyrl-CS"/>
        </w:rPr>
      </w:pPr>
      <w:r w:rsidRPr="00646254">
        <w:rPr>
          <w:rFonts w:ascii="Calibri" w:eastAsia="Calibri" w:hAnsi="Calibri" w:cs="Calibri"/>
          <w:bCs/>
          <w:szCs w:val="72"/>
          <w:lang w:val="sr-Cyrl-CS"/>
        </w:rPr>
        <w:t>Валутни ризик је додатно смањен током 2020. и првих осам месеци 2021. године. Удео јавног дуга у домаћој валути у укупном јавном дугу централног нивоа власти је на крају 2008. године износио само 2,6%, а до краја 2020. године је порастао на 30,5%, да би на крају августа 2021. године износио 30,9%. Расту динарског дуга су пре свега допринеле емисије динарских државних хартија од вредности на домаћем тржишту хартија од вредности. Током 2019. и 2020. године је извршен превремени откуп скупих еврообвезница емитованих у 2011. и 2013. години у америчким доларима, а током фебруара 2020. године редовна отплата доларске обвезнице емитоване у 2013. години. У децембру 2020. године је закључена и прва хеџинг трансакција којом је емитована еврообвезница у америчким доларима, одмах конвертована у евре. У фебруару 2021. године је закључена још једна хеџинг трансакција којом су обавезе у америчким доларима конвертоване у евре. Захваљујући трансакцијама</w:t>
      </w:r>
      <w:r w:rsidR="0096552A">
        <w:rPr>
          <w:rFonts w:ascii="Calibri" w:eastAsia="Calibri" w:hAnsi="Calibri" w:cs="Calibri"/>
          <w:bCs/>
          <w:szCs w:val="72"/>
          <w:lang w:val="sr-Cyrl-CS"/>
        </w:rPr>
        <w:t xml:space="preserve"> </w:t>
      </w:r>
      <w:r w:rsidRPr="00646254">
        <w:rPr>
          <w:rFonts w:ascii="Calibri" w:eastAsia="Calibri" w:hAnsi="Calibri" w:cs="Calibri"/>
          <w:bCs/>
          <w:szCs w:val="72"/>
          <w:lang w:val="sr-Cyrl-CS"/>
        </w:rPr>
        <w:t>у децембру 2020. године и фебруару 2021. године дошло је до пада учешћа доларског дуга у укупном јавном дугу са 33,9% колико је износило на крају 2016. године на 12,2% на крају августа 2021. године, док се услед отплате доларске еврообвезнице у септембру и нових емисија еврообвезница у еврима очекује да на крају септембра његово учешће падне на 10,5%.</w:t>
      </w:r>
    </w:p>
    <w:p w14:paraId="3FA048E1" w14:textId="77777777" w:rsidR="006B2397" w:rsidRPr="00646254" w:rsidRDefault="006B2397" w:rsidP="00BA266B">
      <w:pPr>
        <w:rPr>
          <w:rFonts w:ascii="Calibri" w:eastAsia="Calibri" w:hAnsi="Calibri" w:cs="Calibri"/>
          <w:bCs/>
          <w:szCs w:val="72"/>
          <w:lang w:val="sr-Cyrl-CS"/>
        </w:rPr>
      </w:pPr>
      <w:r w:rsidRPr="00646254">
        <w:rPr>
          <w:rFonts w:ascii="Calibri" w:eastAsia="Calibri" w:hAnsi="Calibri" w:cs="Calibri"/>
          <w:bCs/>
          <w:szCs w:val="72"/>
          <w:lang w:val="sr-Cyrl-CS"/>
        </w:rPr>
        <w:t>Трошкови задуживања су такође снижени током 2020. године. Учешће трошкова камата у БДП-у је пало са 2,9% колико је износило 2015. године на нешто испод 2,0% у 2020. години, а очекује се да у 2021. години буду на нивоу од 1,8%.</w:t>
      </w:r>
    </w:p>
    <w:p w14:paraId="0318AC9E" w14:textId="77777777" w:rsidR="006B2397" w:rsidRPr="00646254" w:rsidRDefault="006B2397" w:rsidP="00BA266B">
      <w:pPr>
        <w:rPr>
          <w:rFonts w:ascii="Calibri" w:eastAsia="Calibri" w:hAnsi="Calibri" w:cs="Calibri"/>
          <w:bCs/>
          <w:szCs w:val="72"/>
          <w:lang w:val="sr-Cyrl-CS"/>
        </w:rPr>
      </w:pPr>
      <w:r w:rsidRPr="00646254">
        <w:rPr>
          <w:rFonts w:ascii="Calibri" w:eastAsia="Calibri" w:hAnsi="Calibri" w:cs="Calibri"/>
          <w:bCs/>
          <w:szCs w:val="72"/>
          <w:lang w:val="sr-Cyrl-CS"/>
        </w:rPr>
        <w:t>Захваљујући средствима од продаје Комерцијалне банке, у децембру 2020. године је превремено отплаћен целокупни преостали износ од 172,7 милиона евра зајма уговореног са Владом Републике Азербејџан за изградњу аутопута Е-763 – Љиг-Прељина. Каматна стопа на зајам је била висока и износила 4,0%, тако да је превременом отплатом начињена уштеда од око 25,9 милиона евра.</w:t>
      </w:r>
    </w:p>
    <w:p w14:paraId="64A2EACF" w14:textId="77777777" w:rsidR="006B2397" w:rsidRPr="00646254" w:rsidRDefault="006B2397" w:rsidP="00BA266B">
      <w:pPr>
        <w:spacing w:after="720"/>
        <w:rPr>
          <w:rFonts w:ascii="Calibri" w:eastAsia="Calibri" w:hAnsi="Calibri" w:cs="Calibri"/>
          <w:bCs/>
          <w:szCs w:val="72"/>
          <w:lang w:val="sr-Cyrl-CS"/>
        </w:rPr>
      </w:pPr>
      <w:r w:rsidRPr="00646254">
        <w:rPr>
          <w:rFonts w:ascii="Calibri" w:eastAsia="Calibri" w:hAnsi="Calibri" w:cs="Calibri"/>
          <w:bCs/>
          <w:szCs w:val="72"/>
          <w:lang w:val="sr-Cyrl-CS"/>
        </w:rPr>
        <w:t>На крају августа 2021. године укупно стање јавног дуга општег нивоа државе износило је 3.389,2 млрд динара, односно 55,0% БДП. Од тога се на директне обавезе односило 3.184,0 млрд динара, на индиректне обавезе 163,9 млрд динара, док се 33,0 млрд динара односи на негарантовани дуг јединица локалне самоуправе и 8,3 млрд динара на негарантовани дуг ЈП „Путеви Србије” и предузећа „Коридори Србије” д.о.о.</w:t>
      </w:r>
    </w:p>
    <w:p w14:paraId="5916F6FE" w14:textId="77777777" w:rsidR="006B2397" w:rsidRPr="00646254" w:rsidRDefault="006B2397" w:rsidP="00A55F27">
      <w:pPr>
        <w:spacing w:line="254" w:lineRule="auto"/>
        <w:rPr>
          <w:rFonts w:ascii="Calibri" w:eastAsia="Calibri" w:hAnsi="Calibri" w:cs="Calibri"/>
          <w:bCs/>
          <w:szCs w:val="72"/>
          <w:lang w:val="sr-Cyrl-CS"/>
        </w:rPr>
        <w:sectPr w:rsidR="006B2397" w:rsidRPr="00646254" w:rsidSect="008265F0">
          <w:type w:val="continuous"/>
          <w:pgSz w:w="12240" w:h="15840"/>
          <w:pgMar w:top="1440" w:right="1440" w:bottom="1440" w:left="1440" w:header="720" w:footer="720" w:gutter="0"/>
          <w:cols w:num="2" w:space="720"/>
        </w:sectPr>
      </w:pPr>
    </w:p>
    <w:p w14:paraId="610E5F6A" w14:textId="77777777" w:rsidR="006B2397" w:rsidRPr="00646254" w:rsidRDefault="006B2397" w:rsidP="00BA266B">
      <w:pPr>
        <w:spacing w:after="0" w:line="257" w:lineRule="auto"/>
        <w:jc w:val="center"/>
        <w:rPr>
          <w:rFonts w:ascii="Calibri" w:eastAsia="Calibri" w:hAnsi="Calibri" w:cs="Times New Roman"/>
          <w:b/>
          <w:color w:val="002060"/>
          <w:lang w:val="sr-Cyrl-CS"/>
        </w:rPr>
      </w:pPr>
      <w:r w:rsidRPr="00646254">
        <w:rPr>
          <w:rFonts w:ascii="Calibri" w:eastAsia="Calibri" w:hAnsi="Calibri" w:cs="Times New Roman"/>
          <w:b/>
          <w:color w:val="002060"/>
          <w:lang w:val="sr-Cyrl-CS"/>
        </w:rPr>
        <w:t>Учешће јавног дуга општег нивоа државе у БДП,%</w:t>
      </w:r>
    </w:p>
    <w:p w14:paraId="7F6F49FC" w14:textId="77777777" w:rsidR="006B2397" w:rsidRPr="00646254" w:rsidRDefault="006B2397" w:rsidP="008265F0">
      <w:pPr>
        <w:spacing w:line="256" w:lineRule="auto"/>
        <w:jc w:val="center"/>
        <w:rPr>
          <w:rFonts w:ascii="Calibri" w:eastAsia="Calibri" w:hAnsi="Calibri" w:cs="Times New Roman"/>
          <w:b/>
          <w:color w:val="002060"/>
          <w:lang w:val="sr-Cyrl-CS"/>
        </w:rPr>
      </w:pPr>
      <w:r w:rsidRPr="00646254">
        <w:rPr>
          <w:rFonts w:ascii="Calibri" w:eastAsia="Calibri" w:hAnsi="Calibri" w:cs="Times New Roman"/>
          <w:noProof/>
        </w:rPr>
        <w:drawing>
          <wp:inline distT="0" distB="0" distL="0" distR="0" wp14:anchorId="7B1411BC" wp14:editId="4BF94EA2">
            <wp:extent cx="3667125" cy="2370125"/>
            <wp:effectExtent l="0" t="0" r="0" b="0"/>
            <wp:docPr id="81"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79"/>
              </a:graphicData>
            </a:graphic>
          </wp:inline>
        </w:drawing>
      </w:r>
    </w:p>
    <w:p w14:paraId="6B7638A3" w14:textId="77777777" w:rsidR="006B2397" w:rsidRPr="00646254" w:rsidRDefault="006B2397" w:rsidP="008265F0">
      <w:pPr>
        <w:spacing w:line="256" w:lineRule="auto"/>
        <w:jc w:val="center"/>
        <w:rPr>
          <w:rFonts w:ascii="Calibri" w:eastAsia="Calibri" w:hAnsi="Calibri" w:cs="Times New Roman"/>
          <w:b/>
          <w:color w:val="002060"/>
          <w:lang w:val="sr-Cyrl-CS"/>
        </w:rPr>
      </w:pPr>
      <w:r w:rsidRPr="00646254">
        <w:rPr>
          <w:rFonts w:ascii="Calibri" w:eastAsia="Calibri" w:hAnsi="Calibri" w:cs="Times New Roman"/>
          <w:b/>
          <w:color w:val="002060"/>
          <w:lang w:val="sr-Cyrl-CS"/>
        </w:rPr>
        <w:t xml:space="preserve">Табела 23. </w:t>
      </w:r>
      <w:r w:rsidRPr="00646254">
        <w:rPr>
          <w:rFonts w:ascii="Calibri" w:eastAsia="Calibri" w:hAnsi="Calibri" w:cs="Times New Roman"/>
          <w:b/>
          <w:bCs/>
          <w:color w:val="002060"/>
          <w:lang w:val="sr-Cyrl-CS"/>
        </w:rPr>
        <w:t xml:space="preserve">Јавни дуг општег нивоа државе Републике Србије у периоду </w:t>
      </w:r>
      <w:r w:rsidRPr="00646254">
        <w:rPr>
          <w:rFonts w:ascii="Calibri" w:eastAsia="Calibri" w:hAnsi="Calibri" w:cs="Times New Roman"/>
          <w:b/>
          <w:bCs/>
          <w:color w:val="002060"/>
          <w:lang w:val="sr-Cyrl-CS"/>
        </w:rPr>
        <w:br w:type="textWrapping" w:clear="all"/>
        <w:t>крај 2018–31. август 2021. године</w:t>
      </w:r>
    </w:p>
    <w:tbl>
      <w:tblPr>
        <w:tblStyle w:val="LightShading-Accent12121"/>
        <w:tblW w:w="5000" w:type="pct"/>
        <w:tblInd w:w="0" w:type="dxa"/>
        <w:tblLook w:val="04A0" w:firstRow="1" w:lastRow="0" w:firstColumn="1" w:lastColumn="0" w:noHBand="0" w:noVBand="1"/>
      </w:tblPr>
      <w:tblGrid>
        <w:gridCol w:w="4046"/>
        <w:gridCol w:w="1328"/>
        <w:gridCol w:w="1330"/>
        <w:gridCol w:w="1327"/>
        <w:gridCol w:w="1329"/>
      </w:tblGrid>
      <w:tr w:rsidR="006B2397" w:rsidRPr="00646254" w14:paraId="15FC6CF1" w14:textId="77777777" w:rsidTr="008265F0">
        <w:trPr>
          <w:cnfStyle w:val="100000000000" w:firstRow="1" w:lastRow="0" w:firstColumn="0" w:lastColumn="0" w:oddVBand="0" w:evenVBand="0" w:oddHBand="0" w:evenHBand="0" w:firstRowFirstColumn="0" w:firstRowLastColumn="0" w:lastRowFirstColumn="0" w:lastRowLastColumn="0"/>
          <w:trHeight w:val="14"/>
        </w:trPr>
        <w:tc>
          <w:tcPr>
            <w:cnfStyle w:val="001000000000" w:firstRow="0" w:lastRow="0" w:firstColumn="1" w:lastColumn="0" w:oddVBand="0" w:evenVBand="0" w:oddHBand="0" w:evenHBand="0" w:firstRowFirstColumn="0" w:firstRowLastColumn="0" w:lastRowFirstColumn="0" w:lastRowLastColumn="0"/>
            <w:tcW w:w="2161" w:type="pct"/>
            <w:tcBorders>
              <w:top w:val="single" w:sz="4" w:space="0" w:color="002060"/>
              <w:bottom w:val="single" w:sz="4" w:space="0" w:color="FFFFFF" w:themeColor="background1"/>
            </w:tcBorders>
            <w:noWrap/>
            <w:hideMark/>
          </w:tcPr>
          <w:p w14:paraId="3167BB3A" w14:textId="77777777" w:rsidR="006B2397" w:rsidRPr="00646254" w:rsidRDefault="006B2397" w:rsidP="008265F0">
            <w:pPr>
              <w:jc w:val="center"/>
              <w:rPr>
                <w:rFonts w:ascii="Calibri" w:hAnsi="Calibri" w:cs="Calibri"/>
                <w:color w:val="002060"/>
                <w:sz w:val="18"/>
                <w:szCs w:val="18"/>
                <w:lang w:val="sr-Cyrl-CS"/>
              </w:rPr>
            </w:pPr>
            <w:bookmarkStart w:id="47" w:name="_Hlk529193448"/>
            <w:r w:rsidRPr="00646254">
              <w:rPr>
                <w:rFonts w:ascii="Calibri" w:hAnsi="Calibri" w:cs="Calibri"/>
                <w:color w:val="002060"/>
                <w:sz w:val="18"/>
                <w:szCs w:val="18"/>
                <w:lang w:val="sr-Cyrl-CS"/>
              </w:rPr>
              <w:t> </w:t>
            </w:r>
          </w:p>
        </w:tc>
        <w:tc>
          <w:tcPr>
            <w:tcW w:w="709" w:type="pct"/>
            <w:tcBorders>
              <w:top w:val="single" w:sz="4" w:space="0" w:color="002060"/>
              <w:bottom w:val="single" w:sz="4" w:space="0" w:color="002060"/>
            </w:tcBorders>
            <w:vAlign w:val="center"/>
            <w:hideMark/>
          </w:tcPr>
          <w:p w14:paraId="73867D34" w14:textId="77777777" w:rsidR="006B2397" w:rsidRPr="00646254" w:rsidRDefault="006B2397" w:rsidP="008265F0">
            <w:pPr>
              <w:jc w:val="right"/>
              <w:cnfStyle w:val="100000000000" w:firstRow="1"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646254">
              <w:rPr>
                <w:rFonts w:ascii="Calibri" w:hAnsi="Calibri" w:cs="Calibri"/>
                <w:color w:val="002060"/>
                <w:sz w:val="18"/>
                <w:szCs w:val="18"/>
                <w:lang w:val="sr-Cyrl-CS"/>
              </w:rPr>
              <w:t>2018</w:t>
            </w:r>
          </w:p>
        </w:tc>
        <w:tc>
          <w:tcPr>
            <w:tcW w:w="710" w:type="pct"/>
            <w:tcBorders>
              <w:top w:val="single" w:sz="4" w:space="0" w:color="002060"/>
              <w:bottom w:val="single" w:sz="4" w:space="0" w:color="002060"/>
            </w:tcBorders>
            <w:vAlign w:val="center"/>
            <w:hideMark/>
          </w:tcPr>
          <w:p w14:paraId="097E2BA1" w14:textId="77777777" w:rsidR="006B2397" w:rsidRPr="00646254" w:rsidRDefault="006B2397" w:rsidP="008265F0">
            <w:pPr>
              <w:jc w:val="right"/>
              <w:cnfStyle w:val="100000000000" w:firstRow="1"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646254">
              <w:rPr>
                <w:rFonts w:ascii="Calibri" w:hAnsi="Calibri" w:cs="Calibri"/>
                <w:color w:val="002060"/>
                <w:sz w:val="18"/>
                <w:szCs w:val="18"/>
                <w:lang w:val="sr-Cyrl-CS"/>
              </w:rPr>
              <w:t>2019</w:t>
            </w:r>
          </w:p>
        </w:tc>
        <w:tc>
          <w:tcPr>
            <w:tcW w:w="709" w:type="pct"/>
            <w:tcBorders>
              <w:top w:val="single" w:sz="4" w:space="0" w:color="002060"/>
              <w:bottom w:val="single" w:sz="4" w:space="0" w:color="002060"/>
            </w:tcBorders>
            <w:noWrap/>
            <w:vAlign w:val="center"/>
            <w:hideMark/>
          </w:tcPr>
          <w:p w14:paraId="485C7D27" w14:textId="77777777" w:rsidR="006B2397" w:rsidRPr="00646254" w:rsidRDefault="006B2397" w:rsidP="008265F0">
            <w:pPr>
              <w:jc w:val="right"/>
              <w:cnfStyle w:val="100000000000" w:firstRow="1"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646254">
              <w:rPr>
                <w:rFonts w:ascii="Calibri" w:hAnsi="Calibri" w:cs="Calibri"/>
                <w:color w:val="002060"/>
                <w:sz w:val="18"/>
                <w:szCs w:val="18"/>
                <w:lang w:val="sr-Cyrl-CS"/>
              </w:rPr>
              <w:t>2020</w:t>
            </w:r>
          </w:p>
        </w:tc>
        <w:tc>
          <w:tcPr>
            <w:tcW w:w="710" w:type="pct"/>
            <w:tcBorders>
              <w:top w:val="single" w:sz="4" w:space="0" w:color="002060"/>
              <w:bottom w:val="single" w:sz="4" w:space="0" w:color="002060"/>
            </w:tcBorders>
            <w:noWrap/>
            <w:vAlign w:val="center"/>
            <w:hideMark/>
          </w:tcPr>
          <w:p w14:paraId="1F3A2DD1" w14:textId="77777777" w:rsidR="006B2397" w:rsidRPr="00646254" w:rsidRDefault="006B2397" w:rsidP="008265F0">
            <w:pPr>
              <w:jc w:val="right"/>
              <w:cnfStyle w:val="100000000000" w:firstRow="1"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646254">
              <w:rPr>
                <w:rFonts w:ascii="Calibri" w:hAnsi="Calibri" w:cs="Calibri"/>
                <w:color w:val="002060"/>
                <w:sz w:val="18"/>
                <w:szCs w:val="18"/>
                <w:lang w:val="sr-Cyrl-CS"/>
              </w:rPr>
              <w:t>2021/VIII</w:t>
            </w:r>
          </w:p>
        </w:tc>
      </w:tr>
      <w:tr w:rsidR="006B2397" w:rsidRPr="00646254" w14:paraId="1FF5620D" w14:textId="77777777" w:rsidTr="001D4D24">
        <w:trPr>
          <w:cnfStyle w:val="000000100000" w:firstRow="0" w:lastRow="0" w:firstColumn="0" w:lastColumn="0" w:oddVBand="0" w:evenVBand="0" w:oddHBand="1" w:evenHBand="0" w:firstRowFirstColumn="0" w:firstRowLastColumn="0" w:lastRowFirstColumn="0" w:lastRowLastColumn="0"/>
          <w:trHeight w:val="323"/>
        </w:trPr>
        <w:tc>
          <w:tcPr>
            <w:cnfStyle w:val="001000000000" w:firstRow="0" w:lastRow="0" w:firstColumn="1" w:lastColumn="0" w:oddVBand="0" w:evenVBand="0" w:oddHBand="0" w:evenHBand="0" w:firstRowFirstColumn="0" w:firstRowLastColumn="0" w:lastRowFirstColumn="0" w:lastRowLastColumn="0"/>
            <w:tcW w:w="2161" w:type="pct"/>
            <w:tcBorders>
              <w:top w:val="single" w:sz="4" w:space="0" w:color="FFFFFF" w:themeColor="background1"/>
              <w:bottom w:val="nil"/>
            </w:tcBorders>
            <w:shd w:val="clear" w:color="auto" w:fill="E7E6E6" w:themeFill="background2"/>
            <w:noWrap/>
            <w:vAlign w:val="center"/>
            <w:hideMark/>
          </w:tcPr>
          <w:p w14:paraId="0FEC0E01" w14:textId="77777777" w:rsidR="006B2397" w:rsidRPr="00646254" w:rsidRDefault="006B2397" w:rsidP="008265F0">
            <w:pPr>
              <w:spacing w:line="240" w:lineRule="auto"/>
              <w:rPr>
                <w:rFonts w:ascii="Calibri" w:hAnsi="Calibri" w:cs="Calibri"/>
                <w:color w:val="002060"/>
                <w:sz w:val="18"/>
                <w:szCs w:val="18"/>
                <w:lang w:val="sr-Cyrl-CS"/>
              </w:rPr>
            </w:pPr>
            <w:r w:rsidRPr="00646254">
              <w:rPr>
                <w:rFonts w:ascii="Calibri" w:hAnsi="Calibri" w:cs="Calibri"/>
                <w:color w:val="002060"/>
                <w:sz w:val="18"/>
                <w:szCs w:val="18"/>
                <w:lang w:val="sr-Cyrl-CS"/>
              </w:rPr>
              <w:t>Јавни дуг (у млрд динара)</w:t>
            </w:r>
          </w:p>
        </w:tc>
        <w:tc>
          <w:tcPr>
            <w:tcW w:w="709" w:type="pct"/>
            <w:tcBorders>
              <w:top w:val="single" w:sz="4" w:space="0" w:color="002060"/>
              <w:bottom w:val="nil"/>
            </w:tcBorders>
            <w:shd w:val="clear" w:color="auto" w:fill="E7E6E6" w:themeFill="background2"/>
            <w:vAlign w:val="center"/>
            <w:hideMark/>
          </w:tcPr>
          <w:p w14:paraId="6DE1F588" w14:textId="77777777" w:rsidR="006B2397" w:rsidRPr="00646254" w:rsidRDefault="006B2397" w:rsidP="008265F0">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646254">
              <w:rPr>
                <w:rFonts w:ascii="Calibri" w:hAnsi="Calibri" w:cs="Calibri"/>
                <w:color w:val="002060"/>
                <w:sz w:val="18"/>
                <w:szCs w:val="18"/>
                <w:lang w:val="sr-Cyrl-CS"/>
              </w:rPr>
              <w:t>2.757,3</w:t>
            </w:r>
          </w:p>
        </w:tc>
        <w:tc>
          <w:tcPr>
            <w:tcW w:w="710" w:type="pct"/>
            <w:tcBorders>
              <w:top w:val="single" w:sz="4" w:space="0" w:color="002060"/>
              <w:bottom w:val="nil"/>
            </w:tcBorders>
            <w:shd w:val="clear" w:color="auto" w:fill="E7E6E6" w:themeFill="background2"/>
            <w:vAlign w:val="center"/>
            <w:hideMark/>
          </w:tcPr>
          <w:p w14:paraId="109552F4" w14:textId="77777777" w:rsidR="006B2397" w:rsidRPr="00646254" w:rsidRDefault="006B2397" w:rsidP="008265F0">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646254">
              <w:rPr>
                <w:rFonts w:ascii="Calibri" w:hAnsi="Calibri" w:cs="Calibri"/>
                <w:color w:val="002060"/>
                <w:sz w:val="18"/>
                <w:szCs w:val="18"/>
                <w:lang w:val="sr-Cyrl-CS"/>
              </w:rPr>
              <w:t>2.864,0</w:t>
            </w:r>
          </w:p>
        </w:tc>
        <w:tc>
          <w:tcPr>
            <w:tcW w:w="709" w:type="pct"/>
            <w:tcBorders>
              <w:top w:val="single" w:sz="4" w:space="0" w:color="002060"/>
              <w:bottom w:val="nil"/>
            </w:tcBorders>
            <w:shd w:val="clear" w:color="auto" w:fill="E7E6E6" w:themeFill="background2"/>
            <w:noWrap/>
            <w:vAlign w:val="center"/>
            <w:hideMark/>
          </w:tcPr>
          <w:p w14:paraId="4B9C0786" w14:textId="77777777" w:rsidR="006B2397" w:rsidRPr="00646254" w:rsidRDefault="006B2397" w:rsidP="008265F0">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646254">
              <w:rPr>
                <w:rFonts w:ascii="Calibri" w:hAnsi="Calibri" w:cs="Calibri"/>
                <w:color w:val="002060"/>
                <w:sz w:val="18"/>
                <w:szCs w:val="18"/>
                <w:lang w:val="sr-Cyrl-CS"/>
              </w:rPr>
              <w:t>3.181,2</w:t>
            </w:r>
          </w:p>
        </w:tc>
        <w:tc>
          <w:tcPr>
            <w:tcW w:w="710" w:type="pct"/>
            <w:tcBorders>
              <w:top w:val="single" w:sz="4" w:space="0" w:color="002060"/>
              <w:bottom w:val="nil"/>
            </w:tcBorders>
            <w:shd w:val="clear" w:color="auto" w:fill="E7E6E6" w:themeFill="background2"/>
            <w:noWrap/>
            <w:vAlign w:val="center"/>
            <w:hideMark/>
          </w:tcPr>
          <w:p w14:paraId="3BD971F4" w14:textId="77777777" w:rsidR="006B2397" w:rsidRPr="00646254" w:rsidRDefault="006B2397" w:rsidP="00BA266B">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646254">
              <w:rPr>
                <w:rFonts w:ascii="Calibri" w:hAnsi="Calibri" w:cs="Calibri"/>
                <w:color w:val="002060"/>
                <w:sz w:val="18"/>
                <w:szCs w:val="18"/>
                <w:lang w:val="sr-Cyrl-CS"/>
              </w:rPr>
              <w:t>3.389,2</w:t>
            </w:r>
          </w:p>
        </w:tc>
      </w:tr>
      <w:tr w:rsidR="006B2397" w:rsidRPr="00646254" w14:paraId="2E24CADE" w14:textId="77777777" w:rsidTr="008265F0">
        <w:trPr>
          <w:trHeight w:val="252"/>
        </w:trPr>
        <w:tc>
          <w:tcPr>
            <w:cnfStyle w:val="001000000000" w:firstRow="0" w:lastRow="0" w:firstColumn="1" w:lastColumn="0" w:oddVBand="0" w:evenVBand="0" w:oddHBand="0" w:evenHBand="0" w:firstRowFirstColumn="0" w:firstRowLastColumn="0" w:lastRowFirstColumn="0" w:lastRowLastColumn="0"/>
            <w:tcW w:w="2161" w:type="pct"/>
            <w:tcBorders>
              <w:top w:val="nil"/>
              <w:left w:val="nil"/>
              <w:bottom w:val="nil"/>
              <w:right w:val="nil"/>
            </w:tcBorders>
            <w:noWrap/>
            <w:vAlign w:val="center"/>
            <w:hideMark/>
          </w:tcPr>
          <w:p w14:paraId="23BF6058" w14:textId="77777777" w:rsidR="006B2397" w:rsidRPr="00646254" w:rsidRDefault="006B2397" w:rsidP="008265F0">
            <w:pPr>
              <w:spacing w:line="240" w:lineRule="auto"/>
              <w:rPr>
                <w:rFonts w:ascii="Calibri" w:hAnsi="Calibri" w:cs="Calibri"/>
                <w:color w:val="002060"/>
                <w:sz w:val="18"/>
                <w:szCs w:val="18"/>
                <w:lang w:val="sr-Cyrl-CS"/>
              </w:rPr>
            </w:pPr>
            <w:r w:rsidRPr="00646254">
              <w:rPr>
                <w:rFonts w:ascii="Calibri" w:hAnsi="Calibri" w:cs="Calibri"/>
                <w:color w:val="002060"/>
                <w:sz w:val="18"/>
                <w:szCs w:val="18"/>
                <w:lang w:val="sr-Cyrl-CS"/>
              </w:rPr>
              <w:t>Јавни дуг (у мил. евра)</w:t>
            </w:r>
          </w:p>
        </w:tc>
        <w:tc>
          <w:tcPr>
            <w:tcW w:w="709" w:type="pct"/>
            <w:tcBorders>
              <w:top w:val="nil"/>
              <w:left w:val="nil"/>
              <w:bottom w:val="nil"/>
              <w:right w:val="nil"/>
            </w:tcBorders>
            <w:vAlign w:val="center"/>
            <w:hideMark/>
          </w:tcPr>
          <w:p w14:paraId="7FDFDEB7" w14:textId="77777777" w:rsidR="006B2397" w:rsidRPr="00646254" w:rsidRDefault="006B2397" w:rsidP="008265F0">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646254">
              <w:rPr>
                <w:rFonts w:ascii="Calibri" w:hAnsi="Calibri" w:cs="Calibri"/>
                <w:color w:val="002060"/>
                <w:sz w:val="18"/>
                <w:szCs w:val="18"/>
                <w:lang w:val="sr-Cyrl-CS"/>
              </w:rPr>
              <w:t>23.328,4</w:t>
            </w:r>
          </w:p>
        </w:tc>
        <w:tc>
          <w:tcPr>
            <w:tcW w:w="710" w:type="pct"/>
            <w:tcBorders>
              <w:top w:val="nil"/>
              <w:left w:val="nil"/>
              <w:bottom w:val="nil"/>
              <w:right w:val="nil"/>
            </w:tcBorders>
            <w:vAlign w:val="center"/>
            <w:hideMark/>
          </w:tcPr>
          <w:p w14:paraId="4A700F03" w14:textId="77777777" w:rsidR="006B2397" w:rsidRPr="00646254" w:rsidRDefault="006B2397" w:rsidP="008265F0">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646254">
              <w:rPr>
                <w:rFonts w:ascii="Calibri" w:hAnsi="Calibri" w:cs="Calibri"/>
                <w:color w:val="002060"/>
                <w:sz w:val="18"/>
                <w:szCs w:val="18"/>
                <w:lang w:val="sr-Cyrl-CS"/>
              </w:rPr>
              <w:t>24.354,9</w:t>
            </w:r>
          </w:p>
        </w:tc>
        <w:tc>
          <w:tcPr>
            <w:tcW w:w="709" w:type="pct"/>
            <w:tcBorders>
              <w:top w:val="nil"/>
              <w:left w:val="nil"/>
              <w:bottom w:val="nil"/>
              <w:right w:val="nil"/>
            </w:tcBorders>
            <w:noWrap/>
            <w:vAlign w:val="center"/>
            <w:hideMark/>
          </w:tcPr>
          <w:p w14:paraId="47FCBBBC" w14:textId="77777777" w:rsidR="006B2397" w:rsidRPr="00646254" w:rsidRDefault="006B2397" w:rsidP="008265F0">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646254">
              <w:rPr>
                <w:rFonts w:ascii="Calibri" w:hAnsi="Calibri" w:cs="Calibri"/>
                <w:color w:val="002060"/>
                <w:sz w:val="18"/>
                <w:szCs w:val="18"/>
                <w:lang w:val="sr-Cyrl-CS"/>
              </w:rPr>
              <w:t>27.055,8</w:t>
            </w:r>
          </w:p>
        </w:tc>
        <w:tc>
          <w:tcPr>
            <w:tcW w:w="710" w:type="pct"/>
            <w:tcBorders>
              <w:top w:val="nil"/>
              <w:left w:val="nil"/>
              <w:bottom w:val="nil"/>
              <w:right w:val="nil"/>
            </w:tcBorders>
            <w:noWrap/>
            <w:vAlign w:val="center"/>
            <w:hideMark/>
          </w:tcPr>
          <w:p w14:paraId="45BAE660" w14:textId="77777777" w:rsidR="006B2397" w:rsidRPr="00646254" w:rsidRDefault="006B2397" w:rsidP="00BA266B">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646254">
              <w:rPr>
                <w:rFonts w:ascii="Calibri" w:hAnsi="Calibri" w:cs="Calibri"/>
                <w:color w:val="002060"/>
                <w:sz w:val="18"/>
                <w:szCs w:val="18"/>
                <w:lang w:val="sr-Cyrl-CS"/>
              </w:rPr>
              <w:t>28.829,2</w:t>
            </w:r>
          </w:p>
        </w:tc>
      </w:tr>
      <w:tr w:rsidR="006B2397" w:rsidRPr="00646254" w14:paraId="2D5C046E" w14:textId="77777777" w:rsidTr="001D4D24">
        <w:trPr>
          <w:cnfStyle w:val="000000100000" w:firstRow="0" w:lastRow="0" w:firstColumn="0" w:lastColumn="0" w:oddVBand="0" w:evenVBand="0" w:oddHBand="1" w:evenHBand="0" w:firstRowFirstColumn="0" w:firstRowLastColumn="0" w:lastRowFirstColumn="0" w:lastRowLastColumn="0"/>
          <w:trHeight w:val="333"/>
        </w:trPr>
        <w:tc>
          <w:tcPr>
            <w:cnfStyle w:val="001000000000" w:firstRow="0" w:lastRow="0" w:firstColumn="1" w:lastColumn="0" w:oddVBand="0" w:evenVBand="0" w:oddHBand="0" w:evenHBand="0" w:firstRowFirstColumn="0" w:firstRowLastColumn="0" w:lastRowFirstColumn="0" w:lastRowLastColumn="0"/>
            <w:tcW w:w="2161" w:type="pct"/>
            <w:tcBorders>
              <w:top w:val="nil"/>
              <w:bottom w:val="single" w:sz="4" w:space="0" w:color="002060"/>
            </w:tcBorders>
            <w:shd w:val="clear" w:color="auto" w:fill="E7E6E6" w:themeFill="background2"/>
            <w:noWrap/>
            <w:vAlign w:val="center"/>
            <w:hideMark/>
          </w:tcPr>
          <w:p w14:paraId="54875FE5" w14:textId="77777777" w:rsidR="006B2397" w:rsidRPr="00646254" w:rsidRDefault="006B2397" w:rsidP="008265F0">
            <w:pPr>
              <w:spacing w:line="240" w:lineRule="auto"/>
              <w:rPr>
                <w:rFonts w:ascii="Calibri" w:hAnsi="Calibri" w:cs="Calibri"/>
                <w:color w:val="002060"/>
                <w:sz w:val="18"/>
                <w:szCs w:val="18"/>
                <w:lang w:val="sr-Cyrl-CS"/>
              </w:rPr>
            </w:pPr>
            <w:r w:rsidRPr="00646254">
              <w:rPr>
                <w:rFonts w:ascii="Calibri" w:hAnsi="Calibri" w:cs="Calibri"/>
                <w:color w:val="002060"/>
                <w:sz w:val="18"/>
                <w:szCs w:val="18"/>
                <w:lang w:val="sr-Cyrl-CS"/>
              </w:rPr>
              <w:t>Јавни дуг (у мил. долара)</w:t>
            </w:r>
          </w:p>
        </w:tc>
        <w:tc>
          <w:tcPr>
            <w:tcW w:w="709" w:type="pct"/>
            <w:tcBorders>
              <w:top w:val="nil"/>
              <w:bottom w:val="single" w:sz="4" w:space="0" w:color="002060"/>
            </w:tcBorders>
            <w:shd w:val="clear" w:color="auto" w:fill="E7E6E6" w:themeFill="background2"/>
            <w:vAlign w:val="center"/>
            <w:hideMark/>
          </w:tcPr>
          <w:p w14:paraId="6876A556" w14:textId="77777777" w:rsidR="006B2397" w:rsidRPr="00646254" w:rsidRDefault="006B2397" w:rsidP="008265F0">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646254">
              <w:rPr>
                <w:rFonts w:ascii="Calibri" w:hAnsi="Calibri" w:cs="Calibri"/>
                <w:color w:val="002060"/>
                <w:sz w:val="18"/>
                <w:szCs w:val="18"/>
                <w:lang w:val="sr-Cyrl-CS"/>
              </w:rPr>
              <w:t>26.669,1</w:t>
            </w:r>
          </w:p>
        </w:tc>
        <w:tc>
          <w:tcPr>
            <w:tcW w:w="710" w:type="pct"/>
            <w:tcBorders>
              <w:top w:val="nil"/>
              <w:bottom w:val="single" w:sz="4" w:space="0" w:color="002060"/>
            </w:tcBorders>
            <w:shd w:val="clear" w:color="auto" w:fill="E7E6E6" w:themeFill="background2"/>
            <w:vAlign w:val="center"/>
            <w:hideMark/>
          </w:tcPr>
          <w:p w14:paraId="2AB1C995" w14:textId="77777777" w:rsidR="006B2397" w:rsidRPr="00646254" w:rsidRDefault="006B2397" w:rsidP="008265F0">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646254">
              <w:rPr>
                <w:rFonts w:ascii="Calibri" w:hAnsi="Calibri" w:cs="Calibri"/>
                <w:color w:val="002060"/>
                <w:sz w:val="18"/>
                <w:szCs w:val="18"/>
                <w:lang w:val="sr-Cyrl-CS"/>
              </w:rPr>
              <w:t>27.296,9</w:t>
            </w:r>
          </w:p>
        </w:tc>
        <w:tc>
          <w:tcPr>
            <w:tcW w:w="709" w:type="pct"/>
            <w:tcBorders>
              <w:top w:val="nil"/>
              <w:bottom w:val="single" w:sz="4" w:space="0" w:color="002060"/>
            </w:tcBorders>
            <w:shd w:val="clear" w:color="auto" w:fill="E7E6E6" w:themeFill="background2"/>
            <w:noWrap/>
            <w:vAlign w:val="center"/>
            <w:hideMark/>
          </w:tcPr>
          <w:p w14:paraId="018F1DD8" w14:textId="77777777" w:rsidR="006B2397" w:rsidRPr="00646254" w:rsidRDefault="006B2397" w:rsidP="008265F0">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646254">
              <w:rPr>
                <w:rFonts w:ascii="Calibri" w:hAnsi="Calibri" w:cs="Calibri"/>
                <w:color w:val="002060"/>
                <w:sz w:val="18"/>
                <w:szCs w:val="18"/>
                <w:lang w:val="sr-Cyrl-CS"/>
              </w:rPr>
              <w:t>33.254,3</w:t>
            </w:r>
          </w:p>
        </w:tc>
        <w:tc>
          <w:tcPr>
            <w:tcW w:w="710" w:type="pct"/>
            <w:tcBorders>
              <w:top w:val="nil"/>
              <w:bottom w:val="single" w:sz="4" w:space="0" w:color="002060"/>
            </w:tcBorders>
            <w:shd w:val="clear" w:color="auto" w:fill="E7E6E6" w:themeFill="background2"/>
            <w:noWrap/>
            <w:vAlign w:val="center"/>
            <w:hideMark/>
          </w:tcPr>
          <w:p w14:paraId="6A788A3C" w14:textId="77777777" w:rsidR="006B2397" w:rsidRPr="00646254" w:rsidRDefault="006B2397" w:rsidP="00BA266B">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646254">
              <w:rPr>
                <w:rFonts w:ascii="Calibri" w:hAnsi="Calibri" w:cs="Calibri"/>
                <w:color w:val="002060"/>
                <w:sz w:val="18"/>
                <w:szCs w:val="18"/>
                <w:lang w:val="sr-Cyrl-CS"/>
              </w:rPr>
              <w:t>34.079,0</w:t>
            </w:r>
          </w:p>
        </w:tc>
      </w:tr>
      <w:bookmarkEnd w:id="47"/>
    </w:tbl>
    <w:p w14:paraId="3E22ACBA" w14:textId="77777777" w:rsidR="006B2397" w:rsidRPr="00646254" w:rsidRDefault="006B2397" w:rsidP="008265F0">
      <w:pPr>
        <w:spacing w:after="100" w:line="256" w:lineRule="auto"/>
        <w:rPr>
          <w:rFonts w:ascii="Calibri" w:eastAsia="Calibri" w:hAnsi="Calibri" w:cs="Times New Roman"/>
          <w:b/>
          <w:lang w:val="sr-Cyrl-CS"/>
        </w:rPr>
      </w:pPr>
    </w:p>
    <w:p w14:paraId="53494152" w14:textId="77777777" w:rsidR="006B2397" w:rsidRPr="00646254" w:rsidRDefault="006B2397" w:rsidP="008265F0">
      <w:pPr>
        <w:spacing w:after="0" w:line="256" w:lineRule="auto"/>
        <w:jc w:val="left"/>
        <w:rPr>
          <w:rFonts w:ascii="Calibri" w:eastAsia="Calibri" w:hAnsi="Calibri" w:cs="Calibri"/>
          <w:bCs/>
          <w:sz w:val="10"/>
          <w:szCs w:val="10"/>
          <w:lang w:val="sr-Cyrl-CS"/>
        </w:rPr>
        <w:sectPr w:rsidR="006B2397" w:rsidRPr="00646254">
          <w:type w:val="continuous"/>
          <w:pgSz w:w="12240" w:h="15840"/>
          <w:pgMar w:top="1440" w:right="1440" w:bottom="1440" w:left="1440" w:header="720" w:footer="720" w:gutter="0"/>
          <w:cols w:space="720"/>
        </w:sectPr>
      </w:pPr>
    </w:p>
    <w:p w14:paraId="3C5BDA41" w14:textId="77777777" w:rsidR="006B2397" w:rsidRPr="00646254" w:rsidRDefault="006B2397" w:rsidP="00BA266B">
      <w:pPr>
        <w:spacing w:after="400"/>
        <w:rPr>
          <w:rFonts w:ascii="Calibri" w:eastAsia="Calibri" w:hAnsi="Calibri" w:cs="Calibri"/>
          <w:bCs/>
          <w:szCs w:val="72"/>
          <w:lang w:val="sr-Cyrl-CS"/>
        </w:rPr>
      </w:pPr>
      <w:r w:rsidRPr="00646254">
        <w:rPr>
          <w:rFonts w:ascii="Calibri" w:eastAsia="Calibri" w:hAnsi="Calibri" w:cs="Calibri"/>
          <w:bCs/>
          <w:szCs w:val="72"/>
          <w:lang w:val="sr-Cyrl-CS"/>
        </w:rPr>
        <w:t xml:space="preserve">У првих осам месеци 2021. године, услед потребе да се финансирају мере подршке </w:t>
      </w:r>
      <w:r w:rsidRPr="00646254">
        <w:rPr>
          <w:rFonts w:ascii="Calibri" w:eastAsia="Calibri" w:hAnsi="Calibri" w:cs="Calibri"/>
          <w:bCs/>
          <w:spacing w:val="-2"/>
          <w:szCs w:val="72"/>
          <w:lang w:val="sr-Cyrl-CS"/>
        </w:rPr>
        <w:t>привреди и грађанима за борбу против пандемије изазване коронавирусом COVID-19,</w:t>
      </w:r>
      <w:r w:rsidRPr="00646254">
        <w:rPr>
          <w:rFonts w:ascii="Calibri" w:eastAsia="Calibri" w:hAnsi="Calibri" w:cs="Calibri"/>
          <w:bCs/>
          <w:szCs w:val="72"/>
          <w:lang w:val="sr-Cyrl-CS"/>
        </w:rPr>
        <w:t xml:space="preserve"> приметан је благи раст јавног дуга централног нивоа власти у валутама са највећим учешћем у јавном дугу, тј. у еврима и динарима. Услед задуживања на домаћем тржишту хартија од вредности које се током 2020. и током првих осам месеци 2021. године доминантно обављало у динарима дошло је до раста јавног дуга у динарима. Дошло је до раста дуга и у еврима, услед емисије еврообвезница Србија 2027 и Србија 2030 током 2020. године, као и Србија 2033 у марту 2021. године. У фебруару 2020. године отплаћен је преостали износ од 210,3 мил. америчких долара еврообвезнице Србија 2020. Исте године је и обвезница Србија 2030 која је издата у америчким доларима одмах конвертована у евре, тј. у циљу смањења валутног ризика Република Србија је закључила swap трансакцију. У фебруару 2021. је закључена још једна swap трансакција и додатно смањен дуг у америчким доларима.</w:t>
      </w:r>
    </w:p>
    <w:p w14:paraId="2AD0C5EF" w14:textId="77777777" w:rsidR="006B2397" w:rsidRPr="00646254" w:rsidRDefault="006B2397" w:rsidP="008265F0">
      <w:pPr>
        <w:spacing w:after="0" w:line="256" w:lineRule="auto"/>
        <w:jc w:val="left"/>
        <w:rPr>
          <w:rFonts w:ascii="Calibri" w:eastAsia="Calibri" w:hAnsi="Calibri" w:cs="Calibri"/>
          <w:bCs/>
          <w:szCs w:val="72"/>
          <w:lang w:val="sr-Cyrl-CS"/>
        </w:rPr>
        <w:sectPr w:rsidR="006B2397" w:rsidRPr="00646254">
          <w:type w:val="continuous"/>
          <w:pgSz w:w="12240" w:h="15840"/>
          <w:pgMar w:top="1440" w:right="1440" w:bottom="1440" w:left="1440" w:header="720" w:footer="720" w:gutter="0"/>
          <w:cols w:num="2" w:space="720"/>
        </w:sectPr>
      </w:pPr>
    </w:p>
    <w:p w14:paraId="26461EE5" w14:textId="75371D61" w:rsidR="006B2397" w:rsidRPr="00646254" w:rsidRDefault="006B2397" w:rsidP="008265F0">
      <w:pPr>
        <w:spacing w:line="256" w:lineRule="auto"/>
        <w:jc w:val="center"/>
        <w:rPr>
          <w:rFonts w:ascii="Calibri" w:eastAsia="Calibri" w:hAnsi="Calibri" w:cs="Times New Roman"/>
          <w:b/>
          <w:color w:val="002060"/>
          <w:lang w:val="sr-Cyrl-CS"/>
        </w:rPr>
      </w:pPr>
      <w:r w:rsidRPr="00646254">
        <w:rPr>
          <w:rFonts w:ascii="Calibri" w:eastAsia="Calibri" w:hAnsi="Calibri" w:cs="Times New Roman"/>
          <w:b/>
          <w:color w:val="002060"/>
          <w:lang w:val="sr-Cyrl-CS"/>
        </w:rPr>
        <w:t xml:space="preserve">Табела 24. Стање јавног дуга централног нивоа државе по оригиналним валутама у периоду </w:t>
      </w:r>
      <w:r w:rsidRPr="00646254">
        <w:rPr>
          <w:rFonts w:ascii="Calibri" w:eastAsia="Calibri" w:hAnsi="Calibri" w:cs="Times New Roman"/>
          <w:b/>
          <w:color w:val="002060"/>
          <w:lang w:val="sr-Cyrl-CS"/>
        </w:rPr>
        <w:br/>
        <w:t>крај 2018</w:t>
      </w:r>
      <w:r w:rsidR="009C6672" w:rsidRPr="00646254">
        <w:rPr>
          <w:rFonts w:ascii="Calibri" w:eastAsia="Calibri" w:hAnsi="Calibri" w:cs="Times New Roman"/>
          <w:b/>
          <w:color w:val="002060"/>
          <w:lang w:val="sr-Cyrl-CS"/>
        </w:rPr>
        <w:t xml:space="preserve"> </w:t>
      </w:r>
      <w:r w:rsidRPr="00646254">
        <w:rPr>
          <w:rFonts w:ascii="Calibri" w:eastAsia="Calibri" w:hAnsi="Calibri" w:cs="Times New Roman"/>
          <w:b/>
          <w:color w:val="002060"/>
          <w:lang w:val="sr-Cyrl-CS"/>
        </w:rPr>
        <w:t>–</w:t>
      </w:r>
      <w:r w:rsidR="009C6672" w:rsidRPr="00646254">
        <w:rPr>
          <w:rFonts w:ascii="Calibri" w:eastAsia="Calibri" w:hAnsi="Calibri" w:cs="Times New Roman"/>
          <w:b/>
          <w:color w:val="002060"/>
          <w:lang w:val="sr-Cyrl-CS"/>
        </w:rPr>
        <w:t xml:space="preserve"> </w:t>
      </w:r>
      <w:r w:rsidRPr="00646254">
        <w:rPr>
          <w:rFonts w:ascii="Calibri" w:eastAsia="Calibri" w:hAnsi="Calibri" w:cs="Times New Roman"/>
          <w:b/>
          <w:color w:val="002060"/>
          <w:lang w:val="sr-Cyrl-CS"/>
        </w:rPr>
        <w:t xml:space="preserve">31. </w:t>
      </w:r>
      <w:r w:rsidR="009C6672" w:rsidRPr="00646254">
        <w:rPr>
          <w:rFonts w:ascii="Calibri" w:eastAsia="Calibri" w:hAnsi="Calibri" w:cs="Times New Roman"/>
          <w:b/>
          <w:color w:val="002060"/>
          <w:lang w:val="sr-Cyrl-CS"/>
        </w:rPr>
        <w:t xml:space="preserve">август </w:t>
      </w:r>
      <w:r w:rsidRPr="00646254">
        <w:rPr>
          <w:rFonts w:ascii="Calibri" w:eastAsia="Calibri" w:hAnsi="Calibri" w:cs="Times New Roman"/>
          <w:b/>
          <w:color w:val="002060"/>
          <w:lang w:val="sr-Cyrl-CS"/>
        </w:rPr>
        <w:t>2021. године, у милионима</w:t>
      </w:r>
    </w:p>
    <w:tbl>
      <w:tblPr>
        <w:tblStyle w:val="LightShading-Accent12121"/>
        <w:tblW w:w="5000" w:type="pct"/>
        <w:tblInd w:w="-48" w:type="dxa"/>
        <w:tblLook w:val="04A0" w:firstRow="1" w:lastRow="0" w:firstColumn="1" w:lastColumn="0" w:noHBand="0" w:noVBand="1"/>
      </w:tblPr>
      <w:tblGrid>
        <w:gridCol w:w="3230"/>
        <w:gridCol w:w="1532"/>
        <w:gridCol w:w="1534"/>
        <w:gridCol w:w="1531"/>
        <w:gridCol w:w="1533"/>
      </w:tblGrid>
      <w:tr w:rsidR="006B2397" w:rsidRPr="00646254" w14:paraId="54A710BD" w14:textId="77777777" w:rsidTr="008265F0">
        <w:trPr>
          <w:cnfStyle w:val="100000000000" w:firstRow="1" w:lastRow="0" w:firstColumn="0" w:lastColumn="0" w:oddVBand="0" w:evenVBand="0" w:oddHBand="0" w:evenHBand="0" w:firstRowFirstColumn="0" w:firstRowLastColumn="0" w:lastRowFirstColumn="0" w:lastRowLastColumn="0"/>
          <w:trHeight w:val="258"/>
        </w:trPr>
        <w:tc>
          <w:tcPr>
            <w:cnfStyle w:val="001000000000" w:firstRow="0" w:lastRow="0" w:firstColumn="1" w:lastColumn="0" w:oddVBand="0" w:evenVBand="0" w:oddHBand="0" w:evenHBand="0" w:firstRowFirstColumn="0" w:firstRowLastColumn="0" w:lastRowFirstColumn="0" w:lastRowLastColumn="0"/>
            <w:tcW w:w="1725" w:type="pct"/>
            <w:tcBorders>
              <w:top w:val="single" w:sz="4" w:space="0" w:color="002060"/>
              <w:bottom w:val="single" w:sz="4" w:space="0" w:color="FFFFFF" w:themeColor="background1"/>
            </w:tcBorders>
            <w:noWrap/>
            <w:hideMark/>
          </w:tcPr>
          <w:p w14:paraId="6B1BEC17" w14:textId="77777777" w:rsidR="006B2397" w:rsidRPr="00646254" w:rsidRDefault="006B2397" w:rsidP="008265F0">
            <w:pPr>
              <w:jc w:val="right"/>
              <w:rPr>
                <w:rFonts w:ascii="Calibri" w:hAnsi="Calibri" w:cs="Calibri"/>
                <w:color w:val="002060"/>
                <w:sz w:val="18"/>
                <w:szCs w:val="18"/>
                <w:lang w:val="sr-Cyrl-CS"/>
              </w:rPr>
            </w:pPr>
            <w:r w:rsidRPr="00646254">
              <w:rPr>
                <w:rFonts w:ascii="Calibri" w:hAnsi="Calibri" w:cs="Calibri"/>
                <w:color w:val="002060"/>
                <w:sz w:val="18"/>
                <w:szCs w:val="18"/>
                <w:lang w:val="sr-Cyrl-CS"/>
              </w:rPr>
              <w:t> </w:t>
            </w:r>
          </w:p>
        </w:tc>
        <w:tc>
          <w:tcPr>
            <w:tcW w:w="818" w:type="pct"/>
            <w:tcBorders>
              <w:top w:val="single" w:sz="4" w:space="0" w:color="002060"/>
              <w:bottom w:val="single" w:sz="4" w:space="0" w:color="002060"/>
            </w:tcBorders>
            <w:noWrap/>
            <w:hideMark/>
          </w:tcPr>
          <w:p w14:paraId="293D1156" w14:textId="77777777" w:rsidR="006B2397" w:rsidRPr="00646254" w:rsidRDefault="006B2397" w:rsidP="008265F0">
            <w:pPr>
              <w:jc w:val="right"/>
              <w:cnfStyle w:val="100000000000" w:firstRow="1"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646254">
              <w:rPr>
                <w:rFonts w:ascii="Calibri" w:hAnsi="Calibri" w:cs="Calibri"/>
                <w:color w:val="002060"/>
                <w:sz w:val="18"/>
                <w:szCs w:val="18"/>
                <w:lang w:val="sr-Cyrl-CS"/>
              </w:rPr>
              <w:t>2018</w:t>
            </w:r>
          </w:p>
        </w:tc>
        <w:tc>
          <w:tcPr>
            <w:tcW w:w="819" w:type="pct"/>
            <w:tcBorders>
              <w:top w:val="single" w:sz="4" w:space="0" w:color="002060"/>
              <w:bottom w:val="single" w:sz="4" w:space="0" w:color="002060"/>
            </w:tcBorders>
            <w:noWrap/>
            <w:hideMark/>
          </w:tcPr>
          <w:p w14:paraId="26CEE823" w14:textId="77777777" w:rsidR="006B2397" w:rsidRPr="00646254" w:rsidRDefault="006B2397" w:rsidP="008265F0">
            <w:pPr>
              <w:jc w:val="right"/>
              <w:cnfStyle w:val="100000000000" w:firstRow="1"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646254">
              <w:rPr>
                <w:rFonts w:ascii="Calibri" w:hAnsi="Calibri" w:cs="Calibri"/>
                <w:color w:val="002060"/>
                <w:sz w:val="18"/>
                <w:szCs w:val="18"/>
                <w:lang w:val="sr-Cyrl-CS"/>
              </w:rPr>
              <w:t>2019</w:t>
            </w:r>
          </w:p>
        </w:tc>
        <w:tc>
          <w:tcPr>
            <w:tcW w:w="818" w:type="pct"/>
            <w:tcBorders>
              <w:top w:val="single" w:sz="4" w:space="0" w:color="002060"/>
              <w:bottom w:val="single" w:sz="4" w:space="0" w:color="002060"/>
            </w:tcBorders>
            <w:noWrap/>
            <w:hideMark/>
          </w:tcPr>
          <w:p w14:paraId="6AAC3CA9" w14:textId="77777777" w:rsidR="006B2397" w:rsidRPr="00646254" w:rsidRDefault="006B2397" w:rsidP="008265F0">
            <w:pPr>
              <w:jc w:val="right"/>
              <w:cnfStyle w:val="100000000000" w:firstRow="1"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646254">
              <w:rPr>
                <w:rFonts w:ascii="Calibri" w:hAnsi="Calibri" w:cs="Calibri"/>
                <w:color w:val="002060"/>
                <w:sz w:val="18"/>
                <w:szCs w:val="18"/>
                <w:lang w:val="sr-Cyrl-CS"/>
              </w:rPr>
              <w:t>2020</w:t>
            </w:r>
          </w:p>
        </w:tc>
        <w:tc>
          <w:tcPr>
            <w:tcW w:w="819" w:type="pct"/>
            <w:tcBorders>
              <w:top w:val="single" w:sz="4" w:space="0" w:color="002060"/>
              <w:bottom w:val="single" w:sz="4" w:space="0" w:color="002060"/>
            </w:tcBorders>
            <w:noWrap/>
            <w:hideMark/>
          </w:tcPr>
          <w:p w14:paraId="6CA01734" w14:textId="77777777" w:rsidR="006B2397" w:rsidRPr="00646254" w:rsidRDefault="006B2397" w:rsidP="008265F0">
            <w:pPr>
              <w:jc w:val="right"/>
              <w:cnfStyle w:val="100000000000" w:firstRow="1"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646254">
              <w:rPr>
                <w:rFonts w:ascii="Calibri" w:hAnsi="Calibri" w:cs="Calibri"/>
                <w:color w:val="002060"/>
                <w:sz w:val="18"/>
                <w:szCs w:val="18"/>
                <w:lang w:val="sr-Cyrl-CS"/>
              </w:rPr>
              <w:t>2021/VIII</w:t>
            </w:r>
          </w:p>
        </w:tc>
      </w:tr>
      <w:tr w:rsidR="006B2397" w:rsidRPr="00646254" w14:paraId="3443DA62" w14:textId="77777777" w:rsidTr="001D4D24">
        <w:trPr>
          <w:cnfStyle w:val="000000100000" w:firstRow="0" w:lastRow="0" w:firstColumn="0" w:lastColumn="0" w:oddVBand="0" w:evenVBand="0" w:oddHBand="1" w:evenHBand="0" w:firstRowFirstColumn="0" w:firstRowLastColumn="0" w:lastRowFirstColumn="0" w:lastRowLastColumn="0"/>
          <w:trHeight w:val="258"/>
        </w:trPr>
        <w:tc>
          <w:tcPr>
            <w:cnfStyle w:val="001000000000" w:firstRow="0" w:lastRow="0" w:firstColumn="1" w:lastColumn="0" w:oddVBand="0" w:evenVBand="0" w:oddHBand="0" w:evenHBand="0" w:firstRowFirstColumn="0" w:firstRowLastColumn="0" w:lastRowFirstColumn="0" w:lastRowLastColumn="0"/>
            <w:tcW w:w="1725" w:type="pct"/>
            <w:tcBorders>
              <w:top w:val="single" w:sz="4" w:space="0" w:color="FFFFFF" w:themeColor="background1"/>
              <w:bottom w:val="nil"/>
            </w:tcBorders>
            <w:shd w:val="clear" w:color="auto" w:fill="E7E6E6" w:themeFill="background2"/>
            <w:noWrap/>
            <w:hideMark/>
          </w:tcPr>
          <w:p w14:paraId="2839FD66" w14:textId="77777777" w:rsidR="006B2397" w:rsidRPr="00646254" w:rsidRDefault="006B2397" w:rsidP="008265F0">
            <w:pPr>
              <w:spacing w:line="240" w:lineRule="auto"/>
              <w:rPr>
                <w:rFonts w:ascii="Calibri" w:hAnsi="Calibri" w:cs="Calibri"/>
                <w:color w:val="002060"/>
                <w:sz w:val="18"/>
                <w:szCs w:val="18"/>
                <w:lang w:val="sr-Cyrl-CS"/>
              </w:rPr>
            </w:pPr>
            <w:r w:rsidRPr="00646254">
              <w:rPr>
                <w:rFonts w:ascii="Calibri" w:hAnsi="Calibri" w:cs="Calibri"/>
                <w:color w:val="002060"/>
                <w:sz w:val="18"/>
                <w:szCs w:val="18"/>
                <w:lang w:val="sr-Cyrl-CS"/>
              </w:rPr>
              <w:t>EUR</w:t>
            </w:r>
          </w:p>
        </w:tc>
        <w:tc>
          <w:tcPr>
            <w:tcW w:w="818" w:type="pct"/>
            <w:tcBorders>
              <w:top w:val="single" w:sz="4" w:space="0" w:color="002060"/>
              <w:bottom w:val="nil"/>
            </w:tcBorders>
            <w:shd w:val="clear" w:color="auto" w:fill="E7E6E6" w:themeFill="background2"/>
            <w:noWrap/>
            <w:hideMark/>
          </w:tcPr>
          <w:p w14:paraId="53BB0A9E" w14:textId="77777777" w:rsidR="006B2397" w:rsidRPr="00646254" w:rsidRDefault="006B2397" w:rsidP="008265F0">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646254">
              <w:rPr>
                <w:rFonts w:ascii="Calibri" w:hAnsi="Calibri" w:cs="Calibri"/>
                <w:color w:val="002060"/>
                <w:sz w:val="18"/>
                <w:szCs w:val="18"/>
                <w:lang w:val="sr-Cyrl-CS"/>
              </w:rPr>
              <w:t>9.216,7</w:t>
            </w:r>
          </w:p>
        </w:tc>
        <w:tc>
          <w:tcPr>
            <w:tcW w:w="819" w:type="pct"/>
            <w:tcBorders>
              <w:top w:val="single" w:sz="4" w:space="0" w:color="002060"/>
              <w:bottom w:val="nil"/>
            </w:tcBorders>
            <w:shd w:val="clear" w:color="auto" w:fill="E7E6E6" w:themeFill="background2"/>
            <w:noWrap/>
            <w:hideMark/>
          </w:tcPr>
          <w:p w14:paraId="49934410" w14:textId="77777777" w:rsidR="006B2397" w:rsidRPr="00646254" w:rsidRDefault="006B2397" w:rsidP="008265F0">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646254">
              <w:rPr>
                <w:rFonts w:ascii="Calibri" w:hAnsi="Calibri" w:cs="Calibri"/>
                <w:color w:val="002060"/>
                <w:sz w:val="18"/>
                <w:szCs w:val="18"/>
                <w:lang w:val="sr-Cyrl-CS"/>
              </w:rPr>
              <w:t>10.582,5</w:t>
            </w:r>
          </w:p>
        </w:tc>
        <w:tc>
          <w:tcPr>
            <w:tcW w:w="818" w:type="pct"/>
            <w:tcBorders>
              <w:top w:val="single" w:sz="4" w:space="0" w:color="002060"/>
              <w:bottom w:val="nil"/>
            </w:tcBorders>
            <w:shd w:val="clear" w:color="auto" w:fill="E7E6E6" w:themeFill="background2"/>
            <w:noWrap/>
            <w:hideMark/>
          </w:tcPr>
          <w:p w14:paraId="31A6EC89" w14:textId="77777777" w:rsidR="006B2397" w:rsidRPr="00646254" w:rsidRDefault="006B2397" w:rsidP="008265F0">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646254">
              <w:rPr>
                <w:rFonts w:ascii="Calibri" w:hAnsi="Calibri" w:cs="Calibri"/>
                <w:color w:val="002060"/>
                <w:sz w:val="18"/>
                <w:szCs w:val="18"/>
                <w:lang w:val="sr-Cyrl-CS"/>
              </w:rPr>
              <w:t>13.222,5</w:t>
            </w:r>
          </w:p>
        </w:tc>
        <w:tc>
          <w:tcPr>
            <w:tcW w:w="819" w:type="pct"/>
            <w:tcBorders>
              <w:top w:val="single" w:sz="4" w:space="0" w:color="002060"/>
              <w:bottom w:val="nil"/>
            </w:tcBorders>
            <w:shd w:val="clear" w:color="auto" w:fill="E7E6E6" w:themeFill="background2"/>
            <w:noWrap/>
            <w:hideMark/>
          </w:tcPr>
          <w:p w14:paraId="6BCD0BA0" w14:textId="77777777" w:rsidR="006B2397" w:rsidRPr="00646254" w:rsidRDefault="006B2397" w:rsidP="008265F0">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646254">
              <w:rPr>
                <w:rFonts w:ascii="Calibri" w:hAnsi="Calibri" w:cs="Calibri"/>
                <w:color w:val="002060"/>
                <w:sz w:val="18"/>
                <w:szCs w:val="18"/>
                <w:lang w:val="sr-Cyrl-CS"/>
              </w:rPr>
              <w:t>14.450,6</w:t>
            </w:r>
          </w:p>
        </w:tc>
      </w:tr>
      <w:tr w:rsidR="006B2397" w:rsidRPr="00646254" w14:paraId="7A012778" w14:textId="77777777" w:rsidTr="008265F0">
        <w:trPr>
          <w:trHeight w:val="258"/>
        </w:trPr>
        <w:tc>
          <w:tcPr>
            <w:cnfStyle w:val="001000000000" w:firstRow="0" w:lastRow="0" w:firstColumn="1" w:lastColumn="0" w:oddVBand="0" w:evenVBand="0" w:oddHBand="0" w:evenHBand="0" w:firstRowFirstColumn="0" w:firstRowLastColumn="0" w:lastRowFirstColumn="0" w:lastRowLastColumn="0"/>
            <w:tcW w:w="1725" w:type="pct"/>
            <w:tcBorders>
              <w:top w:val="nil"/>
              <w:left w:val="nil"/>
              <w:bottom w:val="nil"/>
              <w:right w:val="nil"/>
            </w:tcBorders>
            <w:noWrap/>
            <w:hideMark/>
          </w:tcPr>
          <w:p w14:paraId="2A1DB2C0" w14:textId="77777777" w:rsidR="006B2397" w:rsidRPr="00646254" w:rsidRDefault="006B2397" w:rsidP="008265F0">
            <w:pPr>
              <w:spacing w:line="240" w:lineRule="auto"/>
              <w:rPr>
                <w:rFonts w:ascii="Calibri" w:hAnsi="Calibri" w:cs="Calibri"/>
                <w:color w:val="002060"/>
                <w:sz w:val="18"/>
                <w:szCs w:val="18"/>
                <w:lang w:val="sr-Cyrl-CS"/>
              </w:rPr>
            </w:pPr>
            <w:r w:rsidRPr="00646254">
              <w:rPr>
                <w:rFonts w:ascii="Calibri" w:hAnsi="Calibri" w:cs="Calibri"/>
                <w:color w:val="002060"/>
                <w:sz w:val="18"/>
                <w:szCs w:val="18"/>
                <w:lang w:val="sr-Cyrl-CS"/>
              </w:rPr>
              <w:t>USD</w:t>
            </w:r>
          </w:p>
        </w:tc>
        <w:tc>
          <w:tcPr>
            <w:tcW w:w="818" w:type="pct"/>
            <w:tcBorders>
              <w:top w:val="nil"/>
              <w:left w:val="nil"/>
              <w:bottom w:val="nil"/>
              <w:right w:val="nil"/>
            </w:tcBorders>
            <w:noWrap/>
            <w:hideMark/>
          </w:tcPr>
          <w:p w14:paraId="505F3EB9" w14:textId="77777777" w:rsidR="006B2397" w:rsidRPr="00646254" w:rsidRDefault="006B2397" w:rsidP="008265F0">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646254">
              <w:rPr>
                <w:rFonts w:ascii="Calibri" w:hAnsi="Calibri" w:cs="Calibri"/>
                <w:color w:val="002060"/>
                <w:sz w:val="18"/>
                <w:szCs w:val="18"/>
                <w:lang w:val="sr-Cyrl-CS"/>
              </w:rPr>
              <w:t>6.963,9</w:t>
            </w:r>
          </w:p>
        </w:tc>
        <w:tc>
          <w:tcPr>
            <w:tcW w:w="819" w:type="pct"/>
            <w:tcBorders>
              <w:top w:val="nil"/>
              <w:left w:val="nil"/>
              <w:bottom w:val="nil"/>
              <w:right w:val="nil"/>
            </w:tcBorders>
            <w:noWrap/>
            <w:hideMark/>
          </w:tcPr>
          <w:p w14:paraId="70F62A47" w14:textId="77777777" w:rsidR="006B2397" w:rsidRPr="00646254" w:rsidRDefault="006B2397" w:rsidP="008265F0">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646254">
              <w:rPr>
                <w:rFonts w:ascii="Calibri" w:hAnsi="Calibri" w:cs="Calibri"/>
                <w:color w:val="002060"/>
                <w:sz w:val="18"/>
                <w:szCs w:val="18"/>
                <w:lang w:val="sr-Cyrl-CS"/>
              </w:rPr>
              <w:t>5.397,3</w:t>
            </w:r>
          </w:p>
        </w:tc>
        <w:tc>
          <w:tcPr>
            <w:tcW w:w="818" w:type="pct"/>
            <w:tcBorders>
              <w:top w:val="nil"/>
              <w:left w:val="nil"/>
              <w:bottom w:val="nil"/>
              <w:right w:val="nil"/>
            </w:tcBorders>
            <w:noWrap/>
            <w:hideMark/>
          </w:tcPr>
          <w:p w14:paraId="2EC0D54A" w14:textId="77777777" w:rsidR="006B2397" w:rsidRPr="00646254" w:rsidRDefault="006B2397" w:rsidP="008265F0">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646254">
              <w:rPr>
                <w:rFonts w:ascii="Calibri" w:hAnsi="Calibri" w:cs="Calibri"/>
                <w:color w:val="002060"/>
                <w:sz w:val="18"/>
                <w:szCs w:val="18"/>
                <w:lang w:val="sr-Cyrl-CS"/>
              </w:rPr>
              <w:t>4.323,9</w:t>
            </w:r>
          </w:p>
        </w:tc>
        <w:tc>
          <w:tcPr>
            <w:tcW w:w="819" w:type="pct"/>
            <w:tcBorders>
              <w:top w:val="nil"/>
              <w:left w:val="nil"/>
              <w:bottom w:val="nil"/>
              <w:right w:val="nil"/>
            </w:tcBorders>
            <w:noWrap/>
            <w:hideMark/>
          </w:tcPr>
          <w:p w14:paraId="36C33626" w14:textId="77777777" w:rsidR="006B2397" w:rsidRPr="00646254" w:rsidRDefault="006B2397" w:rsidP="008265F0">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646254">
              <w:rPr>
                <w:rFonts w:ascii="Calibri" w:hAnsi="Calibri" w:cs="Calibri"/>
                <w:color w:val="002060"/>
                <w:sz w:val="18"/>
                <w:szCs w:val="18"/>
                <w:lang w:val="sr-Cyrl-CS"/>
              </w:rPr>
              <w:t>4.122,9</w:t>
            </w:r>
          </w:p>
        </w:tc>
      </w:tr>
      <w:tr w:rsidR="006B2397" w:rsidRPr="00646254" w14:paraId="3BC63C40" w14:textId="77777777" w:rsidTr="001D4D24">
        <w:trPr>
          <w:cnfStyle w:val="000000100000" w:firstRow="0" w:lastRow="0" w:firstColumn="0" w:lastColumn="0" w:oddVBand="0" w:evenVBand="0" w:oddHBand="1" w:evenHBand="0" w:firstRowFirstColumn="0" w:firstRowLastColumn="0" w:lastRowFirstColumn="0" w:lastRowLastColumn="0"/>
          <w:trHeight w:val="258"/>
        </w:trPr>
        <w:tc>
          <w:tcPr>
            <w:cnfStyle w:val="001000000000" w:firstRow="0" w:lastRow="0" w:firstColumn="1" w:lastColumn="0" w:oddVBand="0" w:evenVBand="0" w:oddHBand="0" w:evenHBand="0" w:firstRowFirstColumn="0" w:firstRowLastColumn="0" w:lastRowFirstColumn="0" w:lastRowLastColumn="0"/>
            <w:tcW w:w="1725" w:type="pct"/>
            <w:tcBorders>
              <w:top w:val="nil"/>
              <w:bottom w:val="nil"/>
            </w:tcBorders>
            <w:shd w:val="clear" w:color="auto" w:fill="E7E6E6" w:themeFill="background2"/>
            <w:noWrap/>
            <w:hideMark/>
          </w:tcPr>
          <w:p w14:paraId="1954145E" w14:textId="77777777" w:rsidR="006B2397" w:rsidRPr="00646254" w:rsidRDefault="006B2397" w:rsidP="008265F0">
            <w:pPr>
              <w:spacing w:line="240" w:lineRule="auto"/>
              <w:rPr>
                <w:rFonts w:ascii="Calibri" w:hAnsi="Calibri" w:cs="Calibri"/>
                <w:color w:val="002060"/>
                <w:sz w:val="18"/>
                <w:szCs w:val="18"/>
                <w:lang w:val="sr-Cyrl-CS"/>
              </w:rPr>
            </w:pPr>
            <w:r w:rsidRPr="00646254">
              <w:rPr>
                <w:rFonts w:ascii="Calibri" w:hAnsi="Calibri" w:cs="Calibri"/>
                <w:color w:val="002060"/>
                <w:sz w:val="18"/>
                <w:szCs w:val="18"/>
                <w:lang w:val="sr-Cyrl-CS"/>
              </w:rPr>
              <w:t>RSD</w:t>
            </w:r>
          </w:p>
        </w:tc>
        <w:tc>
          <w:tcPr>
            <w:tcW w:w="818" w:type="pct"/>
            <w:tcBorders>
              <w:top w:val="nil"/>
              <w:bottom w:val="nil"/>
            </w:tcBorders>
            <w:shd w:val="clear" w:color="auto" w:fill="E7E6E6" w:themeFill="background2"/>
            <w:noWrap/>
            <w:hideMark/>
          </w:tcPr>
          <w:p w14:paraId="499E11AC" w14:textId="77777777" w:rsidR="006B2397" w:rsidRPr="00646254" w:rsidRDefault="006B2397" w:rsidP="008265F0">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646254">
              <w:rPr>
                <w:rFonts w:ascii="Calibri" w:hAnsi="Calibri" w:cs="Calibri"/>
                <w:color w:val="002060"/>
                <w:sz w:val="18"/>
                <w:szCs w:val="18"/>
                <w:lang w:val="sr-Cyrl-CS"/>
              </w:rPr>
              <w:t>708.389,1</w:t>
            </w:r>
          </w:p>
        </w:tc>
        <w:tc>
          <w:tcPr>
            <w:tcW w:w="819" w:type="pct"/>
            <w:tcBorders>
              <w:top w:val="nil"/>
              <w:bottom w:val="nil"/>
            </w:tcBorders>
            <w:shd w:val="clear" w:color="auto" w:fill="E7E6E6" w:themeFill="background2"/>
            <w:noWrap/>
            <w:hideMark/>
          </w:tcPr>
          <w:p w14:paraId="5018BDD0" w14:textId="77777777" w:rsidR="006B2397" w:rsidRPr="00646254" w:rsidRDefault="006B2397" w:rsidP="008265F0">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646254">
              <w:rPr>
                <w:rFonts w:ascii="Calibri" w:hAnsi="Calibri" w:cs="Calibri"/>
                <w:color w:val="002060"/>
                <w:sz w:val="18"/>
                <w:szCs w:val="18"/>
                <w:lang w:val="sr-Cyrl-CS"/>
              </w:rPr>
              <w:t>781.250,4</w:t>
            </w:r>
          </w:p>
        </w:tc>
        <w:tc>
          <w:tcPr>
            <w:tcW w:w="818" w:type="pct"/>
            <w:tcBorders>
              <w:top w:val="nil"/>
              <w:bottom w:val="nil"/>
            </w:tcBorders>
            <w:shd w:val="clear" w:color="auto" w:fill="E7E6E6" w:themeFill="background2"/>
            <w:noWrap/>
            <w:hideMark/>
          </w:tcPr>
          <w:p w14:paraId="6036B598" w14:textId="77777777" w:rsidR="006B2397" w:rsidRPr="00646254" w:rsidRDefault="006B2397" w:rsidP="008265F0">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646254">
              <w:rPr>
                <w:rFonts w:ascii="Calibri" w:hAnsi="Calibri" w:cs="Calibri"/>
                <w:color w:val="002060"/>
                <w:sz w:val="18"/>
                <w:szCs w:val="18"/>
                <w:lang w:val="sr-Cyrl-CS"/>
              </w:rPr>
              <w:t>957.952,2</w:t>
            </w:r>
          </w:p>
        </w:tc>
        <w:tc>
          <w:tcPr>
            <w:tcW w:w="819" w:type="pct"/>
            <w:tcBorders>
              <w:top w:val="nil"/>
              <w:bottom w:val="nil"/>
            </w:tcBorders>
            <w:shd w:val="clear" w:color="auto" w:fill="E7E6E6" w:themeFill="background2"/>
            <w:noWrap/>
            <w:hideMark/>
          </w:tcPr>
          <w:p w14:paraId="2DE16AAD" w14:textId="77777777" w:rsidR="006B2397" w:rsidRPr="00646254" w:rsidRDefault="006B2397" w:rsidP="008265F0">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646254">
              <w:rPr>
                <w:rFonts w:ascii="Calibri" w:hAnsi="Calibri" w:cs="Calibri"/>
                <w:color w:val="002060"/>
                <w:sz w:val="18"/>
                <w:szCs w:val="18"/>
                <w:lang w:val="sr-Cyrl-CS"/>
              </w:rPr>
              <w:t>1.035.943,7</w:t>
            </w:r>
          </w:p>
        </w:tc>
      </w:tr>
      <w:tr w:rsidR="006B2397" w:rsidRPr="00646254" w14:paraId="513D67AA" w14:textId="77777777" w:rsidTr="008265F0">
        <w:trPr>
          <w:trHeight w:val="258"/>
        </w:trPr>
        <w:tc>
          <w:tcPr>
            <w:cnfStyle w:val="001000000000" w:firstRow="0" w:lastRow="0" w:firstColumn="1" w:lastColumn="0" w:oddVBand="0" w:evenVBand="0" w:oddHBand="0" w:evenHBand="0" w:firstRowFirstColumn="0" w:firstRowLastColumn="0" w:lastRowFirstColumn="0" w:lastRowLastColumn="0"/>
            <w:tcW w:w="1725" w:type="pct"/>
            <w:tcBorders>
              <w:top w:val="nil"/>
              <w:left w:val="nil"/>
              <w:bottom w:val="nil"/>
              <w:right w:val="nil"/>
            </w:tcBorders>
            <w:noWrap/>
            <w:hideMark/>
          </w:tcPr>
          <w:p w14:paraId="3F022F14" w14:textId="77777777" w:rsidR="006B2397" w:rsidRPr="00646254" w:rsidRDefault="006B2397" w:rsidP="008265F0">
            <w:pPr>
              <w:spacing w:line="240" w:lineRule="auto"/>
              <w:rPr>
                <w:rFonts w:ascii="Calibri" w:hAnsi="Calibri" w:cs="Calibri"/>
                <w:color w:val="002060"/>
                <w:sz w:val="18"/>
                <w:szCs w:val="18"/>
                <w:lang w:val="sr-Cyrl-CS"/>
              </w:rPr>
            </w:pPr>
            <w:r w:rsidRPr="00646254">
              <w:rPr>
                <w:rFonts w:ascii="Calibri" w:hAnsi="Calibri" w:cs="Calibri"/>
                <w:color w:val="002060"/>
                <w:sz w:val="18"/>
                <w:szCs w:val="18"/>
                <w:lang w:val="sr-Cyrl-CS"/>
              </w:rPr>
              <w:t>CHF</w:t>
            </w:r>
          </w:p>
        </w:tc>
        <w:tc>
          <w:tcPr>
            <w:tcW w:w="818" w:type="pct"/>
            <w:tcBorders>
              <w:top w:val="nil"/>
              <w:left w:val="nil"/>
              <w:bottom w:val="nil"/>
              <w:right w:val="nil"/>
            </w:tcBorders>
            <w:noWrap/>
            <w:hideMark/>
          </w:tcPr>
          <w:p w14:paraId="51D4E536" w14:textId="77777777" w:rsidR="006B2397" w:rsidRPr="00646254" w:rsidRDefault="006B2397" w:rsidP="008265F0">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646254">
              <w:rPr>
                <w:rFonts w:ascii="Calibri" w:hAnsi="Calibri" w:cs="Calibri"/>
                <w:color w:val="002060"/>
                <w:sz w:val="18"/>
                <w:szCs w:val="18"/>
                <w:lang w:val="sr-Cyrl-CS"/>
              </w:rPr>
              <w:t>120,7</w:t>
            </w:r>
          </w:p>
        </w:tc>
        <w:tc>
          <w:tcPr>
            <w:tcW w:w="819" w:type="pct"/>
            <w:tcBorders>
              <w:top w:val="nil"/>
              <w:left w:val="nil"/>
              <w:bottom w:val="nil"/>
              <w:right w:val="nil"/>
            </w:tcBorders>
            <w:noWrap/>
            <w:hideMark/>
          </w:tcPr>
          <w:p w14:paraId="6F6A2560" w14:textId="77777777" w:rsidR="006B2397" w:rsidRPr="00646254" w:rsidRDefault="006B2397" w:rsidP="008265F0">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646254">
              <w:rPr>
                <w:rFonts w:ascii="Calibri" w:hAnsi="Calibri" w:cs="Calibri"/>
                <w:color w:val="002060"/>
                <w:sz w:val="18"/>
                <w:szCs w:val="18"/>
                <w:lang w:val="sr-Cyrl-CS"/>
              </w:rPr>
              <w:t>110,5</w:t>
            </w:r>
          </w:p>
        </w:tc>
        <w:tc>
          <w:tcPr>
            <w:tcW w:w="818" w:type="pct"/>
            <w:tcBorders>
              <w:top w:val="nil"/>
              <w:left w:val="nil"/>
              <w:bottom w:val="nil"/>
              <w:right w:val="nil"/>
            </w:tcBorders>
            <w:noWrap/>
            <w:hideMark/>
          </w:tcPr>
          <w:p w14:paraId="5628CF22" w14:textId="77777777" w:rsidR="006B2397" w:rsidRPr="00646254" w:rsidRDefault="006B2397" w:rsidP="008265F0">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646254">
              <w:rPr>
                <w:rFonts w:ascii="Calibri" w:hAnsi="Calibri" w:cs="Calibri"/>
                <w:color w:val="002060"/>
                <w:sz w:val="18"/>
                <w:szCs w:val="18"/>
                <w:lang w:val="sr-Cyrl-CS"/>
              </w:rPr>
              <w:t>90,3</w:t>
            </w:r>
          </w:p>
        </w:tc>
        <w:tc>
          <w:tcPr>
            <w:tcW w:w="819" w:type="pct"/>
            <w:tcBorders>
              <w:top w:val="nil"/>
              <w:left w:val="nil"/>
              <w:bottom w:val="nil"/>
              <w:right w:val="nil"/>
            </w:tcBorders>
            <w:noWrap/>
            <w:hideMark/>
          </w:tcPr>
          <w:p w14:paraId="769F1D8B" w14:textId="77777777" w:rsidR="006B2397" w:rsidRPr="00646254" w:rsidRDefault="006B2397" w:rsidP="008265F0">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646254">
              <w:rPr>
                <w:rFonts w:ascii="Calibri" w:hAnsi="Calibri" w:cs="Calibri"/>
                <w:color w:val="002060"/>
                <w:sz w:val="18"/>
                <w:szCs w:val="18"/>
                <w:lang w:val="sr-Cyrl-CS"/>
              </w:rPr>
              <w:t>80,6</w:t>
            </w:r>
          </w:p>
        </w:tc>
      </w:tr>
      <w:tr w:rsidR="006B2397" w:rsidRPr="00646254" w14:paraId="3AB97358" w14:textId="77777777" w:rsidTr="001D4D24">
        <w:trPr>
          <w:cnfStyle w:val="000000100000" w:firstRow="0" w:lastRow="0" w:firstColumn="0" w:lastColumn="0" w:oddVBand="0" w:evenVBand="0" w:oddHBand="1" w:evenHBand="0" w:firstRowFirstColumn="0" w:firstRowLastColumn="0" w:lastRowFirstColumn="0" w:lastRowLastColumn="0"/>
          <w:trHeight w:val="258"/>
        </w:trPr>
        <w:tc>
          <w:tcPr>
            <w:cnfStyle w:val="001000000000" w:firstRow="0" w:lastRow="0" w:firstColumn="1" w:lastColumn="0" w:oddVBand="0" w:evenVBand="0" w:oddHBand="0" w:evenHBand="0" w:firstRowFirstColumn="0" w:firstRowLastColumn="0" w:lastRowFirstColumn="0" w:lastRowLastColumn="0"/>
            <w:tcW w:w="1725" w:type="pct"/>
            <w:tcBorders>
              <w:top w:val="nil"/>
              <w:bottom w:val="nil"/>
            </w:tcBorders>
            <w:shd w:val="clear" w:color="auto" w:fill="E7E6E6" w:themeFill="background2"/>
            <w:noWrap/>
            <w:hideMark/>
          </w:tcPr>
          <w:p w14:paraId="3BBEBC80" w14:textId="77777777" w:rsidR="006B2397" w:rsidRPr="00646254" w:rsidRDefault="006B2397" w:rsidP="008265F0">
            <w:pPr>
              <w:spacing w:line="240" w:lineRule="auto"/>
              <w:rPr>
                <w:rFonts w:ascii="Calibri" w:hAnsi="Calibri" w:cs="Calibri"/>
                <w:color w:val="002060"/>
                <w:sz w:val="18"/>
                <w:szCs w:val="18"/>
                <w:lang w:val="sr-Cyrl-CS"/>
              </w:rPr>
            </w:pPr>
            <w:r w:rsidRPr="00646254">
              <w:rPr>
                <w:rFonts w:ascii="Calibri" w:hAnsi="Calibri" w:cs="Calibri"/>
                <w:color w:val="002060"/>
                <w:sz w:val="18"/>
                <w:szCs w:val="18"/>
                <w:lang w:val="sr-Cyrl-CS"/>
              </w:rPr>
              <w:t>Специјална права вучења</w:t>
            </w:r>
          </w:p>
        </w:tc>
        <w:tc>
          <w:tcPr>
            <w:tcW w:w="818" w:type="pct"/>
            <w:tcBorders>
              <w:top w:val="nil"/>
              <w:bottom w:val="nil"/>
            </w:tcBorders>
            <w:shd w:val="clear" w:color="auto" w:fill="E7E6E6" w:themeFill="background2"/>
            <w:noWrap/>
            <w:hideMark/>
          </w:tcPr>
          <w:p w14:paraId="1F5248E1" w14:textId="77777777" w:rsidR="006B2397" w:rsidRPr="00646254" w:rsidRDefault="006B2397" w:rsidP="008265F0">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646254">
              <w:rPr>
                <w:rFonts w:ascii="Calibri" w:hAnsi="Calibri" w:cs="Calibri"/>
                <w:color w:val="002060"/>
                <w:sz w:val="18"/>
                <w:szCs w:val="18"/>
                <w:lang w:val="sr-Cyrl-CS"/>
              </w:rPr>
              <w:t>618,1</w:t>
            </w:r>
          </w:p>
        </w:tc>
        <w:tc>
          <w:tcPr>
            <w:tcW w:w="819" w:type="pct"/>
            <w:tcBorders>
              <w:top w:val="nil"/>
              <w:bottom w:val="nil"/>
            </w:tcBorders>
            <w:shd w:val="clear" w:color="auto" w:fill="E7E6E6" w:themeFill="background2"/>
            <w:noWrap/>
            <w:hideMark/>
          </w:tcPr>
          <w:p w14:paraId="32C29311" w14:textId="77777777" w:rsidR="006B2397" w:rsidRPr="00646254" w:rsidRDefault="006B2397" w:rsidP="008265F0">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646254">
              <w:rPr>
                <w:rFonts w:ascii="Calibri" w:hAnsi="Calibri" w:cs="Calibri"/>
                <w:color w:val="002060"/>
                <w:sz w:val="18"/>
                <w:szCs w:val="18"/>
                <w:lang w:val="sr-Cyrl-CS"/>
              </w:rPr>
              <w:t>570,4</w:t>
            </w:r>
          </w:p>
        </w:tc>
        <w:tc>
          <w:tcPr>
            <w:tcW w:w="818" w:type="pct"/>
            <w:tcBorders>
              <w:top w:val="nil"/>
              <w:bottom w:val="nil"/>
            </w:tcBorders>
            <w:shd w:val="clear" w:color="auto" w:fill="E7E6E6" w:themeFill="background2"/>
            <w:noWrap/>
            <w:hideMark/>
          </w:tcPr>
          <w:p w14:paraId="6D90B6E9" w14:textId="77777777" w:rsidR="006B2397" w:rsidRPr="00646254" w:rsidRDefault="006B2397" w:rsidP="008265F0">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646254">
              <w:rPr>
                <w:rFonts w:ascii="Calibri" w:hAnsi="Calibri" w:cs="Calibri"/>
                <w:color w:val="002060"/>
                <w:sz w:val="18"/>
                <w:szCs w:val="18"/>
                <w:lang w:val="sr-Cyrl-CS"/>
              </w:rPr>
              <w:t>522,7</w:t>
            </w:r>
          </w:p>
        </w:tc>
        <w:tc>
          <w:tcPr>
            <w:tcW w:w="819" w:type="pct"/>
            <w:tcBorders>
              <w:top w:val="nil"/>
              <w:bottom w:val="nil"/>
            </w:tcBorders>
            <w:shd w:val="clear" w:color="auto" w:fill="E7E6E6" w:themeFill="background2"/>
            <w:noWrap/>
            <w:hideMark/>
          </w:tcPr>
          <w:p w14:paraId="63C5EA46" w14:textId="77777777" w:rsidR="006B2397" w:rsidRPr="00646254" w:rsidRDefault="006B2397" w:rsidP="008265F0">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646254">
              <w:rPr>
                <w:rFonts w:ascii="Calibri" w:hAnsi="Calibri" w:cs="Calibri"/>
                <w:color w:val="002060"/>
                <w:sz w:val="18"/>
                <w:szCs w:val="18"/>
                <w:lang w:val="sr-Cyrl-CS"/>
              </w:rPr>
              <w:t>483,7</w:t>
            </w:r>
          </w:p>
        </w:tc>
      </w:tr>
      <w:tr w:rsidR="006B2397" w:rsidRPr="00646254" w14:paraId="30CF55F0" w14:textId="77777777" w:rsidTr="008265F0">
        <w:trPr>
          <w:trHeight w:val="288"/>
        </w:trPr>
        <w:tc>
          <w:tcPr>
            <w:cnfStyle w:val="001000000000" w:firstRow="0" w:lastRow="0" w:firstColumn="1" w:lastColumn="0" w:oddVBand="0" w:evenVBand="0" w:oddHBand="0" w:evenHBand="0" w:firstRowFirstColumn="0" w:firstRowLastColumn="0" w:lastRowFirstColumn="0" w:lastRowLastColumn="0"/>
            <w:tcW w:w="1725" w:type="pct"/>
            <w:tcBorders>
              <w:top w:val="nil"/>
              <w:left w:val="nil"/>
              <w:bottom w:val="single" w:sz="4" w:space="0" w:color="002060"/>
              <w:right w:val="nil"/>
            </w:tcBorders>
            <w:noWrap/>
            <w:hideMark/>
          </w:tcPr>
          <w:p w14:paraId="778AD0BB" w14:textId="77777777" w:rsidR="006B2397" w:rsidRPr="00646254" w:rsidRDefault="006B2397" w:rsidP="008265F0">
            <w:pPr>
              <w:spacing w:line="240" w:lineRule="auto"/>
              <w:rPr>
                <w:rFonts w:ascii="Calibri" w:hAnsi="Calibri" w:cs="Calibri"/>
                <w:color w:val="002060"/>
                <w:sz w:val="18"/>
                <w:szCs w:val="18"/>
                <w:lang w:val="sr-Cyrl-CS"/>
              </w:rPr>
            </w:pPr>
            <w:r w:rsidRPr="00646254">
              <w:rPr>
                <w:rFonts w:ascii="Calibri" w:hAnsi="Calibri" w:cs="Calibri"/>
                <w:color w:val="002060"/>
                <w:sz w:val="18"/>
                <w:szCs w:val="18"/>
                <w:lang w:val="sr-Cyrl-CS"/>
              </w:rPr>
              <w:t>Друге валуте (у RSD)</w:t>
            </w:r>
          </w:p>
        </w:tc>
        <w:tc>
          <w:tcPr>
            <w:tcW w:w="818" w:type="pct"/>
            <w:tcBorders>
              <w:top w:val="nil"/>
              <w:left w:val="nil"/>
              <w:bottom w:val="single" w:sz="4" w:space="0" w:color="002060"/>
              <w:right w:val="nil"/>
            </w:tcBorders>
            <w:noWrap/>
            <w:hideMark/>
          </w:tcPr>
          <w:p w14:paraId="23768701" w14:textId="77777777" w:rsidR="006B2397" w:rsidRPr="00646254" w:rsidRDefault="006B2397" w:rsidP="008265F0">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646254">
              <w:rPr>
                <w:rFonts w:ascii="Calibri" w:hAnsi="Calibri" w:cs="Calibri"/>
                <w:color w:val="002060"/>
                <w:sz w:val="18"/>
                <w:szCs w:val="18"/>
                <w:lang w:val="sr-Cyrl-CS"/>
              </w:rPr>
              <w:t>100.910,4</w:t>
            </w:r>
          </w:p>
        </w:tc>
        <w:tc>
          <w:tcPr>
            <w:tcW w:w="819" w:type="pct"/>
            <w:tcBorders>
              <w:top w:val="nil"/>
              <w:left w:val="nil"/>
              <w:bottom w:val="single" w:sz="4" w:space="0" w:color="002060"/>
              <w:right w:val="nil"/>
            </w:tcBorders>
            <w:noWrap/>
            <w:hideMark/>
          </w:tcPr>
          <w:p w14:paraId="1525E897" w14:textId="77777777" w:rsidR="006B2397" w:rsidRPr="00646254" w:rsidRDefault="006B2397" w:rsidP="008265F0">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646254">
              <w:rPr>
                <w:rFonts w:ascii="Calibri" w:hAnsi="Calibri" w:cs="Calibri"/>
                <w:color w:val="002060"/>
                <w:sz w:val="18"/>
                <w:szCs w:val="18"/>
                <w:lang w:val="sr-Cyrl-CS"/>
              </w:rPr>
              <w:t>128.958,8</w:t>
            </w:r>
          </w:p>
        </w:tc>
        <w:tc>
          <w:tcPr>
            <w:tcW w:w="818" w:type="pct"/>
            <w:tcBorders>
              <w:top w:val="nil"/>
              <w:left w:val="nil"/>
              <w:bottom w:val="single" w:sz="4" w:space="0" w:color="002060"/>
              <w:right w:val="nil"/>
            </w:tcBorders>
            <w:noWrap/>
            <w:hideMark/>
          </w:tcPr>
          <w:p w14:paraId="6A58974F" w14:textId="77777777" w:rsidR="006B2397" w:rsidRPr="00646254" w:rsidRDefault="006B2397" w:rsidP="008265F0">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646254">
              <w:rPr>
                <w:rFonts w:ascii="Calibri" w:hAnsi="Calibri" w:cs="Calibri"/>
                <w:color w:val="002060"/>
                <w:sz w:val="18"/>
                <w:szCs w:val="18"/>
                <w:lang w:val="sr-Cyrl-CS"/>
              </w:rPr>
              <w:t>127.674,8</w:t>
            </w:r>
          </w:p>
        </w:tc>
        <w:tc>
          <w:tcPr>
            <w:tcW w:w="819" w:type="pct"/>
            <w:tcBorders>
              <w:top w:val="nil"/>
              <w:left w:val="nil"/>
              <w:bottom w:val="single" w:sz="4" w:space="0" w:color="002060"/>
              <w:right w:val="nil"/>
            </w:tcBorders>
            <w:noWrap/>
            <w:hideMark/>
          </w:tcPr>
          <w:p w14:paraId="63B1A337" w14:textId="77777777" w:rsidR="006B2397" w:rsidRPr="00646254" w:rsidRDefault="006B2397" w:rsidP="008265F0">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646254">
              <w:rPr>
                <w:rFonts w:ascii="Calibri" w:hAnsi="Calibri" w:cs="Calibri"/>
                <w:color w:val="002060"/>
                <w:sz w:val="18"/>
                <w:szCs w:val="18"/>
                <w:lang w:val="sr-Cyrl-CS"/>
              </w:rPr>
              <w:t>125.918,3</w:t>
            </w:r>
          </w:p>
        </w:tc>
      </w:tr>
    </w:tbl>
    <w:p w14:paraId="1D20B3AD" w14:textId="77777777" w:rsidR="006B2397" w:rsidRPr="00646254" w:rsidRDefault="006B2397" w:rsidP="008265F0">
      <w:pPr>
        <w:spacing w:after="0" w:line="256" w:lineRule="auto"/>
        <w:jc w:val="left"/>
        <w:rPr>
          <w:rFonts w:ascii="Calibri" w:eastAsia="Calibri" w:hAnsi="Calibri" w:cs="Calibri"/>
          <w:sz w:val="14"/>
          <w:lang w:val="sr-Cyrl-CS"/>
        </w:rPr>
        <w:sectPr w:rsidR="006B2397" w:rsidRPr="00646254">
          <w:type w:val="continuous"/>
          <w:pgSz w:w="12240" w:h="15840"/>
          <w:pgMar w:top="1440" w:right="1440" w:bottom="1440" w:left="1440" w:header="720" w:footer="720" w:gutter="0"/>
          <w:cols w:space="720"/>
        </w:sectPr>
      </w:pPr>
    </w:p>
    <w:p w14:paraId="0A99C560" w14:textId="77777777" w:rsidR="006B2397" w:rsidRPr="00646254" w:rsidRDefault="006B2397" w:rsidP="00BA266B">
      <w:pPr>
        <w:rPr>
          <w:rFonts w:ascii="Calibri" w:eastAsia="Calibri" w:hAnsi="Calibri" w:cs="Calibri"/>
          <w:bCs/>
          <w:szCs w:val="72"/>
          <w:lang w:val="sr-Cyrl-CS"/>
        </w:rPr>
      </w:pPr>
      <w:r w:rsidRPr="00646254">
        <w:rPr>
          <w:rFonts w:ascii="Calibri" w:eastAsia="Calibri" w:hAnsi="Calibri" w:cs="Calibri"/>
          <w:bCs/>
          <w:szCs w:val="72"/>
          <w:lang w:val="sr-Cyrl-CS"/>
        </w:rPr>
        <w:t>У складу са тежњом да се смањи изложеност валутном ризику, продужи рочност и настави са развојем нових инструмената задуживања на домаћем финансијском тржишту, основни извор финансирања у периоду 2018–2021. године су емисије динарских хартија од вредности, што је утицало на повећање учешћа јавног дуга централног нивоа власти у динарима са 26,0% на крају 2018. године на 30,9% јавног дуга Републике Србије на крају августа 2021. године, односно са 708,4 млрд динара колико је износио јавни дуг у динарима на крају 2018. године на 1.035,9 млрд динара на крају августа 2021. године.</w:t>
      </w:r>
    </w:p>
    <w:p w14:paraId="483598F7" w14:textId="77777777" w:rsidR="006B2397" w:rsidRPr="00646254" w:rsidRDefault="006B2397" w:rsidP="00BA266B">
      <w:pPr>
        <w:rPr>
          <w:rFonts w:ascii="Calibri" w:eastAsia="Calibri" w:hAnsi="Calibri" w:cs="Calibri"/>
          <w:bCs/>
          <w:szCs w:val="72"/>
          <w:lang w:val="sr-Cyrl-CS"/>
        </w:rPr>
      </w:pPr>
      <w:r w:rsidRPr="00646254">
        <w:rPr>
          <w:rFonts w:ascii="Calibri" w:eastAsia="Calibri" w:hAnsi="Calibri" w:cs="Calibri"/>
          <w:bCs/>
          <w:szCs w:val="72"/>
          <w:lang w:val="sr-Cyrl-CS"/>
        </w:rPr>
        <w:t>Према подацима од 31. августа 2021. године, највећи део јавног дуга општег нивоа државе Републике Србије је и даље деноминован у еврима и износи 51,2%. Затим су највише заступљени динар са 30,7% и амерички долар са 12,1%. Остатак дуга је деноминован у специјалним правима вучења 2,0% и осталим валутама 4,0%. Захваљујући континуираном развоју домаћег тржишта хартија од вредности и постепеном повећању обима емисија у домаћој валути, дошло је до значајног раста учешћа дуга у домаћој валути у претходним годинама, које је на крају 2011. године износило само 16,4%.</w:t>
      </w:r>
    </w:p>
    <w:p w14:paraId="4B3A1233" w14:textId="77777777" w:rsidR="006B2397" w:rsidRPr="00646254" w:rsidRDefault="006B2397" w:rsidP="008265F0">
      <w:pPr>
        <w:spacing w:line="256" w:lineRule="auto"/>
        <w:jc w:val="center"/>
        <w:rPr>
          <w:rFonts w:ascii="Calibri" w:eastAsia="Calibri" w:hAnsi="Calibri" w:cs="Times New Roman"/>
          <w:b/>
          <w:color w:val="002060"/>
          <w:lang w:val="sr-Cyrl-CS"/>
        </w:rPr>
      </w:pPr>
      <w:r w:rsidRPr="00646254">
        <w:rPr>
          <w:rFonts w:ascii="Calibri" w:eastAsia="Calibri" w:hAnsi="Calibri" w:cs="Times New Roman"/>
          <w:b/>
          <w:color w:val="002060"/>
          <w:lang w:val="sr-Cyrl-CS"/>
        </w:rPr>
        <w:t>Валутна структура дуга општег нивоа државе у периоду од 2018. до 31. августа 2021. године</w:t>
      </w:r>
    </w:p>
    <w:p w14:paraId="0DD8F989" w14:textId="77777777" w:rsidR="006B2397" w:rsidRPr="00646254" w:rsidRDefault="006B2397" w:rsidP="008265F0">
      <w:pPr>
        <w:spacing w:line="256" w:lineRule="auto"/>
        <w:rPr>
          <w:rFonts w:ascii="Calibri" w:eastAsia="Calibri" w:hAnsi="Calibri" w:cs="Times New Roman"/>
          <w:b/>
          <w:lang w:val="sr-Cyrl-CS"/>
        </w:rPr>
      </w:pPr>
      <w:r w:rsidRPr="00646254">
        <w:rPr>
          <w:rFonts w:ascii="Calibri" w:eastAsia="Calibri" w:hAnsi="Calibri" w:cs="Times New Roman"/>
          <w:noProof/>
        </w:rPr>
        <w:drawing>
          <wp:inline distT="0" distB="0" distL="0" distR="0" wp14:anchorId="364A8813" wp14:editId="645317F8">
            <wp:extent cx="2797810" cy="2326640"/>
            <wp:effectExtent l="0" t="0" r="2540" b="0"/>
            <wp:docPr id="82" name="Chart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180"/>
              </a:graphicData>
            </a:graphic>
          </wp:inline>
        </w:drawing>
      </w:r>
    </w:p>
    <w:p w14:paraId="57E9A96D" w14:textId="77777777" w:rsidR="006B2397" w:rsidRPr="00646254" w:rsidRDefault="006B2397" w:rsidP="00BA266B">
      <w:pPr>
        <w:rPr>
          <w:rFonts w:ascii="Calibri" w:eastAsia="Calibri" w:hAnsi="Calibri" w:cs="Calibri"/>
          <w:bCs/>
          <w:szCs w:val="72"/>
          <w:lang w:val="sr-Cyrl-CS"/>
        </w:rPr>
      </w:pPr>
      <w:r w:rsidRPr="00646254">
        <w:rPr>
          <w:rFonts w:ascii="Calibri" w:eastAsia="Calibri" w:hAnsi="Calibri" w:cs="Calibri"/>
          <w:bCs/>
          <w:szCs w:val="72"/>
          <w:lang w:val="sr-Cyrl-CS"/>
        </w:rPr>
        <w:br w:type="column"/>
        <w:t>На дан 31. август 2021. године, највећи део јавног дуга општег нивоа државе Републике Србије је са фиксном каматном стопом – 86,4%, док се на јавни дуг са варијабилном каматном стопом односи 13,6% укупног јавног дуга. Међу варијабилним каматним стопама највише су заступљени EURIBOR и LIBOR на евро који чине 81,2%, затим варијабилна каматна стопа за специјална права вучења 11,9% и LIBOR на амерички долар 2,9%, док је учешће обавеза са осталим каматним стопама 4,0%.</w:t>
      </w:r>
    </w:p>
    <w:p w14:paraId="3A159E54" w14:textId="77777777" w:rsidR="006B2397" w:rsidRPr="00646254" w:rsidRDefault="006B2397" w:rsidP="008265F0">
      <w:pPr>
        <w:spacing w:line="256" w:lineRule="auto"/>
        <w:jc w:val="center"/>
        <w:rPr>
          <w:rFonts w:ascii="Calibri" w:eastAsia="Calibri" w:hAnsi="Calibri" w:cs="Calibri"/>
          <w:bCs/>
          <w:color w:val="002060"/>
          <w:szCs w:val="72"/>
          <w:lang w:val="sr-Cyrl-CS"/>
        </w:rPr>
      </w:pPr>
      <w:r w:rsidRPr="00646254">
        <w:rPr>
          <w:rFonts w:ascii="Calibri" w:eastAsia="Calibri" w:hAnsi="Calibri" w:cs="Times New Roman"/>
          <w:b/>
          <w:color w:val="002060"/>
          <w:lang w:val="sr-Cyrl-CS"/>
        </w:rPr>
        <w:t>Структура каматних стопа дуга општег нивоа државе у периоду од 2018. до 31. августа 2021. године, %</w:t>
      </w:r>
    </w:p>
    <w:p w14:paraId="6A67CD49" w14:textId="77777777" w:rsidR="006B2397" w:rsidRPr="00646254" w:rsidRDefault="006B2397" w:rsidP="008265F0">
      <w:pPr>
        <w:spacing w:line="256" w:lineRule="auto"/>
        <w:rPr>
          <w:rFonts w:ascii="Calibri" w:eastAsia="Calibri" w:hAnsi="Calibri" w:cs="Calibri"/>
          <w:bCs/>
          <w:szCs w:val="72"/>
          <w:lang w:val="sr-Cyrl-CS"/>
        </w:rPr>
      </w:pPr>
      <w:r w:rsidRPr="00646254">
        <w:rPr>
          <w:rFonts w:ascii="Calibri" w:eastAsia="Calibri" w:hAnsi="Calibri" w:cs="Times New Roman"/>
          <w:noProof/>
        </w:rPr>
        <w:drawing>
          <wp:inline distT="0" distB="0" distL="0" distR="0" wp14:anchorId="62CB617B" wp14:editId="7C9C6022">
            <wp:extent cx="2743200" cy="2124000"/>
            <wp:effectExtent l="0" t="0" r="0" b="0"/>
            <wp:docPr id="83" name="Chart 73"/>
            <wp:cNvGraphicFramePr/>
            <a:graphic xmlns:a="http://schemas.openxmlformats.org/drawingml/2006/main">
              <a:graphicData uri="http://schemas.openxmlformats.org/drawingml/2006/chart">
                <c:chart xmlns:c="http://schemas.openxmlformats.org/drawingml/2006/chart" xmlns:r="http://schemas.openxmlformats.org/officeDocument/2006/relationships" r:id="rId181"/>
              </a:graphicData>
            </a:graphic>
          </wp:inline>
        </w:drawing>
      </w:r>
    </w:p>
    <w:p w14:paraId="2B3B6261" w14:textId="77777777" w:rsidR="006B2397" w:rsidRPr="00646254" w:rsidRDefault="006B2397" w:rsidP="00BA266B">
      <w:pPr>
        <w:rPr>
          <w:rFonts w:ascii="Calibri" w:eastAsia="Calibri" w:hAnsi="Calibri" w:cs="Calibri"/>
          <w:bCs/>
          <w:szCs w:val="72"/>
          <w:lang w:val="sr-Cyrl-CS"/>
        </w:rPr>
      </w:pPr>
      <w:r w:rsidRPr="00646254">
        <w:rPr>
          <w:rFonts w:ascii="Calibri" w:eastAsia="Calibri" w:hAnsi="Calibri" w:cs="Calibri"/>
          <w:bCs/>
          <w:szCs w:val="72"/>
          <w:lang w:val="sr-Cyrl-CS"/>
        </w:rPr>
        <w:t>У последњих неколико година присутан је тренд пада трошкова задуживања, који је најизраженији код државних хартија од вредности емитованих на домаћем тржишту. До пада је дошло захваљујући развоју тржишта капитала државних обвезница, расту кредитног рејтинга земље, односно смањењу премије ризика, ниској стопи инфлације и паду референтне каматне стопе НБС, која тренутно износи 1,0%, чиме је настављен тренд започет у последњем кварталу 2012. године. Просечно пондерисана каматна стопа на јавни дуг је пала са 5,70% колико је износила на крају 2014. године на 2,81% колико је износила на крају августа 2021. године. На крају септембра ће додатно пасти на око 2,60%, захваљујући новим емисијама еврообвезница и отплати скупе еврообвезнице која је отплаћена током месеца. Просечна купонска стопа на динарске државне хартије од вредности смањена је са 13,68% колико је износила на крају 2012. године на 4,59 % на крају августа 2021. године.</w:t>
      </w:r>
    </w:p>
    <w:p w14:paraId="2039FC8E" w14:textId="77777777" w:rsidR="006B2397" w:rsidRPr="00646254" w:rsidRDefault="006B2397" w:rsidP="008265F0">
      <w:pPr>
        <w:spacing w:line="256" w:lineRule="auto"/>
        <w:jc w:val="center"/>
        <w:rPr>
          <w:rFonts w:ascii="Calibri" w:eastAsia="Calibri" w:hAnsi="Calibri" w:cs="Times New Roman"/>
          <w:b/>
          <w:color w:val="002060"/>
          <w:spacing w:val="-2"/>
          <w:lang w:val="sr-Cyrl-CS"/>
        </w:rPr>
      </w:pPr>
      <w:r w:rsidRPr="00646254">
        <w:rPr>
          <w:rFonts w:ascii="Calibri" w:eastAsia="Calibri" w:hAnsi="Calibri" w:cs="Times New Roman"/>
          <w:b/>
          <w:color w:val="002060"/>
          <w:spacing w:val="-2"/>
          <w:lang w:val="sr-Cyrl-CS"/>
        </w:rPr>
        <w:t>Преглед кретања просечних извршних каматних стопа на динарске државне хартије од вредности у периоду 2014–31. август 2021. године</w:t>
      </w:r>
    </w:p>
    <w:p w14:paraId="6B9A9AD7" w14:textId="77777777" w:rsidR="006B2397" w:rsidRPr="00646254" w:rsidRDefault="006B2397" w:rsidP="008265F0">
      <w:pPr>
        <w:spacing w:line="256" w:lineRule="auto"/>
        <w:jc w:val="center"/>
        <w:rPr>
          <w:rFonts w:ascii="Calibri" w:eastAsia="Calibri" w:hAnsi="Calibri" w:cs="Times New Roman"/>
          <w:b/>
          <w:color w:val="002060"/>
          <w:spacing w:val="-2"/>
          <w:lang w:val="sr-Cyrl-CS"/>
        </w:rPr>
      </w:pPr>
      <w:r w:rsidRPr="00646254">
        <w:rPr>
          <w:noProof/>
        </w:rPr>
        <w:drawing>
          <wp:inline distT="0" distB="0" distL="0" distR="0" wp14:anchorId="314399CF" wp14:editId="3FA4E149">
            <wp:extent cx="2867025" cy="3096000"/>
            <wp:effectExtent l="0" t="0" r="0" b="0"/>
            <wp:docPr id="84" name="Chart 84"/>
            <wp:cNvGraphicFramePr/>
            <a:graphic xmlns:a="http://schemas.openxmlformats.org/drawingml/2006/main">
              <a:graphicData uri="http://schemas.openxmlformats.org/drawingml/2006/chart">
                <c:chart xmlns:c="http://schemas.openxmlformats.org/drawingml/2006/chart" xmlns:r="http://schemas.openxmlformats.org/officeDocument/2006/relationships" r:id="rId182"/>
              </a:graphicData>
            </a:graphic>
          </wp:inline>
        </w:drawing>
      </w:r>
    </w:p>
    <w:p w14:paraId="25332058" w14:textId="77777777" w:rsidR="006B2397" w:rsidRPr="00646254" w:rsidRDefault="006B2397" w:rsidP="008265F0">
      <w:pPr>
        <w:spacing w:line="256" w:lineRule="auto"/>
        <w:ind w:hanging="142"/>
        <w:rPr>
          <w:rFonts w:ascii="Calibri" w:eastAsia="Calibri" w:hAnsi="Calibri" w:cs="Times New Roman"/>
          <w:b/>
          <w:lang w:val="sr-Cyrl-CS"/>
        </w:rPr>
      </w:pPr>
      <w:r w:rsidRPr="00646254">
        <w:rPr>
          <w:rFonts w:ascii="Calibri" w:eastAsia="Calibri" w:hAnsi="Calibri" w:cs="Times New Roman"/>
          <w:b/>
          <w:color w:val="002060"/>
          <w:lang w:val="sr-Cyrl-CS"/>
        </w:rPr>
        <w:t>Преглед кретања просечних извршних каматних стопа на евро деноминоване државне хартије од вредности у периоду 2014–31. август 2021. године</w:t>
      </w:r>
    </w:p>
    <w:p w14:paraId="356C9BB9" w14:textId="77777777" w:rsidR="006B2397" w:rsidRPr="00646254" w:rsidRDefault="006B2397" w:rsidP="008265F0">
      <w:pPr>
        <w:spacing w:line="256" w:lineRule="auto"/>
        <w:rPr>
          <w:rFonts w:ascii="Calibri" w:eastAsia="Calibri" w:hAnsi="Calibri" w:cs="Times New Roman"/>
          <w:b/>
          <w:lang w:val="sr-Cyrl-CS"/>
        </w:rPr>
      </w:pPr>
      <w:r w:rsidRPr="00646254">
        <w:rPr>
          <w:noProof/>
        </w:rPr>
        <w:drawing>
          <wp:inline distT="0" distB="0" distL="0" distR="0" wp14:anchorId="3A4B935E" wp14:editId="701F00D7">
            <wp:extent cx="3093720" cy="3384000"/>
            <wp:effectExtent l="0" t="0" r="0" b="0"/>
            <wp:docPr id="88" name="Chart 88"/>
            <wp:cNvGraphicFramePr/>
            <a:graphic xmlns:a="http://schemas.openxmlformats.org/drawingml/2006/main">
              <a:graphicData uri="http://schemas.openxmlformats.org/drawingml/2006/chart">
                <c:chart xmlns:c="http://schemas.openxmlformats.org/drawingml/2006/chart" xmlns:r="http://schemas.openxmlformats.org/officeDocument/2006/relationships" r:id="rId183"/>
              </a:graphicData>
            </a:graphic>
          </wp:inline>
        </w:drawing>
      </w:r>
    </w:p>
    <w:p w14:paraId="219F1053" w14:textId="77777777" w:rsidR="006B2397" w:rsidRPr="00646254" w:rsidRDefault="006B2397" w:rsidP="008265F0">
      <w:pPr>
        <w:spacing w:after="0" w:line="256" w:lineRule="auto"/>
        <w:jc w:val="center"/>
        <w:rPr>
          <w:rFonts w:ascii="Calibri" w:eastAsia="Calibri" w:hAnsi="Calibri" w:cs="Times New Roman"/>
          <w:b/>
          <w:bCs/>
          <w:color w:val="002060"/>
          <w:spacing w:val="-4"/>
          <w:lang w:val="sr-Cyrl-CS"/>
        </w:rPr>
      </w:pPr>
      <w:r w:rsidRPr="00646254">
        <w:rPr>
          <w:rFonts w:ascii="Calibri" w:eastAsia="Calibri" w:hAnsi="Calibri" w:cs="Times New Roman"/>
          <w:b/>
          <w:bCs/>
          <w:color w:val="002060"/>
          <w:spacing w:val="-4"/>
          <w:lang w:val="sr-Cyrl-CS"/>
        </w:rPr>
        <w:t xml:space="preserve">Преглед кретања цене и приноса на </w:t>
      </w:r>
      <w:r w:rsidRPr="00646254">
        <w:rPr>
          <w:rFonts w:ascii="Calibri" w:eastAsia="Calibri" w:hAnsi="Calibri" w:cs="Times New Roman"/>
          <w:b/>
          <w:bCs/>
          <w:color w:val="002060"/>
          <w:spacing w:val="-4"/>
          <w:lang w:val="sr-Cyrl-CS"/>
        </w:rPr>
        <w:br w:type="textWrapping" w:clear="all"/>
        <w:t>еврообвезницу Србија 2021</w:t>
      </w:r>
    </w:p>
    <w:p w14:paraId="6E420B3A" w14:textId="77777777" w:rsidR="006B2397" w:rsidRPr="00646254" w:rsidRDefault="006B2397" w:rsidP="008265F0">
      <w:pPr>
        <w:spacing w:after="0" w:line="256" w:lineRule="auto"/>
        <w:rPr>
          <w:rFonts w:ascii="Calibri" w:eastAsia="Calibri" w:hAnsi="Calibri" w:cs="Times New Roman"/>
          <w:b/>
          <w:bCs/>
          <w:color w:val="002060"/>
          <w:spacing w:val="-4"/>
          <w:lang w:val="sr-Cyrl-CS"/>
        </w:rPr>
      </w:pPr>
      <w:r w:rsidRPr="00646254">
        <w:rPr>
          <w:noProof/>
        </w:rPr>
        <w:drawing>
          <wp:inline distT="0" distB="0" distL="0" distR="0" wp14:anchorId="2DBE02D7" wp14:editId="6D7FAF65">
            <wp:extent cx="2943225" cy="2752725"/>
            <wp:effectExtent l="0" t="0" r="0" b="0"/>
            <wp:docPr id="29" name="Chart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184"/>
              </a:graphicData>
            </a:graphic>
          </wp:inline>
        </w:drawing>
      </w:r>
    </w:p>
    <w:p w14:paraId="76B5B06B" w14:textId="77777777" w:rsidR="006B2397" w:rsidRPr="00646254" w:rsidRDefault="006B2397" w:rsidP="008265F0">
      <w:pPr>
        <w:spacing w:after="0" w:line="256" w:lineRule="auto"/>
        <w:rPr>
          <w:rFonts w:ascii="Calibri" w:eastAsia="Calibri" w:hAnsi="Calibri" w:cs="Times New Roman"/>
          <w:b/>
          <w:bCs/>
          <w:color w:val="002060"/>
          <w:spacing w:val="-4"/>
          <w:lang w:val="sr-Cyrl-CS"/>
        </w:rPr>
      </w:pPr>
    </w:p>
    <w:p w14:paraId="333DFEEB" w14:textId="77777777" w:rsidR="006B2397" w:rsidRPr="00646254" w:rsidRDefault="006B2397" w:rsidP="008265F0">
      <w:pPr>
        <w:spacing w:after="0" w:line="256" w:lineRule="auto"/>
        <w:jc w:val="center"/>
        <w:rPr>
          <w:rFonts w:ascii="Calibri" w:eastAsia="Calibri" w:hAnsi="Calibri" w:cs="Times New Roman"/>
          <w:b/>
          <w:bCs/>
          <w:color w:val="002060"/>
          <w:spacing w:val="-4"/>
          <w:lang w:val="sr-Cyrl-CS"/>
        </w:rPr>
      </w:pPr>
      <w:r w:rsidRPr="00646254">
        <w:rPr>
          <w:rFonts w:ascii="Calibri" w:eastAsia="Calibri" w:hAnsi="Calibri" w:cs="Times New Roman"/>
          <w:b/>
          <w:bCs/>
          <w:color w:val="002060"/>
          <w:spacing w:val="-4"/>
          <w:lang w:val="sr-Cyrl-CS"/>
        </w:rPr>
        <w:t xml:space="preserve">Преглед кретања цене и приноса на </w:t>
      </w:r>
      <w:r w:rsidRPr="00646254">
        <w:rPr>
          <w:rFonts w:ascii="Calibri" w:eastAsia="Calibri" w:hAnsi="Calibri" w:cs="Times New Roman"/>
          <w:b/>
          <w:bCs/>
          <w:color w:val="002060"/>
          <w:spacing w:val="-4"/>
          <w:lang w:val="sr-Cyrl-CS"/>
        </w:rPr>
        <w:br w:type="textWrapping" w:clear="all"/>
        <w:t>еврообвезницу Србија 2029</w:t>
      </w:r>
    </w:p>
    <w:p w14:paraId="6C69558F" w14:textId="77777777" w:rsidR="006B2397" w:rsidRPr="00646254" w:rsidRDefault="006B2397" w:rsidP="008265F0">
      <w:pPr>
        <w:spacing w:line="256" w:lineRule="auto"/>
        <w:rPr>
          <w:rFonts w:ascii="Calibri" w:eastAsia="Calibri" w:hAnsi="Calibri" w:cs="Times New Roman"/>
          <w:b/>
          <w:lang w:val="sr-Cyrl-CS"/>
        </w:rPr>
      </w:pPr>
      <w:r w:rsidRPr="00646254">
        <w:rPr>
          <w:noProof/>
        </w:rPr>
        <w:drawing>
          <wp:inline distT="0" distB="0" distL="0" distR="0" wp14:anchorId="5678B43F" wp14:editId="6FA7A6C8">
            <wp:extent cx="2743200" cy="3847796"/>
            <wp:effectExtent l="0" t="0" r="0" b="635"/>
            <wp:docPr id="89" name="Chart 89"/>
            <wp:cNvGraphicFramePr/>
            <a:graphic xmlns:a="http://schemas.openxmlformats.org/drawingml/2006/main">
              <a:graphicData uri="http://schemas.openxmlformats.org/drawingml/2006/chart">
                <c:chart xmlns:c="http://schemas.openxmlformats.org/drawingml/2006/chart" xmlns:r="http://schemas.openxmlformats.org/officeDocument/2006/relationships" r:id="rId185"/>
              </a:graphicData>
            </a:graphic>
          </wp:inline>
        </w:drawing>
      </w:r>
    </w:p>
    <w:p w14:paraId="20044723" w14:textId="77777777" w:rsidR="006B2397" w:rsidRPr="00646254" w:rsidRDefault="006B2397" w:rsidP="008265F0">
      <w:pPr>
        <w:spacing w:after="0" w:line="256" w:lineRule="auto"/>
        <w:rPr>
          <w:rFonts w:ascii="Calibri" w:eastAsia="Calibri" w:hAnsi="Calibri" w:cs="Times New Roman"/>
          <w:b/>
          <w:bCs/>
          <w:color w:val="002060"/>
          <w:spacing w:val="-4"/>
          <w:lang w:val="sr-Cyrl-CS"/>
        </w:rPr>
      </w:pPr>
    </w:p>
    <w:p w14:paraId="5F29CAAD" w14:textId="77777777" w:rsidR="006B2397" w:rsidRPr="00646254" w:rsidRDefault="006B2397" w:rsidP="008265F0">
      <w:pPr>
        <w:spacing w:after="0" w:line="256" w:lineRule="auto"/>
        <w:rPr>
          <w:rFonts w:ascii="Calibri" w:eastAsia="Calibri" w:hAnsi="Calibri" w:cs="Times New Roman"/>
          <w:b/>
          <w:bCs/>
          <w:color w:val="002060"/>
          <w:spacing w:val="-4"/>
          <w:lang w:val="sr-Cyrl-CS"/>
        </w:rPr>
      </w:pPr>
    </w:p>
    <w:p w14:paraId="61513B31" w14:textId="77777777" w:rsidR="006B2397" w:rsidRPr="00646254" w:rsidRDefault="006B2397" w:rsidP="008265F0">
      <w:pPr>
        <w:spacing w:after="0" w:line="256" w:lineRule="auto"/>
        <w:rPr>
          <w:rFonts w:ascii="Calibri" w:eastAsia="Calibri" w:hAnsi="Calibri" w:cs="Times New Roman"/>
          <w:b/>
          <w:bCs/>
          <w:color w:val="002060"/>
          <w:spacing w:val="-4"/>
          <w:lang w:val="sr-Cyrl-CS"/>
        </w:rPr>
      </w:pPr>
    </w:p>
    <w:p w14:paraId="0458B9AB" w14:textId="77777777" w:rsidR="006B2397" w:rsidRPr="00646254" w:rsidRDefault="006B2397" w:rsidP="008265F0">
      <w:pPr>
        <w:spacing w:after="0" w:line="256" w:lineRule="auto"/>
        <w:rPr>
          <w:rFonts w:ascii="Calibri" w:eastAsia="Calibri" w:hAnsi="Calibri" w:cs="Times New Roman"/>
          <w:b/>
          <w:bCs/>
          <w:color w:val="002060"/>
          <w:spacing w:val="-4"/>
          <w:lang w:val="sr-Cyrl-CS"/>
        </w:rPr>
      </w:pPr>
    </w:p>
    <w:p w14:paraId="5AD79A0E" w14:textId="77777777" w:rsidR="006B2397" w:rsidRPr="00646254" w:rsidRDefault="006B2397" w:rsidP="008265F0">
      <w:pPr>
        <w:spacing w:after="0" w:line="256" w:lineRule="auto"/>
        <w:jc w:val="center"/>
        <w:rPr>
          <w:rFonts w:ascii="Calibri" w:eastAsia="Calibri" w:hAnsi="Calibri" w:cs="Times New Roman"/>
          <w:b/>
          <w:bCs/>
          <w:color w:val="002060"/>
          <w:spacing w:val="-4"/>
          <w:lang w:val="sr-Cyrl-CS"/>
        </w:rPr>
      </w:pPr>
      <w:r w:rsidRPr="00646254">
        <w:rPr>
          <w:rFonts w:ascii="Calibri" w:eastAsia="Calibri" w:hAnsi="Calibri" w:cs="Times New Roman"/>
          <w:b/>
          <w:bCs/>
          <w:color w:val="002060"/>
          <w:spacing w:val="-4"/>
          <w:lang w:val="sr-Cyrl-CS"/>
        </w:rPr>
        <w:t xml:space="preserve">Преглед кретања цене и приноса на </w:t>
      </w:r>
      <w:r w:rsidRPr="00646254">
        <w:rPr>
          <w:rFonts w:ascii="Calibri" w:eastAsia="Calibri" w:hAnsi="Calibri" w:cs="Times New Roman"/>
          <w:b/>
          <w:bCs/>
          <w:color w:val="002060"/>
          <w:spacing w:val="-4"/>
          <w:lang w:val="sr-Cyrl-CS"/>
        </w:rPr>
        <w:br w:type="textWrapping" w:clear="all"/>
        <w:t>еврообвезницу Србија 2027</w:t>
      </w:r>
    </w:p>
    <w:p w14:paraId="1C3DE920" w14:textId="77777777" w:rsidR="006B2397" w:rsidRPr="00646254" w:rsidRDefault="006B2397" w:rsidP="008265F0">
      <w:pPr>
        <w:spacing w:after="0" w:line="256" w:lineRule="auto"/>
        <w:jc w:val="center"/>
        <w:rPr>
          <w:rFonts w:ascii="Calibri" w:eastAsia="Calibri" w:hAnsi="Calibri" w:cs="Times New Roman"/>
          <w:b/>
          <w:bCs/>
          <w:color w:val="002060"/>
          <w:spacing w:val="-4"/>
          <w:lang w:val="sr-Cyrl-CS"/>
        </w:rPr>
      </w:pPr>
      <w:r w:rsidRPr="00646254">
        <w:rPr>
          <w:noProof/>
        </w:rPr>
        <w:drawing>
          <wp:inline distT="0" distB="0" distL="0" distR="0" wp14:anchorId="0DB634F4" wp14:editId="221A3681">
            <wp:extent cx="3000375" cy="2819400"/>
            <wp:effectExtent l="0" t="0" r="0" b="0"/>
            <wp:docPr id="90" name="Chart 90"/>
            <wp:cNvGraphicFramePr/>
            <a:graphic xmlns:a="http://schemas.openxmlformats.org/drawingml/2006/main">
              <a:graphicData uri="http://schemas.openxmlformats.org/drawingml/2006/chart">
                <c:chart xmlns:c="http://schemas.openxmlformats.org/drawingml/2006/chart" xmlns:r="http://schemas.openxmlformats.org/officeDocument/2006/relationships" r:id="rId186"/>
              </a:graphicData>
            </a:graphic>
          </wp:inline>
        </w:drawing>
      </w:r>
    </w:p>
    <w:p w14:paraId="0E252288" w14:textId="77777777" w:rsidR="006B2397" w:rsidRPr="00646254" w:rsidRDefault="006B2397" w:rsidP="00BA266B">
      <w:pPr>
        <w:spacing w:after="0" w:line="256" w:lineRule="auto"/>
        <w:rPr>
          <w:rFonts w:ascii="Calibri" w:eastAsia="Calibri" w:hAnsi="Calibri" w:cs="Times New Roman"/>
          <w:b/>
          <w:bCs/>
          <w:color w:val="002060"/>
          <w:spacing w:val="-4"/>
          <w:lang w:val="sr-Cyrl-CS"/>
        </w:rPr>
      </w:pPr>
    </w:p>
    <w:p w14:paraId="41AA6DD5" w14:textId="77777777" w:rsidR="006B2397" w:rsidRPr="00646254" w:rsidRDefault="006B2397" w:rsidP="008265F0">
      <w:pPr>
        <w:spacing w:after="0" w:line="256" w:lineRule="auto"/>
        <w:jc w:val="center"/>
        <w:rPr>
          <w:rFonts w:ascii="Calibri" w:eastAsia="Calibri" w:hAnsi="Calibri" w:cs="Times New Roman"/>
          <w:b/>
          <w:bCs/>
          <w:color w:val="002060"/>
          <w:spacing w:val="-4"/>
          <w:lang w:val="sr-Cyrl-CS"/>
        </w:rPr>
      </w:pPr>
      <w:r w:rsidRPr="00646254">
        <w:rPr>
          <w:rFonts w:ascii="Calibri" w:eastAsia="Calibri" w:hAnsi="Calibri" w:cs="Times New Roman"/>
          <w:b/>
          <w:bCs/>
          <w:color w:val="002060"/>
          <w:spacing w:val="-4"/>
          <w:lang w:val="sr-Cyrl-CS"/>
        </w:rPr>
        <w:t xml:space="preserve">Преглед кретања цене и приноса на </w:t>
      </w:r>
      <w:r w:rsidRPr="00646254">
        <w:rPr>
          <w:rFonts w:ascii="Calibri" w:eastAsia="Calibri" w:hAnsi="Calibri" w:cs="Times New Roman"/>
          <w:b/>
          <w:bCs/>
          <w:color w:val="002060"/>
          <w:spacing w:val="-4"/>
          <w:lang w:val="sr-Cyrl-CS"/>
        </w:rPr>
        <w:br w:type="textWrapping" w:clear="all"/>
        <w:t>еврообвезницу Србија 2030</w:t>
      </w:r>
    </w:p>
    <w:p w14:paraId="42446796" w14:textId="77777777" w:rsidR="006B2397" w:rsidRPr="00646254" w:rsidRDefault="006B2397" w:rsidP="008265F0">
      <w:pPr>
        <w:spacing w:line="256" w:lineRule="auto"/>
        <w:rPr>
          <w:rFonts w:ascii="Calibri" w:eastAsia="Calibri" w:hAnsi="Calibri" w:cs="Calibri"/>
          <w:bCs/>
          <w:color w:val="44546A"/>
          <w:szCs w:val="72"/>
          <w:lang w:val="sr-Cyrl-CS"/>
        </w:rPr>
      </w:pPr>
      <w:r w:rsidRPr="00646254">
        <w:rPr>
          <w:noProof/>
        </w:rPr>
        <w:drawing>
          <wp:inline distT="0" distB="0" distL="0" distR="0" wp14:anchorId="62A9BFBD" wp14:editId="252D9D70">
            <wp:extent cx="2971800" cy="3667125"/>
            <wp:effectExtent l="0" t="0" r="0" b="0"/>
            <wp:docPr id="27" name="Chart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187"/>
              </a:graphicData>
            </a:graphic>
          </wp:inline>
        </w:drawing>
      </w:r>
    </w:p>
    <w:p w14:paraId="5546ABD9" w14:textId="77777777" w:rsidR="006B2397" w:rsidRPr="00646254" w:rsidRDefault="006B2397" w:rsidP="00BA266B">
      <w:pPr>
        <w:spacing w:after="0" w:line="256" w:lineRule="auto"/>
        <w:jc w:val="center"/>
        <w:rPr>
          <w:rFonts w:ascii="Calibri" w:eastAsia="Calibri" w:hAnsi="Calibri" w:cs="Times New Roman"/>
          <w:b/>
          <w:bCs/>
          <w:color w:val="002060"/>
          <w:spacing w:val="-4"/>
          <w:lang w:val="sr-Cyrl-CS"/>
        </w:rPr>
      </w:pPr>
    </w:p>
    <w:p w14:paraId="133B932E" w14:textId="77777777" w:rsidR="006B2397" w:rsidRPr="00646254" w:rsidRDefault="006B2397" w:rsidP="00BA266B">
      <w:pPr>
        <w:spacing w:after="0" w:line="256" w:lineRule="auto"/>
        <w:jc w:val="center"/>
        <w:rPr>
          <w:rFonts w:ascii="Calibri" w:eastAsia="Calibri" w:hAnsi="Calibri" w:cs="Times New Roman"/>
          <w:b/>
          <w:bCs/>
          <w:color w:val="002060"/>
          <w:spacing w:val="-4"/>
          <w:lang w:val="sr-Cyrl-CS"/>
        </w:rPr>
      </w:pPr>
    </w:p>
    <w:p w14:paraId="6F89FC0A" w14:textId="77777777" w:rsidR="006B2397" w:rsidRPr="00646254" w:rsidRDefault="006B2397" w:rsidP="00BA266B">
      <w:pPr>
        <w:spacing w:after="0" w:line="256" w:lineRule="auto"/>
        <w:jc w:val="center"/>
        <w:rPr>
          <w:rFonts w:ascii="Calibri" w:eastAsia="Calibri" w:hAnsi="Calibri" w:cs="Times New Roman"/>
          <w:b/>
          <w:bCs/>
          <w:color w:val="002060"/>
          <w:spacing w:val="-4"/>
          <w:lang w:val="sr-Cyrl-CS"/>
        </w:rPr>
      </w:pPr>
    </w:p>
    <w:p w14:paraId="1B96EB8B" w14:textId="77777777" w:rsidR="006B2397" w:rsidRPr="00646254" w:rsidRDefault="006B2397" w:rsidP="00BA266B">
      <w:pPr>
        <w:spacing w:after="0" w:line="256" w:lineRule="auto"/>
        <w:jc w:val="center"/>
        <w:rPr>
          <w:rFonts w:ascii="Calibri" w:eastAsia="Calibri" w:hAnsi="Calibri" w:cs="Times New Roman"/>
          <w:b/>
          <w:bCs/>
          <w:color w:val="002060"/>
          <w:spacing w:val="-4"/>
          <w:lang w:val="sr-Cyrl-CS"/>
        </w:rPr>
      </w:pPr>
      <w:r w:rsidRPr="00646254">
        <w:rPr>
          <w:rFonts w:ascii="Calibri" w:eastAsia="Calibri" w:hAnsi="Calibri" w:cs="Times New Roman"/>
          <w:b/>
          <w:bCs/>
          <w:color w:val="002060"/>
          <w:spacing w:val="-4"/>
          <w:lang w:val="sr-Cyrl-CS"/>
        </w:rPr>
        <w:t xml:space="preserve">Преглед кретања цене и приноса на </w:t>
      </w:r>
      <w:r w:rsidRPr="00646254">
        <w:rPr>
          <w:rFonts w:ascii="Calibri" w:eastAsia="Calibri" w:hAnsi="Calibri" w:cs="Times New Roman"/>
          <w:b/>
          <w:bCs/>
          <w:color w:val="002060"/>
          <w:spacing w:val="-4"/>
          <w:lang w:val="sr-Cyrl-CS"/>
        </w:rPr>
        <w:br w:type="textWrapping" w:clear="all"/>
        <w:t>еврообвезницу Србија 2033</w:t>
      </w:r>
    </w:p>
    <w:p w14:paraId="07D6FA28" w14:textId="77777777" w:rsidR="006B2397" w:rsidRPr="00646254" w:rsidRDefault="006B2397" w:rsidP="008265F0">
      <w:pPr>
        <w:spacing w:line="256" w:lineRule="auto"/>
        <w:rPr>
          <w:rFonts w:ascii="Calibri" w:eastAsia="Calibri" w:hAnsi="Calibri" w:cs="Times New Roman"/>
          <w:b/>
          <w:lang w:val="sr-Cyrl-CS"/>
        </w:rPr>
      </w:pPr>
      <w:r w:rsidRPr="00646254">
        <w:rPr>
          <w:noProof/>
        </w:rPr>
        <w:drawing>
          <wp:inline distT="0" distB="0" distL="0" distR="0" wp14:anchorId="61FD9B1E" wp14:editId="5934A809">
            <wp:extent cx="2971800" cy="3019425"/>
            <wp:effectExtent l="0" t="0" r="0" b="0"/>
            <wp:docPr id="91" name="Chart 9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8"/>
              </a:graphicData>
            </a:graphic>
          </wp:inline>
        </w:drawing>
      </w:r>
    </w:p>
    <w:p w14:paraId="5D478F05" w14:textId="77777777" w:rsidR="006B2397" w:rsidRPr="00646254" w:rsidRDefault="006B2397" w:rsidP="008265F0">
      <w:pPr>
        <w:spacing w:after="0" w:line="256" w:lineRule="auto"/>
        <w:rPr>
          <w:rFonts w:ascii="Calibri" w:eastAsia="Calibri" w:hAnsi="Calibri" w:cs="Times New Roman"/>
          <w:b/>
          <w:bCs/>
          <w:color w:val="002060"/>
          <w:spacing w:val="-4"/>
          <w:lang w:val="sr-Cyrl-CS"/>
        </w:rPr>
      </w:pPr>
    </w:p>
    <w:p w14:paraId="1D469F64" w14:textId="77777777" w:rsidR="006B2397" w:rsidRPr="00646254" w:rsidRDefault="006B2397" w:rsidP="008265F0">
      <w:pPr>
        <w:spacing w:after="0" w:line="256" w:lineRule="auto"/>
        <w:rPr>
          <w:rFonts w:ascii="Calibri" w:eastAsia="Calibri" w:hAnsi="Calibri" w:cs="Times New Roman"/>
          <w:b/>
          <w:bCs/>
          <w:color w:val="002060"/>
          <w:spacing w:val="-4"/>
          <w:lang w:val="sr-Cyrl-CS"/>
        </w:rPr>
      </w:pPr>
    </w:p>
    <w:p w14:paraId="395D7A5F" w14:textId="77777777" w:rsidR="006B2397" w:rsidRPr="00646254" w:rsidRDefault="006B2397" w:rsidP="008265F0">
      <w:pPr>
        <w:spacing w:after="0" w:line="256" w:lineRule="auto"/>
        <w:jc w:val="left"/>
        <w:rPr>
          <w:rFonts w:ascii="Calibri" w:eastAsia="Calibri" w:hAnsi="Calibri" w:cs="Times New Roman"/>
          <w:b/>
          <w:lang w:val="sr-Cyrl-CS"/>
        </w:rPr>
      </w:pPr>
    </w:p>
    <w:p w14:paraId="522C6D72" w14:textId="77777777" w:rsidR="006B2397" w:rsidRPr="00646254" w:rsidRDefault="006B2397" w:rsidP="008265F0">
      <w:pPr>
        <w:spacing w:after="0" w:line="256" w:lineRule="auto"/>
        <w:jc w:val="left"/>
        <w:rPr>
          <w:rFonts w:ascii="Calibri" w:eastAsia="Calibri" w:hAnsi="Calibri" w:cs="Times New Roman"/>
          <w:b/>
          <w:lang w:val="sr-Cyrl-CS"/>
        </w:rPr>
      </w:pPr>
    </w:p>
    <w:p w14:paraId="0D6F8D94" w14:textId="77777777" w:rsidR="006B2397" w:rsidRPr="00646254" w:rsidRDefault="006B2397" w:rsidP="008265F0">
      <w:pPr>
        <w:spacing w:after="0" w:line="256" w:lineRule="auto"/>
        <w:jc w:val="left"/>
        <w:rPr>
          <w:rFonts w:ascii="Calibri" w:eastAsia="Calibri" w:hAnsi="Calibri" w:cs="Times New Roman"/>
          <w:b/>
          <w:lang w:val="sr-Cyrl-CS"/>
        </w:rPr>
        <w:sectPr w:rsidR="006B2397" w:rsidRPr="00646254">
          <w:type w:val="continuous"/>
          <w:pgSz w:w="12240" w:h="15840"/>
          <w:pgMar w:top="1440" w:right="1440" w:bottom="1440" w:left="1440" w:header="720" w:footer="720" w:gutter="0"/>
          <w:cols w:num="2" w:space="720"/>
        </w:sectPr>
      </w:pPr>
    </w:p>
    <w:p w14:paraId="0B970E1B" w14:textId="77777777" w:rsidR="006B2397" w:rsidRPr="00646254" w:rsidRDefault="006B2397" w:rsidP="00BA266B">
      <w:pPr>
        <w:spacing w:line="256" w:lineRule="auto"/>
        <w:rPr>
          <w:rFonts w:ascii="Calibri" w:eastAsia="Calibri" w:hAnsi="Calibri" w:cs="Times New Roman"/>
          <w:b/>
          <w:color w:val="002060"/>
          <w:lang w:val="sr-Cyrl-CS"/>
        </w:rPr>
      </w:pPr>
    </w:p>
    <w:p w14:paraId="3D04E326" w14:textId="77777777" w:rsidR="006B2397" w:rsidRPr="00646254" w:rsidRDefault="006B2397" w:rsidP="008265F0">
      <w:pPr>
        <w:spacing w:line="256" w:lineRule="auto"/>
        <w:jc w:val="center"/>
        <w:rPr>
          <w:rFonts w:ascii="Calibri" w:eastAsia="Calibri" w:hAnsi="Calibri" w:cs="Times New Roman"/>
          <w:b/>
          <w:color w:val="002060"/>
          <w:lang w:val="sr-Cyrl-CS"/>
        </w:rPr>
      </w:pPr>
      <w:r w:rsidRPr="00646254">
        <w:rPr>
          <w:rFonts w:ascii="Calibri" w:eastAsia="Calibri" w:hAnsi="Calibri" w:cs="Times New Roman"/>
          <w:b/>
          <w:color w:val="002060"/>
          <w:lang w:val="sr-Cyrl-CS"/>
        </w:rPr>
        <w:t>Табела 25. Пројекције отплате камата и главница до 2024. године</w:t>
      </w:r>
      <w:r w:rsidRPr="00646254">
        <w:rPr>
          <w:rFonts w:ascii="Calibri" w:eastAsia="Calibri" w:hAnsi="Calibri" w:cs="Times New Roman"/>
          <w:color w:val="002060"/>
          <w:lang w:val="sr-Cyrl-CS"/>
        </w:rPr>
        <w:t xml:space="preserve"> </w:t>
      </w:r>
      <w:r w:rsidRPr="00646254">
        <w:rPr>
          <w:rFonts w:ascii="Calibri" w:eastAsia="Calibri" w:hAnsi="Calibri" w:cs="Times New Roman"/>
          <w:b/>
          <w:color w:val="002060"/>
          <w:lang w:val="sr-Cyrl-CS"/>
        </w:rPr>
        <w:t>(млрд динара)</w:t>
      </w:r>
    </w:p>
    <w:tbl>
      <w:tblPr>
        <w:tblStyle w:val="LightShading-Accent1222"/>
        <w:tblW w:w="5000" w:type="pct"/>
        <w:tblInd w:w="0" w:type="dxa"/>
        <w:tblLook w:val="0420" w:firstRow="1" w:lastRow="0" w:firstColumn="0" w:lastColumn="0" w:noHBand="0" w:noVBand="1"/>
      </w:tblPr>
      <w:tblGrid>
        <w:gridCol w:w="4937"/>
        <w:gridCol w:w="1105"/>
        <w:gridCol w:w="1106"/>
        <w:gridCol w:w="1106"/>
        <w:gridCol w:w="1106"/>
      </w:tblGrid>
      <w:tr w:rsidR="006B2397" w:rsidRPr="00646254" w14:paraId="021BA95C" w14:textId="77777777" w:rsidTr="008265F0">
        <w:trPr>
          <w:cnfStyle w:val="100000000000" w:firstRow="1" w:lastRow="0" w:firstColumn="0" w:lastColumn="0" w:oddVBand="0" w:evenVBand="0" w:oddHBand="0" w:evenHBand="0" w:firstRowFirstColumn="0" w:firstRowLastColumn="0" w:lastRowFirstColumn="0" w:lastRowLastColumn="0"/>
          <w:trHeight w:val="93"/>
        </w:trPr>
        <w:tc>
          <w:tcPr>
            <w:tcW w:w="2637" w:type="pct"/>
            <w:tcBorders>
              <w:top w:val="single" w:sz="4" w:space="0" w:color="002060"/>
              <w:bottom w:val="single" w:sz="4" w:space="0" w:color="FFFFFF" w:themeColor="background1"/>
            </w:tcBorders>
            <w:noWrap/>
            <w:hideMark/>
          </w:tcPr>
          <w:p w14:paraId="7F8AEB43" w14:textId="77777777" w:rsidR="006B2397" w:rsidRPr="00646254" w:rsidRDefault="006B2397" w:rsidP="008265F0">
            <w:pPr>
              <w:rPr>
                <w:rFonts w:ascii="Calibri" w:eastAsia="Times New Roman" w:hAnsi="Calibri" w:cs="Calibri"/>
                <w:color w:val="002060"/>
                <w:sz w:val="18"/>
                <w:szCs w:val="18"/>
                <w:lang w:val="sr-Cyrl-CS" w:eastAsia="ja-JP"/>
              </w:rPr>
            </w:pPr>
            <w:r w:rsidRPr="00646254">
              <w:rPr>
                <w:rFonts w:ascii="Calibri" w:eastAsia="Times New Roman" w:hAnsi="Calibri" w:cs="Calibri"/>
                <w:color w:val="002060"/>
                <w:sz w:val="18"/>
                <w:szCs w:val="18"/>
                <w:lang w:val="sr-Cyrl-CS" w:eastAsia="ja-JP"/>
              </w:rPr>
              <w:t> </w:t>
            </w:r>
          </w:p>
        </w:tc>
        <w:tc>
          <w:tcPr>
            <w:tcW w:w="590" w:type="pct"/>
            <w:tcBorders>
              <w:top w:val="single" w:sz="4" w:space="0" w:color="002060"/>
              <w:bottom w:val="single" w:sz="4" w:space="0" w:color="002060"/>
            </w:tcBorders>
            <w:noWrap/>
            <w:hideMark/>
          </w:tcPr>
          <w:p w14:paraId="0F706DF7" w14:textId="77777777" w:rsidR="006B2397" w:rsidRPr="00646254" w:rsidRDefault="006B2397" w:rsidP="008265F0">
            <w:pPr>
              <w:jc w:val="right"/>
              <w:rPr>
                <w:rFonts w:ascii="Calibri" w:hAnsi="Calibri" w:cs="Calibri"/>
                <w:color w:val="002060"/>
                <w:sz w:val="18"/>
                <w:szCs w:val="18"/>
                <w:lang w:val="sr-Cyrl-CS"/>
              </w:rPr>
            </w:pPr>
            <w:r w:rsidRPr="00646254">
              <w:rPr>
                <w:rFonts w:ascii="Calibri" w:hAnsi="Calibri" w:cs="Calibri"/>
                <w:color w:val="002060"/>
                <w:sz w:val="18"/>
                <w:szCs w:val="18"/>
                <w:lang w:val="sr-Cyrl-CS"/>
              </w:rPr>
              <w:t>2021 п</w:t>
            </w:r>
          </w:p>
        </w:tc>
        <w:tc>
          <w:tcPr>
            <w:tcW w:w="591" w:type="pct"/>
            <w:tcBorders>
              <w:top w:val="single" w:sz="4" w:space="0" w:color="002060"/>
              <w:bottom w:val="single" w:sz="4" w:space="0" w:color="002060"/>
            </w:tcBorders>
            <w:noWrap/>
            <w:hideMark/>
          </w:tcPr>
          <w:p w14:paraId="673763AF" w14:textId="77777777" w:rsidR="006B2397" w:rsidRPr="00646254" w:rsidRDefault="006B2397" w:rsidP="008265F0">
            <w:pPr>
              <w:jc w:val="right"/>
              <w:rPr>
                <w:rFonts w:ascii="Calibri" w:hAnsi="Calibri" w:cs="Calibri"/>
                <w:color w:val="002060"/>
                <w:sz w:val="18"/>
                <w:szCs w:val="18"/>
                <w:lang w:val="sr-Cyrl-CS"/>
              </w:rPr>
            </w:pPr>
            <w:r w:rsidRPr="00646254">
              <w:rPr>
                <w:rFonts w:ascii="Calibri" w:hAnsi="Calibri" w:cs="Calibri"/>
                <w:color w:val="002060"/>
                <w:sz w:val="18"/>
                <w:szCs w:val="18"/>
                <w:lang w:val="sr-Cyrl-CS"/>
              </w:rPr>
              <w:t>2022 п</w:t>
            </w:r>
          </w:p>
        </w:tc>
        <w:tc>
          <w:tcPr>
            <w:tcW w:w="591" w:type="pct"/>
            <w:tcBorders>
              <w:top w:val="single" w:sz="4" w:space="0" w:color="002060"/>
              <w:bottom w:val="single" w:sz="4" w:space="0" w:color="002060"/>
            </w:tcBorders>
            <w:noWrap/>
            <w:hideMark/>
          </w:tcPr>
          <w:p w14:paraId="52F8314D" w14:textId="77777777" w:rsidR="006B2397" w:rsidRPr="00646254" w:rsidRDefault="006B2397" w:rsidP="008265F0">
            <w:pPr>
              <w:jc w:val="right"/>
              <w:rPr>
                <w:rFonts w:ascii="Calibri" w:hAnsi="Calibri" w:cs="Calibri"/>
                <w:color w:val="002060"/>
                <w:sz w:val="18"/>
                <w:szCs w:val="18"/>
                <w:lang w:val="sr-Cyrl-CS"/>
              </w:rPr>
            </w:pPr>
            <w:r w:rsidRPr="00646254">
              <w:rPr>
                <w:rFonts w:ascii="Calibri" w:hAnsi="Calibri" w:cs="Calibri"/>
                <w:color w:val="002060"/>
                <w:sz w:val="18"/>
                <w:szCs w:val="18"/>
                <w:lang w:val="sr-Cyrl-CS"/>
              </w:rPr>
              <w:t>2023 п</w:t>
            </w:r>
          </w:p>
        </w:tc>
        <w:tc>
          <w:tcPr>
            <w:tcW w:w="591" w:type="pct"/>
            <w:tcBorders>
              <w:top w:val="single" w:sz="4" w:space="0" w:color="002060"/>
              <w:bottom w:val="single" w:sz="4" w:space="0" w:color="002060"/>
            </w:tcBorders>
            <w:noWrap/>
            <w:hideMark/>
          </w:tcPr>
          <w:p w14:paraId="16883310" w14:textId="77777777" w:rsidR="006B2397" w:rsidRPr="00646254" w:rsidRDefault="006B2397" w:rsidP="008265F0">
            <w:pPr>
              <w:jc w:val="right"/>
              <w:rPr>
                <w:rFonts w:ascii="Calibri" w:hAnsi="Calibri" w:cs="Calibri"/>
                <w:color w:val="002060"/>
                <w:sz w:val="18"/>
                <w:szCs w:val="18"/>
                <w:lang w:val="sr-Cyrl-CS"/>
              </w:rPr>
            </w:pPr>
            <w:r w:rsidRPr="00646254">
              <w:rPr>
                <w:rFonts w:ascii="Calibri" w:hAnsi="Calibri" w:cs="Calibri"/>
                <w:color w:val="002060"/>
                <w:sz w:val="18"/>
                <w:szCs w:val="18"/>
                <w:lang w:val="sr-Cyrl-CS"/>
              </w:rPr>
              <w:t>2024 п</w:t>
            </w:r>
          </w:p>
        </w:tc>
      </w:tr>
      <w:tr w:rsidR="006B2397" w:rsidRPr="00646254" w14:paraId="35D3209D" w14:textId="77777777" w:rsidTr="001D4D24">
        <w:trPr>
          <w:cnfStyle w:val="000000100000" w:firstRow="0" w:lastRow="0" w:firstColumn="0" w:lastColumn="0" w:oddVBand="0" w:evenVBand="0" w:oddHBand="1" w:evenHBand="0" w:firstRowFirstColumn="0" w:firstRowLastColumn="0" w:lastRowFirstColumn="0" w:lastRowLastColumn="0"/>
          <w:trHeight w:val="253"/>
        </w:trPr>
        <w:tc>
          <w:tcPr>
            <w:tcW w:w="2637" w:type="pct"/>
            <w:tcBorders>
              <w:top w:val="single" w:sz="4" w:space="0" w:color="FFFFFF" w:themeColor="background1"/>
              <w:bottom w:val="nil"/>
            </w:tcBorders>
            <w:shd w:val="clear" w:color="auto" w:fill="E7E6E6" w:themeFill="background2"/>
            <w:noWrap/>
            <w:hideMark/>
          </w:tcPr>
          <w:p w14:paraId="7A3CD8E7" w14:textId="77777777" w:rsidR="006B2397" w:rsidRPr="00646254" w:rsidRDefault="006B2397" w:rsidP="00BA266B">
            <w:pPr>
              <w:spacing w:line="240" w:lineRule="auto"/>
              <w:rPr>
                <w:rFonts w:ascii="Calibri" w:hAnsi="Calibri" w:cs="Calibri"/>
                <w:color w:val="002060"/>
                <w:sz w:val="18"/>
                <w:szCs w:val="18"/>
                <w:lang w:val="sr-Cyrl-CS"/>
              </w:rPr>
            </w:pPr>
            <w:r w:rsidRPr="00646254">
              <w:rPr>
                <w:rFonts w:ascii="Calibri" w:hAnsi="Calibri" w:cs="Calibri"/>
                <w:bCs/>
                <w:color w:val="002060"/>
                <w:sz w:val="18"/>
                <w:szCs w:val="18"/>
                <w:lang w:val="sr-Cyrl-CS"/>
              </w:rPr>
              <w:t>Главница</w:t>
            </w:r>
          </w:p>
        </w:tc>
        <w:tc>
          <w:tcPr>
            <w:tcW w:w="590" w:type="pct"/>
            <w:tcBorders>
              <w:top w:val="single" w:sz="4" w:space="0" w:color="002060"/>
              <w:bottom w:val="nil"/>
            </w:tcBorders>
            <w:shd w:val="clear" w:color="auto" w:fill="E7E6E6" w:themeFill="background2"/>
            <w:noWrap/>
            <w:hideMark/>
          </w:tcPr>
          <w:p w14:paraId="0B5A15C0" w14:textId="77777777" w:rsidR="006B2397" w:rsidRPr="00646254" w:rsidRDefault="006B2397" w:rsidP="00BA266B">
            <w:pPr>
              <w:spacing w:line="240" w:lineRule="auto"/>
              <w:jc w:val="right"/>
              <w:rPr>
                <w:rFonts w:ascii="Calibri" w:hAnsi="Calibri" w:cs="Calibri"/>
                <w:bCs/>
                <w:color w:val="002060"/>
                <w:sz w:val="18"/>
                <w:szCs w:val="18"/>
                <w:lang w:val="sr-Cyrl-CS"/>
              </w:rPr>
            </w:pPr>
            <w:r w:rsidRPr="00646254">
              <w:rPr>
                <w:rFonts w:ascii="Calibri" w:hAnsi="Calibri" w:cs="Calibri"/>
                <w:bCs/>
                <w:color w:val="002060"/>
                <w:sz w:val="18"/>
                <w:szCs w:val="18"/>
                <w:lang w:val="sr-Cyrl-CS"/>
              </w:rPr>
              <w:t>325,6</w:t>
            </w:r>
          </w:p>
        </w:tc>
        <w:tc>
          <w:tcPr>
            <w:tcW w:w="591" w:type="pct"/>
            <w:tcBorders>
              <w:top w:val="single" w:sz="4" w:space="0" w:color="002060"/>
              <w:bottom w:val="nil"/>
            </w:tcBorders>
            <w:shd w:val="clear" w:color="auto" w:fill="E7E6E6" w:themeFill="background2"/>
            <w:noWrap/>
            <w:hideMark/>
          </w:tcPr>
          <w:p w14:paraId="1A012CA9" w14:textId="77777777" w:rsidR="006B2397" w:rsidRPr="00646254" w:rsidRDefault="006B2397" w:rsidP="00BA266B">
            <w:pPr>
              <w:spacing w:line="240" w:lineRule="auto"/>
              <w:jc w:val="right"/>
              <w:rPr>
                <w:rFonts w:ascii="Calibri" w:hAnsi="Calibri" w:cs="Calibri"/>
                <w:bCs/>
                <w:color w:val="002060"/>
                <w:sz w:val="18"/>
                <w:szCs w:val="18"/>
                <w:lang w:val="sr-Cyrl-CS"/>
              </w:rPr>
            </w:pPr>
            <w:r w:rsidRPr="00646254">
              <w:rPr>
                <w:rFonts w:ascii="Calibri" w:hAnsi="Calibri" w:cs="Calibri"/>
                <w:bCs/>
                <w:color w:val="002060"/>
                <w:sz w:val="18"/>
                <w:szCs w:val="18"/>
                <w:lang w:val="sr-Cyrl-CS"/>
              </w:rPr>
              <w:t>429,4</w:t>
            </w:r>
          </w:p>
        </w:tc>
        <w:tc>
          <w:tcPr>
            <w:tcW w:w="591" w:type="pct"/>
            <w:tcBorders>
              <w:top w:val="single" w:sz="4" w:space="0" w:color="002060"/>
              <w:bottom w:val="nil"/>
            </w:tcBorders>
            <w:shd w:val="clear" w:color="auto" w:fill="E7E6E6" w:themeFill="background2"/>
            <w:noWrap/>
            <w:hideMark/>
          </w:tcPr>
          <w:p w14:paraId="3A1B14EE" w14:textId="77777777" w:rsidR="006B2397" w:rsidRPr="00646254" w:rsidRDefault="006B2397" w:rsidP="00BA266B">
            <w:pPr>
              <w:spacing w:line="240" w:lineRule="auto"/>
              <w:jc w:val="right"/>
              <w:rPr>
                <w:rFonts w:ascii="Calibri" w:hAnsi="Calibri" w:cs="Calibri"/>
                <w:bCs/>
                <w:color w:val="002060"/>
                <w:sz w:val="18"/>
                <w:szCs w:val="18"/>
                <w:lang w:val="sr-Cyrl-CS"/>
              </w:rPr>
            </w:pPr>
            <w:r w:rsidRPr="00646254">
              <w:rPr>
                <w:rFonts w:ascii="Calibri" w:hAnsi="Calibri" w:cs="Calibri"/>
                <w:bCs/>
                <w:color w:val="002060"/>
                <w:sz w:val="18"/>
                <w:szCs w:val="18"/>
                <w:lang w:val="sr-Cyrl-CS"/>
              </w:rPr>
              <w:t>490,1</w:t>
            </w:r>
          </w:p>
        </w:tc>
        <w:tc>
          <w:tcPr>
            <w:tcW w:w="591" w:type="pct"/>
            <w:tcBorders>
              <w:top w:val="single" w:sz="4" w:space="0" w:color="002060"/>
              <w:bottom w:val="nil"/>
            </w:tcBorders>
            <w:shd w:val="clear" w:color="auto" w:fill="E7E6E6" w:themeFill="background2"/>
            <w:noWrap/>
            <w:hideMark/>
          </w:tcPr>
          <w:p w14:paraId="3BFEB784" w14:textId="77777777" w:rsidR="006B2397" w:rsidRPr="00646254" w:rsidRDefault="006B2397" w:rsidP="00BA266B">
            <w:pPr>
              <w:spacing w:line="240" w:lineRule="auto"/>
              <w:jc w:val="right"/>
              <w:rPr>
                <w:rFonts w:ascii="Calibri" w:hAnsi="Calibri" w:cs="Calibri"/>
                <w:bCs/>
                <w:color w:val="002060"/>
                <w:sz w:val="18"/>
                <w:szCs w:val="18"/>
                <w:lang w:val="sr-Cyrl-CS"/>
              </w:rPr>
            </w:pPr>
            <w:r w:rsidRPr="00646254">
              <w:rPr>
                <w:rFonts w:ascii="Calibri" w:hAnsi="Calibri" w:cs="Calibri"/>
                <w:bCs/>
                <w:color w:val="002060"/>
                <w:sz w:val="18"/>
                <w:szCs w:val="18"/>
                <w:lang w:val="sr-Cyrl-CS"/>
              </w:rPr>
              <w:t>413,3</w:t>
            </w:r>
          </w:p>
        </w:tc>
      </w:tr>
      <w:tr w:rsidR="006B2397" w:rsidRPr="00646254" w14:paraId="336F0FF3" w14:textId="77777777" w:rsidTr="008265F0">
        <w:trPr>
          <w:trHeight w:val="93"/>
        </w:trPr>
        <w:tc>
          <w:tcPr>
            <w:tcW w:w="2637" w:type="pct"/>
            <w:tcBorders>
              <w:top w:val="nil"/>
              <w:left w:val="nil"/>
              <w:bottom w:val="nil"/>
              <w:right w:val="nil"/>
            </w:tcBorders>
            <w:noWrap/>
            <w:hideMark/>
          </w:tcPr>
          <w:p w14:paraId="7F9702D2" w14:textId="77777777" w:rsidR="006B2397" w:rsidRPr="00646254" w:rsidRDefault="006B2397" w:rsidP="00BA266B">
            <w:pPr>
              <w:spacing w:line="240" w:lineRule="auto"/>
              <w:rPr>
                <w:rFonts w:ascii="Calibri" w:hAnsi="Calibri" w:cs="Calibri"/>
                <w:bCs/>
                <w:color w:val="002060"/>
                <w:sz w:val="18"/>
                <w:szCs w:val="18"/>
                <w:lang w:val="sr-Cyrl-CS"/>
              </w:rPr>
            </w:pPr>
            <w:r w:rsidRPr="00646254">
              <w:rPr>
                <w:rFonts w:ascii="Calibri" w:hAnsi="Calibri" w:cs="Calibri"/>
                <w:bCs/>
                <w:color w:val="002060"/>
                <w:sz w:val="18"/>
                <w:szCs w:val="18"/>
                <w:lang w:val="sr-Cyrl-CS"/>
              </w:rPr>
              <w:t>Камата</w:t>
            </w:r>
          </w:p>
        </w:tc>
        <w:tc>
          <w:tcPr>
            <w:tcW w:w="590" w:type="pct"/>
            <w:tcBorders>
              <w:top w:val="nil"/>
              <w:left w:val="nil"/>
              <w:bottom w:val="nil"/>
              <w:right w:val="nil"/>
            </w:tcBorders>
            <w:noWrap/>
            <w:hideMark/>
          </w:tcPr>
          <w:p w14:paraId="5F541FAF" w14:textId="77777777" w:rsidR="006B2397" w:rsidRPr="00646254" w:rsidRDefault="006B2397" w:rsidP="00BA266B">
            <w:pPr>
              <w:spacing w:line="240" w:lineRule="auto"/>
              <w:jc w:val="right"/>
              <w:rPr>
                <w:rFonts w:ascii="Calibri" w:hAnsi="Calibri" w:cs="Calibri"/>
                <w:bCs/>
                <w:color w:val="002060"/>
                <w:sz w:val="18"/>
                <w:szCs w:val="18"/>
                <w:lang w:val="sr-Cyrl-CS"/>
              </w:rPr>
            </w:pPr>
            <w:r w:rsidRPr="00646254">
              <w:rPr>
                <w:rFonts w:ascii="Calibri" w:hAnsi="Calibri" w:cs="Calibri"/>
                <w:bCs/>
                <w:color w:val="002060"/>
                <w:sz w:val="18"/>
                <w:szCs w:val="18"/>
                <w:lang w:val="sr-Cyrl-CS"/>
              </w:rPr>
              <w:t>111,2</w:t>
            </w:r>
          </w:p>
        </w:tc>
        <w:tc>
          <w:tcPr>
            <w:tcW w:w="591" w:type="pct"/>
            <w:tcBorders>
              <w:top w:val="nil"/>
              <w:left w:val="nil"/>
              <w:bottom w:val="nil"/>
              <w:right w:val="nil"/>
            </w:tcBorders>
            <w:noWrap/>
            <w:hideMark/>
          </w:tcPr>
          <w:p w14:paraId="39505DE8" w14:textId="77777777" w:rsidR="006B2397" w:rsidRPr="00646254" w:rsidRDefault="006B2397" w:rsidP="00BA266B">
            <w:pPr>
              <w:spacing w:line="240" w:lineRule="auto"/>
              <w:jc w:val="right"/>
              <w:rPr>
                <w:rFonts w:ascii="Calibri" w:hAnsi="Calibri" w:cs="Calibri"/>
                <w:bCs/>
                <w:color w:val="002060"/>
                <w:sz w:val="18"/>
                <w:szCs w:val="18"/>
                <w:lang w:val="sr-Cyrl-CS"/>
              </w:rPr>
            </w:pPr>
            <w:r w:rsidRPr="00646254">
              <w:rPr>
                <w:rFonts w:ascii="Calibri" w:hAnsi="Calibri" w:cs="Calibri"/>
                <w:bCs/>
                <w:color w:val="002060"/>
                <w:sz w:val="18"/>
                <w:szCs w:val="18"/>
                <w:lang w:val="sr-Cyrl-CS"/>
              </w:rPr>
              <w:t>115,8</w:t>
            </w:r>
          </w:p>
        </w:tc>
        <w:tc>
          <w:tcPr>
            <w:tcW w:w="591" w:type="pct"/>
            <w:tcBorders>
              <w:top w:val="nil"/>
              <w:left w:val="nil"/>
              <w:bottom w:val="nil"/>
              <w:right w:val="nil"/>
            </w:tcBorders>
            <w:noWrap/>
            <w:hideMark/>
          </w:tcPr>
          <w:p w14:paraId="5B2F653F" w14:textId="77777777" w:rsidR="006B2397" w:rsidRPr="00646254" w:rsidRDefault="006B2397" w:rsidP="00BA266B">
            <w:pPr>
              <w:spacing w:line="240" w:lineRule="auto"/>
              <w:jc w:val="right"/>
              <w:rPr>
                <w:rFonts w:ascii="Calibri" w:hAnsi="Calibri" w:cs="Calibri"/>
                <w:bCs/>
                <w:color w:val="002060"/>
                <w:sz w:val="18"/>
                <w:szCs w:val="18"/>
                <w:lang w:val="sr-Cyrl-CS"/>
              </w:rPr>
            </w:pPr>
            <w:r w:rsidRPr="00646254">
              <w:rPr>
                <w:rFonts w:ascii="Calibri" w:hAnsi="Calibri" w:cs="Calibri"/>
                <w:bCs/>
                <w:color w:val="002060"/>
                <w:sz w:val="18"/>
                <w:szCs w:val="18"/>
                <w:lang w:val="sr-Cyrl-CS"/>
              </w:rPr>
              <w:t>123,2</w:t>
            </w:r>
          </w:p>
        </w:tc>
        <w:tc>
          <w:tcPr>
            <w:tcW w:w="591" w:type="pct"/>
            <w:tcBorders>
              <w:top w:val="nil"/>
              <w:left w:val="nil"/>
              <w:bottom w:val="nil"/>
              <w:right w:val="nil"/>
            </w:tcBorders>
            <w:noWrap/>
            <w:hideMark/>
          </w:tcPr>
          <w:p w14:paraId="444C052B" w14:textId="77777777" w:rsidR="006B2397" w:rsidRPr="00646254" w:rsidRDefault="006B2397" w:rsidP="00BA266B">
            <w:pPr>
              <w:spacing w:line="240" w:lineRule="auto"/>
              <w:jc w:val="right"/>
              <w:rPr>
                <w:rFonts w:ascii="Calibri" w:hAnsi="Calibri" w:cs="Calibri"/>
                <w:bCs/>
                <w:color w:val="002060"/>
                <w:sz w:val="18"/>
                <w:szCs w:val="18"/>
                <w:lang w:val="sr-Cyrl-CS"/>
              </w:rPr>
            </w:pPr>
            <w:r w:rsidRPr="00646254">
              <w:rPr>
                <w:rFonts w:ascii="Calibri" w:hAnsi="Calibri" w:cs="Calibri"/>
                <w:bCs/>
                <w:color w:val="002060"/>
                <w:sz w:val="18"/>
                <w:szCs w:val="18"/>
                <w:lang w:val="sr-Cyrl-CS"/>
              </w:rPr>
              <w:t>129,3</w:t>
            </w:r>
          </w:p>
        </w:tc>
      </w:tr>
      <w:tr w:rsidR="006B2397" w:rsidRPr="00646254" w14:paraId="7F9155F9" w14:textId="77777777" w:rsidTr="001D4D24">
        <w:trPr>
          <w:cnfStyle w:val="000000100000" w:firstRow="0" w:lastRow="0" w:firstColumn="0" w:lastColumn="0" w:oddVBand="0" w:evenVBand="0" w:oddHBand="1" w:evenHBand="0" w:firstRowFirstColumn="0" w:firstRowLastColumn="0" w:lastRowFirstColumn="0" w:lastRowLastColumn="0"/>
          <w:trHeight w:val="93"/>
        </w:trPr>
        <w:tc>
          <w:tcPr>
            <w:tcW w:w="2637" w:type="pct"/>
            <w:tcBorders>
              <w:top w:val="nil"/>
              <w:bottom w:val="nil"/>
            </w:tcBorders>
            <w:shd w:val="clear" w:color="auto" w:fill="E7E6E6" w:themeFill="background2"/>
            <w:noWrap/>
            <w:hideMark/>
          </w:tcPr>
          <w:p w14:paraId="46C3A223" w14:textId="77777777" w:rsidR="006B2397" w:rsidRPr="00646254" w:rsidRDefault="006B2397" w:rsidP="00BA266B">
            <w:pPr>
              <w:spacing w:line="240" w:lineRule="auto"/>
              <w:rPr>
                <w:rFonts w:ascii="Calibri" w:hAnsi="Calibri" w:cs="Calibri"/>
                <w:color w:val="002060"/>
                <w:sz w:val="18"/>
                <w:szCs w:val="18"/>
                <w:lang w:val="sr-Cyrl-CS"/>
              </w:rPr>
            </w:pPr>
            <w:r w:rsidRPr="00646254">
              <w:rPr>
                <w:rFonts w:ascii="Calibri" w:hAnsi="Calibri" w:cs="Calibri"/>
                <w:bCs/>
                <w:color w:val="002060"/>
                <w:sz w:val="18"/>
                <w:szCs w:val="18"/>
                <w:lang w:val="sr-Cyrl-CS"/>
              </w:rPr>
              <w:t>Укупно</w:t>
            </w:r>
          </w:p>
        </w:tc>
        <w:tc>
          <w:tcPr>
            <w:tcW w:w="590" w:type="pct"/>
            <w:tcBorders>
              <w:top w:val="nil"/>
              <w:bottom w:val="nil"/>
            </w:tcBorders>
            <w:shd w:val="clear" w:color="auto" w:fill="E7E6E6" w:themeFill="background2"/>
            <w:noWrap/>
            <w:hideMark/>
          </w:tcPr>
          <w:p w14:paraId="5A2FEFC8" w14:textId="77777777" w:rsidR="006B2397" w:rsidRPr="00646254" w:rsidRDefault="006B2397" w:rsidP="00BA266B">
            <w:pPr>
              <w:spacing w:line="240" w:lineRule="auto"/>
              <w:jc w:val="right"/>
              <w:rPr>
                <w:rFonts w:ascii="Calibri" w:hAnsi="Calibri" w:cs="Calibri"/>
                <w:bCs/>
                <w:color w:val="002060"/>
                <w:sz w:val="18"/>
                <w:szCs w:val="18"/>
                <w:lang w:val="sr-Cyrl-CS"/>
              </w:rPr>
            </w:pPr>
            <w:r w:rsidRPr="00646254">
              <w:rPr>
                <w:rFonts w:ascii="Calibri" w:hAnsi="Calibri" w:cs="Calibri"/>
                <w:bCs/>
                <w:color w:val="002060"/>
                <w:sz w:val="18"/>
                <w:szCs w:val="18"/>
                <w:lang w:val="sr-Cyrl-CS"/>
              </w:rPr>
              <w:t>436,8</w:t>
            </w:r>
          </w:p>
        </w:tc>
        <w:tc>
          <w:tcPr>
            <w:tcW w:w="591" w:type="pct"/>
            <w:tcBorders>
              <w:top w:val="nil"/>
              <w:bottom w:val="nil"/>
            </w:tcBorders>
            <w:shd w:val="clear" w:color="auto" w:fill="E7E6E6" w:themeFill="background2"/>
            <w:noWrap/>
            <w:hideMark/>
          </w:tcPr>
          <w:p w14:paraId="7C0EA80A" w14:textId="77777777" w:rsidR="006B2397" w:rsidRPr="00646254" w:rsidRDefault="006B2397" w:rsidP="00BA266B">
            <w:pPr>
              <w:spacing w:line="240" w:lineRule="auto"/>
              <w:jc w:val="right"/>
              <w:rPr>
                <w:rFonts w:ascii="Calibri" w:hAnsi="Calibri" w:cs="Calibri"/>
                <w:bCs/>
                <w:color w:val="002060"/>
                <w:sz w:val="18"/>
                <w:szCs w:val="18"/>
                <w:lang w:val="sr-Cyrl-CS"/>
              </w:rPr>
            </w:pPr>
            <w:r w:rsidRPr="00646254">
              <w:rPr>
                <w:rFonts w:ascii="Calibri" w:hAnsi="Calibri" w:cs="Calibri"/>
                <w:bCs/>
                <w:color w:val="002060"/>
                <w:sz w:val="18"/>
                <w:szCs w:val="18"/>
                <w:lang w:val="sr-Cyrl-CS"/>
              </w:rPr>
              <w:t>545,2</w:t>
            </w:r>
          </w:p>
        </w:tc>
        <w:tc>
          <w:tcPr>
            <w:tcW w:w="591" w:type="pct"/>
            <w:tcBorders>
              <w:top w:val="nil"/>
              <w:bottom w:val="nil"/>
            </w:tcBorders>
            <w:shd w:val="clear" w:color="auto" w:fill="E7E6E6" w:themeFill="background2"/>
            <w:noWrap/>
            <w:hideMark/>
          </w:tcPr>
          <w:p w14:paraId="59518669" w14:textId="77777777" w:rsidR="006B2397" w:rsidRPr="00646254" w:rsidRDefault="006B2397" w:rsidP="00BA266B">
            <w:pPr>
              <w:spacing w:line="240" w:lineRule="auto"/>
              <w:jc w:val="right"/>
              <w:rPr>
                <w:rFonts w:ascii="Calibri" w:hAnsi="Calibri" w:cs="Calibri"/>
                <w:bCs/>
                <w:color w:val="002060"/>
                <w:sz w:val="18"/>
                <w:szCs w:val="18"/>
                <w:lang w:val="sr-Cyrl-CS"/>
              </w:rPr>
            </w:pPr>
            <w:r w:rsidRPr="00646254">
              <w:rPr>
                <w:rFonts w:ascii="Calibri" w:hAnsi="Calibri" w:cs="Calibri"/>
                <w:bCs/>
                <w:color w:val="002060"/>
                <w:sz w:val="18"/>
                <w:szCs w:val="18"/>
                <w:lang w:val="sr-Cyrl-CS"/>
              </w:rPr>
              <w:t>613,4</w:t>
            </w:r>
          </w:p>
        </w:tc>
        <w:tc>
          <w:tcPr>
            <w:tcW w:w="591" w:type="pct"/>
            <w:tcBorders>
              <w:top w:val="nil"/>
              <w:bottom w:val="nil"/>
            </w:tcBorders>
            <w:shd w:val="clear" w:color="auto" w:fill="E7E6E6" w:themeFill="background2"/>
            <w:noWrap/>
            <w:hideMark/>
          </w:tcPr>
          <w:p w14:paraId="279E50DF" w14:textId="77777777" w:rsidR="006B2397" w:rsidRPr="00646254" w:rsidRDefault="006B2397" w:rsidP="00BA266B">
            <w:pPr>
              <w:spacing w:line="240" w:lineRule="auto"/>
              <w:jc w:val="right"/>
              <w:rPr>
                <w:rFonts w:ascii="Calibri" w:hAnsi="Calibri" w:cs="Calibri"/>
                <w:bCs/>
                <w:color w:val="002060"/>
                <w:sz w:val="18"/>
                <w:szCs w:val="18"/>
                <w:lang w:val="sr-Cyrl-CS"/>
              </w:rPr>
            </w:pPr>
            <w:r w:rsidRPr="00646254">
              <w:rPr>
                <w:rFonts w:ascii="Calibri" w:hAnsi="Calibri" w:cs="Calibri"/>
                <w:bCs/>
                <w:color w:val="002060"/>
                <w:sz w:val="18"/>
                <w:szCs w:val="18"/>
                <w:lang w:val="sr-Cyrl-CS"/>
              </w:rPr>
              <w:t>542,6</w:t>
            </w:r>
          </w:p>
        </w:tc>
      </w:tr>
      <w:tr w:rsidR="006B2397" w:rsidRPr="00646254" w14:paraId="400F8B39" w14:textId="77777777" w:rsidTr="008265F0">
        <w:trPr>
          <w:trHeight w:val="93"/>
        </w:trPr>
        <w:tc>
          <w:tcPr>
            <w:tcW w:w="2637" w:type="pct"/>
            <w:tcBorders>
              <w:top w:val="nil"/>
              <w:left w:val="nil"/>
              <w:bottom w:val="single" w:sz="4" w:space="0" w:color="002060"/>
              <w:right w:val="nil"/>
            </w:tcBorders>
            <w:noWrap/>
            <w:hideMark/>
          </w:tcPr>
          <w:p w14:paraId="059C1EEE" w14:textId="77777777" w:rsidR="006B2397" w:rsidRPr="00646254" w:rsidRDefault="006B2397" w:rsidP="00BA266B">
            <w:pPr>
              <w:spacing w:line="240" w:lineRule="auto"/>
              <w:rPr>
                <w:rFonts w:ascii="Calibri" w:hAnsi="Calibri" w:cs="Calibri"/>
                <w:bCs/>
                <w:color w:val="002060"/>
                <w:sz w:val="18"/>
                <w:szCs w:val="18"/>
                <w:lang w:val="sr-Cyrl-CS"/>
              </w:rPr>
            </w:pPr>
            <w:r w:rsidRPr="00646254">
              <w:rPr>
                <w:rFonts w:ascii="Calibri" w:hAnsi="Calibri" w:cs="Calibri"/>
                <w:bCs/>
                <w:color w:val="002060"/>
                <w:sz w:val="18"/>
                <w:szCs w:val="18"/>
                <w:lang w:val="sr-Cyrl-CS"/>
              </w:rPr>
              <w:t xml:space="preserve"> У односу на јавни дуг на дан 31.8.2021. године</w:t>
            </w:r>
          </w:p>
        </w:tc>
        <w:tc>
          <w:tcPr>
            <w:tcW w:w="590" w:type="pct"/>
            <w:tcBorders>
              <w:top w:val="nil"/>
              <w:left w:val="nil"/>
              <w:bottom w:val="single" w:sz="4" w:space="0" w:color="002060"/>
              <w:right w:val="nil"/>
            </w:tcBorders>
            <w:noWrap/>
            <w:hideMark/>
          </w:tcPr>
          <w:p w14:paraId="515B5279" w14:textId="77777777" w:rsidR="006B2397" w:rsidRPr="00646254" w:rsidRDefault="006B2397" w:rsidP="00BA266B">
            <w:pPr>
              <w:spacing w:line="240" w:lineRule="auto"/>
              <w:jc w:val="right"/>
              <w:rPr>
                <w:rFonts w:ascii="Calibri" w:hAnsi="Calibri" w:cs="Calibri"/>
                <w:bCs/>
                <w:color w:val="002060"/>
                <w:sz w:val="18"/>
                <w:szCs w:val="18"/>
                <w:lang w:val="sr-Cyrl-CS"/>
              </w:rPr>
            </w:pPr>
            <w:r w:rsidRPr="00646254">
              <w:rPr>
                <w:rFonts w:ascii="Calibri" w:hAnsi="Calibri" w:cs="Calibri"/>
                <w:bCs/>
                <w:color w:val="002060"/>
                <w:sz w:val="18"/>
                <w:szCs w:val="18"/>
                <w:lang w:val="sr-Cyrl-CS"/>
              </w:rPr>
              <w:t>13,0%</w:t>
            </w:r>
          </w:p>
        </w:tc>
        <w:tc>
          <w:tcPr>
            <w:tcW w:w="591" w:type="pct"/>
            <w:tcBorders>
              <w:top w:val="nil"/>
              <w:left w:val="nil"/>
              <w:bottom w:val="single" w:sz="4" w:space="0" w:color="002060"/>
              <w:right w:val="nil"/>
            </w:tcBorders>
            <w:noWrap/>
            <w:hideMark/>
          </w:tcPr>
          <w:p w14:paraId="3777C6C5" w14:textId="77777777" w:rsidR="006B2397" w:rsidRPr="00646254" w:rsidRDefault="006B2397" w:rsidP="00BA266B">
            <w:pPr>
              <w:spacing w:line="240" w:lineRule="auto"/>
              <w:jc w:val="right"/>
              <w:rPr>
                <w:rFonts w:ascii="Calibri" w:hAnsi="Calibri" w:cs="Calibri"/>
                <w:bCs/>
                <w:color w:val="002060"/>
                <w:sz w:val="18"/>
                <w:szCs w:val="18"/>
                <w:lang w:val="sr-Cyrl-CS"/>
              </w:rPr>
            </w:pPr>
            <w:r w:rsidRPr="00646254">
              <w:rPr>
                <w:rFonts w:ascii="Calibri" w:hAnsi="Calibri" w:cs="Calibri"/>
                <w:bCs/>
                <w:color w:val="002060"/>
                <w:sz w:val="18"/>
                <w:szCs w:val="18"/>
                <w:lang w:val="sr-Cyrl-CS"/>
              </w:rPr>
              <w:t>16,3%</w:t>
            </w:r>
          </w:p>
        </w:tc>
        <w:tc>
          <w:tcPr>
            <w:tcW w:w="591" w:type="pct"/>
            <w:tcBorders>
              <w:top w:val="nil"/>
              <w:left w:val="nil"/>
              <w:bottom w:val="single" w:sz="4" w:space="0" w:color="002060"/>
              <w:right w:val="nil"/>
            </w:tcBorders>
            <w:noWrap/>
            <w:hideMark/>
          </w:tcPr>
          <w:p w14:paraId="0911531B" w14:textId="77777777" w:rsidR="006B2397" w:rsidRPr="00646254" w:rsidRDefault="006B2397" w:rsidP="00BA266B">
            <w:pPr>
              <w:spacing w:line="240" w:lineRule="auto"/>
              <w:jc w:val="right"/>
              <w:rPr>
                <w:rFonts w:ascii="Calibri" w:hAnsi="Calibri" w:cs="Calibri"/>
                <w:bCs/>
                <w:color w:val="002060"/>
                <w:sz w:val="18"/>
                <w:szCs w:val="18"/>
                <w:lang w:val="sr-Cyrl-CS"/>
              </w:rPr>
            </w:pPr>
            <w:r w:rsidRPr="00646254">
              <w:rPr>
                <w:rFonts w:ascii="Calibri" w:hAnsi="Calibri" w:cs="Calibri"/>
                <w:bCs/>
                <w:color w:val="002060"/>
                <w:sz w:val="18"/>
                <w:szCs w:val="18"/>
                <w:lang w:val="sr-Cyrl-CS"/>
              </w:rPr>
              <w:t>18,3%</w:t>
            </w:r>
          </w:p>
        </w:tc>
        <w:tc>
          <w:tcPr>
            <w:tcW w:w="591" w:type="pct"/>
            <w:tcBorders>
              <w:top w:val="nil"/>
              <w:left w:val="nil"/>
              <w:bottom w:val="single" w:sz="4" w:space="0" w:color="002060"/>
              <w:right w:val="nil"/>
            </w:tcBorders>
            <w:noWrap/>
            <w:hideMark/>
          </w:tcPr>
          <w:p w14:paraId="78ADD69F" w14:textId="77777777" w:rsidR="006B2397" w:rsidRPr="00646254" w:rsidRDefault="006B2397" w:rsidP="00BA266B">
            <w:pPr>
              <w:spacing w:line="240" w:lineRule="auto"/>
              <w:jc w:val="right"/>
              <w:rPr>
                <w:rFonts w:ascii="Calibri" w:hAnsi="Calibri" w:cs="Calibri"/>
                <w:bCs/>
                <w:color w:val="002060"/>
                <w:sz w:val="18"/>
                <w:szCs w:val="18"/>
                <w:lang w:val="sr-Cyrl-CS"/>
              </w:rPr>
            </w:pPr>
            <w:r w:rsidRPr="00646254">
              <w:rPr>
                <w:rFonts w:ascii="Calibri" w:hAnsi="Calibri" w:cs="Calibri"/>
                <w:bCs/>
                <w:color w:val="002060"/>
                <w:sz w:val="18"/>
                <w:szCs w:val="18"/>
                <w:lang w:val="sr-Cyrl-CS"/>
              </w:rPr>
              <w:t>16,2%</w:t>
            </w:r>
          </w:p>
        </w:tc>
      </w:tr>
    </w:tbl>
    <w:p w14:paraId="2F5CCE1E" w14:textId="6F912AEB" w:rsidR="006B2397" w:rsidRPr="00646254" w:rsidRDefault="006B2397" w:rsidP="008265F0">
      <w:pPr>
        <w:spacing w:after="240" w:line="240" w:lineRule="auto"/>
        <w:rPr>
          <w:rFonts w:ascii="Calibri" w:eastAsia="Calibri" w:hAnsi="Calibri" w:cs="Calibri"/>
          <w:bCs/>
          <w:sz w:val="18"/>
          <w:szCs w:val="18"/>
          <w:lang w:val="sr-Cyrl-CS"/>
        </w:rPr>
      </w:pPr>
    </w:p>
    <w:p w14:paraId="165C2885" w14:textId="77777777" w:rsidR="006B2397" w:rsidRPr="00646254" w:rsidRDefault="006B2397" w:rsidP="008265F0">
      <w:pPr>
        <w:spacing w:line="256" w:lineRule="auto"/>
        <w:jc w:val="center"/>
        <w:rPr>
          <w:rFonts w:ascii="Calibri" w:eastAsia="Calibri" w:hAnsi="Calibri" w:cs="Times New Roman"/>
          <w:b/>
          <w:color w:val="002060"/>
          <w:lang w:val="sr-Cyrl-CS"/>
        </w:rPr>
      </w:pPr>
      <w:r w:rsidRPr="00646254">
        <w:rPr>
          <w:rFonts w:ascii="Calibri" w:eastAsia="Calibri" w:hAnsi="Calibri" w:cs="Times New Roman"/>
          <w:b/>
          <w:color w:val="002060"/>
          <w:lang w:val="sr-Cyrl-CS"/>
        </w:rPr>
        <w:t>Табела 26. Пројекције отплате камата и главница до 2024. године (% БДП)</w:t>
      </w:r>
    </w:p>
    <w:tbl>
      <w:tblPr>
        <w:tblStyle w:val="LightShading-Accent1222"/>
        <w:tblW w:w="5000" w:type="pct"/>
        <w:tblInd w:w="0" w:type="dxa"/>
        <w:tblLook w:val="0420" w:firstRow="1" w:lastRow="0" w:firstColumn="0" w:lastColumn="0" w:noHBand="0" w:noVBand="1"/>
      </w:tblPr>
      <w:tblGrid>
        <w:gridCol w:w="4949"/>
        <w:gridCol w:w="1102"/>
        <w:gridCol w:w="1103"/>
        <w:gridCol w:w="1103"/>
        <w:gridCol w:w="1103"/>
      </w:tblGrid>
      <w:tr w:rsidR="006B2397" w:rsidRPr="00646254" w14:paraId="3D43DBE2" w14:textId="77777777" w:rsidTr="008265F0">
        <w:trPr>
          <w:cnfStyle w:val="100000000000" w:firstRow="1" w:lastRow="0" w:firstColumn="0" w:lastColumn="0" w:oddVBand="0" w:evenVBand="0" w:oddHBand="0" w:evenHBand="0" w:firstRowFirstColumn="0" w:firstRowLastColumn="0" w:lastRowFirstColumn="0" w:lastRowLastColumn="0"/>
          <w:trHeight w:val="22"/>
        </w:trPr>
        <w:tc>
          <w:tcPr>
            <w:tcW w:w="2644" w:type="pct"/>
            <w:tcBorders>
              <w:top w:val="single" w:sz="4" w:space="0" w:color="002060"/>
              <w:bottom w:val="single" w:sz="4" w:space="0" w:color="FFFFFF" w:themeColor="background1"/>
            </w:tcBorders>
            <w:noWrap/>
            <w:hideMark/>
          </w:tcPr>
          <w:p w14:paraId="688B4510" w14:textId="77777777" w:rsidR="006B2397" w:rsidRPr="00646254" w:rsidRDefault="006B2397" w:rsidP="008265F0">
            <w:pPr>
              <w:jc w:val="right"/>
              <w:rPr>
                <w:rFonts w:ascii="Calibri" w:hAnsi="Calibri" w:cs="Calibri"/>
                <w:color w:val="002060"/>
                <w:sz w:val="18"/>
                <w:szCs w:val="18"/>
                <w:lang w:val="sr-Cyrl-CS"/>
              </w:rPr>
            </w:pPr>
            <w:bookmarkStart w:id="48" w:name="_Hlk529257961"/>
            <w:r w:rsidRPr="00646254">
              <w:rPr>
                <w:rFonts w:ascii="Calibri" w:hAnsi="Calibri" w:cs="Calibri"/>
                <w:color w:val="002060"/>
                <w:sz w:val="18"/>
                <w:szCs w:val="18"/>
                <w:lang w:val="sr-Cyrl-CS"/>
              </w:rPr>
              <w:t> </w:t>
            </w:r>
          </w:p>
        </w:tc>
        <w:tc>
          <w:tcPr>
            <w:tcW w:w="589" w:type="pct"/>
            <w:tcBorders>
              <w:top w:val="single" w:sz="4" w:space="0" w:color="002060"/>
              <w:bottom w:val="single" w:sz="4" w:space="0" w:color="002060"/>
            </w:tcBorders>
            <w:noWrap/>
            <w:hideMark/>
          </w:tcPr>
          <w:p w14:paraId="41E57358" w14:textId="77777777" w:rsidR="006B2397" w:rsidRPr="00646254" w:rsidRDefault="006B2397" w:rsidP="008265F0">
            <w:pPr>
              <w:jc w:val="right"/>
              <w:rPr>
                <w:rFonts w:ascii="Calibri" w:hAnsi="Calibri" w:cs="Calibri"/>
                <w:color w:val="002060"/>
                <w:sz w:val="18"/>
                <w:szCs w:val="18"/>
                <w:lang w:val="sr-Cyrl-CS"/>
              </w:rPr>
            </w:pPr>
            <w:r w:rsidRPr="00646254">
              <w:rPr>
                <w:rFonts w:ascii="Calibri" w:hAnsi="Calibri" w:cs="Calibri"/>
                <w:color w:val="002060"/>
                <w:sz w:val="18"/>
                <w:szCs w:val="18"/>
                <w:lang w:val="sr-Cyrl-CS"/>
              </w:rPr>
              <w:t>2021 п</w:t>
            </w:r>
          </w:p>
        </w:tc>
        <w:tc>
          <w:tcPr>
            <w:tcW w:w="589" w:type="pct"/>
            <w:tcBorders>
              <w:top w:val="single" w:sz="4" w:space="0" w:color="002060"/>
              <w:bottom w:val="single" w:sz="4" w:space="0" w:color="002060"/>
            </w:tcBorders>
            <w:noWrap/>
            <w:hideMark/>
          </w:tcPr>
          <w:p w14:paraId="1A86CC77" w14:textId="77777777" w:rsidR="006B2397" w:rsidRPr="00646254" w:rsidRDefault="006B2397" w:rsidP="008265F0">
            <w:pPr>
              <w:jc w:val="right"/>
              <w:rPr>
                <w:rFonts w:ascii="Calibri" w:hAnsi="Calibri" w:cs="Calibri"/>
                <w:color w:val="002060"/>
                <w:sz w:val="18"/>
                <w:szCs w:val="18"/>
                <w:lang w:val="sr-Cyrl-CS"/>
              </w:rPr>
            </w:pPr>
            <w:r w:rsidRPr="00646254">
              <w:rPr>
                <w:rFonts w:ascii="Calibri" w:hAnsi="Calibri" w:cs="Calibri"/>
                <w:color w:val="002060"/>
                <w:sz w:val="18"/>
                <w:szCs w:val="18"/>
                <w:lang w:val="sr-Cyrl-CS"/>
              </w:rPr>
              <w:t>2022 п</w:t>
            </w:r>
          </w:p>
        </w:tc>
        <w:tc>
          <w:tcPr>
            <w:tcW w:w="589" w:type="pct"/>
            <w:tcBorders>
              <w:top w:val="single" w:sz="4" w:space="0" w:color="002060"/>
              <w:bottom w:val="single" w:sz="4" w:space="0" w:color="002060"/>
            </w:tcBorders>
            <w:noWrap/>
            <w:hideMark/>
          </w:tcPr>
          <w:p w14:paraId="405EAE5F" w14:textId="77777777" w:rsidR="006B2397" w:rsidRPr="00646254" w:rsidRDefault="006B2397" w:rsidP="008265F0">
            <w:pPr>
              <w:jc w:val="right"/>
              <w:rPr>
                <w:rFonts w:ascii="Calibri" w:hAnsi="Calibri" w:cs="Calibri"/>
                <w:color w:val="002060"/>
                <w:sz w:val="18"/>
                <w:szCs w:val="18"/>
                <w:lang w:val="sr-Cyrl-CS"/>
              </w:rPr>
            </w:pPr>
            <w:r w:rsidRPr="00646254">
              <w:rPr>
                <w:rFonts w:ascii="Calibri" w:hAnsi="Calibri" w:cs="Calibri"/>
                <w:color w:val="002060"/>
                <w:sz w:val="18"/>
                <w:szCs w:val="18"/>
                <w:lang w:val="sr-Cyrl-CS"/>
              </w:rPr>
              <w:t>2023 п</w:t>
            </w:r>
          </w:p>
        </w:tc>
        <w:tc>
          <w:tcPr>
            <w:tcW w:w="589" w:type="pct"/>
            <w:tcBorders>
              <w:top w:val="single" w:sz="4" w:space="0" w:color="002060"/>
              <w:bottom w:val="single" w:sz="4" w:space="0" w:color="002060"/>
            </w:tcBorders>
            <w:noWrap/>
            <w:hideMark/>
          </w:tcPr>
          <w:p w14:paraId="0B5454BF" w14:textId="77777777" w:rsidR="006B2397" w:rsidRPr="00646254" w:rsidRDefault="006B2397" w:rsidP="008265F0">
            <w:pPr>
              <w:jc w:val="right"/>
              <w:rPr>
                <w:rFonts w:ascii="Calibri" w:hAnsi="Calibri" w:cs="Calibri"/>
                <w:color w:val="002060"/>
                <w:sz w:val="18"/>
                <w:szCs w:val="18"/>
                <w:lang w:val="sr-Cyrl-CS"/>
              </w:rPr>
            </w:pPr>
            <w:r w:rsidRPr="00646254">
              <w:rPr>
                <w:rFonts w:ascii="Calibri" w:hAnsi="Calibri" w:cs="Calibri"/>
                <w:color w:val="002060"/>
                <w:sz w:val="18"/>
                <w:szCs w:val="18"/>
                <w:lang w:val="sr-Cyrl-CS"/>
              </w:rPr>
              <w:t>2024 п</w:t>
            </w:r>
          </w:p>
        </w:tc>
      </w:tr>
      <w:tr w:rsidR="006B2397" w:rsidRPr="00646254" w14:paraId="3CB85679" w14:textId="77777777" w:rsidTr="001D4D24">
        <w:trPr>
          <w:cnfStyle w:val="000000100000" w:firstRow="0" w:lastRow="0" w:firstColumn="0" w:lastColumn="0" w:oddVBand="0" w:evenVBand="0" w:oddHBand="1" w:evenHBand="0" w:firstRowFirstColumn="0" w:firstRowLastColumn="0" w:lastRowFirstColumn="0" w:lastRowLastColumn="0"/>
          <w:trHeight w:val="22"/>
        </w:trPr>
        <w:tc>
          <w:tcPr>
            <w:tcW w:w="2644" w:type="pct"/>
            <w:tcBorders>
              <w:top w:val="nil"/>
              <w:bottom w:val="nil"/>
            </w:tcBorders>
            <w:shd w:val="clear" w:color="auto" w:fill="E7E6E6" w:themeFill="background2"/>
            <w:noWrap/>
            <w:hideMark/>
          </w:tcPr>
          <w:p w14:paraId="6F57454A" w14:textId="77777777" w:rsidR="006B2397" w:rsidRPr="00646254" w:rsidRDefault="006B2397" w:rsidP="00BA266B">
            <w:pPr>
              <w:spacing w:line="240" w:lineRule="auto"/>
              <w:rPr>
                <w:rFonts w:ascii="Calibri" w:hAnsi="Calibri" w:cs="Calibri"/>
                <w:bCs/>
                <w:color w:val="002060"/>
                <w:sz w:val="18"/>
                <w:szCs w:val="18"/>
                <w:lang w:val="sr-Cyrl-CS"/>
              </w:rPr>
            </w:pPr>
            <w:r w:rsidRPr="00646254">
              <w:rPr>
                <w:rFonts w:ascii="Calibri" w:hAnsi="Calibri" w:cs="Calibri"/>
                <w:bCs/>
                <w:color w:val="002060"/>
                <w:sz w:val="18"/>
                <w:szCs w:val="18"/>
                <w:lang w:val="sr-Cyrl-CS"/>
              </w:rPr>
              <w:t>Главница</w:t>
            </w:r>
          </w:p>
        </w:tc>
        <w:tc>
          <w:tcPr>
            <w:tcW w:w="589" w:type="pct"/>
            <w:tcBorders>
              <w:top w:val="nil"/>
              <w:bottom w:val="nil"/>
            </w:tcBorders>
            <w:shd w:val="clear" w:color="auto" w:fill="E7E6E6" w:themeFill="background2"/>
            <w:noWrap/>
            <w:hideMark/>
          </w:tcPr>
          <w:p w14:paraId="020A2012" w14:textId="77777777" w:rsidR="006B2397" w:rsidRPr="00646254" w:rsidRDefault="006B2397" w:rsidP="00BA266B">
            <w:pPr>
              <w:spacing w:line="240" w:lineRule="auto"/>
              <w:jc w:val="right"/>
              <w:rPr>
                <w:rFonts w:ascii="Calibri" w:hAnsi="Calibri" w:cs="Calibri"/>
                <w:bCs/>
                <w:color w:val="002060"/>
                <w:sz w:val="18"/>
                <w:szCs w:val="18"/>
                <w:lang w:val="sr-Cyrl-CS"/>
              </w:rPr>
            </w:pPr>
            <w:r w:rsidRPr="00646254">
              <w:rPr>
                <w:rFonts w:ascii="Calibri" w:hAnsi="Calibri" w:cs="Calibri"/>
                <w:bCs/>
                <w:color w:val="002060"/>
                <w:sz w:val="18"/>
                <w:szCs w:val="18"/>
                <w:lang w:val="sr-Cyrl-CS"/>
              </w:rPr>
              <w:t>5,3%</w:t>
            </w:r>
          </w:p>
        </w:tc>
        <w:tc>
          <w:tcPr>
            <w:tcW w:w="589" w:type="pct"/>
            <w:tcBorders>
              <w:top w:val="nil"/>
              <w:bottom w:val="nil"/>
            </w:tcBorders>
            <w:shd w:val="clear" w:color="auto" w:fill="E7E6E6" w:themeFill="background2"/>
            <w:noWrap/>
            <w:hideMark/>
          </w:tcPr>
          <w:p w14:paraId="597D1380" w14:textId="77777777" w:rsidR="006B2397" w:rsidRPr="00646254" w:rsidRDefault="006B2397" w:rsidP="00BA266B">
            <w:pPr>
              <w:spacing w:line="240" w:lineRule="auto"/>
              <w:jc w:val="right"/>
              <w:rPr>
                <w:rFonts w:ascii="Calibri" w:hAnsi="Calibri" w:cs="Calibri"/>
                <w:bCs/>
                <w:color w:val="002060"/>
                <w:sz w:val="18"/>
                <w:szCs w:val="18"/>
                <w:lang w:val="sr-Cyrl-CS"/>
              </w:rPr>
            </w:pPr>
            <w:r w:rsidRPr="00646254">
              <w:rPr>
                <w:rFonts w:ascii="Calibri" w:hAnsi="Calibri" w:cs="Calibri"/>
                <w:bCs/>
                <w:color w:val="002060"/>
                <w:sz w:val="18"/>
                <w:szCs w:val="18"/>
                <w:lang w:val="sr-Cyrl-CS"/>
              </w:rPr>
              <w:t>6,5%</w:t>
            </w:r>
          </w:p>
        </w:tc>
        <w:tc>
          <w:tcPr>
            <w:tcW w:w="589" w:type="pct"/>
            <w:tcBorders>
              <w:top w:val="nil"/>
              <w:bottom w:val="nil"/>
            </w:tcBorders>
            <w:shd w:val="clear" w:color="auto" w:fill="E7E6E6" w:themeFill="background2"/>
            <w:noWrap/>
            <w:hideMark/>
          </w:tcPr>
          <w:p w14:paraId="2E6201DA" w14:textId="77777777" w:rsidR="006B2397" w:rsidRPr="00646254" w:rsidRDefault="006B2397" w:rsidP="00BA266B">
            <w:pPr>
              <w:spacing w:line="240" w:lineRule="auto"/>
              <w:jc w:val="right"/>
              <w:rPr>
                <w:rFonts w:ascii="Calibri" w:hAnsi="Calibri" w:cs="Calibri"/>
                <w:bCs/>
                <w:color w:val="002060"/>
                <w:sz w:val="18"/>
                <w:szCs w:val="18"/>
                <w:lang w:val="sr-Cyrl-CS"/>
              </w:rPr>
            </w:pPr>
            <w:r w:rsidRPr="00646254">
              <w:rPr>
                <w:rFonts w:ascii="Calibri" w:hAnsi="Calibri" w:cs="Calibri"/>
                <w:bCs/>
                <w:color w:val="002060"/>
                <w:sz w:val="18"/>
                <w:szCs w:val="18"/>
                <w:lang w:val="sr-Cyrl-CS"/>
              </w:rPr>
              <w:t>6,8%</w:t>
            </w:r>
          </w:p>
        </w:tc>
        <w:tc>
          <w:tcPr>
            <w:tcW w:w="589" w:type="pct"/>
            <w:tcBorders>
              <w:top w:val="nil"/>
              <w:bottom w:val="nil"/>
            </w:tcBorders>
            <w:shd w:val="clear" w:color="auto" w:fill="E7E6E6" w:themeFill="background2"/>
            <w:noWrap/>
            <w:hideMark/>
          </w:tcPr>
          <w:p w14:paraId="00EDC557" w14:textId="77777777" w:rsidR="006B2397" w:rsidRPr="00646254" w:rsidRDefault="006B2397" w:rsidP="00BA266B">
            <w:pPr>
              <w:spacing w:line="240" w:lineRule="auto"/>
              <w:jc w:val="right"/>
              <w:rPr>
                <w:rFonts w:ascii="Calibri" w:hAnsi="Calibri" w:cs="Calibri"/>
                <w:bCs/>
                <w:color w:val="002060"/>
                <w:sz w:val="18"/>
                <w:szCs w:val="18"/>
                <w:lang w:val="sr-Cyrl-CS"/>
              </w:rPr>
            </w:pPr>
            <w:r w:rsidRPr="00646254">
              <w:rPr>
                <w:rFonts w:ascii="Calibri" w:hAnsi="Calibri" w:cs="Calibri"/>
                <w:bCs/>
                <w:color w:val="002060"/>
                <w:sz w:val="18"/>
                <w:szCs w:val="18"/>
                <w:lang w:val="sr-Cyrl-CS"/>
              </w:rPr>
              <w:t>5,3%</w:t>
            </w:r>
          </w:p>
        </w:tc>
      </w:tr>
      <w:tr w:rsidR="006B2397" w:rsidRPr="00646254" w14:paraId="63A7EAF1" w14:textId="77777777" w:rsidTr="008265F0">
        <w:trPr>
          <w:trHeight w:val="90"/>
        </w:trPr>
        <w:tc>
          <w:tcPr>
            <w:tcW w:w="2644" w:type="pct"/>
            <w:tcBorders>
              <w:top w:val="nil"/>
              <w:left w:val="nil"/>
              <w:bottom w:val="nil"/>
              <w:right w:val="nil"/>
            </w:tcBorders>
            <w:noWrap/>
            <w:hideMark/>
          </w:tcPr>
          <w:p w14:paraId="06DA3ED2" w14:textId="77777777" w:rsidR="006B2397" w:rsidRPr="00646254" w:rsidRDefault="006B2397" w:rsidP="00BA266B">
            <w:pPr>
              <w:spacing w:line="240" w:lineRule="auto"/>
              <w:rPr>
                <w:rFonts w:ascii="Calibri" w:hAnsi="Calibri" w:cs="Calibri"/>
                <w:color w:val="002060"/>
                <w:sz w:val="18"/>
                <w:szCs w:val="18"/>
                <w:lang w:val="sr-Cyrl-CS"/>
              </w:rPr>
            </w:pPr>
            <w:r w:rsidRPr="00646254">
              <w:rPr>
                <w:rFonts w:ascii="Calibri" w:hAnsi="Calibri" w:cs="Calibri"/>
                <w:bCs/>
                <w:color w:val="002060"/>
                <w:sz w:val="18"/>
                <w:szCs w:val="18"/>
                <w:lang w:val="sr-Cyrl-CS"/>
              </w:rPr>
              <w:t>Камата</w:t>
            </w:r>
          </w:p>
        </w:tc>
        <w:tc>
          <w:tcPr>
            <w:tcW w:w="589" w:type="pct"/>
            <w:tcBorders>
              <w:top w:val="nil"/>
              <w:left w:val="nil"/>
              <w:bottom w:val="nil"/>
              <w:right w:val="nil"/>
            </w:tcBorders>
            <w:noWrap/>
            <w:hideMark/>
          </w:tcPr>
          <w:p w14:paraId="7DA8BB94" w14:textId="77777777" w:rsidR="006B2397" w:rsidRPr="00646254" w:rsidRDefault="006B2397" w:rsidP="00BA266B">
            <w:pPr>
              <w:spacing w:line="240" w:lineRule="auto"/>
              <w:jc w:val="right"/>
              <w:rPr>
                <w:rFonts w:ascii="Calibri" w:hAnsi="Calibri" w:cs="Calibri"/>
                <w:bCs/>
                <w:color w:val="002060"/>
                <w:sz w:val="18"/>
                <w:szCs w:val="18"/>
                <w:lang w:val="sr-Cyrl-CS"/>
              </w:rPr>
            </w:pPr>
            <w:r w:rsidRPr="00646254">
              <w:rPr>
                <w:rFonts w:ascii="Calibri" w:hAnsi="Calibri" w:cs="Calibri"/>
                <w:bCs/>
                <w:color w:val="002060"/>
                <w:sz w:val="18"/>
                <w:szCs w:val="18"/>
                <w:lang w:val="sr-Cyrl-CS"/>
              </w:rPr>
              <w:t>1,8%</w:t>
            </w:r>
          </w:p>
        </w:tc>
        <w:tc>
          <w:tcPr>
            <w:tcW w:w="589" w:type="pct"/>
            <w:tcBorders>
              <w:top w:val="nil"/>
              <w:left w:val="nil"/>
              <w:bottom w:val="nil"/>
              <w:right w:val="nil"/>
            </w:tcBorders>
            <w:noWrap/>
            <w:hideMark/>
          </w:tcPr>
          <w:p w14:paraId="4D310CEF" w14:textId="77777777" w:rsidR="006B2397" w:rsidRPr="00646254" w:rsidRDefault="006B2397" w:rsidP="00BA266B">
            <w:pPr>
              <w:spacing w:line="240" w:lineRule="auto"/>
              <w:jc w:val="right"/>
              <w:rPr>
                <w:rFonts w:ascii="Calibri" w:hAnsi="Calibri" w:cs="Calibri"/>
                <w:bCs/>
                <w:color w:val="002060"/>
                <w:sz w:val="18"/>
                <w:szCs w:val="18"/>
                <w:lang w:val="sr-Cyrl-CS"/>
              </w:rPr>
            </w:pPr>
            <w:r w:rsidRPr="00646254">
              <w:rPr>
                <w:rFonts w:ascii="Calibri" w:hAnsi="Calibri" w:cs="Calibri"/>
                <w:bCs/>
                <w:color w:val="002060"/>
                <w:sz w:val="18"/>
                <w:szCs w:val="18"/>
                <w:lang w:val="sr-Cyrl-CS"/>
              </w:rPr>
              <w:t>1,7%</w:t>
            </w:r>
          </w:p>
        </w:tc>
        <w:tc>
          <w:tcPr>
            <w:tcW w:w="589" w:type="pct"/>
            <w:tcBorders>
              <w:top w:val="nil"/>
              <w:left w:val="nil"/>
              <w:bottom w:val="nil"/>
              <w:right w:val="nil"/>
            </w:tcBorders>
            <w:noWrap/>
            <w:hideMark/>
          </w:tcPr>
          <w:p w14:paraId="6DCA0384" w14:textId="77777777" w:rsidR="006B2397" w:rsidRPr="00646254" w:rsidRDefault="006B2397" w:rsidP="00BA266B">
            <w:pPr>
              <w:spacing w:line="240" w:lineRule="auto"/>
              <w:jc w:val="right"/>
              <w:rPr>
                <w:rFonts w:ascii="Calibri" w:hAnsi="Calibri" w:cs="Calibri"/>
                <w:bCs/>
                <w:color w:val="002060"/>
                <w:sz w:val="18"/>
                <w:szCs w:val="18"/>
                <w:lang w:val="sr-Cyrl-CS"/>
              </w:rPr>
            </w:pPr>
            <w:r w:rsidRPr="00646254">
              <w:rPr>
                <w:rFonts w:ascii="Calibri" w:hAnsi="Calibri" w:cs="Calibri"/>
                <w:bCs/>
                <w:color w:val="002060"/>
                <w:sz w:val="18"/>
                <w:szCs w:val="18"/>
                <w:lang w:val="sr-Cyrl-CS"/>
              </w:rPr>
              <w:t>1,7%</w:t>
            </w:r>
          </w:p>
        </w:tc>
        <w:tc>
          <w:tcPr>
            <w:tcW w:w="589" w:type="pct"/>
            <w:tcBorders>
              <w:top w:val="nil"/>
              <w:left w:val="nil"/>
              <w:bottom w:val="nil"/>
              <w:right w:val="nil"/>
            </w:tcBorders>
            <w:noWrap/>
            <w:hideMark/>
          </w:tcPr>
          <w:p w14:paraId="79F5BEDC" w14:textId="77777777" w:rsidR="006B2397" w:rsidRPr="00646254" w:rsidRDefault="006B2397" w:rsidP="00BA266B">
            <w:pPr>
              <w:spacing w:line="240" w:lineRule="auto"/>
              <w:jc w:val="right"/>
              <w:rPr>
                <w:rFonts w:ascii="Calibri" w:hAnsi="Calibri" w:cs="Calibri"/>
                <w:bCs/>
                <w:color w:val="002060"/>
                <w:sz w:val="18"/>
                <w:szCs w:val="18"/>
                <w:lang w:val="sr-Cyrl-CS"/>
              </w:rPr>
            </w:pPr>
            <w:r w:rsidRPr="00646254">
              <w:rPr>
                <w:rFonts w:ascii="Calibri" w:hAnsi="Calibri" w:cs="Calibri"/>
                <w:bCs/>
                <w:color w:val="002060"/>
                <w:sz w:val="18"/>
                <w:szCs w:val="18"/>
                <w:lang w:val="sr-Cyrl-CS"/>
              </w:rPr>
              <w:t>1,7%</w:t>
            </w:r>
          </w:p>
        </w:tc>
      </w:tr>
      <w:tr w:rsidR="006B2397" w:rsidRPr="00646254" w14:paraId="1FFAF4BD" w14:textId="77777777" w:rsidTr="00BA266B">
        <w:trPr>
          <w:cnfStyle w:val="000000100000" w:firstRow="0" w:lastRow="0" w:firstColumn="0" w:lastColumn="0" w:oddVBand="0" w:evenVBand="0" w:oddHBand="1" w:evenHBand="0" w:firstRowFirstColumn="0" w:firstRowLastColumn="0" w:lastRowFirstColumn="0" w:lastRowLastColumn="0"/>
          <w:trHeight w:val="22"/>
        </w:trPr>
        <w:tc>
          <w:tcPr>
            <w:tcW w:w="2644" w:type="pct"/>
            <w:tcBorders>
              <w:top w:val="nil"/>
              <w:bottom w:val="single" w:sz="4" w:space="0" w:color="002060"/>
            </w:tcBorders>
            <w:shd w:val="clear" w:color="auto" w:fill="E7E6E6" w:themeFill="background2"/>
            <w:noWrap/>
            <w:hideMark/>
          </w:tcPr>
          <w:p w14:paraId="3BED047B" w14:textId="77777777" w:rsidR="006B2397" w:rsidRPr="00646254" w:rsidRDefault="006B2397" w:rsidP="00BA266B">
            <w:pPr>
              <w:spacing w:line="240" w:lineRule="auto"/>
              <w:rPr>
                <w:rFonts w:ascii="Calibri" w:hAnsi="Calibri" w:cs="Calibri"/>
                <w:bCs/>
                <w:color w:val="002060"/>
                <w:sz w:val="18"/>
                <w:szCs w:val="18"/>
                <w:lang w:val="sr-Cyrl-CS"/>
              </w:rPr>
            </w:pPr>
            <w:r w:rsidRPr="00646254">
              <w:rPr>
                <w:rFonts w:ascii="Calibri" w:hAnsi="Calibri" w:cs="Calibri"/>
                <w:bCs/>
                <w:color w:val="002060"/>
                <w:sz w:val="18"/>
                <w:szCs w:val="18"/>
                <w:lang w:val="sr-Cyrl-CS"/>
              </w:rPr>
              <w:t>Укупно</w:t>
            </w:r>
          </w:p>
        </w:tc>
        <w:tc>
          <w:tcPr>
            <w:tcW w:w="589" w:type="pct"/>
            <w:tcBorders>
              <w:top w:val="nil"/>
              <w:bottom w:val="single" w:sz="4" w:space="0" w:color="002060"/>
            </w:tcBorders>
            <w:shd w:val="clear" w:color="auto" w:fill="E7E6E6" w:themeFill="background2"/>
            <w:noWrap/>
            <w:hideMark/>
          </w:tcPr>
          <w:p w14:paraId="0ED1AFDD" w14:textId="77777777" w:rsidR="006B2397" w:rsidRPr="00646254" w:rsidRDefault="006B2397" w:rsidP="00BA266B">
            <w:pPr>
              <w:spacing w:line="240" w:lineRule="auto"/>
              <w:jc w:val="right"/>
              <w:rPr>
                <w:rFonts w:ascii="Calibri" w:hAnsi="Calibri" w:cs="Calibri"/>
                <w:bCs/>
                <w:color w:val="002060"/>
                <w:sz w:val="18"/>
                <w:szCs w:val="18"/>
                <w:lang w:val="sr-Cyrl-CS"/>
              </w:rPr>
            </w:pPr>
            <w:r w:rsidRPr="00646254">
              <w:rPr>
                <w:rFonts w:ascii="Calibri" w:hAnsi="Calibri" w:cs="Calibri"/>
                <w:bCs/>
                <w:color w:val="002060"/>
                <w:sz w:val="18"/>
                <w:szCs w:val="18"/>
                <w:lang w:val="sr-Cyrl-CS"/>
              </w:rPr>
              <w:t>7,1%</w:t>
            </w:r>
          </w:p>
        </w:tc>
        <w:tc>
          <w:tcPr>
            <w:tcW w:w="589" w:type="pct"/>
            <w:tcBorders>
              <w:top w:val="nil"/>
              <w:bottom w:val="single" w:sz="4" w:space="0" w:color="002060"/>
            </w:tcBorders>
            <w:shd w:val="clear" w:color="auto" w:fill="E7E6E6" w:themeFill="background2"/>
            <w:noWrap/>
            <w:hideMark/>
          </w:tcPr>
          <w:p w14:paraId="1D546836" w14:textId="77777777" w:rsidR="006B2397" w:rsidRPr="00646254" w:rsidRDefault="006B2397" w:rsidP="00BA266B">
            <w:pPr>
              <w:spacing w:line="240" w:lineRule="auto"/>
              <w:jc w:val="right"/>
              <w:rPr>
                <w:rFonts w:ascii="Calibri" w:hAnsi="Calibri" w:cs="Calibri"/>
                <w:bCs/>
                <w:color w:val="002060"/>
                <w:sz w:val="18"/>
                <w:szCs w:val="18"/>
                <w:lang w:val="sr-Cyrl-CS"/>
              </w:rPr>
            </w:pPr>
            <w:r w:rsidRPr="00646254">
              <w:rPr>
                <w:rFonts w:ascii="Calibri" w:hAnsi="Calibri" w:cs="Calibri"/>
                <w:bCs/>
                <w:color w:val="002060"/>
                <w:sz w:val="18"/>
                <w:szCs w:val="18"/>
                <w:lang w:val="sr-Cyrl-CS"/>
              </w:rPr>
              <w:t>8,2%</w:t>
            </w:r>
          </w:p>
        </w:tc>
        <w:tc>
          <w:tcPr>
            <w:tcW w:w="589" w:type="pct"/>
            <w:tcBorders>
              <w:top w:val="nil"/>
              <w:bottom w:val="single" w:sz="4" w:space="0" w:color="002060"/>
            </w:tcBorders>
            <w:shd w:val="clear" w:color="auto" w:fill="E7E6E6" w:themeFill="background2"/>
            <w:noWrap/>
            <w:hideMark/>
          </w:tcPr>
          <w:p w14:paraId="4A2E9890" w14:textId="77777777" w:rsidR="006B2397" w:rsidRPr="00646254" w:rsidRDefault="006B2397" w:rsidP="00BA266B">
            <w:pPr>
              <w:spacing w:line="240" w:lineRule="auto"/>
              <w:jc w:val="right"/>
              <w:rPr>
                <w:rFonts w:ascii="Calibri" w:hAnsi="Calibri" w:cs="Calibri"/>
                <w:bCs/>
                <w:color w:val="002060"/>
                <w:sz w:val="18"/>
                <w:szCs w:val="18"/>
                <w:lang w:val="sr-Cyrl-CS"/>
              </w:rPr>
            </w:pPr>
            <w:r w:rsidRPr="00646254">
              <w:rPr>
                <w:rFonts w:ascii="Calibri" w:hAnsi="Calibri" w:cs="Calibri"/>
                <w:bCs/>
                <w:color w:val="002060"/>
                <w:sz w:val="18"/>
                <w:szCs w:val="18"/>
                <w:lang w:val="sr-Cyrl-CS"/>
              </w:rPr>
              <w:t>8,5%</w:t>
            </w:r>
          </w:p>
        </w:tc>
        <w:tc>
          <w:tcPr>
            <w:tcW w:w="589" w:type="pct"/>
            <w:tcBorders>
              <w:top w:val="nil"/>
              <w:bottom w:val="single" w:sz="4" w:space="0" w:color="002060"/>
            </w:tcBorders>
            <w:shd w:val="clear" w:color="auto" w:fill="E7E6E6" w:themeFill="background2"/>
            <w:noWrap/>
            <w:hideMark/>
          </w:tcPr>
          <w:p w14:paraId="789FA7F2" w14:textId="77777777" w:rsidR="006B2397" w:rsidRPr="00646254" w:rsidRDefault="006B2397" w:rsidP="00BA266B">
            <w:pPr>
              <w:spacing w:line="240" w:lineRule="auto"/>
              <w:jc w:val="right"/>
              <w:rPr>
                <w:rFonts w:ascii="Calibri" w:hAnsi="Calibri" w:cs="Calibri"/>
                <w:bCs/>
                <w:color w:val="002060"/>
                <w:sz w:val="18"/>
                <w:szCs w:val="18"/>
                <w:lang w:val="sr-Cyrl-CS"/>
              </w:rPr>
            </w:pPr>
            <w:r w:rsidRPr="00646254">
              <w:rPr>
                <w:rFonts w:ascii="Calibri" w:hAnsi="Calibri" w:cs="Calibri"/>
                <w:bCs/>
                <w:color w:val="002060"/>
                <w:sz w:val="18"/>
                <w:szCs w:val="18"/>
                <w:lang w:val="sr-Cyrl-CS"/>
              </w:rPr>
              <w:t>7,0%</w:t>
            </w:r>
          </w:p>
        </w:tc>
      </w:tr>
      <w:bookmarkEnd w:id="48"/>
    </w:tbl>
    <w:p w14:paraId="798BBA04" w14:textId="77777777" w:rsidR="006B2397" w:rsidRPr="00646254" w:rsidRDefault="006B2397" w:rsidP="008265F0">
      <w:pPr>
        <w:spacing w:after="0" w:line="256" w:lineRule="auto"/>
        <w:jc w:val="left"/>
        <w:rPr>
          <w:rFonts w:ascii="Calibri" w:eastAsia="Calibri" w:hAnsi="Calibri" w:cs="Calibri"/>
          <w:bCs/>
          <w:szCs w:val="72"/>
          <w:lang w:val="sr-Cyrl-CS"/>
        </w:rPr>
        <w:sectPr w:rsidR="006B2397" w:rsidRPr="00646254">
          <w:type w:val="continuous"/>
          <w:pgSz w:w="12240" w:h="15840"/>
          <w:pgMar w:top="1440" w:right="1440" w:bottom="1440" w:left="1440" w:header="720" w:footer="720" w:gutter="0"/>
          <w:cols w:space="720"/>
        </w:sectPr>
      </w:pPr>
    </w:p>
    <w:p w14:paraId="006C36F9" w14:textId="0ABF53E2" w:rsidR="006B2397" w:rsidRPr="00646254" w:rsidRDefault="006B2397" w:rsidP="00BA266B">
      <w:pPr>
        <w:rPr>
          <w:rFonts w:ascii="Calibri" w:eastAsia="Calibri" w:hAnsi="Calibri" w:cs="Calibri"/>
          <w:bCs/>
          <w:szCs w:val="72"/>
          <w:lang w:val="sr-Cyrl-CS"/>
        </w:rPr>
      </w:pPr>
      <w:r w:rsidRPr="00646254">
        <w:rPr>
          <w:rFonts w:ascii="Calibri" w:eastAsia="Calibri" w:hAnsi="Calibri" w:cs="Calibri"/>
          <w:bCs/>
          <w:szCs w:val="72"/>
          <w:lang w:val="sr-Cyrl-CS"/>
        </w:rPr>
        <w:t xml:space="preserve">Планирани износи за отплату камата и главница, на централном нивоу државе, укључују и средства за </w:t>
      </w:r>
      <w:r w:rsidRPr="00646254">
        <w:rPr>
          <w:rFonts w:ascii="Calibri" w:eastAsia="Calibri" w:hAnsi="Calibri" w:cs="Calibri"/>
          <w:bCs/>
          <w:i/>
          <w:szCs w:val="72"/>
          <w:lang w:val="sr-Cyrl-CS"/>
        </w:rPr>
        <w:t>buy-back</w:t>
      </w:r>
      <w:r w:rsidRPr="00646254">
        <w:rPr>
          <w:rFonts w:ascii="Calibri" w:eastAsia="Calibri" w:hAnsi="Calibri" w:cs="Calibri"/>
          <w:bCs/>
          <w:szCs w:val="72"/>
          <w:lang w:val="sr-Cyrl-CS"/>
        </w:rPr>
        <w:t xml:space="preserve"> операције, тј. превремену отплату дуга, како би се скупљи дуг заменио јефтинијим, као и премије осигурања на експортне кредите.</w:t>
      </w:r>
    </w:p>
    <w:p w14:paraId="5285AA53" w14:textId="77777777" w:rsidR="006B2397" w:rsidRPr="00646254" w:rsidRDefault="006B2397" w:rsidP="008265F0">
      <w:pPr>
        <w:spacing w:line="256" w:lineRule="auto"/>
        <w:rPr>
          <w:rFonts w:ascii="Calibri" w:eastAsia="Calibri" w:hAnsi="Calibri" w:cs="Times New Roman"/>
          <w:b/>
          <w:color w:val="2F5496" w:themeColor="accent1" w:themeShade="BF"/>
          <w:sz w:val="22"/>
          <w:lang w:val="sr-Cyrl-CS"/>
        </w:rPr>
      </w:pPr>
      <w:r w:rsidRPr="00646254">
        <w:rPr>
          <w:rFonts w:ascii="Calibri" w:eastAsia="Calibri" w:hAnsi="Calibri" w:cs="Times New Roman"/>
          <w:b/>
          <w:color w:val="2F5496" w:themeColor="accent1" w:themeShade="BF"/>
          <w:sz w:val="22"/>
          <w:lang w:val="sr-Cyrl-CS"/>
        </w:rPr>
        <w:t>Пројекција стања јавног дуга општег нивоа државе у периоду 2021–2024. године</w:t>
      </w:r>
    </w:p>
    <w:p w14:paraId="6CE41103" w14:textId="77777777" w:rsidR="006B2397" w:rsidRPr="00646254" w:rsidRDefault="006B2397" w:rsidP="00BA266B">
      <w:pPr>
        <w:spacing w:after="240"/>
        <w:rPr>
          <w:rFonts w:ascii="Calibri" w:eastAsia="Calibri" w:hAnsi="Calibri" w:cs="Calibri"/>
          <w:bCs/>
          <w:szCs w:val="72"/>
          <w:lang w:val="sr-Cyrl-CS"/>
        </w:rPr>
      </w:pPr>
      <w:r w:rsidRPr="00646254">
        <w:rPr>
          <w:rFonts w:ascii="Calibri" w:eastAsia="Calibri" w:hAnsi="Calibri" w:cs="Calibri"/>
          <w:bCs/>
          <w:szCs w:val="72"/>
          <w:lang w:val="sr-Cyrl-CS"/>
        </w:rPr>
        <w:t>Имајући у виду пројектовани примарни резултат буџета Републике Србије за период 2021–2024. године, укључујући и обим повлачења кредитних средстава за пројектно финансирање од буџетских корисника, ефекте промене девизног курса динара према евру и америчком долару, у основном макроекономском сценарију, стање дуга централног нивоа државе требало би да буде на нивоу од 52,7% БДП на крају 2024. године.</w:t>
      </w:r>
    </w:p>
    <w:p w14:paraId="2F6DEE29" w14:textId="14E65E72" w:rsidR="006B2397" w:rsidRPr="00646254" w:rsidRDefault="006B2397" w:rsidP="008265F0">
      <w:pPr>
        <w:spacing w:after="0" w:line="256" w:lineRule="auto"/>
        <w:jc w:val="left"/>
        <w:rPr>
          <w:rFonts w:ascii="Calibri" w:eastAsia="Calibri" w:hAnsi="Calibri" w:cs="Calibri"/>
          <w:bCs/>
          <w:szCs w:val="72"/>
          <w:lang w:val="sr-Cyrl-CS"/>
        </w:rPr>
      </w:pPr>
    </w:p>
    <w:p w14:paraId="64C1FABA" w14:textId="1CE58DBC" w:rsidR="00D26E10" w:rsidRPr="00646254" w:rsidRDefault="00D26E10" w:rsidP="008265F0">
      <w:pPr>
        <w:spacing w:after="0" w:line="256" w:lineRule="auto"/>
        <w:jc w:val="left"/>
        <w:rPr>
          <w:rFonts w:ascii="Calibri" w:eastAsia="Calibri" w:hAnsi="Calibri" w:cs="Calibri"/>
          <w:bCs/>
          <w:szCs w:val="72"/>
          <w:lang w:val="sr-Cyrl-CS"/>
        </w:rPr>
      </w:pPr>
    </w:p>
    <w:p w14:paraId="2D7B388B" w14:textId="0691DE9F" w:rsidR="00D26E10" w:rsidRPr="00646254" w:rsidRDefault="00D26E10" w:rsidP="008265F0">
      <w:pPr>
        <w:spacing w:after="0" w:line="256" w:lineRule="auto"/>
        <w:jc w:val="left"/>
        <w:rPr>
          <w:rFonts w:ascii="Calibri" w:eastAsia="Calibri" w:hAnsi="Calibri" w:cs="Calibri"/>
          <w:bCs/>
          <w:szCs w:val="72"/>
          <w:lang w:val="sr-Cyrl-CS"/>
        </w:rPr>
      </w:pPr>
    </w:p>
    <w:p w14:paraId="25161D81" w14:textId="77777777" w:rsidR="00D26E10" w:rsidRPr="00646254" w:rsidRDefault="00D26E10" w:rsidP="008265F0">
      <w:pPr>
        <w:spacing w:after="0" w:line="256" w:lineRule="auto"/>
        <w:jc w:val="left"/>
        <w:rPr>
          <w:rFonts w:ascii="Calibri" w:eastAsia="Calibri" w:hAnsi="Calibri" w:cs="Calibri"/>
          <w:bCs/>
          <w:szCs w:val="72"/>
          <w:lang w:val="sr-Cyrl-CS"/>
        </w:rPr>
        <w:sectPr w:rsidR="00D26E10" w:rsidRPr="00646254">
          <w:type w:val="continuous"/>
          <w:pgSz w:w="12240" w:h="15840"/>
          <w:pgMar w:top="1440" w:right="1440" w:bottom="1440" w:left="1440" w:header="720" w:footer="720" w:gutter="0"/>
          <w:cols w:num="2" w:space="720"/>
        </w:sectPr>
      </w:pPr>
    </w:p>
    <w:p w14:paraId="15693766" w14:textId="77777777" w:rsidR="006B2397" w:rsidRPr="00646254" w:rsidRDefault="006B2397">
      <w:pPr>
        <w:jc w:val="left"/>
        <w:rPr>
          <w:rFonts w:ascii="Calibri" w:eastAsia="Calibri" w:hAnsi="Calibri" w:cs="Times New Roman"/>
          <w:b/>
          <w:color w:val="002060"/>
          <w:lang w:val="sr-Cyrl-CS"/>
        </w:rPr>
      </w:pPr>
      <w:r w:rsidRPr="00646254">
        <w:rPr>
          <w:rFonts w:ascii="Calibri" w:eastAsia="Calibri" w:hAnsi="Calibri" w:cs="Times New Roman"/>
          <w:b/>
          <w:color w:val="002060"/>
          <w:lang w:val="sr-Cyrl-CS"/>
        </w:rPr>
        <w:br w:type="page"/>
      </w:r>
    </w:p>
    <w:p w14:paraId="27566BBE" w14:textId="126059FF" w:rsidR="006B2397" w:rsidRPr="00646254" w:rsidRDefault="006B2397" w:rsidP="008265F0">
      <w:pPr>
        <w:spacing w:line="256" w:lineRule="auto"/>
        <w:jc w:val="center"/>
        <w:rPr>
          <w:rFonts w:ascii="Calibri" w:eastAsia="Calibri" w:hAnsi="Calibri" w:cs="Times New Roman"/>
          <w:b/>
          <w:color w:val="002060"/>
          <w:lang w:val="sr-Cyrl-CS"/>
        </w:rPr>
      </w:pPr>
      <w:r w:rsidRPr="00646254">
        <w:rPr>
          <w:rFonts w:ascii="Calibri" w:eastAsia="Calibri" w:hAnsi="Calibri" w:cs="Times New Roman"/>
          <w:b/>
          <w:color w:val="002060"/>
          <w:lang w:val="sr-Cyrl-CS"/>
        </w:rPr>
        <w:t>Табела 27. Основна пројекција стања јавног дуга општег нивоа државе до 2024. године</w:t>
      </w:r>
    </w:p>
    <w:tbl>
      <w:tblPr>
        <w:tblStyle w:val="LightShading-Accent1222"/>
        <w:tblW w:w="5000" w:type="pct"/>
        <w:tblInd w:w="0" w:type="dxa"/>
        <w:tblLook w:val="0420" w:firstRow="1" w:lastRow="0" w:firstColumn="0" w:lastColumn="0" w:noHBand="0" w:noVBand="1"/>
      </w:tblPr>
      <w:tblGrid>
        <w:gridCol w:w="5100"/>
        <w:gridCol w:w="1065"/>
        <w:gridCol w:w="1065"/>
        <w:gridCol w:w="1065"/>
        <w:gridCol w:w="1065"/>
      </w:tblGrid>
      <w:tr w:rsidR="006B2397" w:rsidRPr="00646254" w14:paraId="060F1C13" w14:textId="77777777" w:rsidTr="008265F0">
        <w:trPr>
          <w:cnfStyle w:val="100000000000" w:firstRow="1" w:lastRow="0" w:firstColumn="0" w:lastColumn="0" w:oddVBand="0" w:evenVBand="0" w:oddHBand="0" w:evenHBand="0" w:firstRowFirstColumn="0" w:firstRowLastColumn="0" w:lastRowFirstColumn="0" w:lastRowLastColumn="0"/>
          <w:trHeight w:val="20"/>
        </w:trPr>
        <w:tc>
          <w:tcPr>
            <w:tcW w:w="2724" w:type="pct"/>
            <w:tcBorders>
              <w:top w:val="single" w:sz="4" w:space="0" w:color="002060"/>
              <w:bottom w:val="single" w:sz="8" w:space="0" w:color="FFFFFF" w:themeColor="background1"/>
            </w:tcBorders>
            <w:noWrap/>
            <w:hideMark/>
          </w:tcPr>
          <w:p w14:paraId="3970317D" w14:textId="77777777" w:rsidR="006B2397" w:rsidRPr="00646254" w:rsidRDefault="006B2397" w:rsidP="008265F0">
            <w:pPr>
              <w:spacing w:line="256" w:lineRule="auto"/>
              <w:rPr>
                <w:rFonts w:ascii="Calibri" w:hAnsi="Calibri"/>
                <w:color w:val="002060"/>
                <w:lang w:val="sr-Cyrl-CS"/>
              </w:rPr>
            </w:pPr>
          </w:p>
        </w:tc>
        <w:tc>
          <w:tcPr>
            <w:tcW w:w="569" w:type="pct"/>
            <w:tcBorders>
              <w:top w:val="single" w:sz="4" w:space="0" w:color="002060"/>
              <w:bottom w:val="single" w:sz="4" w:space="0" w:color="002060"/>
            </w:tcBorders>
            <w:noWrap/>
            <w:hideMark/>
          </w:tcPr>
          <w:p w14:paraId="20275D9B" w14:textId="77777777" w:rsidR="006B2397" w:rsidRPr="00646254" w:rsidRDefault="006B2397" w:rsidP="008265F0">
            <w:pPr>
              <w:jc w:val="right"/>
              <w:rPr>
                <w:rFonts w:ascii="Calibri" w:hAnsi="Calibri" w:cs="Calibri"/>
                <w:color w:val="002060"/>
                <w:sz w:val="18"/>
                <w:szCs w:val="18"/>
                <w:lang w:val="sr-Cyrl-CS"/>
              </w:rPr>
            </w:pPr>
            <w:r w:rsidRPr="00646254">
              <w:rPr>
                <w:rFonts w:ascii="Calibri" w:hAnsi="Calibri" w:cs="Calibri"/>
                <w:color w:val="002060"/>
                <w:sz w:val="18"/>
                <w:szCs w:val="18"/>
                <w:lang w:val="sr-Cyrl-CS"/>
              </w:rPr>
              <w:t>2021 п</w:t>
            </w:r>
          </w:p>
        </w:tc>
        <w:tc>
          <w:tcPr>
            <w:tcW w:w="569" w:type="pct"/>
            <w:tcBorders>
              <w:top w:val="single" w:sz="4" w:space="0" w:color="002060"/>
              <w:bottom w:val="single" w:sz="4" w:space="0" w:color="002060"/>
            </w:tcBorders>
            <w:noWrap/>
            <w:hideMark/>
          </w:tcPr>
          <w:p w14:paraId="213ECAF1" w14:textId="77777777" w:rsidR="006B2397" w:rsidRPr="00646254" w:rsidRDefault="006B2397" w:rsidP="008265F0">
            <w:pPr>
              <w:jc w:val="right"/>
              <w:rPr>
                <w:rFonts w:ascii="Calibri" w:hAnsi="Calibri" w:cs="Calibri"/>
                <w:color w:val="002060"/>
                <w:sz w:val="18"/>
                <w:szCs w:val="18"/>
                <w:lang w:val="sr-Cyrl-CS"/>
              </w:rPr>
            </w:pPr>
            <w:r w:rsidRPr="00646254">
              <w:rPr>
                <w:rFonts w:ascii="Calibri" w:hAnsi="Calibri" w:cs="Calibri"/>
                <w:color w:val="002060"/>
                <w:sz w:val="18"/>
                <w:szCs w:val="18"/>
                <w:lang w:val="sr-Cyrl-CS"/>
              </w:rPr>
              <w:t>2022 п</w:t>
            </w:r>
          </w:p>
        </w:tc>
        <w:tc>
          <w:tcPr>
            <w:tcW w:w="569" w:type="pct"/>
            <w:tcBorders>
              <w:top w:val="single" w:sz="4" w:space="0" w:color="002060"/>
              <w:bottom w:val="single" w:sz="4" w:space="0" w:color="002060"/>
            </w:tcBorders>
            <w:noWrap/>
            <w:hideMark/>
          </w:tcPr>
          <w:p w14:paraId="00FC4BE8" w14:textId="77777777" w:rsidR="006B2397" w:rsidRPr="00646254" w:rsidRDefault="006B2397" w:rsidP="008265F0">
            <w:pPr>
              <w:jc w:val="right"/>
              <w:rPr>
                <w:rFonts w:ascii="Calibri" w:hAnsi="Calibri" w:cs="Calibri"/>
                <w:color w:val="002060"/>
                <w:sz w:val="18"/>
                <w:szCs w:val="18"/>
                <w:lang w:val="sr-Cyrl-CS"/>
              </w:rPr>
            </w:pPr>
            <w:r w:rsidRPr="00646254">
              <w:rPr>
                <w:rFonts w:ascii="Calibri" w:hAnsi="Calibri" w:cs="Calibri"/>
                <w:color w:val="002060"/>
                <w:sz w:val="18"/>
                <w:szCs w:val="18"/>
                <w:lang w:val="sr-Cyrl-CS"/>
              </w:rPr>
              <w:t>2023 п</w:t>
            </w:r>
          </w:p>
        </w:tc>
        <w:tc>
          <w:tcPr>
            <w:tcW w:w="569" w:type="pct"/>
            <w:tcBorders>
              <w:top w:val="single" w:sz="4" w:space="0" w:color="002060"/>
              <w:bottom w:val="single" w:sz="4" w:space="0" w:color="002060"/>
            </w:tcBorders>
            <w:noWrap/>
            <w:hideMark/>
          </w:tcPr>
          <w:p w14:paraId="69F8BA47" w14:textId="77777777" w:rsidR="006B2397" w:rsidRPr="00646254" w:rsidRDefault="006B2397" w:rsidP="008265F0">
            <w:pPr>
              <w:jc w:val="right"/>
              <w:rPr>
                <w:rFonts w:ascii="Calibri" w:hAnsi="Calibri" w:cs="Calibri"/>
                <w:color w:val="002060"/>
                <w:sz w:val="18"/>
                <w:szCs w:val="18"/>
                <w:lang w:val="sr-Cyrl-CS"/>
              </w:rPr>
            </w:pPr>
            <w:r w:rsidRPr="00646254">
              <w:rPr>
                <w:rFonts w:ascii="Calibri" w:hAnsi="Calibri" w:cs="Calibri"/>
                <w:color w:val="002060"/>
                <w:sz w:val="18"/>
                <w:szCs w:val="18"/>
                <w:lang w:val="sr-Cyrl-CS"/>
              </w:rPr>
              <w:t>2024 п</w:t>
            </w:r>
          </w:p>
        </w:tc>
      </w:tr>
      <w:tr w:rsidR="006B2397" w:rsidRPr="00646254" w14:paraId="4BBBC564" w14:textId="77777777" w:rsidTr="001D4D24">
        <w:trPr>
          <w:cnfStyle w:val="000000100000" w:firstRow="0" w:lastRow="0" w:firstColumn="0" w:lastColumn="0" w:oddVBand="0" w:evenVBand="0" w:oddHBand="1" w:evenHBand="0" w:firstRowFirstColumn="0" w:firstRowLastColumn="0" w:lastRowFirstColumn="0" w:lastRowLastColumn="0"/>
          <w:trHeight w:val="20"/>
        </w:trPr>
        <w:tc>
          <w:tcPr>
            <w:tcW w:w="2724" w:type="pct"/>
            <w:tcBorders>
              <w:top w:val="nil"/>
              <w:bottom w:val="nil"/>
            </w:tcBorders>
            <w:shd w:val="clear" w:color="auto" w:fill="E7E6E6" w:themeFill="background2"/>
            <w:noWrap/>
            <w:hideMark/>
          </w:tcPr>
          <w:p w14:paraId="0CB4C186" w14:textId="77777777" w:rsidR="006B2397" w:rsidRPr="00646254" w:rsidRDefault="006B2397" w:rsidP="00BA266B">
            <w:pPr>
              <w:spacing w:line="240" w:lineRule="auto"/>
              <w:rPr>
                <w:rFonts w:ascii="Calibri" w:hAnsi="Calibri" w:cs="Calibri"/>
                <w:bCs/>
                <w:color w:val="44546A"/>
                <w:sz w:val="18"/>
                <w:szCs w:val="18"/>
                <w:lang w:val="sr-Cyrl-CS"/>
              </w:rPr>
            </w:pPr>
            <w:r w:rsidRPr="00646254">
              <w:rPr>
                <w:rFonts w:ascii="Calibri" w:hAnsi="Calibri" w:cs="Calibri"/>
                <w:bCs/>
                <w:color w:val="002060"/>
                <w:sz w:val="18"/>
                <w:szCs w:val="18"/>
                <w:lang w:val="sr-Cyrl-CS"/>
              </w:rPr>
              <w:t>Јавни дуг (централни ниво власти), млрд РСД</w:t>
            </w:r>
          </w:p>
        </w:tc>
        <w:tc>
          <w:tcPr>
            <w:tcW w:w="569" w:type="pct"/>
            <w:tcBorders>
              <w:top w:val="single" w:sz="4" w:space="0" w:color="002060"/>
              <w:bottom w:val="nil"/>
            </w:tcBorders>
            <w:shd w:val="clear" w:color="auto" w:fill="E7E6E6" w:themeFill="background2"/>
            <w:noWrap/>
            <w:hideMark/>
          </w:tcPr>
          <w:p w14:paraId="0D70E323" w14:textId="77777777" w:rsidR="006B2397" w:rsidRPr="00646254" w:rsidRDefault="006B2397" w:rsidP="00BA266B">
            <w:pPr>
              <w:spacing w:line="240" w:lineRule="auto"/>
              <w:jc w:val="right"/>
              <w:rPr>
                <w:rFonts w:ascii="Calibri" w:hAnsi="Calibri" w:cs="Calibri"/>
                <w:bCs/>
                <w:color w:val="002060"/>
                <w:sz w:val="18"/>
                <w:szCs w:val="18"/>
                <w:lang w:val="sr-Cyrl-CS"/>
              </w:rPr>
            </w:pPr>
            <w:r w:rsidRPr="00646254">
              <w:rPr>
                <w:rFonts w:ascii="Calibri" w:hAnsi="Calibri" w:cs="Calibri"/>
                <w:bCs/>
                <w:color w:val="002060"/>
                <w:sz w:val="18"/>
                <w:szCs w:val="18"/>
                <w:lang w:val="sr-Cyrl-CS"/>
              </w:rPr>
              <w:t>3.529,8</w:t>
            </w:r>
          </w:p>
        </w:tc>
        <w:tc>
          <w:tcPr>
            <w:tcW w:w="569" w:type="pct"/>
            <w:tcBorders>
              <w:top w:val="single" w:sz="4" w:space="0" w:color="002060"/>
              <w:bottom w:val="nil"/>
            </w:tcBorders>
            <w:shd w:val="clear" w:color="auto" w:fill="E7E6E6" w:themeFill="background2"/>
            <w:noWrap/>
            <w:hideMark/>
          </w:tcPr>
          <w:p w14:paraId="3EC664B2" w14:textId="77777777" w:rsidR="006B2397" w:rsidRPr="00646254" w:rsidRDefault="006B2397" w:rsidP="00BA266B">
            <w:pPr>
              <w:spacing w:line="240" w:lineRule="auto"/>
              <w:jc w:val="right"/>
              <w:rPr>
                <w:rFonts w:ascii="Calibri" w:hAnsi="Calibri" w:cs="Calibri"/>
                <w:bCs/>
                <w:color w:val="002060"/>
                <w:sz w:val="18"/>
                <w:szCs w:val="18"/>
                <w:lang w:val="sr-Cyrl-CS"/>
              </w:rPr>
            </w:pPr>
            <w:r w:rsidRPr="00646254">
              <w:rPr>
                <w:rFonts w:ascii="Calibri" w:hAnsi="Calibri" w:cs="Calibri"/>
                <w:bCs/>
                <w:color w:val="002060"/>
                <w:sz w:val="18"/>
                <w:szCs w:val="18"/>
                <w:lang w:val="sr-Cyrl-CS"/>
              </w:rPr>
              <w:t>3.682,3</w:t>
            </w:r>
          </w:p>
        </w:tc>
        <w:tc>
          <w:tcPr>
            <w:tcW w:w="569" w:type="pct"/>
            <w:tcBorders>
              <w:top w:val="single" w:sz="4" w:space="0" w:color="002060"/>
              <w:bottom w:val="nil"/>
            </w:tcBorders>
            <w:shd w:val="clear" w:color="auto" w:fill="E7E6E6" w:themeFill="background2"/>
            <w:noWrap/>
            <w:hideMark/>
          </w:tcPr>
          <w:p w14:paraId="5C11D63B" w14:textId="77777777" w:rsidR="006B2397" w:rsidRPr="00646254" w:rsidRDefault="006B2397" w:rsidP="00BA266B">
            <w:pPr>
              <w:spacing w:line="240" w:lineRule="auto"/>
              <w:jc w:val="right"/>
              <w:rPr>
                <w:rFonts w:ascii="Calibri" w:hAnsi="Calibri" w:cs="Calibri"/>
                <w:bCs/>
                <w:color w:val="002060"/>
                <w:sz w:val="18"/>
                <w:szCs w:val="18"/>
                <w:lang w:val="sr-Cyrl-CS"/>
              </w:rPr>
            </w:pPr>
            <w:r w:rsidRPr="00646254">
              <w:rPr>
                <w:rFonts w:ascii="Calibri" w:hAnsi="Calibri" w:cs="Calibri"/>
                <w:bCs/>
                <w:color w:val="002060"/>
                <w:sz w:val="18"/>
                <w:szCs w:val="18"/>
                <w:lang w:val="sr-Cyrl-CS"/>
              </w:rPr>
              <w:t>3.893,8</w:t>
            </w:r>
          </w:p>
        </w:tc>
        <w:tc>
          <w:tcPr>
            <w:tcW w:w="569" w:type="pct"/>
            <w:tcBorders>
              <w:top w:val="single" w:sz="4" w:space="0" w:color="002060"/>
              <w:bottom w:val="nil"/>
            </w:tcBorders>
            <w:shd w:val="clear" w:color="auto" w:fill="E7E6E6" w:themeFill="background2"/>
            <w:noWrap/>
            <w:hideMark/>
          </w:tcPr>
          <w:p w14:paraId="33547FE8" w14:textId="77777777" w:rsidR="006B2397" w:rsidRPr="00646254" w:rsidRDefault="006B2397" w:rsidP="00BA266B">
            <w:pPr>
              <w:spacing w:line="240" w:lineRule="auto"/>
              <w:jc w:val="right"/>
              <w:rPr>
                <w:rFonts w:ascii="Calibri" w:hAnsi="Calibri" w:cs="Calibri"/>
                <w:bCs/>
                <w:color w:val="002060"/>
                <w:sz w:val="18"/>
                <w:szCs w:val="18"/>
                <w:lang w:val="sr-Cyrl-CS"/>
              </w:rPr>
            </w:pPr>
            <w:r w:rsidRPr="00646254">
              <w:rPr>
                <w:rFonts w:ascii="Calibri" w:hAnsi="Calibri" w:cs="Calibri"/>
                <w:bCs/>
                <w:color w:val="002060"/>
                <w:sz w:val="18"/>
                <w:szCs w:val="18"/>
                <w:lang w:val="sr-Cyrl-CS"/>
              </w:rPr>
              <w:t>4.085,8</w:t>
            </w:r>
          </w:p>
        </w:tc>
      </w:tr>
      <w:tr w:rsidR="006B2397" w:rsidRPr="00646254" w14:paraId="15647D7C" w14:textId="77777777" w:rsidTr="008265F0">
        <w:trPr>
          <w:trHeight w:val="20"/>
        </w:trPr>
        <w:tc>
          <w:tcPr>
            <w:tcW w:w="2724" w:type="pct"/>
            <w:tcBorders>
              <w:top w:val="nil"/>
              <w:left w:val="nil"/>
              <w:bottom w:val="nil"/>
              <w:right w:val="nil"/>
            </w:tcBorders>
            <w:hideMark/>
          </w:tcPr>
          <w:p w14:paraId="7D906C8F" w14:textId="77777777" w:rsidR="006B2397" w:rsidRPr="00646254" w:rsidRDefault="006B2397" w:rsidP="00BA266B">
            <w:pPr>
              <w:spacing w:line="240" w:lineRule="auto"/>
              <w:rPr>
                <w:rFonts w:ascii="Calibri" w:hAnsi="Calibri" w:cs="Calibri"/>
                <w:bCs/>
                <w:color w:val="002060"/>
                <w:sz w:val="18"/>
                <w:szCs w:val="18"/>
                <w:lang w:val="sr-Cyrl-CS"/>
              </w:rPr>
            </w:pPr>
            <w:r w:rsidRPr="00646254">
              <w:rPr>
                <w:rFonts w:ascii="Calibri" w:hAnsi="Calibri" w:cs="Calibri"/>
                <w:bCs/>
                <w:color w:val="002060"/>
                <w:sz w:val="18"/>
                <w:szCs w:val="18"/>
                <w:lang w:val="sr-Cyrl-CS"/>
              </w:rPr>
              <w:t>Дуг централне државе, у % БДП</w:t>
            </w:r>
          </w:p>
        </w:tc>
        <w:tc>
          <w:tcPr>
            <w:tcW w:w="569" w:type="pct"/>
            <w:tcBorders>
              <w:top w:val="nil"/>
              <w:left w:val="nil"/>
              <w:bottom w:val="nil"/>
              <w:right w:val="nil"/>
            </w:tcBorders>
            <w:noWrap/>
            <w:hideMark/>
          </w:tcPr>
          <w:p w14:paraId="28A1A4FC" w14:textId="77777777" w:rsidR="006B2397" w:rsidRPr="00646254" w:rsidRDefault="006B2397" w:rsidP="00BA266B">
            <w:pPr>
              <w:spacing w:line="240" w:lineRule="auto"/>
              <w:jc w:val="right"/>
              <w:rPr>
                <w:rFonts w:ascii="Calibri" w:hAnsi="Calibri" w:cs="Calibri"/>
                <w:bCs/>
                <w:color w:val="002060"/>
                <w:sz w:val="18"/>
                <w:szCs w:val="18"/>
                <w:lang w:val="sr-Cyrl-CS"/>
              </w:rPr>
            </w:pPr>
            <w:r w:rsidRPr="00646254">
              <w:rPr>
                <w:rFonts w:ascii="Calibri" w:hAnsi="Calibri" w:cs="Calibri"/>
                <w:bCs/>
                <w:color w:val="002060"/>
                <w:sz w:val="18"/>
                <w:szCs w:val="18"/>
                <w:lang w:val="sr-Cyrl-CS"/>
              </w:rPr>
              <w:t>57,3%</w:t>
            </w:r>
          </w:p>
        </w:tc>
        <w:tc>
          <w:tcPr>
            <w:tcW w:w="569" w:type="pct"/>
            <w:tcBorders>
              <w:top w:val="nil"/>
              <w:left w:val="nil"/>
              <w:bottom w:val="nil"/>
              <w:right w:val="nil"/>
            </w:tcBorders>
            <w:noWrap/>
            <w:hideMark/>
          </w:tcPr>
          <w:p w14:paraId="5C4314E9" w14:textId="77777777" w:rsidR="006B2397" w:rsidRPr="00646254" w:rsidRDefault="006B2397" w:rsidP="00BA266B">
            <w:pPr>
              <w:spacing w:line="240" w:lineRule="auto"/>
              <w:jc w:val="right"/>
              <w:rPr>
                <w:rFonts w:ascii="Calibri" w:hAnsi="Calibri" w:cs="Calibri"/>
                <w:bCs/>
                <w:color w:val="002060"/>
                <w:sz w:val="18"/>
                <w:szCs w:val="18"/>
                <w:lang w:val="sr-Cyrl-CS"/>
              </w:rPr>
            </w:pPr>
            <w:r w:rsidRPr="00646254">
              <w:rPr>
                <w:rFonts w:ascii="Calibri" w:hAnsi="Calibri" w:cs="Calibri"/>
                <w:bCs/>
                <w:color w:val="002060"/>
                <w:sz w:val="18"/>
                <w:szCs w:val="18"/>
                <w:lang w:val="sr-Cyrl-CS"/>
              </w:rPr>
              <w:t>55,5%</w:t>
            </w:r>
          </w:p>
        </w:tc>
        <w:tc>
          <w:tcPr>
            <w:tcW w:w="569" w:type="pct"/>
            <w:tcBorders>
              <w:top w:val="nil"/>
              <w:left w:val="nil"/>
              <w:bottom w:val="nil"/>
              <w:right w:val="nil"/>
            </w:tcBorders>
            <w:noWrap/>
            <w:hideMark/>
          </w:tcPr>
          <w:p w14:paraId="148625C9" w14:textId="77777777" w:rsidR="006B2397" w:rsidRPr="00646254" w:rsidRDefault="006B2397" w:rsidP="00BA266B">
            <w:pPr>
              <w:spacing w:line="240" w:lineRule="auto"/>
              <w:jc w:val="right"/>
              <w:rPr>
                <w:rFonts w:ascii="Calibri" w:hAnsi="Calibri" w:cs="Calibri"/>
                <w:bCs/>
                <w:color w:val="002060"/>
                <w:sz w:val="18"/>
                <w:szCs w:val="18"/>
                <w:lang w:val="sr-Cyrl-CS"/>
              </w:rPr>
            </w:pPr>
            <w:r w:rsidRPr="00646254">
              <w:rPr>
                <w:rFonts w:ascii="Calibri" w:hAnsi="Calibri" w:cs="Calibri"/>
                <w:bCs/>
                <w:color w:val="002060"/>
                <w:sz w:val="18"/>
                <w:szCs w:val="18"/>
                <w:lang w:val="sr-Cyrl-CS"/>
              </w:rPr>
              <w:t>54,3%</w:t>
            </w:r>
          </w:p>
        </w:tc>
        <w:tc>
          <w:tcPr>
            <w:tcW w:w="569" w:type="pct"/>
            <w:tcBorders>
              <w:top w:val="nil"/>
              <w:left w:val="nil"/>
              <w:bottom w:val="nil"/>
              <w:right w:val="nil"/>
            </w:tcBorders>
            <w:noWrap/>
            <w:hideMark/>
          </w:tcPr>
          <w:p w14:paraId="79643C26" w14:textId="77777777" w:rsidR="006B2397" w:rsidRPr="00646254" w:rsidRDefault="006B2397" w:rsidP="00BA266B">
            <w:pPr>
              <w:spacing w:line="240" w:lineRule="auto"/>
              <w:jc w:val="right"/>
              <w:rPr>
                <w:rFonts w:ascii="Calibri" w:hAnsi="Calibri" w:cs="Calibri"/>
                <w:bCs/>
                <w:color w:val="002060"/>
                <w:sz w:val="18"/>
                <w:szCs w:val="18"/>
                <w:lang w:val="sr-Cyrl-CS"/>
              </w:rPr>
            </w:pPr>
            <w:r w:rsidRPr="00646254">
              <w:rPr>
                <w:rFonts w:ascii="Calibri" w:hAnsi="Calibri" w:cs="Calibri"/>
                <w:bCs/>
                <w:color w:val="002060"/>
                <w:sz w:val="18"/>
                <w:szCs w:val="18"/>
                <w:lang w:val="sr-Cyrl-CS"/>
              </w:rPr>
              <w:t>52,7%</w:t>
            </w:r>
          </w:p>
        </w:tc>
      </w:tr>
      <w:tr w:rsidR="006B2397" w:rsidRPr="00646254" w14:paraId="1A7DB55D" w14:textId="77777777" w:rsidTr="00BA266B">
        <w:trPr>
          <w:cnfStyle w:val="000000100000" w:firstRow="0" w:lastRow="0" w:firstColumn="0" w:lastColumn="0" w:oddVBand="0" w:evenVBand="0" w:oddHBand="1" w:evenHBand="0" w:firstRowFirstColumn="0" w:firstRowLastColumn="0" w:lastRowFirstColumn="0" w:lastRowLastColumn="0"/>
          <w:trHeight w:val="20"/>
        </w:trPr>
        <w:tc>
          <w:tcPr>
            <w:tcW w:w="2724" w:type="pct"/>
            <w:tcBorders>
              <w:top w:val="nil"/>
              <w:bottom w:val="nil"/>
            </w:tcBorders>
            <w:shd w:val="clear" w:color="auto" w:fill="E7E6E6" w:themeFill="background2"/>
            <w:hideMark/>
          </w:tcPr>
          <w:p w14:paraId="4B2EC54E" w14:textId="77777777" w:rsidR="006B2397" w:rsidRPr="00646254" w:rsidRDefault="006B2397" w:rsidP="00BA266B">
            <w:pPr>
              <w:spacing w:line="240" w:lineRule="auto"/>
              <w:rPr>
                <w:rFonts w:ascii="Calibri" w:hAnsi="Calibri" w:cs="Calibri"/>
                <w:bCs/>
                <w:color w:val="002060"/>
                <w:sz w:val="18"/>
                <w:szCs w:val="18"/>
                <w:lang w:val="sr-Cyrl-CS"/>
              </w:rPr>
            </w:pPr>
            <w:r w:rsidRPr="00646254">
              <w:rPr>
                <w:rFonts w:ascii="Calibri" w:hAnsi="Calibri" w:cs="Calibri"/>
                <w:bCs/>
                <w:color w:val="002060"/>
                <w:sz w:val="18"/>
                <w:szCs w:val="18"/>
                <w:lang w:val="sr-Cyrl-CS"/>
              </w:rPr>
              <w:t>Негарантовани дуг јединица локалне самоуправе, у % БДП</w:t>
            </w:r>
          </w:p>
        </w:tc>
        <w:tc>
          <w:tcPr>
            <w:tcW w:w="569" w:type="pct"/>
            <w:tcBorders>
              <w:top w:val="nil"/>
              <w:bottom w:val="nil"/>
            </w:tcBorders>
            <w:shd w:val="clear" w:color="auto" w:fill="E7E6E6" w:themeFill="background2"/>
            <w:noWrap/>
            <w:hideMark/>
          </w:tcPr>
          <w:p w14:paraId="5C541135" w14:textId="77777777" w:rsidR="006B2397" w:rsidRPr="00646254" w:rsidRDefault="006B2397" w:rsidP="00BA266B">
            <w:pPr>
              <w:spacing w:line="240" w:lineRule="auto"/>
              <w:jc w:val="right"/>
              <w:rPr>
                <w:rFonts w:ascii="Calibri" w:hAnsi="Calibri" w:cs="Calibri"/>
                <w:bCs/>
                <w:color w:val="002060"/>
                <w:sz w:val="18"/>
                <w:szCs w:val="18"/>
                <w:lang w:val="sr-Cyrl-CS"/>
              </w:rPr>
            </w:pPr>
            <w:r w:rsidRPr="00646254">
              <w:rPr>
                <w:rFonts w:ascii="Calibri" w:hAnsi="Calibri" w:cs="Calibri"/>
                <w:bCs/>
                <w:color w:val="002060"/>
                <w:sz w:val="18"/>
                <w:szCs w:val="18"/>
                <w:lang w:val="sr-Cyrl-CS"/>
              </w:rPr>
              <w:t>0,9%</w:t>
            </w:r>
          </w:p>
        </w:tc>
        <w:tc>
          <w:tcPr>
            <w:tcW w:w="569" w:type="pct"/>
            <w:tcBorders>
              <w:top w:val="nil"/>
              <w:bottom w:val="nil"/>
            </w:tcBorders>
            <w:shd w:val="clear" w:color="auto" w:fill="E7E6E6" w:themeFill="background2"/>
            <w:noWrap/>
            <w:hideMark/>
          </w:tcPr>
          <w:p w14:paraId="20251039" w14:textId="77777777" w:rsidR="006B2397" w:rsidRPr="00646254" w:rsidRDefault="006B2397" w:rsidP="00BA266B">
            <w:pPr>
              <w:spacing w:line="240" w:lineRule="auto"/>
              <w:jc w:val="right"/>
              <w:rPr>
                <w:rFonts w:ascii="Calibri" w:hAnsi="Calibri" w:cs="Calibri"/>
                <w:bCs/>
                <w:color w:val="002060"/>
                <w:sz w:val="18"/>
                <w:szCs w:val="18"/>
                <w:lang w:val="sr-Cyrl-CS"/>
              </w:rPr>
            </w:pPr>
            <w:r w:rsidRPr="00646254">
              <w:rPr>
                <w:rFonts w:ascii="Calibri" w:hAnsi="Calibri" w:cs="Calibri"/>
                <w:bCs/>
                <w:color w:val="002060"/>
                <w:sz w:val="18"/>
                <w:szCs w:val="18"/>
                <w:lang w:val="sr-Cyrl-CS"/>
              </w:rPr>
              <w:t>1,0%</w:t>
            </w:r>
          </w:p>
        </w:tc>
        <w:tc>
          <w:tcPr>
            <w:tcW w:w="569" w:type="pct"/>
            <w:tcBorders>
              <w:top w:val="nil"/>
              <w:bottom w:val="nil"/>
            </w:tcBorders>
            <w:shd w:val="clear" w:color="auto" w:fill="E7E6E6" w:themeFill="background2"/>
            <w:noWrap/>
            <w:hideMark/>
          </w:tcPr>
          <w:p w14:paraId="48EC18BF" w14:textId="77777777" w:rsidR="006B2397" w:rsidRPr="00646254" w:rsidRDefault="006B2397" w:rsidP="00BA266B">
            <w:pPr>
              <w:spacing w:line="240" w:lineRule="auto"/>
              <w:jc w:val="right"/>
              <w:rPr>
                <w:rFonts w:ascii="Calibri" w:hAnsi="Calibri" w:cs="Calibri"/>
                <w:bCs/>
                <w:color w:val="002060"/>
                <w:sz w:val="18"/>
                <w:szCs w:val="18"/>
                <w:lang w:val="sr-Cyrl-CS"/>
              </w:rPr>
            </w:pPr>
            <w:r w:rsidRPr="00646254">
              <w:rPr>
                <w:rFonts w:ascii="Calibri" w:hAnsi="Calibri" w:cs="Calibri"/>
                <w:bCs/>
                <w:color w:val="002060"/>
                <w:sz w:val="18"/>
                <w:szCs w:val="18"/>
                <w:lang w:val="sr-Cyrl-CS"/>
              </w:rPr>
              <w:t>1,0%</w:t>
            </w:r>
          </w:p>
        </w:tc>
        <w:tc>
          <w:tcPr>
            <w:tcW w:w="569" w:type="pct"/>
            <w:tcBorders>
              <w:top w:val="nil"/>
              <w:bottom w:val="nil"/>
            </w:tcBorders>
            <w:shd w:val="clear" w:color="auto" w:fill="E7E6E6" w:themeFill="background2"/>
            <w:noWrap/>
            <w:hideMark/>
          </w:tcPr>
          <w:p w14:paraId="247E4083" w14:textId="77777777" w:rsidR="006B2397" w:rsidRPr="00646254" w:rsidRDefault="006B2397" w:rsidP="00BA266B">
            <w:pPr>
              <w:spacing w:line="240" w:lineRule="auto"/>
              <w:jc w:val="right"/>
              <w:rPr>
                <w:rFonts w:ascii="Calibri" w:hAnsi="Calibri" w:cs="Calibri"/>
                <w:bCs/>
                <w:color w:val="002060"/>
                <w:sz w:val="18"/>
                <w:szCs w:val="18"/>
                <w:lang w:val="sr-Cyrl-CS"/>
              </w:rPr>
            </w:pPr>
            <w:r w:rsidRPr="00646254">
              <w:rPr>
                <w:rFonts w:ascii="Calibri" w:hAnsi="Calibri" w:cs="Calibri"/>
                <w:bCs/>
                <w:color w:val="002060"/>
                <w:sz w:val="18"/>
                <w:szCs w:val="18"/>
                <w:lang w:val="sr-Cyrl-CS"/>
              </w:rPr>
              <w:t>1,1%</w:t>
            </w:r>
          </w:p>
        </w:tc>
      </w:tr>
      <w:tr w:rsidR="006B2397" w:rsidRPr="00646254" w14:paraId="00F8E97B" w14:textId="77777777" w:rsidTr="008265F0">
        <w:trPr>
          <w:trHeight w:val="20"/>
        </w:trPr>
        <w:tc>
          <w:tcPr>
            <w:tcW w:w="2724" w:type="pct"/>
            <w:tcBorders>
              <w:top w:val="nil"/>
              <w:left w:val="nil"/>
              <w:bottom w:val="single" w:sz="4" w:space="0" w:color="002060"/>
              <w:right w:val="nil"/>
            </w:tcBorders>
            <w:hideMark/>
          </w:tcPr>
          <w:p w14:paraId="63A3671B" w14:textId="77777777" w:rsidR="006B2397" w:rsidRPr="00646254" w:rsidRDefault="006B2397" w:rsidP="00BA266B">
            <w:pPr>
              <w:spacing w:line="240" w:lineRule="auto"/>
              <w:rPr>
                <w:rFonts w:ascii="Calibri" w:hAnsi="Calibri" w:cs="Calibri"/>
                <w:bCs/>
                <w:color w:val="002060"/>
                <w:sz w:val="18"/>
                <w:szCs w:val="18"/>
                <w:lang w:val="sr-Cyrl-CS"/>
              </w:rPr>
            </w:pPr>
            <w:r w:rsidRPr="00646254">
              <w:rPr>
                <w:rFonts w:ascii="Calibri" w:hAnsi="Calibri" w:cs="Calibri"/>
                <w:bCs/>
                <w:color w:val="002060"/>
                <w:sz w:val="18"/>
                <w:szCs w:val="18"/>
                <w:lang w:val="sr-Cyrl-CS"/>
              </w:rPr>
              <w:t>Дуг опште државе, у % БДП</w:t>
            </w:r>
          </w:p>
        </w:tc>
        <w:tc>
          <w:tcPr>
            <w:tcW w:w="569" w:type="pct"/>
            <w:tcBorders>
              <w:top w:val="nil"/>
              <w:left w:val="nil"/>
              <w:bottom w:val="single" w:sz="4" w:space="0" w:color="002060"/>
              <w:right w:val="nil"/>
            </w:tcBorders>
            <w:noWrap/>
            <w:hideMark/>
          </w:tcPr>
          <w:p w14:paraId="0EB76B1A" w14:textId="77777777" w:rsidR="006B2397" w:rsidRPr="00646254" w:rsidRDefault="006B2397" w:rsidP="00BA266B">
            <w:pPr>
              <w:spacing w:line="240" w:lineRule="auto"/>
              <w:jc w:val="right"/>
              <w:rPr>
                <w:rFonts w:ascii="Calibri" w:hAnsi="Calibri" w:cs="Calibri"/>
                <w:bCs/>
                <w:color w:val="002060"/>
                <w:sz w:val="18"/>
                <w:szCs w:val="18"/>
                <w:lang w:val="sr-Cyrl-CS"/>
              </w:rPr>
            </w:pPr>
            <w:r w:rsidRPr="00646254">
              <w:rPr>
                <w:rFonts w:ascii="Calibri" w:hAnsi="Calibri" w:cs="Calibri"/>
                <w:bCs/>
                <w:color w:val="002060"/>
                <w:sz w:val="18"/>
                <w:szCs w:val="18"/>
                <w:lang w:val="sr-Cyrl-CS"/>
              </w:rPr>
              <w:t>58,2%</w:t>
            </w:r>
          </w:p>
        </w:tc>
        <w:tc>
          <w:tcPr>
            <w:tcW w:w="569" w:type="pct"/>
            <w:tcBorders>
              <w:top w:val="nil"/>
              <w:left w:val="nil"/>
              <w:bottom w:val="single" w:sz="4" w:space="0" w:color="002060"/>
              <w:right w:val="nil"/>
            </w:tcBorders>
            <w:noWrap/>
            <w:hideMark/>
          </w:tcPr>
          <w:p w14:paraId="2D947453" w14:textId="77777777" w:rsidR="006B2397" w:rsidRPr="00646254" w:rsidRDefault="006B2397" w:rsidP="00BA266B">
            <w:pPr>
              <w:spacing w:line="240" w:lineRule="auto"/>
              <w:jc w:val="right"/>
              <w:rPr>
                <w:rFonts w:ascii="Calibri" w:hAnsi="Calibri" w:cs="Calibri"/>
                <w:bCs/>
                <w:color w:val="002060"/>
                <w:sz w:val="18"/>
                <w:szCs w:val="18"/>
                <w:lang w:val="sr-Cyrl-CS"/>
              </w:rPr>
            </w:pPr>
            <w:r w:rsidRPr="00646254">
              <w:rPr>
                <w:rFonts w:ascii="Calibri" w:hAnsi="Calibri" w:cs="Calibri"/>
                <w:bCs/>
                <w:color w:val="002060"/>
                <w:sz w:val="18"/>
                <w:szCs w:val="18"/>
                <w:lang w:val="sr-Cyrl-CS"/>
              </w:rPr>
              <w:t>56,5%</w:t>
            </w:r>
          </w:p>
        </w:tc>
        <w:tc>
          <w:tcPr>
            <w:tcW w:w="569" w:type="pct"/>
            <w:tcBorders>
              <w:top w:val="nil"/>
              <w:left w:val="nil"/>
              <w:bottom w:val="single" w:sz="4" w:space="0" w:color="002060"/>
              <w:right w:val="nil"/>
            </w:tcBorders>
            <w:noWrap/>
            <w:hideMark/>
          </w:tcPr>
          <w:p w14:paraId="333F709D" w14:textId="77777777" w:rsidR="006B2397" w:rsidRPr="00646254" w:rsidRDefault="006B2397" w:rsidP="00BA266B">
            <w:pPr>
              <w:spacing w:line="240" w:lineRule="auto"/>
              <w:jc w:val="right"/>
              <w:rPr>
                <w:rFonts w:ascii="Calibri" w:hAnsi="Calibri" w:cs="Calibri"/>
                <w:bCs/>
                <w:color w:val="002060"/>
                <w:sz w:val="18"/>
                <w:szCs w:val="18"/>
                <w:lang w:val="sr-Cyrl-CS"/>
              </w:rPr>
            </w:pPr>
            <w:r w:rsidRPr="00646254">
              <w:rPr>
                <w:rFonts w:ascii="Calibri" w:hAnsi="Calibri" w:cs="Calibri"/>
                <w:bCs/>
                <w:color w:val="002060"/>
                <w:sz w:val="18"/>
                <w:szCs w:val="18"/>
                <w:lang w:val="sr-Cyrl-CS"/>
              </w:rPr>
              <w:t>55,3%</w:t>
            </w:r>
          </w:p>
        </w:tc>
        <w:tc>
          <w:tcPr>
            <w:tcW w:w="569" w:type="pct"/>
            <w:tcBorders>
              <w:top w:val="nil"/>
              <w:left w:val="nil"/>
              <w:bottom w:val="single" w:sz="4" w:space="0" w:color="002060"/>
              <w:right w:val="nil"/>
            </w:tcBorders>
            <w:noWrap/>
            <w:hideMark/>
          </w:tcPr>
          <w:p w14:paraId="23D0166C" w14:textId="77777777" w:rsidR="006B2397" w:rsidRPr="00646254" w:rsidRDefault="006B2397" w:rsidP="00BA266B">
            <w:pPr>
              <w:spacing w:line="240" w:lineRule="auto"/>
              <w:jc w:val="right"/>
              <w:rPr>
                <w:rFonts w:ascii="Calibri" w:hAnsi="Calibri" w:cs="Calibri"/>
                <w:bCs/>
                <w:color w:val="002060"/>
                <w:sz w:val="18"/>
                <w:szCs w:val="18"/>
                <w:lang w:val="sr-Cyrl-CS"/>
              </w:rPr>
            </w:pPr>
            <w:r w:rsidRPr="00646254">
              <w:rPr>
                <w:rFonts w:ascii="Calibri" w:hAnsi="Calibri" w:cs="Calibri"/>
                <w:bCs/>
                <w:color w:val="002060"/>
                <w:sz w:val="18"/>
                <w:szCs w:val="18"/>
                <w:lang w:val="sr-Cyrl-CS"/>
              </w:rPr>
              <w:t>53,8%</w:t>
            </w:r>
          </w:p>
        </w:tc>
      </w:tr>
    </w:tbl>
    <w:p w14:paraId="6821C8A8" w14:textId="77777777" w:rsidR="006B2397" w:rsidRPr="00646254" w:rsidRDefault="006B2397" w:rsidP="001E0603">
      <w:pPr>
        <w:spacing w:line="257" w:lineRule="auto"/>
        <w:jc w:val="left"/>
        <w:rPr>
          <w:rFonts w:ascii="Calibri" w:eastAsia="Calibri" w:hAnsi="Calibri" w:cs="Calibri"/>
          <w:bCs/>
          <w:sz w:val="4"/>
          <w:szCs w:val="72"/>
          <w:lang w:val="sr-Cyrl-CS"/>
        </w:rPr>
        <w:sectPr w:rsidR="006B2397" w:rsidRPr="00646254">
          <w:type w:val="continuous"/>
          <w:pgSz w:w="12240" w:h="15840"/>
          <w:pgMar w:top="1440" w:right="1440" w:bottom="1440" w:left="1440" w:header="720" w:footer="720" w:gutter="0"/>
          <w:cols w:space="720"/>
        </w:sectPr>
      </w:pPr>
    </w:p>
    <w:p w14:paraId="731BBEFA" w14:textId="26A94A3D" w:rsidR="006B2397" w:rsidRPr="00646254" w:rsidRDefault="006B2397" w:rsidP="00BA266B">
      <w:pPr>
        <w:rPr>
          <w:rFonts w:ascii="Calibri" w:eastAsia="Calibri" w:hAnsi="Calibri" w:cs="Calibri"/>
          <w:bCs/>
          <w:spacing w:val="-2"/>
          <w:szCs w:val="72"/>
          <w:lang w:val="sr-Cyrl-CS"/>
        </w:rPr>
      </w:pPr>
      <w:r w:rsidRPr="00646254">
        <w:rPr>
          <w:rFonts w:ascii="Calibri" w:eastAsia="Calibri" w:hAnsi="Calibri" w:cs="Calibri"/>
          <w:bCs/>
          <w:spacing w:val="-2"/>
          <w:szCs w:val="72"/>
          <w:lang w:val="sr-Cyrl-CS"/>
        </w:rPr>
        <w:t xml:space="preserve">У 2021. години очекује се благи раст рација учешћа јавног дуга општег нивоа државе у БДП на 58,2% услед неопходности да се настави </w:t>
      </w:r>
      <w:r w:rsidRPr="00646254">
        <w:rPr>
          <w:rFonts w:ascii="Calibri" w:eastAsia="Calibri" w:hAnsi="Calibri" w:cs="Calibri"/>
          <w:bCs/>
          <w:szCs w:val="72"/>
          <w:lang w:val="sr-Cyrl-CS"/>
        </w:rPr>
        <w:t xml:space="preserve">финансирање мера подршке </w:t>
      </w:r>
      <w:r w:rsidRPr="00646254">
        <w:rPr>
          <w:rFonts w:ascii="Calibri" w:eastAsia="Calibri" w:hAnsi="Calibri" w:cs="Calibri"/>
          <w:bCs/>
          <w:spacing w:val="-2"/>
          <w:szCs w:val="72"/>
          <w:lang w:val="sr-Cyrl-CS"/>
        </w:rPr>
        <w:t>привреди и грађанима погођеним пандемијом изазваном коронавирусом COVID-19, као и да се унапред обезбеди део средстава за финансирање дефицита и дуга који доспева у првом кварталу 2022. години. Након тога се у наредним годинама очекује стабилизација прилика и враћање рација на силазну путању, те се очекује да на крају 2022. године износи 56,5%, на крају 2023. године 55,3%, а на крају 2024. године 53,8%. У датом периоду се очекује реализација великих инфраструктурних пројеката који ће бити финансирани углавном из пројектних зајмова, те њихова интензивнија реализација у односу на претходни период. Ово је управо једна од тачака где се може видети јасна координација фискалних и развојних циљева. Води се рачуна о одрживости јавног дуга и постепеном паду његовог учешћа у БДП, уз истовремено коришћење новог задуживања за побољшање инфраструктурних услова који доводе до раста БДП, животног стандарда и нових инвестиција. Предвиђа се да ће негарантовани дуг јединица локалне самоуправе</w:t>
      </w:r>
      <w:r w:rsidR="00B9598B" w:rsidRPr="00646254">
        <w:rPr>
          <w:rFonts w:ascii="Calibri" w:eastAsia="Calibri" w:hAnsi="Calibri" w:cs="Calibri"/>
          <w:bCs/>
          <w:spacing w:val="-2"/>
          <w:szCs w:val="72"/>
          <w:lang w:val="sr-Cyrl-CS"/>
        </w:rPr>
        <w:t xml:space="preserve"> и осталог сектора државе</w:t>
      </w:r>
      <w:r w:rsidRPr="00646254">
        <w:rPr>
          <w:rFonts w:ascii="Calibri" w:eastAsia="Calibri" w:hAnsi="Calibri" w:cs="Calibri"/>
          <w:bCs/>
          <w:spacing w:val="-2"/>
          <w:szCs w:val="72"/>
          <w:lang w:val="sr-Cyrl-CS"/>
        </w:rPr>
        <w:t xml:space="preserve"> у наредном периоду бити на релативно стабилном нивоу од око 0,9% до 1,1% БДП у периоду од 2021. до 2024. године.</w:t>
      </w:r>
    </w:p>
    <w:p w14:paraId="0A7A8259" w14:textId="77777777" w:rsidR="006B2397" w:rsidRPr="00646254" w:rsidRDefault="006B2397" w:rsidP="008265F0">
      <w:pPr>
        <w:spacing w:line="256" w:lineRule="auto"/>
        <w:rPr>
          <w:rFonts w:ascii="Calibri" w:eastAsia="Calibri" w:hAnsi="Calibri" w:cs="Times New Roman"/>
          <w:b/>
          <w:color w:val="2F5496" w:themeColor="accent1" w:themeShade="BF"/>
          <w:sz w:val="22"/>
          <w:lang w:val="sr-Cyrl-CS"/>
        </w:rPr>
      </w:pPr>
      <w:r w:rsidRPr="00646254">
        <w:rPr>
          <w:rFonts w:ascii="Calibri" w:eastAsia="Calibri" w:hAnsi="Calibri" w:cs="Times New Roman"/>
          <w:b/>
          <w:color w:val="2F5496" w:themeColor="accent1" w:themeShade="BF"/>
          <w:sz w:val="22"/>
          <w:lang w:val="sr-Cyrl-CS"/>
        </w:rPr>
        <w:t>Принципи управљања јавним дугом</w:t>
      </w:r>
    </w:p>
    <w:p w14:paraId="18E737D2" w14:textId="77777777" w:rsidR="006B2397" w:rsidRPr="00646254" w:rsidRDefault="006B2397" w:rsidP="00BA266B">
      <w:pPr>
        <w:rPr>
          <w:rFonts w:ascii="Calibri" w:eastAsia="Calibri" w:hAnsi="Calibri" w:cs="Calibri"/>
          <w:bCs/>
          <w:szCs w:val="72"/>
          <w:lang w:val="sr-Cyrl-CS"/>
        </w:rPr>
      </w:pPr>
      <w:r w:rsidRPr="00646254">
        <w:rPr>
          <w:rFonts w:ascii="Calibri" w:eastAsia="Calibri" w:hAnsi="Calibri" w:cs="Calibri"/>
          <w:bCs/>
          <w:szCs w:val="72"/>
          <w:lang w:val="sr-Cyrl-CS"/>
        </w:rPr>
        <w:t>Према Закону о јавном дугу, примарни циљ задуживања Републике Србије и управљања јавним дугом је обезбеђивање средстава за редовно сервисирање буџетских потреба по најповољнијим условима и трошковима финансирања уз прихватљив ниво ризика. На основу тога, Стратегија управљања јавним дугом Републике Србије дефинише следеће опште циљеве и принципе:</w:t>
      </w:r>
    </w:p>
    <w:p w14:paraId="7955428F" w14:textId="77777777" w:rsidR="006B2397" w:rsidRPr="00646254" w:rsidRDefault="006B2397" w:rsidP="00BA266B">
      <w:pPr>
        <w:rPr>
          <w:rFonts w:ascii="Calibri" w:eastAsia="Calibri" w:hAnsi="Calibri" w:cs="Calibri"/>
          <w:bCs/>
          <w:szCs w:val="72"/>
          <w:lang w:val="sr-Cyrl-CS"/>
        </w:rPr>
      </w:pPr>
      <w:r w:rsidRPr="00646254">
        <w:rPr>
          <w:rFonts w:ascii="Calibri" w:eastAsia="Calibri" w:hAnsi="Calibri" w:cs="Calibri"/>
          <w:bCs/>
          <w:szCs w:val="72"/>
          <w:lang w:val="sr-Cyrl-CS"/>
        </w:rPr>
        <w:t>1) Осигурати финансирање фискалног дефицита и редовно сервисирање обавеза по основу јавног дуга Републике Србије;</w:t>
      </w:r>
    </w:p>
    <w:p w14:paraId="56E76EE5" w14:textId="77777777" w:rsidR="006B2397" w:rsidRPr="00646254" w:rsidRDefault="006B2397" w:rsidP="00BA266B">
      <w:pPr>
        <w:rPr>
          <w:rFonts w:ascii="Calibri" w:eastAsia="Calibri" w:hAnsi="Calibri" w:cs="Calibri"/>
          <w:bCs/>
          <w:szCs w:val="72"/>
          <w:lang w:val="sr-Cyrl-CS"/>
        </w:rPr>
      </w:pPr>
      <w:r w:rsidRPr="00646254">
        <w:rPr>
          <w:rFonts w:ascii="Calibri" w:eastAsia="Calibri" w:hAnsi="Calibri" w:cs="Calibri"/>
          <w:bCs/>
          <w:szCs w:val="72"/>
          <w:lang w:val="sr-Cyrl-CS"/>
        </w:rPr>
        <w:t>2) Дефинисати прихватљив ниво ризика који треба да буде одређен у условима циљане структуре портфолија дуга у смислу валутне структуре дуга, структуре каматних стопа, структуре рочности и структуре дуга према инструментима;</w:t>
      </w:r>
    </w:p>
    <w:p w14:paraId="07962647" w14:textId="77777777" w:rsidR="006B2397" w:rsidRPr="00646254" w:rsidRDefault="006B2397" w:rsidP="00BA266B">
      <w:pPr>
        <w:rPr>
          <w:rFonts w:ascii="Calibri" w:eastAsia="Calibri" w:hAnsi="Calibri" w:cs="Calibri"/>
          <w:bCs/>
          <w:szCs w:val="72"/>
          <w:lang w:val="sr-Cyrl-CS"/>
        </w:rPr>
      </w:pPr>
      <w:r w:rsidRPr="00646254">
        <w:rPr>
          <w:rFonts w:ascii="Calibri" w:eastAsia="Calibri" w:hAnsi="Calibri" w:cs="Calibri"/>
          <w:bCs/>
          <w:szCs w:val="72"/>
          <w:lang w:val="sr-Cyrl-CS"/>
        </w:rPr>
        <w:t>3) Наставити развој тржишта државних хартија од вредности које се емитују на домаћем и међународном тржишту, што би помогло у смањењу трошкова задуживања у средњем и дугом року;</w:t>
      </w:r>
    </w:p>
    <w:p w14:paraId="26473887" w14:textId="77777777" w:rsidR="006B2397" w:rsidRPr="00646254" w:rsidRDefault="006B2397" w:rsidP="00BA266B">
      <w:pPr>
        <w:rPr>
          <w:rFonts w:ascii="Calibri" w:eastAsia="Calibri" w:hAnsi="Calibri" w:cs="Calibri"/>
          <w:bCs/>
          <w:szCs w:val="72"/>
          <w:lang w:val="sr-Cyrl-CS"/>
        </w:rPr>
      </w:pPr>
      <w:r w:rsidRPr="00646254">
        <w:rPr>
          <w:rFonts w:ascii="Calibri" w:eastAsia="Calibri" w:hAnsi="Calibri" w:cs="Calibri"/>
          <w:bCs/>
          <w:szCs w:val="72"/>
          <w:lang w:val="sr-Cyrl-CS"/>
        </w:rPr>
        <w:t>4) Омогућити транспарентност и предвидивост процеса задуживања.</w:t>
      </w:r>
    </w:p>
    <w:p w14:paraId="15505881" w14:textId="77777777" w:rsidR="006B2397" w:rsidRPr="00646254" w:rsidRDefault="006B2397" w:rsidP="00BA266B">
      <w:pPr>
        <w:rPr>
          <w:rFonts w:ascii="Calibri" w:eastAsia="Calibri" w:hAnsi="Calibri" w:cs="Calibri"/>
          <w:bCs/>
          <w:szCs w:val="72"/>
          <w:lang w:val="sr-Cyrl-CS"/>
        </w:rPr>
      </w:pPr>
      <w:r w:rsidRPr="00646254">
        <w:rPr>
          <w:rFonts w:ascii="Calibri" w:eastAsia="Calibri" w:hAnsi="Calibri" w:cs="Calibri"/>
          <w:bCs/>
          <w:szCs w:val="72"/>
          <w:lang w:val="sr-Cyrl-CS"/>
        </w:rPr>
        <w:t>Стратегија управљања јавним дугом конзистентна је са општим средњорочним макроекономским и фискалним оквиром.</w:t>
      </w:r>
    </w:p>
    <w:p w14:paraId="46600EF3" w14:textId="5D11BF13" w:rsidR="006B2397" w:rsidRPr="00646254" w:rsidRDefault="006B2397" w:rsidP="00BA266B">
      <w:pPr>
        <w:rPr>
          <w:rFonts w:ascii="Calibri" w:eastAsia="Calibri" w:hAnsi="Calibri" w:cs="Calibri"/>
          <w:bCs/>
          <w:spacing w:val="-2"/>
          <w:szCs w:val="72"/>
          <w:lang w:val="sr-Cyrl-CS"/>
        </w:rPr>
      </w:pPr>
      <w:r w:rsidRPr="00646254">
        <w:rPr>
          <w:rFonts w:ascii="Calibri" w:eastAsia="Calibri" w:hAnsi="Calibri" w:cs="Calibri"/>
          <w:bCs/>
          <w:spacing w:val="-2"/>
          <w:szCs w:val="72"/>
          <w:lang w:val="sr-Cyrl-CS"/>
        </w:rPr>
        <w:t xml:space="preserve">Стратегија управљања јавним дугом у наредном средњорочном периоду базира се на финансирању дефицита и главнице дуга буџета Републике Србије путем </w:t>
      </w:r>
      <w:r w:rsidR="00B9598B" w:rsidRPr="00646254">
        <w:rPr>
          <w:rFonts w:ascii="Calibri" w:eastAsia="Calibri" w:hAnsi="Calibri" w:cs="Calibri"/>
          <w:bCs/>
          <w:spacing w:val="-2"/>
          <w:szCs w:val="72"/>
          <w:lang w:val="sr-Cyrl-CS"/>
        </w:rPr>
        <w:t>емисија</w:t>
      </w:r>
      <w:r w:rsidRPr="00646254">
        <w:rPr>
          <w:rFonts w:ascii="Calibri" w:eastAsia="Calibri" w:hAnsi="Calibri" w:cs="Calibri"/>
          <w:bCs/>
          <w:spacing w:val="-2"/>
          <w:szCs w:val="72"/>
          <w:lang w:val="sr-Cyrl-CS"/>
        </w:rPr>
        <w:t xml:space="preserve"> државних хартија од вредности на домаћем и међународном тржишту капитала како би било испуњено редовно сервисирање обавеза. Флексибилност ће се огледати у домену избора тржишта на коме ће се вршити задуживање, валуте задуживања и инструмен</w:t>
      </w:r>
      <w:r w:rsidR="00B9598B" w:rsidRPr="00646254">
        <w:rPr>
          <w:rFonts w:ascii="Calibri" w:eastAsia="Calibri" w:hAnsi="Calibri" w:cs="Calibri"/>
          <w:bCs/>
          <w:spacing w:val="-2"/>
          <w:szCs w:val="72"/>
          <w:lang w:val="sr-Cyrl-CS"/>
        </w:rPr>
        <w:t>а</w:t>
      </w:r>
      <w:r w:rsidRPr="00646254">
        <w:rPr>
          <w:rFonts w:ascii="Calibri" w:eastAsia="Calibri" w:hAnsi="Calibri" w:cs="Calibri"/>
          <w:bCs/>
          <w:spacing w:val="-2"/>
          <w:szCs w:val="72"/>
          <w:lang w:val="sr-Cyrl-CS"/>
        </w:rPr>
        <w:t>та финансирања. Избор структуре финансирања узимаће у обзир тренутно стање и тренд развоја домаћег и међународног финансијског тржишта (ниво каматних стопа, премије ризика, криву приноса, девизне курсеве референтних валута) и прихватљив ниво изложености финансијским ризицима.</w:t>
      </w:r>
    </w:p>
    <w:p w14:paraId="6E2A620E" w14:textId="110544F9" w:rsidR="006B2397" w:rsidRPr="00646254" w:rsidRDefault="006B2397" w:rsidP="00BA266B">
      <w:pPr>
        <w:rPr>
          <w:rFonts w:ascii="Calibri" w:eastAsia="Calibri" w:hAnsi="Calibri" w:cs="Calibri"/>
          <w:bCs/>
          <w:szCs w:val="72"/>
          <w:lang w:val="sr-Cyrl-CS"/>
        </w:rPr>
      </w:pPr>
      <w:r w:rsidRPr="00646254">
        <w:rPr>
          <w:rFonts w:ascii="Calibri" w:eastAsia="Calibri" w:hAnsi="Calibri" w:cs="Calibri"/>
          <w:bCs/>
          <w:szCs w:val="72"/>
          <w:lang w:val="sr-Cyrl-CS"/>
        </w:rPr>
        <w:t xml:space="preserve">Циљ је да се у наредном дугорочном периоду финансирање обавља пре свега емитовањем динарских хартија од вредности на домаћем тржишту. Део финансирања може бити обезбеђен и на међународном финансијском тржишту у средњорочном периоду. Успостављање </w:t>
      </w:r>
      <w:r w:rsidRPr="00646254">
        <w:rPr>
          <w:rFonts w:ascii="Calibri" w:eastAsia="Calibri" w:hAnsi="Calibri" w:cs="Calibri"/>
          <w:bCs/>
          <w:i/>
          <w:szCs w:val="72"/>
          <w:lang w:val="sr-Cyrl-CS"/>
        </w:rPr>
        <w:t>GMTN</w:t>
      </w:r>
      <w:r w:rsidRPr="00646254">
        <w:rPr>
          <w:rFonts w:ascii="Calibri" w:eastAsia="Calibri" w:hAnsi="Calibri" w:cs="Calibri"/>
          <w:bCs/>
          <w:szCs w:val="72"/>
          <w:lang w:val="sr-Cyrl-CS"/>
        </w:rPr>
        <w:t xml:space="preserve"> програма у 2020. години омогућило је флексибилност у избору финансирања и бржи приступ финансирању на међунар</w:t>
      </w:r>
      <w:r w:rsidR="009B1DCA" w:rsidRPr="00646254">
        <w:rPr>
          <w:rFonts w:ascii="Calibri" w:eastAsia="Calibri" w:hAnsi="Calibri" w:cs="Calibri"/>
          <w:bCs/>
          <w:szCs w:val="72"/>
          <w:lang w:val="sr-Cyrl-CS"/>
        </w:rPr>
        <w:t>oд</w:t>
      </w:r>
      <w:r w:rsidRPr="00646254">
        <w:rPr>
          <w:rFonts w:ascii="Calibri" w:eastAsia="Calibri" w:hAnsi="Calibri" w:cs="Calibri"/>
          <w:bCs/>
          <w:szCs w:val="72"/>
          <w:lang w:val="sr-Cyrl-CS"/>
        </w:rPr>
        <w:t>ном тржишту.</w:t>
      </w:r>
    </w:p>
    <w:p w14:paraId="6B00B4DC" w14:textId="77777777" w:rsidR="006B2397" w:rsidRPr="00646254" w:rsidRDefault="006B2397" w:rsidP="00BA266B">
      <w:pPr>
        <w:rPr>
          <w:rFonts w:ascii="Calibri" w:eastAsia="Calibri" w:hAnsi="Calibri" w:cs="Calibri"/>
          <w:bCs/>
          <w:szCs w:val="72"/>
          <w:lang w:val="sr-Cyrl-CS"/>
        </w:rPr>
      </w:pPr>
      <w:r w:rsidRPr="00646254">
        <w:rPr>
          <w:rFonts w:ascii="Calibri" w:eastAsia="Calibri" w:hAnsi="Calibri" w:cs="Calibri"/>
          <w:bCs/>
          <w:szCs w:val="72"/>
          <w:lang w:val="sr-Cyrl-CS"/>
        </w:rPr>
        <w:t>Позајмљивање у страној валути, као нпр. у америчким доларима, за собом повлачи и девизни ризик услед промене курсa евро – амерички долар, те ће из тог разлога користити могућност хеџинга.</w:t>
      </w:r>
    </w:p>
    <w:p w14:paraId="15274CD7" w14:textId="77777777" w:rsidR="006B2397" w:rsidRPr="00646254" w:rsidRDefault="006B2397" w:rsidP="00BA266B">
      <w:pPr>
        <w:rPr>
          <w:rFonts w:ascii="Calibri" w:eastAsia="Calibri" w:hAnsi="Calibri" w:cs="Calibri"/>
          <w:bCs/>
          <w:szCs w:val="72"/>
          <w:lang w:val="sr-Cyrl-CS"/>
        </w:rPr>
      </w:pPr>
      <w:r w:rsidRPr="00646254">
        <w:rPr>
          <w:rFonts w:ascii="Calibri" w:eastAsia="Calibri" w:hAnsi="Calibri" w:cs="Calibri"/>
          <w:bCs/>
          <w:szCs w:val="72"/>
          <w:lang w:val="sr-Cyrl-CS"/>
        </w:rPr>
        <w:t>Политика управљања јавним дугом мора да узме у обзир дугорочну перспективу, али се одлука о финансирању буџетских издатака мора доносити годишње. Одлука о годишњем задуживању се доноси у оквиру Закона о буџету за одређену фискалну годину. У зависности од промене основних фискалних агрегата могућа је корекција плана задуживања током фискалне године.</w:t>
      </w:r>
    </w:p>
    <w:p w14:paraId="1FBBA3C2" w14:textId="77777777" w:rsidR="006B2397" w:rsidRPr="00646254" w:rsidRDefault="006B2397" w:rsidP="008265F0">
      <w:pPr>
        <w:spacing w:line="256" w:lineRule="auto"/>
        <w:rPr>
          <w:rFonts w:ascii="Calibri" w:eastAsia="Calibri" w:hAnsi="Calibri" w:cs="Times New Roman"/>
          <w:b/>
          <w:color w:val="2F5496" w:themeColor="accent1" w:themeShade="BF"/>
          <w:sz w:val="22"/>
          <w:lang w:val="sr-Cyrl-CS"/>
        </w:rPr>
      </w:pPr>
      <w:r w:rsidRPr="00646254">
        <w:rPr>
          <w:rFonts w:ascii="Calibri" w:eastAsia="Calibri" w:hAnsi="Calibri" w:cs="Times New Roman"/>
          <w:b/>
          <w:color w:val="2F5496" w:themeColor="accent1" w:themeShade="BF"/>
          <w:sz w:val="22"/>
          <w:lang w:val="sr-Cyrl-CS"/>
        </w:rPr>
        <w:t>Финансијски ризици и мере за управљање финансијским ризицима</w:t>
      </w:r>
    </w:p>
    <w:p w14:paraId="7C86002C" w14:textId="77777777" w:rsidR="006B2397" w:rsidRPr="00646254" w:rsidRDefault="006B2397" w:rsidP="00BA266B">
      <w:pPr>
        <w:rPr>
          <w:rFonts w:ascii="Calibri" w:eastAsia="Calibri" w:hAnsi="Calibri" w:cs="Calibri"/>
          <w:bCs/>
          <w:szCs w:val="72"/>
          <w:lang w:val="sr-Cyrl-CS"/>
        </w:rPr>
      </w:pPr>
      <w:r w:rsidRPr="00646254">
        <w:rPr>
          <w:rFonts w:ascii="Calibri" w:eastAsia="Calibri" w:hAnsi="Calibri" w:cs="Calibri"/>
          <w:bCs/>
          <w:szCs w:val="72"/>
          <w:lang w:val="sr-Cyrl-CS"/>
        </w:rPr>
        <w:t>Утицај финансијских и фискалних ризика може довести до већег раста јавног дуга него што предвиђа основни сценарио. Ризици који су присутни и који могу да доведу до раста задужености и трошкова сервисирања јавног дуга су: ризик рефинансирања, девизни ризик, тржишни ризик (ризик каматних стопа, ризик инфлације), ризик ликвидности, кредитни и оперативни ризици и ризици везани за дистрибуцију трошкова сервисирања (структура дуга, концентрација обавеза).</w:t>
      </w:r>
    </w:p>
    <w:p w14:paraId="3BC188C1" w14:textId="77777777" w:rsidR="006B2397" w:rsidRPr="00646254" w:rsidRDefault="006B2397" w:rsidP="00BA266B">
      <w:pPr>
        <w:spacing w:after="120"/>
        <w:rPr>
          <w:rFonts w:ascii="Calibri" w:eastAsia="Calibri" w:hAnsi="Calibri" w:cs="Calibri"/>
          <w:bCs/>
          <w:szCs w:val="72"/>
          <w:lang w:val="sr-Cyrl-CS"/>
        </w:rPr>
      </w:pPr>
      <w:r w:rsidRPr="00646254">
        <w:rPr>
          <w:rFonts w:ascii="Calibri" w:eastAsia="Calibri" w:hAnsi="Calibri" w:cs="Calibri"/>
          <w:bCs/>
          <w:szCs w:val="72"/>
          <w:lang w:val="sr-Cyrl-CS"/>
        </w:rPr>
        <w:t>У циљу смањења изложености финансијским ризицима потребно је спроводити следеће мере:</w:t>
      </w:r>
    </w:p>
    <w:p w14:paraId="0AA815D4" w14:textId="77777777" w:rsidR="006B2397" w:rsidRPr="00646254" w:rsidRDefault="006B2397" w:rsidP="00BA266B">
      <w:pPr>
        <w:spacing w:after="60"/>
        <w:rPr>
          <w:rFonts w:ascii="Calibri" w:eastAsia="Calibri" w:hAnsi="Calibri" w:cs="Calibri"/>
          <w:bCs/>
          <w:szCs w:val="72"/>
          <w:lang w:val="sr-Cyrl-CS"/>
        </w:rPr>
      </w:pPr>
      <w:r w:rsidRPr="00646254">
        <w:rPr>
          <w:rFonts w:ascii="Calibri" w:eastAsia="Calibri" w:hAnsi="Calibri" w:cs="Calibri"/>
          <w:bCs/>
          <w:szCs w:val="72"/>
          <w:lang w:val="sr-Cyrl-CS"/>
        </w:rPr>
        <w:t>1. ризик рефинансирања</w:t>
      </w:r>
    </w:p>
    <w:p w14:paraId="6D5A24F4" w14:textId="77777777" w:rsidR="006B2397" w:rsidRPr="00646254" w:rsidRDefault="006B2397" w:rsidP="00BA266B">
      <w:pPr>
        <w:numPr>
          <w:ilvl w:val="0"/>
          <w:numId w:val="22"/>
        </w:numPr>
        <w:ind w:left="180" w:hanging="180"/>
        <w:contextualSpacing/>
        <w:rPr>
          <w:rFonts w:ascii="Calibri" w:eastAsia="Calibri" w:hAnsi="Calibri" w:cs="Calibri"/>
          <w:bCs/>
          <w:szCs w:val="72"/>
          <w:lang w:val="sr-Cyrl-CS"/>
        </w:rPr>
      </w:pPr>
      <w:r w:rsidRPr="00646254">
        <w:rPr>
          <w:rFonts w:ascii="Calibri" w:eastAsia="Calibri" w:hAnsi="Calibri" w:cs="Calibri"/>
          <w:bCs/>
          <w:szCs w:val="72"/>
          <w:lang w:val="sr-Cyrl-CS"/>
        </w:rPr>
        <w:t>повећање учешћа средњорочних и дугорочних финансијских инструмената деноминованих у динарима на домаћем финансијском тржишту;</w:t>
      </w:r>
    </w:p>
    <w:p w14:paraId="364894A9" w14:textId="77777777" w:rsidR="006B2397" w:rsidRPr="00646254" w:rsidRDefault="006B2397" w:rsidP="00BA266B">
      <w:pPr>
        <w:numPr>
          <w:ilvl w:val="0"/>
          <w:numId w:val="22"/>
        </w:numPr>
        <w:ind w:left="180" w:hanging="180"/>
        <w:contextualSpacing/>
        <w:rPr>
          <w:rFonts w:ascii="Calibri" w:eastAsia="Calibri" w:hAnsi="Calibri" w:cs="Calibri"/>
          <w:bCs/>
          <w:szCs w:val="72"/>
          <w:lang w:val="sr-Cyrl-CS"/>
        </w:rPr>
      </w:pPr>
      <w:r w:rsidRPr="00646254">
        <w:rPr>
          <w:rFonts w:ascii="Calibri" w:eastAsia="Calibri" w:hAnsi="Calibri" w:cs="Calibri"/>
          <w:bCs/>
          <w:szCs w:val="72"/>
          <w:lang w:val="sr-Cyrl-CS"/>
        </w:rPr>
        <w:t>равномерна расподела обавеза по основу јавног дуга на годишњем нивоу у наредном дугорочном периоду;</w:t>
      </w:r>
    </w:p>
    <w:p w14:paraId="197BE027" w14:textId="77777777" w:rsidR="006B2397" w:rsidRPr="00646254" w:rsidRDefault="006B2397" w:rsidP="00BA266B">
      <w:pPr>
        <w:numPr>
          <w:ilvl w:val="0"/>
          <w:numId w:val="22"/>
        </w:numPr>
        <w:spacing w:after="120"/>
        <w:ind w:left="181" w:hanging="181"/>
        <w:rPr>
          <w:rFonts w:ascii="Calibri" w:eastAsia="Calibri" w:hAnsi="Calibri" w:cs="Calibri"/>
          <w:bCs/>
          <w:szCs w:val="72"/>
          <w:lang w:val="sr-Cyrl-CS"/>
        </w:rPr>
      </w:pPr>
      <w:r w:rsidRPr="00646254">
        <w:rPr>
          <w:rFonts w:ascii="Calibri" w:eastAsia="Calibri" w:hAnsi="Calibri" w:cs="Calibri"/>
          <w:bCs/>
          <w:szCs w:val="72"/>
          <w:lang w:val="sr-Cyrl-CS"/>
        </w:rPr>
        <w:t>продужавање просечне рочности дуга који се емитује у хартијама од вредности;</w:t>
      </w:r>
    </w:p>
    <w:p w14:paraId="4052F9F5" w14:textId="77777777" w:rsidR="006B2397" w:rsidRPr="00646254" w:rsidRDefault="006B2397" w:rsidP="00BA266B">
      <w:pPr>
        <w:spacing w:after="60"/>
        <w:rPr>
          <w:rFonts w:ascii="Calibri" w:eastAsia="Calibri" w:hAnsi="Calibri" w:cs="Calibri"/>
          <w:bCs/>
          <w:szCs w:val="72"/>
          <w:lang w:val="sr-Cyrl-CS"/>
        </w:rPr>
      </w:pPr>
      <w:r w:rsidRPr="00646254">
        <w:rPr>
          <w:rFonts w:ascii="Calibri" w:eastAsia="Calibri" w:hAnsi="Calibri" w:cs="Calibri"/>
          <w:bCs/>
          <w:szCs w:val="72"/>
          <w:lang w:val="sr-Cyrl-CS"/>
        </w:rPr>
        <w:t>2. девизни ризик</w:t>
      </w:r>
    </w:p>
    <w:p w14:paraId="4A4BF1E9" w14:textId="77777777" w:rsidR="006B2397" w:rsidRPr="00646254" w:rsidRDefault="006B2397" w:rsidP="00BA266B">
      <w:pPr>
        <w:numPr>
          <w:ilvl w:val="1"/>
          <w:numId w:val="25"/>
        </w:numPr>
        <w:ind w:left="180" w:hanging="180"/>
        <w:contextualSpacing/>
        <w:rPr>
          <w:rFonts w:ascii="Calibri" w:eastAsia="Calibri" w:hAnsi="Calibri" w:cs="Calibri"/>
          <w:bCs/>
          <w:szCs w:val="72"/>
          <w:lang w:val="sr-Cyrl-CS"/>
        </w:rPr>
      </w:pPr>
      <w:r w:rsidRPr="00646254">
        <w:rPr>
          <w:rFonts w:ascii="Calibri" w:eastAsia="Calibri" w:hAnsi="Calibri" w:cs="Calibri"/>
          <w:bCs/>
          <w:szCs w:val="72"/>
          <w:lang w:val="sr-Cyrl-CS"/>
        </w:rPr>
        <w:t>настојање да се смањи учешће дуга деноминованог у ино-валути уз уважавање трошкова новог дуга (трошкови динаризације дуга);</w:t>
      </w:r>
    </w:p>
    <w:p w14:paraId="5E8C638A" w14:textId="77777777" w:rsidR="006B2397" w:rsidRPr="00646254" w:rsidRDefault="006B2397" w:rsidP="00BA266B">
      <w:pPr>
        <w:numPr>
          <w:ilvl w:val="1"/>
          <w:numId w:val="25"/>
        </w:numPr>
        <w:ind w:left="180" w:hanging="180"/>
        <w:contextualSpacing/>
        <w:rPr>
          <w:rFonts w:ascii="Calibri" w:eastAsia="Calibri" w:hAnsi="Calibri" w:cs="Calibri"/>
          <w:bCs/>
          <w:szCs w:val="72"/>
          <w:lang w:val="sr-Cyrl-CS"/>
        </w:rPr>
      </w:pPr>
      <w:r w:rsidRPr="00646254">
        <w:rPr>
          <w:rFonts w:ascii="Calibri" w:eastAsia="Calibri" w:hAnsi="Calibri" w:cs="Calibri"/>
          <w:bCs/>
          <w:szCs w:val="72"/>
          <w:lang w:val="sr-Cyrl-CS"/>
        </w:rPr>
        <w:t>коришћење финансијских деривата у циљу лимитирања ефеката промене курсева референтних валута;</w:t>
      </w:r>
    </w:p>
    <w:p w14:paraId="4AD3948D" w14:textId="77777777" w:rsidR="006B2397" w:rsidRPr="00646254" w:rsidRDefault="006B2397" w:rsidP="00BA266B">
      <w:pPr>
        <w:numPr>
          <w:ilvl w:val="1"/>
          <w:numId w:val="25"/>
        </w:numPr>
        <w:spacing w:after="120"/>
        <w:ind w:left="181" w:hanging="181"/>
        <w:rPr>
          <w:rFonts w:ascii="Calibri" w:eastAsia="Calibri" w:hAnsi="Calibri" w:cs="Calibri"/>
          <w:bCs/>
          <w:szCs w:val="72"/>
          <w:lang w:val="sr-Cyrl-CS"/>
        </w:rPr>
      </w:pPr>
      <w:r w:rsidRPr="00646254">
        <w:rPr>
          <w:rFonts w:ascii="Calibri" w:eastAsia="Calibri" w:hAnsi="Calibri" w:cs="Calibri"/>
          <w:bCs/>
          <w:szCs w:val="72"/>
          <w:lang w:val="sr-Cyrl-CS"/>
        </w:rPr>
        <w:t>настојање да спољни дуг буде углавном у еврима и да се доларски дуг користи само ако је финансирање на међународном тржишту у доларима јефтиније уз коришћење финансијских деривата за лимитирање ризика;</w:t>
      </w:r>
    </w:p>
    <w:p w14:paraId="31F6C2E2" w14:textId="77777777" w:rsidR="006B2397" w:rsidRPr="00646254" w:rsidRDefault="006B2397" w:rsidP="00BA266B">
      <w:pPr>
        <w:spacing w:after="60"/>
        <w:rPr>
          <w:rFonts w:ascii="Calibri" w:eastAsia="Calibri" w:hAnsi="Calibri" w:cs="Calibri"/>
          <w:bCs/>
          <w:szCs w:val="72"/>
          <w:lang w:val="sr-Cyrl-CS"/>
        </w:rPr>
      </w:pPr>
      <w:r w:rsidRPr="00646254">
        <w:rPr>
          <w:rFonts w:ascii="Calibri" w:eastAsia="Calibri" w:hAnsi="Calibri" w:cs="Calibri"/>
          <w:bCs/>
          <w:szCs w:val="72"/>
          <w:lang w:val="sr-Cyrl-CS"/>
        </w:rPr>
        <w:t>3. тржишни ризик (ризик каматних стопа, ризик инфлације)</w:t>
      </w:r>
    </w:p>
    <w:p w14:paraId="629F33E3" w14:textId="77777777" w:rsidR="006B2397" w:rsidRPr="00646254" w:rsidRDefault="006B2397" w:rsidP="00BA266B">
      <w:pPr>
        <w:numPr>
          <w:ilvl w:val="1"/>
          <w:numId w:val="27"/>
        </w:numPr>
        <w:ind w:left="180" w:hanging="180"/>
        <w:contextualSpacing/>
        <w:rPr>
          <w:rFonts w:ascii="Calibri" w:eastAsia="Calibri" w:hAnsi="Calibri" w:cs="Calibri"/>
          <w:bCs/>
          <w:szCs w:val="72"/>
          <w:lang w:val="sr-Cyrl-CS"/>
        </w:rPr>
      </w:pPr>
      <w:r w:rsidRPr="00646254">
        <w:rPr>
          <w:rFonts w:ascii="Calibri" w:eastAsia="Calibri" w:hAnsi="Calibri" w:cs="Calibri"/>
          <w:bCs/>
          <w:szCs w:val="72"/>
          <w:lang w:val="sr-Cyrl-CS"/>
        </w:rPr>
        <w:t>настојање да се продужи просечна рочност домаћег дуга у динарима;</w:t>
      </w:r>
    </w:p>
    <w:p w14:paraId="109678DD" w14:textId="77777777" w:rsidR="006B2397" w:rsidRPr="00646254" w:rsidRDefault="006B2397" w:rsidP="00BA266B">
      <w:pPr>
        <w:numPr>
          <w:ilvl w:val="1"/>
          <w:numId w:val="27"/>
        </w:numPr>
        <w:spacing w:after="120"/>
        <w:ind w:left="181" w:hanging="181"/>
        <w:rPr>
          <w:rFonts w:ascii="Calibri" w:eastAsia="Calibri" w:hAnsi="Calibri" w:cs="Calibri"/>
          <w:bCs/>
          <w:szCs w:val="72"/>
          <w:lang w:val="sr-Cyrl-CS"/>
        </w:rPr>
      </w:pPr>
      <w:r w:rsidRPr="00646254">
        <w:rPr>
          <w:rFonts w:ascii="Calibri" w:eastAsia="Calibri" w:hAnsi="Calibri" w:cs="Calibri"/>
          <w:bCs/>
          <w:szCs w:val="72"/>
          <w:lang w:val="sr-Cyrl-CS"/>
        </w:rPr>
        <w:t>настојање да ризик по основу каматних стопа на спољни дуг не угрожава дугорочни циљ минимизације трошкова јавног дуга;</w:t>
      </w:r>
    </w:p>
    <w:p w14:paraId="77A77140" w14:textId="77777777" w:rsidR="006B2397" w:rsidRPr="00646254" w:rsidRDefault="006B2397" w:rsidP="00BA266B">
      <w:pPr>
        <w:spacing w:after="60"/>
        <w:rPr>
          <w:rFonts w:ascii="Calibri" w:eastAsia="Calibri" w:hAnsi="Calibri" w:cs="Calibri"/>
          <w:bCs/>
          <w:szCs w:val="72"/>
          <w:lang w:val="sr-Cyrl-CS"/>
        </w:rPr>
      </w:pPr>
      <w:r w:rsidRPr="00646254">
        <w:rPr>
          <w:rFonts w:ascii="Calibri" w:eastAsia="Calibri" w:hAnsi="Calibri" w:cs="Calibri"/>
          <w:bCs/>
          <w:szCs w:val="72"/>
          <w:lang w:val="sr-Cyrl-CS"/>
        </w:rPr>
        <w:t>4. ризик ликвидности</w:t>
      </w:r>
    </w:p>
    <w:p w14:paraId="6DB0A294" w14:textId="77777777" w:rsidR="006B2397" w:rsidRPr="00646254" w:rsidRDefault="006B2397" w:rsidP="00BA266B">
      <w:pPr>
        <w:numPr>
          <w:ilvl w:val="1"/>
          <w:numId w:val="29"/>
        </w:numPr>
        <w:ind w:left="180" w:hanging="180"/>
        <w:contextualSpacing/>
        <w:rPr>
          <w:rFonts w:ascii="Calibri" w:eastAsia="Calibri" w:hAnsi="Calibri" w:cs="Calibri"/>
          <w:bCs/>
          <w:szCs w:val="72"/>
          <w:lang w:val="sr-Cyrl-CS"/>
        </w:rPr>
      </w:pPr>
      <w:r w:rsidRPr="00646254">
        <w:rPr>
          <w:rFonts w:ascii="Calibri" w:eastAsia="Calibri" w:hAnsi="Calibri" w:cs="Calibri"/>
          <w:bCs/>
          <w:szCs w:val="72"/>
          <w:lang w:val="sr-Cyrl-CS"/>
        </w:rPr>
        <w:t>перманентно одржавање нивоа готовине на рачунима Републике Србије на нивоу који омогућава несметано финансирање обавеза у минимуму од четири месеца и на нивоу који омогућава апсорпцију евентуалних мањих прилива по основу задуживања у односу на план;</w:t>
      </w:r>
    </w:p>
    <w:p w14:paraId="2C59EB32" w14:textId="77777777" w:rsidR="006B2397" w:rsidRPr="00646254" w:rsidRDefault="006B2397" w:rsidP="00BA266B">
      <w:pPr>
        <w:numPr>
          <w:ilvl w:val="1"/>
          <w:numId w:val="29"/>
        </w:numPr>
        <w:spacing w:after="120"/>
        <w:ind w:left="181" w:hanging="181"/>
        <w:rPr>
          <w:rFonts w:ascii="Calibri" w:eastAsia="Calibri" w:hAnsi="Calibri" w:cs="Calibri"/>
          <w:bCs/>
          <w:szCs w:val="72"/>
          <w:lang w:val="sr-Cyrl-CS"/>
        </w:rPr>
      </w:pPr>
      <w:r w:rsidRPr="00646254">
        <w:rPr>
          <w:rFonts w:ascii="Calibri" w:eastAsia="Calibri" w:hAnsi="Calibri" w:cs="Calibri"/>
          <w:bCs/>
          <w:szCs w:val="72"/>
          <w:lang w:val="sr-Cyrl-CS"/>
        </w:rPr>
        <w:t>адекватно управљање слободним готовинским средствима на рачунима Републике Србије у складу са принципима asset-liability management и у складу са могућностима;</w:t>
      </w:r>
    </w:p>
    <w:p w14:paraId="10A0B881" w14:textId="77777777" w:rsidR="006B2397" w:rsidRPr="00646254" w:rsidRDefault="006B2397" w:rsidP="00BA266B">
      <w:pPr>
        <w:spacing w:after="60"/>
        <w:rPr>
          <w:rFonts w:ascii="Calibri" w:eastAsia="Calibri" w:hAnsi="Calibri" w:cs="Calibri"/>
          <w:bCs/>
          <w:szCs w:val="72"/>
          <w:lang w:val="sr-Cyrl-CS"/>
        </w:rPr>
      </w:pPr>
      <w:r w:rsidRPr="00646254">
        <w:rPr>
          <w:rFonts w:ascii="Calibri" w:eastAsia="Calibri" w:hAnsi="Calibri" w:cs="Calibri"/>
          <w:bCs/>
          <w:szCs w:val="72"/>
          <w:lang w:val="sr-Cyrl-CS"/>
        </w:rPr>
        <w:t>5. кредитни и оперативни ризици</w:t>
      </w:r>
    </w:p>
    <w:p w14:paraId="00D2F074" w14:textId="77777777" w:rsidR="006B2397" w:rsidRPr="00646254" w:rsidRDefault="006B2397" w:rsidP="00BA266B">
      <w:pPr>
        <w:numPr>
          <w:ilvl w:val="1"/>
          <w:numId w:val="31"/>
        </w:numPr>
        <w:ind w:left="180" w:hanging="180"/>
        <w:contextualSpacing/>
        <w:rPr>
          <w:rFonts w:ascii="Calibri" w:eastAsia="Calibri" w:hAnsi="Calibri" w:cs="Calibri"/>
          <w:bCs/>
          <w:szCs w:val="72"/>
          <w:lang w:val="sr-Cyrl-CS"/>
        </w:rPr>
      </w:pPr>
      <w:r w:rsidRPr="00646254">
        <w:rPr>
          <w:rFonts w:ascii="Calibri" w:eastAsia="Calibri" w:hAnsi="Calibri" w:cs="Calibri"/>
          <w:bCs/>
          <w:szCs w:val="72"/>
          <w:lang w:val="sr-Cyrl-CS"/>
        </w:rPr>
        <w:t>спровођење трансакција са финансијским дериватима само са финансијским институцијама које имају висок кредитни рејтинг;</w:t>
      </w:r>
    </w:p>
    <w:p w14:paraId="375F3F79" w14:textId="77777777" w:rsidR="006B2397" w:rsidRPr="00646254" w:rsidRDefault="006B2397" w:rsidP="00BA266B">
      <w:pPr>
        <w:numPr>
          <w:ilvl w:val="1"/>
          <w:numId w:val="31"/>
        </w:numPr>
        <w:ind w:left="180" w:hanging="180"/>
        <w:contextualSpacing/>
        <w:rPr>
          <w:rFonts w:ascii="Calibri" w:eastAsia="Calibri" w:hAnsi="Calibri" w:cs="Calibri"/>
          <w:bCs/>
          <w:szCs w:val="72"/>
          <w:lang w:val="sr-Cyrl-CS"/>
        </w:rPr>
      </w:pPr>
      <w:r w:rsidRPr="00646254">
        <w:rPr>
          <w:rFonts w:ascii="Calibri" w:eastAsia="Calibri" w:hAnsi="Calibri" w:cs="Calibri"/>
          <w:bCs/>
          <w:szCs w:val="72"/>
          <w:lang w:val="sr-Cyrl-CS"/>
        </w:rPr>
        <w:t>коришћење финансијских инструмената који лимитирају кредитни ризик;</w:t>
      </w:r>
    </w:p>
    <w:p w14:paraId="5C12DAAD" w14:textId="77777777" w:rsidR="006B2397" w:rsidRPr="00646254" w:rsidRDefault="006B2397" w:rsidP="00BA266B">
      <w:pPr>
        <w:numPr>
          <w:ilvl w:val="1"/>
          <w:numId w:val="31"/>
        </w:numPr>
        <w:ind w:left="180" w:hanging="180"/>
        <w:contextualSpacing/>
        <w:rPr>
          <w:rFonts w:ascii="Calibri" w:eastAsia="Calibri" w:hAnsi="Calibri" w:cs="Calibri"/>
          <w:bCs/>
          <w:szCs w:val="72"/>
          <w:lang w:val="sr-Cyrl-CS"/>
        </w:rPr>
      </w:pPr>
      <w:r w:rsidRPr="00646254">
        <w:rPr>
          <w:rFonts w:ascii="Calibri" w:eastAsia="Calibri" w:hAnsi="Calibri" w:cs="Calibri"/>
          <w:bCs/>
          <w:szCs w:val="72"/>
          <w:lang w:val="sr-Cyrl-CS"/>
        </w:rPr>
        <w:t>давање гаранција и одобравање новог дуга јединицама локалне самоуправе само ако постоји адекватна анализа о релативно ниском степену вероватноће да се реализује гаранција или да јединица локалне самоуправе постане несолвентна у средњорочном периоду;</w:t>
      </w:r>
    </w:p>
    <w:p w14:paraId="5A5BFC5B" w14:textId="77777777" w:rsidR="006B2397" w:rsidRPr="00646254" w:rsidRDefault="006B2397" w:rsidP="00BA266B">
      <w:pPr>
        <w:numPr>
          <w:ilvl w:val="0"/>
          <w:numId w:val="17"/>
        </w:numPr>
        <w:tabs>
          <w:tab w:val="left" w:pos="90"/>
        </w:tabs>
        <w:spacing w:after="120"/>
        <w:ind w:left="181" w:hanging="272"/>
        <w:rPr>
          <w:rFonts w:ascii="Calibri" w:eastAsia="Calibri" w:hAnsi="Calibri" w:cs="Calibri"/>
          <w:bCs/>
          <w:szCs w:val="72"/>
          <w:lang w:val="sr-Cyrl-CS"/>
        </w:rPr>
      </w:pPr>
      <w:r w:rsidRPr="00646254">
        <w:rPr>
          <w:rFonts w:ascii="Calibri" w:eastAsia="Calibri" w:hAnsi="Calibri" w:cs="Calibri"/>
          <w:bCs/>
          <w:szCs w:val="72"/>
          <w:lang w:val="sr-Cyrl-CS"/>
        </w:rPr>
        <w:t>увођење адекватне контроле у свим пословним активностима у Управи за јавни дуг и унапређење знања запослених;</w:t>
      </w:r>
    </w:p>
    <w:p w14:paraId="15ED2346" w14:textId="77777777" w:rsidR="006B2397" w:rsidRPr="00646254" w:rsidRDefault="006B2397" w:rsidP="00BA266B">
      <w:pPr>
        <w:tabs>
          <w:tab w:val="left" w:pos="90"/>
        </w:tabs>
        <w:spacing w:after="60"/>
        <w:ind w:left="-91"/>
        <w:rPr>
          <w:rFonts w:ascii="Calibri" w:eastAsia="Calibri" w:hAnsi="Calibri" w:cs="Calibri"/>
          <w:bCs/>
          <w:szCs w:val="72"/>
          <w:lang w:val="sr-Cyrl-CS"/>
        </w:rPr>
      </w:pPr>
      <w:r w:rsidRPr="00646254">
        <w:rPr>
          <w:rFonts w:ascii="Calibri" w:eastAsia="Calibri" w:hAnsi="Calibri" w:cs="Calibri"/>
          <w:bCs/>
          <w:szCs w:val="72"/>
          <w:lang w:val="sr-Cyrl-CS"/>
        </w:rPr>
        <w:t>6. ризици везани за дистрибуцију трошкова сервисирања</w:t>
      </w:r>
    </w:p>
    <w:p w14:paraId="456F03B4" w14:textId="77777777" w:rsidR="006B2397" w:rsidRPr="00646254" w:rsidRDefault="006B2397" w:rsidP="00BA266B">
      <w:pPr>
        <w:numPr>
          <w:ilvl w:val="0"/>
          <w:numId w:val="17"/>
        </w:numPr>
        <w:tabs>
          <w:tab w:val="left" w:pos="90"/>
        </w:tabs>
        <w:ind w:left="180" w:hanging="270"/>
        <w:contextualSpacing/>
        <w:rPr>
          <w:rFonts w:ascii="Calibri" w:eastAsia="Calibri" w:hAnsi="Calibri" w:cs="Calibri"/>
          <w:bCs/>
          <w:szCs w:val="72"/>
          <w:lang w:val="sr-Cyrl-CS"/>
        </w:rPr>
      </w:pPr>
      <w:r w:rsidRPr="00646254">
        <w:rPr>
          <w:rFonts w:ascii="Calibri" w:eastAsia="Calibri" w:hAnsi="Calibri" w:cs="Calibri"/>
          <w:bCs/>
          <w:szCs w:val="72"/>
          <w:lang w:val="sr-Cyrl-CS"/>
        </w:rPr>
        <w:t>адекватно планирање задуживања на годишњем нивоу и равномерна расподела у наредним годинама и током фискалне године како би се избегао ризик велике концентрације обавеза за рефинансирање;</w:t>
      </w:r>
    </w:p>
    <w:p w14:paraId="4EEDF0F9" w14:textId="77777777" w:rsidR="006B2397" w:rsidRPr="00646254" w:rsidRDefault="006B2397" w:rsidP="00BA266B">
      <w:pPr>
        <w:numPr>
          <w:ilvl w:val="0"/>
          <w:numId w:val="17"/>
        </w:numPr>
        <w:tabs>
          <w:tab w:val="left" w:pos="90"/>
        </w:tabs>
        <w:ind w:left="181" w:hanging="272"/>
        <w:rPr>
          <w:rFonts w:ascii="Calibri" w:eastAsia="Calibri" w:hAnsi="Calibri" w:cs="Calibri"/>
          <w:bCs/>
          <w:szCs w:val="72"/>
          <w:lang w:val="sr-Cyrl-CS"/>
        </w:rPr>
      </w:pPr>
      <w:r w:rsidRPr="00646254">
        <w:rPr>
          <w:rFonts w:ascii="Calibri" w:eastAsia="Calibri" w:hAnsi="Calibri" w:cs="Calibri"/>
          <w:bCs/>
          <w:szCs w:val="72"/>
          <w:lang w:val="sr-Cyrl-CS"/>
        </w:rPr>
        <w:t>избегавање концентрације обавеза по основу јавног дуга на месечном нивоу, који не би могао бити амортизован слободним новчаним средствима на рачунима Републике Србије.</w:t>
      </w:r>
    </w:p>
    <w:p w14:paraId="19425F78" w14:textId="77777777" w:rsidR="006B2397" w:rsidRPr="00646254" w:rsidRDefault="006B2397" w:rsidP="00BA266B">
      <w:pPr>
        <w:tabs>
          <w:tab w:val="left" w:pos="90"/>
        </w:tabs>
        <w:rPr>
          <w:rFonts w:ascii="Calibri" w:eastAsia="Calibri" w:hAnsi="Calibri" w:cs="Calibri"/>
          <w:bCs/>
          <w:szCs w:val="72"/>
          <w:lang w:val="sr-Cyrl-CS"/>
        </w:rPr>
      </w:pPr>
      <w:r w:rsidRPr="00646254">
        <w:rPr>
          <w:rFonts w:ascii="Calibri" w:eastAsia="Calibri" w:hAnsi="Calibri" w:cs="Calibri"/>
          <w:bCs/>
          <w:szCs w:val="72"/>
          <w:lang w:val="sr-Cyrl-CS"/>
        </w:rPr>
        <w:t>Захваљујући спровођењу дефинисаних мера у претходних неколико година дошло је до значајног побољшања структуре јавног дуга у скоро свим сегментима – побољшане су валутна структура и структура каматних стопа, значајно повећана рочност, смањени трошкови задуживања, смањен гарантовани јавни дуг, долази до равномерније расподеле обавеза уз перманентно одржавање адекватног нивоа ликвидности. Примера ради, на централном нивоу власти удео јавног дуга у динарима је порастао са 20,9%, колико је износио на крају 2016. године, на 30,9% на крају августа 2021. године. У истом временском интервалу удео јавног дуга у америчким доларима се смањио са 33,9% на 12,2%. Удео дуга са фиксном каматном стопом је у периоду од 2013. године до априла 2021. године порастао са 73,2% на 87,1%. У истом периоду је дошло до пада гарантованог дуга са 2,8 млрд евра на 1,4 млрд евра и пада просечно пондерисане каматне стопе на јавни дуг са 5,64% на 2,81%.</w:t>
      </w:r>
    </w:p>
    <w:p w14:paraId="22553E5C" w14:textId="77777777" w:rsidR="006B2397" w:rsidRPr="00646254" w:rsidRDefault="006B2397" w:rsidP="008265F0">
      <w:pPr>
        <w:spacing w:line="256" w:lineRule="auto"/>
        <w:rPr>
          <w:rFonts w:ascii="Calibri" w:eastAsia="Calibri" w:hAnsi="Calibri" w:cs="Times New Roman"/>
          <w:b/>
          <w:color w:val="2F5496" w:themeColor="accent1" w:themeShade="BF"/>
          <w:sz w:val="22"/>
          <w:lang w:val="sr-Cyrl-CS"/>
        </w:rPr>
      </w:pPr>
      <w:r w:rsidRPr="00646254">
        <w:rPr>
          <w:rFonts w:ascii="Calibri" w:eastAsia="Calibri" w:hAnsi="Calibri" w:cs="Times New Roman"/>
          <w:b/>
          <w:color w:val="2F5496" w:themeColor="accent1" w:themeShade="BF"/>
          <w:sz w:val="22"/>
          <w:lang w:val="sr-Cyrl-CS"/>
        </w:rPr>
        <w:t>Анализе коришћене приликом израде Стратегије за управљање јавним дугом</w:t>
      </w:r>
    </w:p>
    <w:p w14:paraId="3B461901" w14:textId="77777777" w:rsidR="006B2397" w:rsidRPr="00646254" w:rsidRDefault="006B2397" w:rsidP="00BA266B">
      <w:pPr>
        <w:rPr>
          <w:rFonts w:ascii="Calibri" w:eastAsia="Calibri" w:hAnsi="Calibri" w:cs="Calibri"/>
          <w:bCs/>
          <w:szCs w:val="72"/>
          <w:lang w:val="sr-Cyrl-CS"/>
        </w:rPr>
      </w:pPr>
      <w:r w:rsidRPr="00646254">
        <w:rPr>
          <w:rFonts w:ascii="Calibri" w:eastAsia="Calibri" w:hAnsi="Calibri" w:cs="Calibri"/>
          <w:bCs/>
          <w:szCs w:val="72"/>
          <w:lang w:val="sr-Cyrl-CS"/>
        </w:rPr>
        <w:t>За формулисање Стратегије за управљање јавним дугом коришћен је квантитативни приступ у анализи трошкова и ризика који утичу на управљање јавним дугом.</w:t>
      </w:r>
    </w:p>
    <w:p w14:paraId="0B39FD14" w14:textId="77777777" w:rsidR="006B2397" w:rsidRPr="00646254" w:rsidRDefault="006B2397" w:rsidP="00BA266B">
      <w:pPr>
        <w:rPr>
          <w:rFonts w:ascii="Calibri" w:eastAsia="Calibri" w:hAnsi="Calibri" w:cs="Calibri"/>
          <w:bCs/>
          <w:szCs w:val="72"/>
          <w:lang w:val="sr-Cyrl-CS"/>
        </w:rPr>
      </w:pPr>
      <w:r w:rsidRPr="00646254">
        <w:rPr>
          <w:rFonts w:ascii="Calibri" w:eastAsia="Calibri" w:hAnsi="Calibri" w:cs="Calibri"/>
          <w:bCs/>
          <w:szCs w:val="72"/>
          <w:lang w:val="sr-Cyrl-CS"/>
        </w:rPr>
        <w:t>Имајући у виду макроекономско окружење и тржишне услове, упоредно се разматрају алтернативни извори финансирања.</w:t>
      </w:r>
    </w:p>
    <w:p w14:paraId="4AAEA734" w14:textId="77777777" w:rsidR="006B2397" w:rsidRPr="00646254" w:rsidRDefault="006B2397" w:rsidP="00BA266B">
      <w:pPr>
        <w:rPr>
          <w:rFonts w:ascii="Calibri" w:eastAsia="Calibri" w:hAnsi="Calibri" w:cs="Calibri"/>
          <w:bCs/>
          <w:szCs w:val="72"/>
          <w:lang w:val="sr-Cyrl-CS"/>
        </w:rPr>
      </w:pPr>
      <w:r w:rsidRPr="00646254">
        <w:rPr>
          <w:rFonts w:ascii="Calibri" w:eastAsia="Calibri" w:hAnsi="Calibri" w:cs="Calibri"/>
          <w:bCs/>
          <w:szCs w:val="72"/>
          <w:lang w:val="sr-Cyrl-CS"/>
        </w:rPr>
        <w:t>У сврху анализе коришћени су инструменти доступни на домаћем и међународном финансијском тржишту.</w:t>
      </w:r>
    </w:p>
    <w:p w14:paraId="295165E9" w14:textId="77777777" w:rsidR="006B2397" w:rsidRPr="00646254" w:rsidRDefault="006B2397" w:rsidP="00BA266B">
      <w:pPr>
        <w:rPr>
          <w:rFonts w:ascii="Calibri" w:eastAsia="Calibri" w:hAnsi="Calibri" w:cs="Calibri"/>
          <w:bCs/>
          <w:szCs w:val="72"/>
          <w:lang w:val="sr-Cyrl-CS"/>
        </w:rPr>
      </w:pPr>
      <w:r w:rsidRPr="00646254">
        <w:rPr>
          <w:rFonts w:ascii="Calibri" w:eastAsia="Calibri" w:hAnsi="Calibri" w:cs="Calibri"/>
          <w:bCs/>
          <w:szCs w:val="72"/>
          <w:lang w:val="sr-Cyrl-CS"/>
        </w:rPr>
        <w:t>Извори финансирања деноминовани у страној валути:</w:t>
      </w:r>
    </w:p>
    <w:p w14:paraId="32BF6453" w14:textId="77777777" w:rsidR="006B2397" w:rsidRPr="00646254" w:rsidRDefault="006B2397" w:rsidP="00BA266B">
      <w:pPr>
        <w:numPr>
          <w:ilvl w:val="0"/>
          <w:numId w:val="18"/>
        </w:numPr>
        <w:ind w:left="180" w:hanging="180"/>
        <w:contextualSpacing/>
        <w:rPr>
          <w:rFonts w:ascii="Calibri" w:eastAsia="Calibri" w:hAnsi="Calibri" w:cs="Calibri"/>
          <w:bCs/>
          <w:szCs w:val="72"/>
          <w:lang w:val="sr-Cyrl-CS"/>
        </w:rPr>
      </w:pPr>
      <w:r w:rsidRPr="00646254">
        <w:rPr>
          <w:rFonts w:ascii="Calibri" w:eastAsia="Calibri" w:hAnsi="Calibri" w:cs="Calibri"/>
          <w:bCs/>
          <w:szCs w:val="72"/>
          <w:lang w:val="sr-Cyrl-CS"/>
        </w:rPr>
        <w:t>Зајмови страних влада и међународних финансијских институција, као и домаћих пословних банака – приказани као концесионални инструменти деноминовани у еврима или америчким доларима, са фиксном или варијабилном каматном стопом;</w:t>
      </w:r>
    </w:p>
    <w:p w14:paraId="7378A555" w14:textId="77777777" w:rsidR="006B2397" w:rsidRPr="00646254" w:rsidRDefault="006B2397" w:rsidP="00BA266B">
      <w:pPr>
        <w:numPr>
          <w:ilvl w:val="0"/>
          <w:numId w:val="18"/>
        </w:numPr>
        <w:ind w:left="180" w:hanging="180"/>
        <w:contextualSpacing/>
        <w:rPr>
          <w:rFonts w:ascii="Calibri" w:eastAsia="Calibri" w:hAnsi="Calibri" w:cs="Calibri"/>
          <w:bCs/>
          <w:szCs w:val="72"/>
          <w:lang w:val="sr-Cyrl-CS"/>
        </w:rPr>
      </w:pPr>
      <w:r w:rsidRPr="00646254">
        <w:rPr>
          <w:rFonts w:ascii="Calibri" w:eastAsia="Calibri" w:hAnsi="Calibri" w:cs="Calibri"/>
          <w:bCs/>
          <w:szCs w:val="72"/>
          <w:lang w:val="sr-Cyrl-CS"/>
        </w:rPr>
        <w:t>Домаћи дуг деноминован у еврима исказан кроз два инструмента – државни записи и државне обвезнице емитоване на домаћем финансијском тржишту;</w:t>
      </w:r>
    </w:p>
    <w:p w14:paraId="766B9E45" w14:textId="5B4AA3F7" w:rsidR="006B2397" w:rsidRPr="00646254" w:rsidRDefault="006B2397" w:rsidP="00BA266B">
      <w:pPr>
        <w:numPr>
          <w:ilvl w:val="0"/>
          <w:numId w:val="18"/>
        </w:numPr>
        <w:ind w:left="180" w:hanging="180"/>
        <w:contextualSpacing/>
        <w:rPr>
          <w:rFonts w:ascii="Calibri" w:eastAsia="Calibri" w:hAnsi="Calibri" w:cs="Calibri"/>
          <w:bCs/>
          <w:szCs w:val="72"/>
          <w:lang w:val="sr-Cyrl-CS"/>
        </w:rPr>
      </w:pPr>
      <w:r w:rsidRPr="00646254">
        <w:rPr>
          <w:rFonts w:ascii="Calibri" w:eastAsia="Calibri" w:hAnsi="Calibri" w:cs="Calibri"/>
          <w:bCs/>
          <w:szCs w:val="72"/>
          <w:lang w:val="sr-Cyrl-CS"/>
        </w:rPr>
        <w:t>Еврообвезница (еуробонд) – емитована у еврима или америчким доларима на међународном финансијском тржишту</w:t>
      </w:r>
      <w:r w:rsidR="008A637A" w:rsidRPr="00646254">
        <w:rPr>
          <w:rFonts w:ascii="Calibri" w:eastAsia="Calibri" w:hAnsi="Calibri" w:cs="Calibri"/>
          <w:bCs/>
          <w:szCs w:val="72"/>
          <w:lang w:val="sr-Cyrl-CS"/>
        </w:rPr>
        <w:t>;</w:t>
      </w:r>
    </w:p>
    <w:p w14:paraId="19A3A897" w14:textId="5FB82F81" w:rsidR="006B2397" w:rsidRPr="00646254" w:rsidRDefault="00C72D6D" w:rsidP="00BA266B">
      <w:pPr>
        <w:numPr>
          <w:ilvl w:val="0"/>
          <w:numId w:val="18"/>
        </w:numPr>
        <w:ind w:left="180" w:hanging="180"/>
        <w:contextualSpacing/>
        <w:rPr>
          <w:rFonts w:ascii="Calibri" w:eastAsia="Calibri" w:hAnsi="Calibri" w:cs="Calibri"/>
          <w:bCs/>
          <w:szCs w:val="72"/>
          <w:lang w:val="sr-Cyrl-CS"/>
        </w:rPr>
      </w:pPr>
      <w:r w:rsidRPr="00646254">
        <w:rPr>
          <w:rFonts w:ascii="Calibri" w:eastAsia="Calibri" w:hAnsi="Calibri" w:cs="Calibri"/>
          <w:bCs/>
          <w:szCs w:val="72"/>
          <w:lang w:val="sr-Cyrl-CS"/>
        </w:rPr>
        <w:t>Средства алокације</w:t>
      </w:r>
      <w:r w:rsidR="006B2397" w:rsidRPr="00646254">
        <w:rPr>
          <w:rFonts w:ascii="Calibri" w:eastAsia="Calibri" w:hAnsi="Calibri" w:cs="Calibri"/>
          <w:bCs/>
          <w:szCs w:val="72"/>
          <w:lang w:val="sr-Cyrl-CS"/>
        </w:rPr>
        <w:t xml:space="preserve"> </w:t>
      </w:r>
      <w:r w:rsidR="008A637A" w:rsidRPr="00646254">
        <w:rPr>
          <w:rFonts w:ascii="Calibri" w:eastAsia="Calibri" w:hAnsi="Calibri" w:cs="Calibri"/>
          <w:bCs/>
          <w:szCs w:val="72"/>
          <w:lang w:val="sr-Cyrl-CS"/>
        </w:rPr>
        <w:t>ММФ.</w:t>
      </w:r>
    </w:p>
    <w:p w14:paraId="36877582" w14:textId="77777777" w:rsidR="006B2397" w:rsidRPr="00646254" w:rsidRDefault="006B2397" w:rsidP="00BA266B">
      <w:pPr>
        <w:ind w:left="180"/>
        <w:contextualSpacing/>
        <w:rPr>
          <w:rFonts w:ascii="Calibri" w:eastAsia="Calibri" w:hAnsi="Calibri" w:cs="Calibri"/>
          <w:bCs/>
          <w:szCs w:val="72"/>
          <w:lang w:val="sr-Cyrl-CS"/>
        </w:rPr>
      </w:pPr>
    </w:p>
    <w:p w14:paraId="05B3CF1A" w14:textId="77777777" w:rsidR="006B2397" w:rsidRPr="00646254" w:rsidRDefault="006B2397" w:rsidP="00BA266B">
      <w:pPr>
        <w:rPr>
          <w:rFonts w:ascii="Calibri" w:eastAsia="Calibri" w:hAnsi="Calibri" w:cs="Calibri"/>
          <w:bCs/>
          <w:szCs w:val="72"/>
          <w:lang w:val="sr-Cyrl-CS"/>
        </w:rPr>
      </w:pPr>
      <w:r w:rsidRPr="00646254">
        <w:rPr>
          <w:rFonts w:ascii="Calibri" w:eastAsia="Calibri" w:hAnsi="Calibri" w:cs="Calibri"/>
          <w:bCs/>
          <w:szCs w:val="72"/>
          <w:lang w:val="sr-Cyrl-CS"/>
        </w:rPr>
        <w:t>Извори финансирања у домаћој валути:</w:t>
      </w:r>
    </w:p>
    <w:p w14:paraId="5E1CC7E0" w14:textId="77777777" w:rsidR="006B2397" w:rsidRPr="00646254" w:rsidRDefault="006B2397" w:rsidP="00BA266B">
      <w:pPr>
        <w:numPr>
          <w:ilvl w:val="1"/>
          <w:numId w:val="21"/>
        </w:numPr>
        <w:ind w:left="181" w:hanging="181"/>
        <w:rPr>
          <w:rFonts w:ascii="Calibri" w:eastAsia="Calibri" w:hAnsi="Calibri" w:cs="Calibri"/>
          <w:bCs/>
          <w:szCs w:val="72"/>
          <w:lang w:val="sr-Cyrl-CS"/>
        </w:rPr>
      </w:pPr>
      <w:r w:rsidRPr="00646254">
        <w:rPr>
          <w:rFonts w:ascii="Calibri" w:eastAsia="Calibri" w:hAnsi="Calibri" w:cs="Calibri"/>
          <w:bCs/>
          <w:szCs w:val="72"/>
          <w:lang w:val="sr-Cyrl-CS"/>
        </w:rPr>
        <w:t>Све државне хартије од вредности деноминоване у динарима груписане су на државне записе (са роковима доспећа до 53 недеље) и државне обвезнице (са роковима доспећа од 2 године и више).</w:t>
      </w:r>
    </w:p>
    <w:p w14:paraId="112CB565" w14:textId="77777777" w:rsidR="006B2397" w:rsidRPr="00646254" w:rsidRDefault="006B2397" w:rsidP="008265F0">
      <w:pPr>
        <w:spacing w:line="256" w:lineRule="auto"/>
        <w:rPr>
          <w:rFonts w:ascii="Calibri" w:eastAsia="Calibri" w:hAnsi="Calibri" w:cs="Times New Roman"/>
          <w:b/>
          <w:color w:val="2F5496" w:themeColor="accent1" w:themeShade="BF"/>
          <w:sz w:val="22"/>
          <w:lang w:val="sr-Cyrl-CS"/>
        </w:rPr>
      </w:pPr>
      <w:r w:rsidRPr="00646254">
        <w:rPr>
          <w:rFonts w:ascii="Calibri" w:eastAsia="Calibri" w:hAnsi="Calibri" w:cs="Times New Roman"/>
          <w:b/>
          <w:color w:val="2F5496" w:themeColor="accent1" w:themeShade="BF"/>
          <w:sz w:val="22"/>
          <w:lang w:val="sr-Cyrl-CS"/>
        </w:rPr>
        <w:t>Будуће тржишне каматне стопе и сценарио анализа</w:t>
      </w:r>
    </w:p>
    <w:p w14:paraId="7B378F12" w14:textId="7FCE6306" w:rsidR="006B2397" w:rsidRPr="00646254" w:rsidRDefault="006B2397" w:rsidP="00BA266B">
      <w:pPr>
        <w:rPr>
          <w:rFonts w:ascii="Calibri" w:eastAsia="Calibri" w:hAnsi="Calibri" w:cs="Calibri"/>
          <w:bCs/>
          <w:szCs w:val="72"/>
          <w:lang w:val="sr-Cyrl-CS"/>
        </w:rPr>
      </w:pPr>
      <w:r w:rsidRPr="00646254">
        <w:rPr>
          <w:rFonts w:ascii="Calibri" w:eastAsia="Calibri" w:hAnsi="Calibri" w:cs="Calibri"/>
          <w:bCs/>
          <w:szCs w:val="72"/>
          <w:lang w:val="sr-Cyrl-CS"/>
        </w:rPr>
        <w:t>Након избора одговарајуће композиције извора фина</w:t>
      </w:r>
      <w:r w:rsidR="0092324E">
        <w:rPr>
          <w:rFonts w:ascii="Calibri" w:eastAsia="Calibri" w:hAnsi="Calibri" w:cs="Calibri"/>
          <w:bCs/>
          <w:szCs w:val="72"/>
          <w:lang w:val="sr-Cyrl-CS"/>
        </w:rPr>
        <w:t>н</w:t>
      </w:r>
      <w:r w:rsidRPr="00646254">
        <w:rPr>
          <w:rFonts w:ascii="Calibri" w:eastAsia="Calibri" w:hAnsi="Calibri" w:cs="Calibri"/>
          <w:bCs/>
          <w:szCs w:val="72"/>
          <w:lang w:val="sr-Cyrl-CS"/>
        </w:rPr>
        <w:t>сирања (изабране и компаративних стратегија финансирања), приступа се анализи трошкова и ризика полазећи од основног (највероватнијег) сценарија, након чега се врши стрес тестирање за додатне врсте сценарија –шокова, како би се добио преглед ефеката коштања разматраних стратегија.</w:t>
      </w:r>
    </w:p>
    <w:p w14:paraId="47D75487" w14:textId="77777777" w:rsidR="002A35D9" w:rsidRPr="00646254" w:rsidRDefault="006B2397" w:rsidP="00BA266B">
      <w:pPr>
        <w:rPr>
          <w:rFonts w:ascii="Calibri" w:eastAsia="Calibri" w:hAnsi="Calibri" w:cs="Calibri"/>
          <w:bCs/>
          <w:szCs w:val="72"/>
          <w:lang w:val="sr-Cyrl-CS"/>
        </w:rPr>
        <w:sectPr w:rsidR="002A35D9" w:rsidRPr="00646254">
          <w:type w:val="continuous"/>
          <w:pgSz w:w="12240" w:h="15840"/>
          <w:pgMar w:top="1440" w:right="1440" w:bottom="1440" w:left="1440" w:header="720" w:footer="720" w:gutter="0"/>
          <w:cols w:num="2" w:space="720"/>
        </w:sectPr>
      </w:pPr>
      <w:r w:rsidRPr="00646254">
        <w:rPr>
          <w:rFonts w:ascii="Calibri" w:eastAsia="Calibri" w:hAnsi="Calibri" w:cs="Calibri"/>
          <w:bCs/>
          <w:szCs w:val="72"/>
          <w:lang w:val="sr-Cyrl-CS"/>
        </w:rPr>
        <w:t>Основни сценарио се базира на највише вероватним тржишним условима за три групе тржишних варијабли: девизни курс, каматне стопе на међународном тржишту и каматне стопе на домаћем тржишту. Приступ за динарске и евро каматне стопе заснива се на стопама оствареним током претходне и текуће године.</w:t>
      </w:r>
    </w:p>
    <w:p w14:paraId="1D78AC43" w14:textId="5B939566" w:rsidR="006B2397" w:rsidRPr="00646254" w:rsidRDefault="006B2397" w:rsidP="00BA266B">
      <w:pPr>
        <w:rPr>
          <w:rFonts w:ascii="Calibri" w:eastAsia="Calibri" w:hAnsi="Calibri" w:cs="Calibri"/>
          <w:bCs/>
          <w:szCs w:val="72"/>
          <w:lang w:val="sr-Cyrl-CS"/>
        </w:rPr>
      </w:pPr>
    </w:p>
    <w:p w14:paraId="72565BA2" w14:textId="77777777" w:rsidR="002A35D9" w:rsidRPr="00646254" w:rsidRDefault="002A35D9">
      <w:pPr>
        <w:jc w:val="left"/>
        <w:rPr>
          <w:rFonts w:ascii="Calibri" w:eastAsia="Calibri" w:hAnsi="Calibri" w:cs="Calibri"/>
          <w:bCs/>
          <w:szCs w:val="72"/>
          <w:lang w:val="sr-Cyrl-CS"/>
        </w:rPr>
      </w:pPr>
      <w:r w:rsidRPr="00646254">
        <w:rPr>
          <w:rFonts w:ascii="Calibri" w:eastAsia="Calibri" w:hAnsi="Calibri" w:cs="Calibri"/>
          <w:bCs/>
          <w:szCs w:val="72"/>
          <w:lang w:val="sr-Cyrl-CS"/>
        </w:rPr>
        <w:br w:type="page"/>
      </w:r>
    </w:p>
    <w:p w14:paraId="39755098" w14:textId="3DBF636F" w:rsidR="006B2397" w:rsidRPr="00646254" w:rsidRDefault="006B2397" w:rsidP="00BA266B">
      <w:pPr>
        <w:rPr>
          <w:rFonts w:ascii="Calibri" w:eastAsia="Calibri" w:hAnsi="Calibri" w:cs="Calibri"/>
          <w:bCs/>
          <w:szCs w:val="72"/>
          <w:lang w:val="sr-Cyrl-CS"/>
        </w:rPr>
      </w:pPr>
      <w:r w:rsidRPr="00646254">
        <w:rPr>
          <w:rFonts w:ascii="Calibri" w:eastAsia="Calibri" w:hAnsi="Calibri" w:cs="Calibri"/>
          <w:bCs/>
          <w:szCs w:val="72"/>
          <w:lang w:val="sr-Cyrl-CS"/>
        </w:rPr>
        <w:t>Након дефинисања основног сценарија, у циљу стрес тестирања одабране су додатне врсте сценарија – шокова:</w:t>
      </w:r>
    </w:p>
    <w:p w14:paraId="64A1B148" w14:textId="77777777" w:rsidR="006B2397" w:rsidRPr="00646254" w:rsidRDefault="006B2397" w:rsidP="00BA266B">
      <w:pPr>
        <w:rPr>
          <w:rFonts w:ascii="Calibri" w:eastAsia="Calibri" w:hAnsi="Calibri" w:cs="Calibri"/>
          <w:bCs/>
          <w:szCs w:val="72"/>
          <w:lang w:val="sr-Cyrl-CS"/>
        </w:rPr>
      </w:pPr>
      <w:r w:rsidRPr="00646254">
        <w:rPr>
          <w:rFonts w:ascii="Calibri" w:eastAsia="Calibri" w:hAnsi="Calibri" w:cs="Calibri"/>
          <w:bCs/>
          <w:szCs w:val="72"/>
          <w:lang w:val="sr-Cyrl-CS"/>
        </w:rPr>
        <w:t>-     Депрецијација динара у односу на све валуте од 15% у 2023.</w:t>
      </w:r>
      <w:r w:rsidRPr="00646254">
        <w:rPr>
          <w:rFonts w:ascii="Calibri" w:eastAsia="Calibri" w:hAnsi="Calibri" w:cs="Calibri"/>
          <w:bCs/>
          <w:color w:val="FF0000"/>
          <w:szCs w:val="72"/>
          <w:lang w:val="sr-Cyrl-CS"/>
        </w:rPr>
        <w:t xml:space="preserve"> </w:t>
      </w:r>
      <w:r w:rsidRPr="00646254">
        <w:rPr>
          <w:rFonts w:ascii="Calibri" w:eastAsia="Calibri" w:hAnsi="Calibri" w:cs="Calibri"/>
          <w:bCs/>
          <w:szCs w:val="72"/>
          <w:lang w:val="sr-Cyrl-CS"/>
        </w:rPr>
        <w:t>години. У овом сценарију однос евра и америчког долара би остао стабилан, док би само динар депрецирао у односу на обе валуте;</w:t>
      </w:r>
    </w:p>
    <w:p w14:paraId="2A1AFDBC" w14:textId="77777777" w:rsidR="006B2397" w:rsidRPr="00646254" w:rsidRDefault="006B2397" w:rsidP="00BA266B">
      <w:pPr>
        <w:rPr>
          <w:rFonts w:ascii="Calibri" w:eastAsia="Calibri" w:hAnsi="Calibri" w:cs="Calibri"/>
          <w:bCs/>
          <w:szCs w:val="72"/>
          <w:lang w:val="sr-Cyrl-CS"/>
        </w:rPr>
      </w:pPr>
      <w:r w:rsidRPr="00646254">
        <w:rPr>
          <w:rFonts w:ascii="Calibri" w:eastAsia="Calibri" w:hAnsi="Calibri" w:cs="Calibri"/>
          <w:bCs/>
          <w:szCs w:val="72"/>
          <w:lang w:val="sr-Cyrl-CS"/>
        </w:rPr>
        <w:t>-  Повећање каматних стопа на домаћем и међународном тржишту за око 2 п.п.;</w:t>
      </w:r>
    </w:p>
    <w:p w14:paraId="6884E252" w14:textId="77777777" w:rsidR="006B2397" w:rsidRPr="00646254" w:rsidRDefault="006B2397" w:rsidP="00BA266B">
      <w:pPr>
        <w:rPr>
          <w:rFonts w:ascii="Calibri" w:eastAsia="Calibri" w:hAnsi="Calibri" w:cs="Calibri"/>
          <w:bCs/>
          <w:szCs w:val="72"/>
          <w:lang w:val="sr-Cyrl-CS"/>
        </w:rPr>
      </w:pPr>
      <w:r w:rsidRPr="00646254">
        <w:rPr>
          <w:rFonts w:ascii="Calibri" w:eastAsia="Calibri" w:hAnsi="Calibri" w:cs="Calibri"/>
          <w:bCs/>
          <w:spacing w:val="-2"/>
          <w:szCs w:val="72"/>
          <w:lang w:val="sr-Cyrl-CS"/>
        </w:rPr>
        <w:t>-  Повећање каматних стопа на међународном тржишту до 3 п.п., а на домаћем тржишту до 4 п.п</w:t>
      </w:r>
      <w:r w:rsidRPr="00646254">
        <w:rPr>
          <w:rFonts w:ascii="Calibri" w:eastAsia="Calibri" w:hAnsi="Calibri" w:cs="Calibri"/>
          <w:bCs/>
          <w:szCs w:val="72"/>
          <w:lang w:val="sr-Cyrl-CS"/>
        </w:rPr>
        <w:t>.;</w:t>
      </w:r>
    </w:p>
    <w:p w14:paraId="4CEB5980" w14:textId="77777777" w:rsidR="006B2397" w:rsidRPr="00646254" w:rsidRDefault="006B2397" w:rsidP="00BA266B">
      <w:pPr>
        <w:rPr>
          <w:rFonts w:ascii="Calibri" w:eastAsia="Calibri" w:hAnsi="Calibri" w:cs="Calibri"/>
          <w:bCs/>
          <w:szCs w:val="72"/>
          <w:lang w:val="sr-Cyrl-CS"/>
        </w:rPr>
      </w:pPr>
      <w:r w:rsidRPr="00646254">
        <w:rPr>
          <w:rFonts w:ascii="Calibri" w:eastAsia="Calibri" w:hAnsi="Calibri" w:cs="Calibri"/>
          <w:bCs/>
          <w:szCs w:val="72"/>
          <w:lang w:val="sr-Cyrl-CS"/>
        </w:rPr>
        <w:t>- Комбиновани шок који се односи на депрецијацију динара у односу на долар 15% у 2023. години и раст каматних стопа за око 2 п.п.;</w:t>
      </w:r>
    </w:p>
    <w:p w14:paraId="7BD56B0C" w14:textId="77777777" w:rsidR="006B2397" w:rsidRPr="00646254" w:rsidRDefault="006B2397" w:rsidP="008265F0">
      <w:pPr>
        <w:spacing w:line="256" w:lineRule="auto"/>
        <w:rPr>
          <w:rFonts w:ascii="Calibri" w:eastAsia="Calibri" w:hAnsi="Calibri" w:cs="Times New Roman"/>
          <w:b/>
          <w:color w:val="2F5496" w:themeColor="accent1" w:themeShade="BF"/>
          <w:sz w:val="22"/>
          <w:lang w:val="sr-Cyrl-CS"/>
        </w:rPr>
      </w:pPr>
      <w:r w:rsidRPr="00646254">
        <w:rPr>
          <w:rFonts w:ascii="Calibri" w:eastAsia="Calibri" w:hAnsi="Calibri" w:cs="Times New Roman"/>
          <w:b/>
          <w:color w:val="2F5496" w:themeColor="accent1" w:themeShade="BF"/>
          <w:sz w:val="22"/>
          <w:lang w:val="sr-Cyrl-CS"/>
        </w:rPr>
        <w:t>Алтернативне стратегије задуживања за период 2022–2024. година</w:t>
      </w:r>
    </w:p>
    <w:p w14:paraId="4578AC9C" w14:textId="77777777" w:rsidR="006B2397" w:rsidRPr="00646254" w:rsidRDefault="006B2397" w:rsidP="00BA266B">
      <w:pPr>
        <w:rPr>
          <w:rFonts w:ascii="Calibri" w:eastAsia="Calibri" w:hAnsi="Calibri" w:cs="Calibri"/>
          <w:bCs/>
          <w:szCs w:val="72"/>
          <w:lang w:val="sr-Cyrl-CS"/>
        </w:rPr>
      </w:pPr>
      <w:r w:rsidRPr="00646254">
        <w:rPr>
          <w:rFonts w:ascii="Calibri" w:eastAsia="Calibri" w:hAnsi="Calibri" w:cs="Calibri"/>
          <w:bCs/>
          <w:szCs w:val="72"/>
          <w:lang w:val="sr-Cyrl-CS"/>
        </w:rPr>
        <w:t xml:space="preserve">На бази модела Светске банке </w:t>
      </w:r>
      <w:r w:rsidRPr="00646254">
        <w:rPr>
          <w:rFonts w:ascii="Calibri" w:eastAsia="Calibri" w:hAnsi="Calibri" w:cs="Calibri"/>
          <w:bCs/>
          <w:i/>
          <w:szCs w:val="72"/>
          <w:lang w:val="sr-Cyrl-CS"/>
        </w:rPr>
        <w:t>Medium Term Debt Strategy Model</w:t>
      </w:r>
      <w:r w:rsidRPr="00646254">
        <w:rPr>
          <w:rFonts w:ascii="Calibri" w:eastAsia="Calibri" w:hAnsi="Calibri" w:cs="Calibri"/>
          <w:bCs/>
          <w:szCs w:val="72"/>
          <w:lang w:val="sr-Cyrl-CS"/>
        </w:rPr>
        <w:t xml:space="preserve"> – MTDS, анализиране алтернативне стратегије задуживања су:</w:t>
      </w:r>
    </w:p>
    <w:p w14:paraId="4182C340" w14:textId="1C502E45" w:rsidR="006B2397" w:rsidRPr="00646254" w:rsidRDefault="006B2397" w:rsidP="00BA266B">
      <w:pPr>
        <w:rPr>
          <w:rFonts w:ascii="Calibri" w:eastAsia="Calibri" w:hAnsi="Calibri" w:cs="Calibri"/>
          <w:bCs/>
          <w:szCs w:val="72"/>
          <w:lang w:val="sr-Cyrl-CS"/>
        </w:rPr>
      </w:pPr>
      <w:r w:rsidRPr="00646254">
        <w:rPr>
          <w:rFonts w:ascii="Calibri" w:eastAsia="Calibri" w:hAnsi="Calibri" w:cs="Calibri"/>
          <w:bCs/>
          <w:szCs w:val="72"/>
          <w:lang w:val="sr-Cyrl-CS"/>
        </w:rPr>
        <w:t>Основна стратегија (С1): представља стратегију која укупне потребе за финансирањем покрива нешто већим делом из извора финансирања у страној валути у току 2022. (60%) и 2023. (70%), док се у 2024. години поново планира успостављање уравнотеженог финансирањ</w:t>
      </w:r>
      <w:r w:rsidR="000E213E">
        <w:rPr>
          <w:rFonts w:ascii="Calibri" w:eastAsia="Calibri" w:hAnsi="Calibri" w:cs="Calibri"/>
          <w:bCs/>
          <w:szCs w:val="72"/>
          <w:lang w:val="sr-Cyrl-CS"/>
        </w:rPr>
        <w:t>а</w:t>
      </w:r>
      <w:r w:rsidRPr="00646254">
        <w:rPr>
          <w:rFonts w:ascii="Calibri" w:eastAsia="Calibri" w:hAnsi="Calibri" w:cs="Calibri"/>
          <w:bCs/>
          <w:szCs w:val="72"/>
          <w:lang w:val="sr-Cyrl-CS"/>
        </w:rPr>
        <w:t xml:space="preserve"> из извора у домаћој и страној валути. Буџетско фина</w:t>
      </w:r>
      <w:r w:rsidR="00310B14">
        <w:rPr>
          <w:rFonts w:ascii="Calibri" w:eastAsia="Calibri" w:hAnsi="Calibri" w:cs="Calibri"/>
          <w:bCs/>
          <w:szCs w:val="72"/>
          <w:lang w:val="sr-Cyrl-CS"/>
        </w:rPr>
        <w:t>н</w:t>
      </w:r>
      <w:r w:rsidRPr="00646254">
        <w:rPr>
          <w:rFonts w:ascii="Calibri" w:eastAsia="Calibri" w:hAnsi="Calibri" w:cs="Calibri"/>
          <w:bCs/>
          <w:szCs w:val="72"/>
          <w:lang w:val="sr-Cyrl-CS"/>
        </w:rPr>
        <w:t>сирање у 2022. години планира се највећим делом из емисије државних обвезница у домаћој валути, из средстава ММФ алокације и незнатним делом из емисије државних обвезница у еврима. У 2023. години планирано је да се приближно исти део буџетског финансирања обезбеди из емисије државних хартија од вредности у динарима и емисије еврообвезнице. У 2024. години планирано је буџетско финансирање из емисије државних хартија од вредности у динарима. Пројектно финансирање као и у претходним годинама обезбеђује се највећим делом из кредита деноминованих у страној валути, од иностраних поверилаца.</w:t>
      </w:r>
    </w:p>
    <w:p w14:paraId="50893B47" w14:textId="77777777" w:rsidR="006B2397" w:rsidRPr="00646254" w:rsidRDefault="006B2397" w:rsidP="00BA266B">
      <w:pPr>
        <w:rPr>
          <w:rFonts w:ascii="Calibri" w:eastAsia="Calibri" w:hAnsi="Calibri" w:cs="Calibri"/>
          <w:bCs/>
          <w:szCs w:val="72"/>
          <w:lang w:val="sr-Cyrl-CS"/>
        </w:rPr>
      </w:pPr>
      <w:r w:rsidRPr="00646254">
        <w:rPr>
          <w:rFonts w:ascii="Calibri" w:eastAsia="Calibri" w:hAnsi="Calibri" w:cs="Calibri"/>
          <w:bCs/>
          <w:szCs w:val="72"/>
          <w:lang w:val="sr-Cyrl-CS"/>
        </w:rPr>
        <w:t>Стратегија (С2): у односу на стратегију С1, целокупне потребе за финансирањем задовољавају се емисијом еврообвезница у доларима, рочности десет и петнаест година.</w:t>
      </w:r>
    </w:p>
    <w:p w14:paraId="3BB3E225" w14:textId="77777777" w:rsidR="006B2397" w:rsidRPr="00646254" w:rsidRDefault="006B2397" w:rsidP="00BA266B">
      <w:pPr>
        <w:rPr>
          <w:rFonts w:ascii="Calibri" w:eastAsia="Calibri" w:hAnsi="Calibri" w:cs="Calibri"/>
          <w:bCs/>
          <w:szCs w:val="72"/>
          <w:lang w:val="sr-Cyrl-CS"/>
        </w:rPr>
      </w:pPr>
      <w:r w:rsidRPr="00646254">
        <w:rPr>
          <w:rFonts w:ascii="Calibri" w:eastAsia="Calibri" w:hAnsi="Calibri" w:cs="Calibri"/>
          <w:bCs/>
          <w:szCs w:val="72"/>
          <w:lang w:val="sr-Cyrl-CS"/>
        </w:rPr>
        <w:t>Стратегија (С3): у односу на стратегију С1, представља стратегију која целокупно финансирање заснива на емисијама еврообвезница у еврима рочности десет, дванаест и петнаест година.</w:t>
      </w:r>
    </w:p>
    <w:p w14:paraId="7EF766A0" w14:textId="77777777" w:rsidR="006B2397" w:rsidRPr="00646254" w:rsidRDefault="006B2397" w:rsidP="00BA266B">
      <w:pPr>
        <w:rPr>
          <w:rFonts w:ascii="Calibri" w:eastAsia="Calibri" w:hAnsi="Calibri" w:cs="Calibri"/>
          <w:bCs/>
          <w:szCs w:val="72"/>
          <w:lang w:val="sr-Cyrl-CS"/>
        </w:rPr>
      </w:pPr>
      <w:r w:rsidRPr="00646254">
        <w:rPr>
          <w:rFonts w:ascii="Calibri" w:eastAsia="Calibri" w:hAnsi="Calibri" w:cs="Calibri"/>
          <w:bCs/>
          <w:szCs w:val="72"/>
          <w:lang w:val="sr-Cyrl-CS"/>
        </w:rPr>
        <w:t>Стратегија додатне динаризације (С4): представља стратегију која целокупно финансирање заснива на емисијама динарских хартија од вредности дужих рочности.</w:t>
      </w:r>
    </w:p>
    <w:p w14:paraId="74290960" w14:textId="77777777" w:rsidR="006B2397" w:rsidRPr="00646254" w:rsidRDefault="006B2397" w:rsidP="00BA266B">
      <w:pPr>
        <w:rPr>
          <w:rFonts w:ascii="Calibri" w:eastAsia="Calibri" w:hAnsi="Calibri" w:cs="Calibri"/>
          <w:bCs/>
          <w:szCs w:val="72"/>
          <w:lang w:val="sr-Cyrl-CS"/>
        </w:rPr>
      </w:pPr>
      <w:r w:rsidRPr="00646254">
        <w:rPr>
          <w:rFonts w:ascii="Calibri" w:eastAsia="Calibri" w:hAnsi="Calibri" w:cs="Calibri"/>
          <w:bCs/>
          <w:szCs w:val="72"/>
          <w:lang w:val="sr-Cyrl-CS"/>
        </w:rPr>
        <w:t>Финансирање издатака буџета Републике Србије по свим стратегијама вршиће се углавном путем емисија државних хартија од вредности на међународном и домаћем тржишту капитала.</w:t>
      </w:r>
    </w:p>
    <w:p w14:paraId="5D0CB6E8" w14:textId="77777777" w:rsidR="006B2397" w:rsidRPr="00646254" w:rsidRDefault="006B2397" w:rsidP="008265F0">
      <w:pPr>
        <w:spacing w:line="256" w:lineRule="auto"/>
        <w:rPr>
          <w:rFonts w:ascii="Calibri" w:eastAsia="Calibri" w:hAnsi="Calibri" w:cs="Calibri"/>
          <w:bCs/>
          <w:szCs w:val="72"/>
          <w:lang w:val="sr-Cyrl-CS"/>
        </w:rPr>
      </w:pPr>
      <w:r w:rsidRPr="00646254">
        <w:rPr>
          <w:rFonts w:ascii="Calibri" w:eastAsia="Calibri" w:hAnsi="Calibri" w:cs="Times New Roman"/>
          <w:b/>
          <w:color w:val="2F5496" w:themeColor="accent1" w:themeShade="BF"/>
          <w:sz w:val="22"/>
          <w:lang w:val="sr-Cyrl-CS"/>
        </w:rPr>
        <w:t>Поређење алтернативних стратегија</w:t>
      </w:r>
    </w:p>
    <w:p w14:paraId="4BD1C3B0" w14:textId="77777777" w:rsidR="006B2397" w:rsidRPr="00646254" w:rsidRDefault="006B2397" w:rsidP="00BA266B">
      <w:pPr>
        <w:rPr>
          <w:rFonts w:ascii="Calibri" w:eastAsia="Calibri" w:hAnsi="Calibri" w:cs="Calibri"/>
          <w:bCs/>
          <w:szCs w:val="72"/>
          <w:lang w:val="sr-Cyrl-CS"/>
        </w:rPr>
      </w:pPr>
      <w:r w:rsidRPr="00646254">
        <w:rPr>
          <w:rFonts w:ascii="Calibri" w:eastAsia="Calibri" w:hAnsi="Calibri" w:cs="Calibri"/>
          <w:bCs/>
          <w:szCs w:val="72"/>
          <w:lang w:val="sr-Cyrl-CS"/>
        </w:rPr>
        <w:t>За поређење алтернативних стратегија задуживања примењене су две мере трошкова: однос јавног дуга према БДП и номинална камата као проценат БДП. Први однос је индикатор стања, а други индикатор тока. У циљу поређења, пажња је усмерена на резултате разматраних стратегија на крају 2024. године.</w:t>
      </w:r>
    </w:p>
    <w:p w14:paraId="494D15DF" w14:textId="77777777" w:rsidR="006B2397" w:rsidRPr="00646254" w:rsidRDefault="006B2397" w:rsidP="00BA266B">
      <w:pPr>
        <w:rPr>
          <w:rFonts w:ascii="Calibri" w:eastAsia="Calibri" w:hAnsi="Calibri" w:cs="Calibri"/>
          <w:bCs/>
          <w:szCs w:val="72"/>
          <w:lang w:val="sr-Cyrl-CS"/>
        </w:rPr>
      </w:pPr>
      <w:r w:rsidRPr="00646254">
        <w:rPr>
          <w:rFonts w:ascii="Calibri" w:eastAsia="Calibri" w:hAnsi="Calibri" w:cs="Calibri"/>
          <w:bCs/>
          <w:spacing w:val="-2"/>
          <w:szCs w:val="72"/>
          <w:lang w:val="sr-Cyrl-CS"/>
        </w:rPr>
        <w:t xml:space="preserve">На основу графикона јасно се уочавају трошкови које свака од разматраних стратегија носи са собом. </w:t>
      </w:r>
      <w:r w:rsidRPr="00646254">
        <w:rPr>
          <w:rFonts w:ascii="Calibri" w:eastAsia="Calibri" w:hAnsi="Calibri" w:cs="Calibri"/>
          <w:bCs/>
          <w:szCs w:val="72"/>
          <w:lang w:val="sr-Cyrl-CS"/>
        </w:rPr>
        <w:t>Трошак алтернативних стратегија при основном макроекономском сценарију приказан је на вертикалној оси графикона трошкова, док се на хоризонталној оси налази потенцијални трошак одређене стратегије задуживања (резултат стрес теста).</w:t>
      </w:r>
    </w:p>
    <w:p w14:paraId="2D4CEB2C" w14:textId="77777777" w:rsidR="006B2397" w:rsidRPr="00646254" w:rsidRDefault="006B2397" w:rsidP="00BA266B">
      <w:pPr>
        <w:rPr>
          <w:rFonts w:ascii="Calibri" w:eastAsia="Calibri" w:hAnsi="Calibri" w:cs="Calibri"/>
          <w:bCs/>
          <w:spacing w:val="-2"/>
          <w:szCs w:val="72"/>
          <w:lang w:val="sr-Cyrl-CS"/>
        </w:rPr>
      </w:pPr>
      <w:r w:rsidRPr="00646254">
        <w:rPr>
          <w:rFonts w:ascii="Calibri" w:eastAsia="Calibri" w:hAnsi="Calibri" w:cs="Calibri"/>
          <w:bCs/>
          <w:szCs w:val="72"/>
          <w:lang w:val="sr-Cyrl-CS"/>
        </w:rPr>
        <w:t>При основном макроекономском сценарију на крају 2024. године, стратегија С4 има највиши</w:t>
      </w:r>
      <w:r w:rsidRPr="00646254">
        <w:rPr>
          <w:rFonts w:ascii="Calibri" w:eastAsia="Calibri" w:hAnsi="Calibri" w:cs="Calibri"/>
          <w:bCs/>
          <w:spacing w:val="-2"/>
          <w:szCs w:val="72"/>
          <w:lang w:val="sr-Cyrl-CS"/>
        </w:rPr>
        <w:t xml:space="preserve"> рацио учешћа дуга у БДП јер се заснива на емисији динарских хартија због чега је скупља од стратегија које комбинују задуживање у домаћој и страној валути (С1) и оних које се заснивају само на финансирању из државних обвезница у страној валути (С2 и С3). Најбољу трошковну позицију мерено учешћем дуга у БДП има стратегија С1 јер садржи и концесионалне изворе финансирања (кредити, средства алокације), за разлику од стратегије С2 и С3 које су базиране само на тржишним инструментима (државне обвезнице у страној валути). Са друге стране највећи ризик на однос дуга и БДП, ако се одступи од основног макроекономског сценарија, има промена девизног курса. Посматрано са аспекта шокова девизног курса најбољи положај има стратегија С4 јер је целокупно финансирање у динарима, док стратегије С1, С2 и С3 имају већу изложеност ризику промени девизног курса јер финансирање заснива на изворима у страној валути. Стратегија С1 у погледу ризика промене девизног курса има повољнији положај у односу на стратегију С2 и С3, из разлога што комбинује финансирање у домаћој и страној валути, у односу на стратегију С2 и С3 код којих је целокупно финансирање у страној валути.</w:t>
      </w:r>
    </w:p>
    <w:p w14:paraId="7AE6C4AF" w14:textId="7A6961DB" w:rsidR="006B2397" w:rsidRPr="00646254" w:rsidRDefault="006B2397" w:rsidP="00BA266B">
      <w:pPr>
        <w:rPr>
          <w:rFonts w:ascii="Calibri" w:eastAsia="Calibri" w:hAnsi="Calibri" w:cs="Calibri"/>
          <w:bCs/>
          <w:szCs w:val="72"/>
          <w:lang w:val="sr-Cyrl-CS"/>
        </w:rPr>
      </w:pPr>
      <w:r w:rsidRPr="00646254">
        <w:rPr>
          <w:rFonts w:ascii="Calibri" w:eastAsia="Calibri" w:hAnsi="Calibri" w:cs="Calibri"/>
          <w:bCs/>
          <w:spacing w:val="-2"/>
          <w:szCs w:val="72"/>
          <w:lang w:val="sr-Cyrl-CS"/>
        </w:rPr>
        <w:t>Са аспекта учешћа камата у БДП, стратегија С4 је релативно скупља и има већи ризик од повећања учешћа камата у БДП јер је изложена осцилацијама динарских каматних стопа. Стратегије базиране на изворима финансирања у страној валути (С1, С3) имају ниже учешће камате у БДП у односу на стратегију С2 (извори финансирања у доларима) и стратегију С4 која се заснива на домаћим изворима финан</w:t>
      </w:r>
      <w:r w:rsidR="00537D9F">
        <w:rPr>
          <w:rFonts w:ascii="Calibri" w:eastAsia="Calibri" w:hAnsi="Calibri" w:cs="Calibri"/>
          <w:bCs/>
          <w:spacing w:val="-2"/>
          <w:szCs w:val="72"/>
          <w:lang w:val="sr-Cyrl-CS"/>
        </w:rPr>
        <w:t>сирања који су најскупљи. Резул</w:t>
      </w:r>
      <w:r w:rsidRPr="00646254">
        <w:rPr>
          <w:rFonts w:ascii="Calibri" w:eastAsia="Calibri" w:hAnsi="Calibri" w:cs="Calibri"/>
          <w:bCs/>
          <w:spacing w:val="-2"/>
          <w:szCs w:val="72"/>
          <w:lang w:val="sr-Cyrl-CS"/>
        </w:rPr>
        <w:t xml:space="preserve">тати стрес анализе показали су да највећи ризик за промену односа камате и БДП, ако се промени основни сценарио, долази од шока промене каматних стопа који је већи на домаћем него на међународном тржишту. Уколико би се реализовао наведени сценарио шока каматних стопа највише би порастао однос камате и БДП код </w:t>
      </w:r>
      <w:r w:rsidRPr="00646254">
        <w:rPr>
          <w:rFonts w:ascii="Calibri" w:eastAsia="Calibri" w:hAnsi="Calibri" w:cs="Calibri"/>
          <w:bCs/>
          <w:szCs w:val="72"/>
          <w:lang w:val="sr-Cyrl-CS"/>
        </w:rPr>
        <w:t>стратегије С4 која се заснива на домаћим изворима финансирања и подложна је осцилацијама каматних стопа на домаћем тржишту, док би код стратегија С1, С2 и С3 ризик промене каматних стопа био на нижем нивоу. Код стратегије С1 ризик каматних стопа је најнижи из разлога што користи и концесионалне инструменте задуживања са фиксном стопом, а не само тржишне, као што је случај код стратегије С2 и С3.</w:t>
      </w:r>
    </w:p>
    <w:p w14:paraId="02145547" w14:textId="77777777" w:rsidR="006B2397" w:rsidRPr="00646254" w:rsidRDefault="006B2397" w:rsidP="00BA266B">
      <w:pPr>
        <w:rPr>
          <w:rFonts w:ascii="Calibri" w:eastAsia="Calibri" w:hAnsi="Calibri" w:cs="Calibri"/>
          <w:bCs/>
          <w:szCs w:val="72"/>
          <w:lang w:val="sr-Cyrl-CS"/>
        </w:rPr>
      </w:pPr>
      <w:r w:rsidRPr="00646254">
        <w:rPr>
          <w:rFonts w:ascii="Calibri" w:eastAsia="Calibri" w:hAnsi="Calibri" w:cs="Calibri"/>
          <w:bCs/>
          <w:szCs w:val="72"/>
          <w:lang w:val="sr-Cyrl-CS"/>
        </w:rPr>
        <w:t>Имајући у виду наведено, евидентно је да ће задуживање у наредном периоду применом изабране стратегије С1 имати задовољавајуће резултате са аспекта квантификације трошкова и ризика који из њих произилазе.</w:t>
      </w:r>
    </w:p>
    <w:p w14:paraId="61184741" w14:textId="77777777" w:rsidR="006B2397" w:rsidRPr="00646254" w:rsidRDefault="006B2397" w:rsidP="00BA266B">
      <w:pPr>
        <w:spacing w:line="256" w:lineRule="auto"/>
        <w:jc w:val="center"/>
        <w:rPr>
          <w:rFonts w:ascii="Calibri" w:eastAsia="Calibri" w:hAnsi="Calibri" w:cs="Times New Roman"/>
          <w:b/>
          <w:color w:val="002060"/>
          <w:lang w:val="sr-Cyrl-CS"/>
        </w:rPr>
      </w:pPr>
      <w:r w:rsidRPr="00646254">
        <w:rPr>
          <w:noProof/>
        </w:rPr>
        <w:drawing>
          <wp:anchor distT="0" distB="0" distL="114300" distR="114300" simplePos="0" relativeHeight="251679232" behindDoc="1" locked="0" layoutInCell="1" allowOverlap="1" wp14:anchorId="541F4ED0" wp14:editId="501F70D5">
            <wp:simplePos x="0" y="0"/>
            <wp:positionH relativeFrom="column">
              <wp:posOffset>76200</wp:posOffset>
            </wp:positionH>
            <wp:positionV relativeFrom="paragraph">
              <wp:posOffset>238125</wp:posOffset>
            </wp:positionV>
            <wp:extent cx="2685415" cy="1619885"/>
            <wp:effectExtent l="0" t="0" r="635" b="0"/>
            <wp:wrapTight wrapText="bothSides">
              <wp:wrapPolygon edited="0">
                <wp:start x="0" y="0"/>
                <wp:lineTo x="0" y="21338"/>
                <wp:lineTo x="21452" y="21338"/>
                <wp:lineTo x="21452" y="0"/>
                <wp:lineTo x="0" y="0"/>
              </wp:wrapPolygon>
            </wp:wrapTight>
            <wp:docPr id="25" name="Chart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189"/>
              </a:graphicData>
            </a:graphic>
            <wp14:sizeRelH relativeFrom="margin">
              <wp14:pctWidth>0</wp14:pctWidth>
            </wp14:sizeRelH>
            <wp14:sizeRelV relativeFrom="margin">
              <wp14:pctHeight>0</wp14:pctHeight>
            </wp14:sizeRelV>
          </wp:anchor>
        </w:drawing>
      </w:r>
      <w:r w:rsidRPr="00646254">
        <w:rPr>
          <w:rFonts w:ascii="Calibri" w:eastAsia="Calibri" w:hAnsi="Calibri" w:cs="Times New Roman"/>
          <w:b/>
          <w:color w:val="002060"/>
          <w:lang w:val="sr-Cyrl-CS"/>
        </w:rPr>
        <w:t>Однос дуга и БДП на крају 2024. године</w:t>
      </w:r>
    </w:p>
    <w:p w14:paraId="7B7266DF" w14:textId="77777777" w:rsidR="006B2397" w:rsidRPr="00646254" w:rsidRDefault="006B2397" w:rsidP="00BA266B">
      <w:pPr>
        <w:spacing w:line="256" w:lineRule="auto"/>
        <w:rPr>
          <w:rFonts w:ascii="Calibri" w:eastAsia="Calibri" w:hAnsi="Calibri" w:cs="Times New Roman"/>
          <w:b/>
          <w:color w:val="002060"/>
          <w:lang w:val="sr-Cyrl-CS"/>
        </w:rPr>
      </w:pPr>
    </w:p>
    <w:p w14:paraId="6EE17D2F" w14:textId="77777777" w:rsidR="006B2397" w:rsidRPr="00646254" w:rsidRDefault="006B2397" w:rsidP="00645FE5">
      <w:pPr>
        <w:spacing w:line="256" w:lineRule="auto"/>
        <w:jc w:val="center"/>
        <w:rPr>
          <w:rFonts w:ascii="Calibri" w:eastAsia="Calibri" w:hAnsi="Calibri" w:cs="Times New Roman"/>
          <w:b/>
          <w:color w:val="002060"/>
          <w:lang w:val="sr-Cyrl-CS"/>
        </w:rPr>
      </w:pPr>
      <w:r w:rsidRPr="00646254">
        <w:rPr>
          <w:noProof/>
        </w:rPr>
        <w:drawing>
          <wp:anchor distT="0" distB="0" distL="114300" distR="114300" simplePos="0" relativeHeight="251680256" behindDoc="0" locked="0" layoutInCell="1" allowOverlap="1" wp14:anchorId="61386B1A" wp14:editId="4C71A879">
            <wp:simplePos x="0" y="0"/>
            <wp:positionH relativeFrom="column">
              <wp:posOffset>76200</wp:posOffset>
            </wp:positionH>
            <wp:positionV relativeFrom="paragraph">
              <wp:posOffset>187960</wp:posOffset>
            </wp:positionV>
            <wp:extent cx="2685600" cy="1620000"/>
            <wp:effectExtent l="0" t="0" r="635" b="0"/>
            <wp:wrapNone/>
            <wp:docPr id="92" name="Chart 92"/>
            <wp:cNvGraphicFramePr/>
            <a:graphic xmlns:a="http://schemas.openxmlformats.org/drawingml/2006/main">
              <a:graphicData uri="http://schemas.openxmlformats.org/drawingml/2006/chart">
                <c:chart xmlns:c="http://schemas.openxmlformats.org/drawingml/2006/chart" xmlns:r="http://schemas.openxmlformats.org/officeDocument/2006/relationships" r:id="rId190"/>
              </a:graphicData>
            </a:graphic>
            <wp14:sizeRelH relativeFrom="margin">
              <wp14:pctWidth>0</wp14:pctWidth>
            </wp14:sizeRelH>
            <wp14:sizeRelV relativeFrom="margin">
              <wp14:pctHeight>0</wp14:pctHeight>
            </wp14:sizeRelV>
          </wp:anchor>
        </w:drawing>
      </w:r>
      <w:r w:rsidRPr="00646254">
        <w:rPr>
          <w:rFonts w:ascii="Calibri" w:eastAsia="Calibri" w:hAnsi="Calibri" w:cs="Times New Roman"/>
          <w:b/>
          <w:color w:val="002060"/>
          <w:lang w:val="sr-Cyrl-CS"/>
        </w:rPr>
        <w:t>Однос камата и БДП на крају 2024. године</w:t>
      </w:r>
    </w:p>
    <w:p w14:paraId="5B8C5DCC" w14:textId="77777777" w:rsidR="006B2397" w:rsidRPr="00646254" w:rsidRDefault="006B2397" w:rsidP="008265F0">
      <w:pPr>
        <w:spacing w:line="256" w:lineRule="auto"/>
        <w:rPr>
          <w:rFonts w:ascii="Calibri" w:eastAsia="Calibri" w:hAnsi="Calibri" w:cs="Times New Roman"/>
          <w:b/>
          <w:color w:val="FF0000"/>
          <w:lang w:val="sr-Cyrl-CS"/>
        </w:rPr>
      </w:pPr>
    </w:p>
    <w:p w14:paraId="32F74057" w14:textId="77777777" w:rsidR="006B2397" w:rsidRPr="00646254" w:rsidRDefault="006B2397" w:rsidP="008265F0">
      <w:pPr>
        <w:spacing w:line="256" w:lineRule="auto"/>
        <w:jc w:val="center"/>
        <w:rPr>
          <w:rFonts w:ascii="Calibri" w:eastAsia="Calibri" w:hAnsi="Calibri" w:cs="Times New Roman"/>
          <w:b/>
          <w:color w:val="002060"/>
          <w:lang w:val="sr-Cyrl-CS"/>
        </w:rPr>
      </w:pPr>
    </w:p>
    <w:p w14:paraId="526C0C4A" w14:textId="77777777" w:rsidR="006B2397" w:rsidRPr="00646254" w:rsidRDefault="006B2397" w:rsidP="008265F0">
      <w:pPr>
        <w:spacing w:line="256" w:lineRule="auto"/>
        <w:jc w:val="center"/>
        <w:rPr>
          <w:rFonts w:ascii="Calibri" w:eastAsia="Calibri" w:hAnsi="Calibri" w:cs="Times New Roman"/>
          <w:b/>
          <w:color w:val="002060"/>
          <w:lang w:val="sr-Cyrl-CS"/>
        </w:rPr>
      </w:pPr>
    </w:p>
    <w:p w14:paraId="1620660D" w14:textId="77777777" w:rsidR="006B2397" w:rsidRPr="00646254" w:rsidRDefault="006B2397" w:rsidP="008265F0">
      <w:pPr>
        <w:spacing w:line="256" w:lineRule="auto"/>
        <w:jc w:val="center"/>
        <w:rPr>
          <w:rFonts w:ascii="Calibri" w:eastAsia="Calibri" w:hAnsi="Calibri" w:cs="Times New Roman"/>
          <w:b/>
          <w:color w:val="002060"/>
          <w:lang w:val="sr-Cyrl-CS"/>
        </w:rPr>
      </w:pPr>
    </w:p>
    <w:p w14:paraId="73F7BB2A" w14:textId="77777777" w:rsidR="006B2397" w:rsidRPr="00646254" w:rsidRDefault="006B2397" w:rsidP="008265F0">
      <w:pPr>
        <w:spacing w:line="256" w:lineRule="auto"/>
        <w:jc w:val="center"/>
        <w:rPr>
          <w:rFonts w:ascii="Calibri" w:eastAsia="Calibri" w:hAnsi="Calibri" w:cs="Times New Roman"/>
          <w:b/>
          <w:color w:val="002060"/>
          <w:lang w:val="sr-Cyrl-CS"/>
        </w:rPr>
      </w:pPr>
    </w:p>
    <w:p w14:paraId="01D42E2D" w14:textId="77777777" w:rsidR="006B2397" w:rsidRPr="00646254" w:rsidRDefault="006B2397" w:rsidP="008265F0">
      <w:pPr>
        <w:spacing w:line="256" w:lineRule="auto"/>
        <w:jc w:val="center"/>
        <w:rPr>
          <w:rFonts w:ascii="Calibri" w:eastAsia="Calibri" w:hAnsi="Calibri" w:cs="Times New Roman"/>
          <w:b/>
          <w:color w:val="002060"/>
          <w:lang w:val="sr-Cyrl-CS"/>
        </w:rPr>
      </w:pPr>
    </w:p>
    <w:p w14:paraId="43FC27D3" w14:textId="77777777" w:rsidR="006B2397" w:rsidRPr="00646254" w:rsidRDefault="006B2397" w:rsidP="008265F0">
      <w:pPr>
        <w:spacing w:after="0" w:line="256" w:lineRule="auto"/>
        <w:jc w:val="left"/>
        <w:rPr>
          <w:rFonts w:ascii="Calibri" w:eastAsia="Calibri" w:hAnsi="Calibri" w:cs="Calibri"/>
          <w:bCs/>
          <w:szCs w:val="72"/>
          <w:lang w:val="sr-Cyrl-CS"/>
        </w:rPr>
        <w:sectPr w:rsidR="006B2397" w:rsidRPr="00646254">
          <w:type w:val="continuous"/>
          <w:pgSz w:w="12240" w:h="15840"/>
          <w:pgMar w:top="1440" w:right="1440" w:bottom="1440" w:left="1440" w:header="720" w:footer="720" w:gutter="0"/>
          <w:cols w:num="2" w:space="720"/>
        </w:sectPr>
      </w:pPr>
    </w:p>
    <w:p w14:paraId="3B909B54" w14:textId="77777777" w:rsidR="006B2397" w:rsidRPr="00646254" w:rsidRDefault="006B2397" w:rsidP="00BA266B">
      <w:pPr>
        <w:spacing w:line="256" w:lineRule="auto"/>
        <w:rPr>
          <w:rFonts w:ascii="Calibri" w:eastAsia="Calibri" w:hAnsi="Calibri" w:cs="Times New Roman"/>
          <w:b/>
          <w:color w:val="002060"/>
          <w:lang w:val="sr-Cyrl-CS"/>
        </w:rPr>
      </w:pPr>
    </w:p>
    <w:p w14:paraId="35A3AF8C" w14:textId="77777777" w:rsidR="006B2397" w:rsidRPr="00646254" w:rsidRDefault="006B2397" w:rsidP="008265F0">
      <w:pPr>
        <w:spacing w:line="256" w:lineRule="auto"/>
        <w:jc w:val="center"/>
        <w:rPr>
          <w:rFonts w:ascii="Calibri" w:eastAsia="Calibri" w:hAnsi="Calibri" w:cs="Times New Roman"/>
          <w:b/>
          <w:color w:val="002060"/>
          <w:lang w:val="sr-Cyrl-CS"/>
        </w:rPr>
      </w:pPr>
      <w:r w:rsidRPr="00646254">
        <w:rPr>
          <w:rFonts w:ascii="Calibri" w:eastAsia="Calibri" w:hAnsi="Calibri" w:cs="Times New Roman"/>
          <w:b/>
          <w:color w:val="002060"/>
          <w:lang w:val="sr-Cyrl-CS"/>
        </w:rPr>
        <w:t>Табела 28. Однос јавног дуга и БДП на крају 2024. године</w:t>
      </w:r>
    </w:p>
    <w:tbl>
      <w:tblPr>
        <w:tblStyle w:val="LightShading-Accent1222"/>
        <w:tblW w:w="5000" w:type="pct"/>
        <w:tblInd w:w="0" w:type="dxa"/>
        <w:tblLook w:val="04A0" w:firstRow="1" w:lastRow="0" w:firstColumn="1" w:lastColumn="0" w:noHBand="0" w:noVBand="1"/>
      </w:tblPr>
      <w:tblGrid>
        <w:gridCol w:w="5032"/>
        <w:gridCol w:w="1082"/>
        <w:gridCol w:w="1082"/>
        <w:gridCol w:w="1082"/>
        <w:gridCol w:w="1082"/>
      </w:tblGrid>
      <w:tr w:rsidR="006B2397" w:rsidRPr="00646254" w14:paraId="5EBDB16E" w14:textId="77777777" w:rsidTr="008265F0">
        <w:trPr>
          <w:cnfStyle w:val="100000000000" w:firstRow="1" w:lastRow="0" w:firstColumn="0" w:lastColumn="0" w:oddVBand="0" w:evenVBand="0" w:oddHBand="0" w:evenHBand="0" w:firstRowFirstColumn="0" w:firstRowLastColumn="0" w:lastRowFirstColumn="0" w:lastRowLastColumn="0"/>
          <w:trHeight w:val="225"/>
        </w:trPr>
        <w:tc>
          <w:tcPr>
            <w:cnfStyle w:val="001000000000" w:firstRow="0" w:lastRow="0" w:firstColumn="1" w:lastColumn="0" w:oddVBand="0" w:evenVBand="0" w:oddHBand="0" w:evenHBand="0" w:firstRowFirstColumn="0" w:firstRowLastColumn="0" w:lastRowFirstColumn="0" w:lastRowLastColumn="0"/>
            <w:tcW w:w="2688" w:type="pct"/>
            <w:tcBorders>
              <w:top w:val="single" w:sz="4" w:space="0" w:color="002060"/>
              <w:bottom w:val="nil"/>
            </w:tcBorders>
            <w:noWrap/>
            <w:hideMark/>
          </w:tcPr>
          <w:p w14:paraId="63925304" w14:textId="77777777" w:rsidR="006B2397" w:rsidRPr="00646254" w:rsidRDefault="006B2397" w:rsidP="008265F0">
            <w:pPr>
              <w:rPr>
                <w:rFonts w:ascii="Calibri" w:hAnsi="Calibri" w:cs="Calibri"/>
                <w:color w:val="002060"/>
                <w:sz w:val="18"/>
                <w:szCs w:val="18"/>
                <w:lang w:val="sr-Cyrl-CS"/>
              </w:rPr>
            </w:pPr>
            <w:r w:rsidRPr="00646254">
              <w:rPr>
                <w:rFonts w:ascii="Calibri" w:hAnsi="Calibri" w:cs="Calibri"/>
                <w:color w:val="002060"/>
                <w:sz w:val="18"/>
                <w:szCs w:val="18"/>
                <w:lang w:val="sr-Cyrl-CS"/>
              </w:rPr>
              <w:t>Сценарији</w:t>
            </w:r>
          </w:p>
        </w:tc>
        <w:tc>
          <w:tcPr>
            <w:tcW w:w="578" w:type="pct"/>
            <w:tcBorders>
              <w:top w:val="single" w:sz="4" w:space="0" w:color="002060"/>
              <w:bottom w:val="single" w:sz="4" w:space="0" w:color="002060"/>
            </w:tcBorders>
            <w:noWrap/>
            <w:hideMark/>
          </w:tcPr>
          <w:p w14:paraId="7F87B364" w14:textId="77777777" w:rsidR="006B2397" w:rsidRPr="00646254" w:rsidRDefault="006B2397" w:rsidP="008265F0">
            <w:pPr>
              <w:jc w:val="right"/>
              <w:cnfStyle w:val="100000000000" w:firstRow="1"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646254">
              <w:rPr>
                <w:rFonts w:ascii="Calibri" w:hAnsi="Calibri" w:cs="Calibri"/>
                <w:color w:val="002060"/>
                <w:sz w:val="18"/>
                <w:szCs w:val="18"/>
                <w:lang w:val="sr-Cyrl-CS"/>
              </w:rPr>
              <w:t>C1</w:t>
            </w:r>
          </w:p>
        </w:tc>
        <w:tc>
          <w:tcPr>
            <w:tcW w:w="578" w:type="pct"/>
            <w:tcBorders>
              <w:top w:val="single" w:sz="4" w:space="0" w:color="002060"/>
              <w:bottom w:val="single" w:sz="4" w:space="0" w:color="002060"/>
            </w:tcBorders>
            <w:noWrap/>
            <w:hideMark/>
          </w:tcPr>
          <w:p w14:paraId="13F9F599" w14:textId="77777777" w:rsidR="006B2397" w:rsidRPr="00646254" w:rsidRDefault="006B2397" w:rsidP="008265F0">
            <w:pPr>
              <w:jc w:val="right"/>
              <w:cnfStyle w:val="100000000000" w:firstRow="1"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646254">
              <w:rPr>
                <w:rFonts w:ascii="Calibri" w:hAnsi="Calibri" w:cs="Calibri"/>
                <w:color w:val="002060"/>
                <w:sz w:val="18"/>
                <w:szCs w:val="18"/>
                <w:lang w:val="sr-Cyrl-CS"/>
              </w:rPr>
              <w:t>C2</w:t>
            </w:r>
          </w:p>
        </w:tc>
        <w:tc>
          <w:tcPr>
            <w:tcW w:w="578" w:type="pct"/>
            <w:tcBorders>
              <w:top w:val="single" w:sz="4" w:space="0" w:color="002060"/>
              <w:bottom w:val="single" w:sz="4" w:space="0" w:color="002060"/>
            </w:tcBorders>
            <w:noWrap/>
            <w:hideMark/>
          </w:tcPr>
          <w:p w14:paraId="774FA234" w14:textId="77777777" w:rsidR="006B2397" w:rsidRPr="00646254" w:rsidRDefault="006B2397" w:rsidP="008265F0">
            <w:pPr>
              <w:jc w:val="right"/>
              <w:cnfStyle w:val="100000000000" w:firstRow="1"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646254">
              <w:rPr>
                <w:rFonts w:ascii="Calibri" w:hAnsi="Calibri" w:cs="Calibri"/>
                <w:color w:val="002060"/>
                <w:sz w:val="18"/>
                <w:szCs w:val="18"/>
                <w:lang w:val="sr-Cyrl-CS"/>
              </w:rPr>
              <w:t>C3</w:t>
            </w:r>
          </w:p>
        </w:tc>
        <w:tc>
          <w:tcPr>
            <w:tcW w:w="578" w:type="pct"/>
            <w:tcBorders>
              <w:top w:val="single" w:sz="4" w:space="0" w:color="002060"/>
              <w:bottom w:val="single" w:sz="4" w:space="0" w:color="002060"/>
            </w:tcBorders>
            <w:noWrap/>
            <w:hideMark/>
          </w:tcPr>
          <w:p w14:paraId="450EAADD" w14:textId="77777777" w:rsidR="006B2397" w:rsidRPr="00646254" w:rsidRDefault="006B2397" w:rsidP="008265F0">
            <w:pPr>
              <w:jc w:val="right"/>
              <w:cnfStyle w:val="100000000000" w:firstRow="1"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646254">
              <w:rPr>
                <w:rFonts w:ascii="Calibri" w:hAnsi="Calibri" w:cs="Calibri"/>
                <w:color w:val="002060"/>
                <w:sz w:val="18"/>
                <w:szCs w:val="18"/>
                <w:lang w:val="sr-Cyrl-CS"/>
              </w:rPr>
              <w:t>C4</w:t>
            </w:r>
          </w:p>
        </w:tc>
      </w:tr>
      <w:tr w:rsidR="006B2397" w:rsidRPr="00646254" w14:paraId="00CD2375" w14:textId="77777777" w:rsidTr="00BA266B">
        <w:trPr>
          <w:cnfStyle w:val="000000100000" w:firstRow="0" w:lastRow="0" w:firstColumn="0" w:lastColumn="0" w:oddVBand="0" w:evenVBand="0" w:oddHBand="1" w:evenHBand="0" w:firstRowFirstColumn="0" w:firstRowLastColumn="0" w:lastRowFirstColumn="0" w:lastRowLastColumn="0"/>
          <w:trHeight w:val="253"/>
        </w:trPr>
        <w:tc>
          <w:tcPr>
            <w:cnfStyle w:val="001000000000" w:firstRow="0" w:lastRow="0" w:firstColumn="1" w:lastColumn="0" w:oddVBand="0" w:evenVBand="0" w:oddHBand="0" w:evenHBand="0" w:firstRowFirstColumn="0" w:firstRowLastColumn="0" w:lastRowFirstColumn="0" w:lastRowLastColumn="0"/>
            <w:tcW w:w="2688" w:type="pct"/>
            <w:tcBorders>
              <w:top w:val="nil"/>
              <w:bottom w:val="nil"/>
            </w:tcBorders>
            <w:shd w:val="clear" w:color="auto" w:fill="E7E6E6" w:themeFill="background2"/>
            <w:noWrap/>
            <w:hideMark/>
          </w:tcPr>
          <w:p w14:paraId="2E4CBE4D" w14:textId="77777777" w:rsidR="006B2397" w:rsidRPr="00646254" w:rsidRDefault="006B2397" w:rsidP="00BA266B">
            <w:pPr>
              <w:spacing w:line="240" w:lineRule="auto"/>
              <w:rPr>
                <w:rFonts w:ascii="Calibri" w:hAnsi="Calibri" w:cs="Calibri"/>
                <w:color w:val="002060"/>
                <w:sz w:val="18"/>
                <w:szCs w:val="18"/>
                <w:lang w:val="sr-Cyrl-CS"/>
              </w:rPr>
            </w:pPr>
            <w:r w:rsidRPr="00646254">
              <w:rPr>
                <w:rFonts w:ascii="Calibri" w:hAnsi="Calibri" w:cs="Calibri"/>
                <w:color w:val="002060"/>
                <w:sz w:val="18"/>
                <w:szCs w:val="18"/>
                <w:lang w:val="sr-Cyrl-CS"/>
              </w:rPr>
              <w:t xml:space="preserve"> Основни сценарио</w:t>
            </w:r>
          </w:p>
        </w:tc>
        <w:tc>
          <w:tcPr>
            <w:tcW w:w="578" w:type="pct"/>
            <w:tcBorders>
              <w:top w:val="nil"/>
              <w:bottom w:val="nil"/>
            </w:tcBorders>
            <w:shd w:val="clear" w:color="auto" w:fill="E7E6E6" w:themeFill="background2"/>
            <w:noWrap/>
            <w:hideMark/>
          </w:tcPr>
          <w:p w14:paraId="512D54AE" w14:textId="77777777" w:rsidR="006B2397" w:rsidRPr="00646254" w:rsidRDefault="006B2397" w:rsidP="00BA266B">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646254">
              <w:rPr>
                <w:rFonts w:ascii="Calibri" w:hAnsi="Calibri" w:cs="Calibri"/>
                <w:color w:val="002060"/>
                <w:sz w:val="18"/>
                <w:szCs w:val="18"/>
                <w:lang w:val="sr-Cyrl-CS"/>
              </w:rPr>
              <w:t>51,7</w:t>
            </w:r>
          </w:p>
        </w:tc>
        <w:tc>
          <w:tcPr>
            <w:tcW w:w="578" w:type="pct"/>
            <w:tcBorders>
              <w:top w:val="nil"/>
              <w:bottom w:val="nil"/>
            </w:tcBorders>
            <w:shd w:val="clear" w:color="auto" w:fill="E7E6E6" w:themeFill="background2"/>
            <w:noWrap/>
            <w:hideMark/>
          </w:tcPr>
          <w:p w14:paraId="531686B4" w14:textId="77777777" w:rsidR="006B2397" w:rsidRPr="00646254" w:rsidRDefault="006B2397" w:rsidP="00BA266B">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646254">
              <w:rPr>
                <w:rFonts w:ascii="Calibri" w:hAnsi="Calibri" w:cs="Calibri"/>
                <w:color w:val="002060"/>
                <w:sz w:val="18"/>
                <w:szCs w:val="18"/>
                <w:lang w:val="sr-Cyrl-CS"/>
              </w:rPr>
              <w:t>52,0</w:t>
            </w:r>
          </w:p>
        </w:tc>
        <w:tc>
          <w:tcPr>
            <w:tcW w:w="578" w:type="pct"/>
            <w:tcBorders>
              <w:top w:val="nil"/>
              <w:bottom w:val="nil"/>
            </w:tcBorders>
            <w:shd w:val="clear" w:color="auto" w:fill="E7E6E6" w:themeFill="background2"/>
            <w:noWrap/>
            <w:hideMark/>
          </w:tcPr>
          <w:p w14:paraId="223A8C05" w14:textId="77777777" w:rsidR="006B2397" w:rsidRPr="00646254" w:rsidRDefault="006B2397" w:rsidP="00BA266B">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646254">
              <w:rPr>
                <w:rFonts w:ascii="Calibri" w:hAnsi="Calibri" w:cs="Calibri"/>
                <w:color w:val="002060"/>
                <w:sz w:val="18"/>
                <w:szCs w:val="18"/>
                <w:lang w:val="sr-Cyrl-CS"/>
              </w:rPr>
              <w:t>51,8</w:t>
            </w:r>
          </w:p>
        </w:tc>
        <w:tc>
          <w:tcPr>
            <w:tcW w:w="578" w:type="pct"/>
            <w:tcBorders>
              <w:top w:val="nil"/>
              <w:bottom w:val="nil"/>
            </w:tcBorders>
            <w:shd w:val="clear" w:color="auto" w:fill="E7E6E6" w:themeFill="background2"/>
            <w:noWrap/>
            <w:hideMark/>
          </w:tcPr>
          <w:p w14:paraId="3B1A737C" w14:textId="77777777" w:rsidR="006B2397" w:rsidRPr="00646254" w:rsidRDefault="006B2397" w:rsidP="00BA266B">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646254">
              <w:rPr>
                <w:rFonts w:ascii="Calibri" w:hAnsi="Calibri" w:cs="Calibri"/>
                <w:color w:val="002060"/>
                <w:sz w:val="18"/>
                <w:szCs w:val="18"/>
                <w:lang w:val="sr-Cyrl-CS"/>
              </w:rPr>
              <w:t>52,1</w:t>
            </w:r>
          </w:p>
        </w:tc>
      </w:tr>
      <w:tr w:rsidR="006B2397" w:rsidRPr="00646254" w14:paraId="11400485" w14:textId="77777777" w:rsidTr="00BA266B">
        <w:trPr>
          <w:trHeight w:val="253"/>
        </w:trPr>
        <w:tc>
          <w:tcPr>
            <w:cnfStyle w:val="001000000000" w:firstRow="0" w:lastRow="0" w:firstColumn="1" w:lastColumn="0" w:oddVBand="0" w:evenVBand="0" w:oddHBand="0" w:evenHBand="0" w:firstRowFirstColumn="0" w:firstRowLastColumn="0" w:lastRowFirstColumn="0" w:lastRowLastColumn="0"/>
            <w:tcW w:w="2688" w:type="pct"/>
            <w:tcBorders>
              <w:top w:val="nil"/>
              <w:left w:val="nil"/>
              <w:bottom w:val="nil"/>
              <w:right w:val="nil"/>
            </w:tcBorders>
            <w:noWrap/>
            <w:hideMark/>
          </w:tcPr>
          <w:p w14:paraId="58D5F6F3" w14:textId="77777777" w:rsidR="006B2397" w:rsidRPr="00646254" w:rsidRDefault="006B2397" w:rsidP="00BA266B">
            <w:pPr>
              <w:spacing w:line="240" w:lineRule="auto"/>
              <w:rPr>
                <w:rFonts w:ascii="Calibri" w:hAnsi="Calibri" w:cs="Calibri"/>
                <w:color w:val="002060"/>
                <w:sz w:val="18"/>
                <w:szCs w:val="18"/>
                <w:lang w:val="sr-Cyrl-CS"/>
              </w:rPr>
            </w:pPr>
            <w:r w:rsidRPr="00646254">
              <w:rPr>
                <w:rFonts w:ascii="Calibri" w:hAnsi="Calibri" w:cs="Calibri"/>
                <w:color w:val="002060"/>
                <w:sz w:val="18"/>
                <w:szCs w:val="18"/>
                <w:lang w:val="sr-Cyrl-CS"/>
              </w:rPr>
              <w:t xml:space="preserve"> Шок девизног курса (15% све валуте) </w:t>
            </w:r>
          </w:p>
        </w:tc>
        <w:tc>
          <w:tcPr>
            <w:tcW w:w="578" w:type="pct"/>
            <w:tcBorders>
              <w:top w:val="nil"/>
              <w:left w:val="nil"/>
              <w:bottom w:val="nil"/>
              <w:right w:val="nil"/>
            </w:tcBorders>
            <w:shd w:val="clear" w:color="auto" w:fill="FFFFFF" w:themeFill="background1"/>
            <w:noWrap/>
            <w:hideMark/>
          </w:tcPr>
          <w:p w14:paraId="236FB201" w14:textId="77777777" w:rsidR="006B2397" w:rsidRPr="00646254" w:rsidRDefault="006B2397" w:rsidP="00BA266B">
            <w:pPr>
              <w:jc w:val="right"/>
              <w:cnfStyle w:val="000000000000" w:firstRow="0" w:lastRow="0" w:firstColumn="0" w:lastColumn="0" w:oddVBand="0" w:evenVBand="0" w:oddHBand="0" w:evenHBand="0" w:firstRowFirstColumn="0" w:firstRowLastColumn="0" w:lastRowFirstColumn="0" w:lastRowLastColumn="0"/>
              <w:rPr>
                <w:rFonts w:ascii="Calibri" w:hAnsi="Calibri" w:cs="Calibri"/>
                <w:b/>
                <w:color w:val="002060"/>
                <w:sz w:val="18"/>
                <w:szCs w:val="18"/>
                <w:lang w:val="sr-Cyrl-CS"/>
              </w:rPr>
            </w:pPr>
            <w:r w:rsidRPr="00646254">
              <w:rPr>
                <w:rFonts w:ascii="Calibri" w:hAnsi="Calibri" w:cs="Calibri"/>
                <w:b/>
                <w:color w:val="002060"/>
                <w:sz w:val="18"/>
                <w:szCs w:val="18"/>
                <w:lang w:val="sr-Cyrl-CS"/>
              </w:rPr>
              <w:t>57,0</w:t>
            </w:r>
          </w:p>
        </w:tc>
        <w:tc>
          <w:tcPr>
            <w:tcW w:w="578" w:type="pct"/>
            <w:tcBorders>
              <w:top w:val="nil"/>
              <w:left w:val="nil"/>
              <w:bottom w:val="nil"/>
              <w:right w:val="nil"/>
            </w:tcBorders>
            <w:shd w:val="clear" w:color="auto" w:fill="FFFFFF" w:themeFill="background1"/>
            <w:noWrap/>
            <w:hideMark/>
          </w:tcPr>
          <w:p w14:paraId="0F0C9A9F" w14:textId="77777777" w:rsidR="006B2397" w:rsidRPr="00646254" w:rsidRDefault="006B2397" w:rsidP="00BA266B">
            <w:pPr>
              <w:jc w:val="right"/>
              <w:cnfStyle w:val="000000000000" w:firstRow="0" w:lastRow="0" w:firstColumn="0" w:lastColumn="0" w:oddVBand="0" w:evenVBand="0" w:oddHBand="0" w:evenHBand="0" w:firstRowFirstColumn="0" w:firstRowLastColumn="0" w:lastRowFirstColumn="0" w:lastRowLastColumn="0"/>
              <w:rPr>
                <w:rFonts w:ascii="Calibri" w:hAnsi="Calibri" w:cs="Calibri"/>
                <w:b/>
                <w:color w:val="002060"/>
                <w:sz w:val="18"/>
                <w:szCs w:val="18"/>
                <w:lang w:val="sr-Cyrl-CS"/>
              </w:rPr>
            </w:pPr>
            <w:r w:rsidRPr="00646254">
              <w:rPr>
                <w:rFonts w:ascii="Calibri" w:hAnsi="Calibri" w:cs="Calibri"/>
                <w:b/>
                <w:color w:val="002060"/>
                <w:sz w:val="18"/>
                <w:szCs w:val="18"/>
                <w:lang w:val="sr-Cyrl-CS"/>
              </w:rPr>
              <w:t>57,7</w:t>
            </w:r>
          </w:p>
        </w:tc>
        <w:tc>
          <w:tcPr>
            <w:tcW w:w="578" w:type="pct"/>
            <w:tcBorders>
              <w:top w:val="nil"/>
              <w:left w:val="nil"/>
              <w:bottom w:val="nil"/>
              <w:right w:val="nil"/>
            </w:tcBorders>
            <w:shd w:val="clear" w:color="auto" w:fill="FFFFFF" w:themeFill="background1"/>
            <w:noWrap/>
            <w:hideMark/>
          </w:tcPr>
          <w:p w14:paraId="71947976" w14:textId="77777777" w:rsidR="006B2397" w:rsidRPr="00646254" w:rsidRDefault="006B2397" w:rsidP="00BA266B">
            <w:pPr>
              <w:jc w:val="right"/>
              <w:cnfStyle w:val="000000000000" w:firstRow="0" w:lastRow="0" w:firstColumn="0" w:lastColumn="0" w:oddVBand="0" w:evenVBand="0" w:oddHBand="0" w:evenHBand="0" w:firstRowFirstColumn="0" w:firstRowLastColumn="0" w:lastRowFirstColumn="0" w:lastRowLastColumn="0"/>
              <w:rPr>
                <w:rFonts w:ascii="Calibri" w:hAnsi="Calibri" w:cs="Calibri"/>
                <w:b/>
                <w:color w:val="002060"/>
                <w:sz w:val="18"/>
                <w:szCs w:val="18"/>
                <w:lang w:val="sr-Cyrl-CS"/>
              </w:rPr>
            </w:pPr>
            <w:r w:rsidRPr="00646254">
              <w:rPr>
                <w:rFonts w:ascii="Calibri" w:hAnsi="Calibri" w:cs="Calibri"/>
                <w:b/>
                <w:color w:val="002060"/>
                <w:sz w:val="18"/>
                <w:szCs w:val="18"/>
                <w:lang w:val="sr-Cyrl-CS"/>
              </w:rPr>
              <w:t>57,5</w:t>
            </w:r>
          </w:p>
        </w:tc>
        <w:tc>
          <w:tcPr>
            <w:tcW w:w="578" w:type="pct"/>
            <w:tcBorders>
              <w:top w:val="nil"/>
              <w:left w:val="nil"/>
              <w:bottom w:val="nil"/>
              <w:right w:val="nil"/>
            </w:tcBorders>
            <w:shd w:val="clear" w:color="auto" w:fill="FFFFFF" w:themeFill="background1"/>
            <w:noWrap/>
            <w:hideMark/>
          </w:tcPr>
          <w:p w14:paraId="68048A71" w14:textId="77777777" w:rsidR="006B2397" w:rsidRPr="00646254" w:rsidRDefault="006B2397" w:rsidP="00BA266B">
            <w:pPr>
              <w:jc w:val="right"/>
              <w:cnfStyle w:val="000000000000" w:firstRow="0" w:lastRow="0" w:firstColumn="0" w:lastColumn="0" w:oddVBand="0" w:evenVBand="0" w:oddHBand="0" w:evenHBand="0" w:firstRowFirstColumn="0" w:firstRowLastColumn="0" w:lastRowFirstColumn="0" w:lastRowLastColumn="0"/>
              <w:rPr>
                <w:rFonts w:ascii="Calibri" w:hAnsi="Calibri" w:cs="Calibri"/>
                <w:b/>
                <w:color w:val="002060"/>
                <w:sz w:val="18"/>
                <w:szCs w:val="18"/>
                <w:lang w:val="sr-Cyrl-CS"/>
              </w:rPr>
            </w:pPr>
            <w:r w:rsidRPr="00646254">
              <w:rPr>
                <w:rFonts w:ascii="Calibri" w:hAnsi="Calibri" w:cs="Calibri"/>
                <w:b/>
                <w:color w:val="002060"/>
                <w:sz w:val="18"/>
                <w:szCs w:val="18"/>
                <w:lang w:val="sr-Cyrl-CS"/>
              </w:rPr>
              <w:t>56,7</w:t>
            </w:r>
          </w:p>
        </w:tc>
      </w:tr>
      <w:tr w:rsidR="006B2397" w:rsidRPr="00646254" w14:paraId="7016ED55" w14:textId="77777777" w:rsidTr="00BA266B">
        <w:trPr>
          <w:cnfStyle w:val="000000100000" w:firstRow="0" w:lastRow="0" w:firstColumn="0" w:lastColumn="0" w:oddVBand="0" w:evenVBand="0" w:oddHBand="1" w:evenHBand="0" w:firstRowFirstColumn="0" w:firstRowLastColumn="0" w:lastRowFirstColumn="0" w:lastRowLastColumn="0"/>
          <w:trHeight w:val="253"/>
        </w:trPr>
        <w:tc>
          <w:tcPr>
            <w:cnfStyle w:val="001000000000" w:firstRow="0" w:lastRow="0" w:firstColumn="1" w:lastColumn="0" w:oddVBand="0" w:evenVBand="0" w:oddHBand="0" w:evenHBand="0" w:firstRowFirstColumn="0" w:firstRowLastColumn="0" w:lastRowFirstColumn="0" w:lastRowLastColumn="0"/>
            <w:tcW w:w="2688" w:type="pct"/>
            <w:tcBorders>
              <w:top w:val="nil"/>
              <w:bottom w:val="nil"/>
            </w:tcBorders>
            <w:shd w:val="clear" w:color="auto" w:fill="E7E6E6" w:themeFill="background2"/>
            <w:noWrap/>
            <w:hideMark/>
          </w:tcPr>
          <w:p w14:paraId="5FFA1245" w14:textId="77777777" w:rsidR="006B2397" w:rsidRPr="00646254" w:rsidRDefault="006B2397" w:rsidP="00BA266B">
            <w:pPr>
              <w:spacing w:line="240" w:lineRule="auto"/>
              <w:rPr>
                <w:rFonts w:ascii="Calibri" w:hAnsi="Calibri" w:cs="Calibri"/>
                <w:color w:val="002060"/>
                <w:sz w:val="18"/>
                <w:szCs w:val="18"/>
                <w:lang w:val="sr-Cyrl-CS"/>
              </w:rPr>
            </w:pPr>
            <w:r w:rsidRPr="00646254">
              <w:rPr>
                <w:rFonts w:ascii="Calibri" w:hAnsi="Calibri" w:cs="Calibri"/>
                <w:color w:val="002060"/>
                <w:sz w:val="18"/>
                <w:szCs w:val="18"/>
                <w:lang w:val="sr-Cyrl-CS"/>
              </w:rPr>
              <w:t xml:space="preserve"> Каматни шок (сценарио 1) </w:t>
            </w:r>
          </w:p>
        </w:tc>
        <w:tc>
          <w:tcPr>
            <w:tcW w:w="578" w:type="pct"/>
            <w:tcBorders>
              <w:top w:val="nil"/>
              <w:bottom w:val="nil"/>
            </w:tcBorders>
            <w:shd w:val="clear" w:color="auto" w:fill="E7E6E6" w:themeFill="background2"/>
            <w:noWrap/>
            <w:hideMark/>
          </w:tcPr>
          <w:p w14:paraId="179BC480" w14:textId="77777777" w:rsidR="006B2397" w:rsidRPr="00646254" w:rsidRDefault="006B2397" w:rsidP="00BA266B">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646254">
              <w:rPr>
                <w:rFonts w:ascii="Calibri" w:hAnsi="Calibri" w:cs="Calibri"/>
                <w:color w:val="002060"/>
                <w:sz w:val="18"/>
                <w:szCs w:val="18"/>
                <w:lang w:val="sr-Cyrl-CS"/>
              </w:rPr>
              <w:t>52,1</w:t>
            </w:r>
          </w:p>
        </w:tc>
        <w:tc>
          <w:tcPr>
            <w:tcW w:w="578" w:type="pct"/>
            <w:tcBorders>
              <w:top w:val="nil"/>
              <w:bottom w:val="nil"/>
            </w:tcBorders>
            <w:shd w:val="clear" w:color="auto" w:fill="E7E6E6" w:themeFill="background2"/>
            <w:noWrap/>
            <w:hideMark/>
          </w:tcPr>
          <w:p w14:paraId="4DCE1766" w14:textId="77777777" w:rsidR="006B2397" w:rsidRPr="00646254" w:rsidRDefault="006B2397" w:rsidP="00BA266B">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646254">
              <w:rPr>
                <w:rFonts w:ascii="Calibri" w:hAnsi="Calibri" w:cs="Calibri"/>
                <w:color w:val="002060"/>
                <w:sz w:val="18"/>
                <w:szCs w:val="18"/>
                <w:lang w:val="sr-Cyrl-CS"/>
              </w:rPr>
              <w:t>52,6</w:t>
            </w:r>
          </w:p>
        </w:tc>
        <w:tc>
          <w:tcPr>
            <w:tcW w:w="578" w:type="pct"/>
            <w:tcBorders>
              <w:top w:val="nil"/>
              <w:bottom w:val="nil"/>
            </w:tcBorders>
            <w:shd w:val="clear" w:color="auto" w:fill="E7E6E6" w:themeFill="background2"/>
            <w:noWrap/>
            <w:hideMark/>
          </w:tcPr>
          <w:p w14:paraId="76648708" w14:textId="77777777" w:rsidR="006B2397" w:rsidRPr="00646254" w:rsidRDefault="006B2397" w:rsidP="00BA266B">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646254">
              <w:rPr>
                <w:rFonts w:ascii="Calibri" w:hAnsi="Calibri" w:cs="Calibri"/>
                <w:color w:val="002060"/>
                <w:sz w:val="18"/>
                <w:szCs w:val="18"/>
                <w:lang w:val="sr-Cyrl-CS"/>
              </w:rPr>
              <w:t>52,4</w:t>
            </w:r>
          </w:p>
        </w:tc>
        <w:tc>
          <w:tcPr>
            <w:tcW w:w="578" w:type="pct"/>
            <w:tcBorders>
              <w:top w:val="nil"/>
              <w:bottom w:val="nil"/>
            </w:tcBorders>
            <w:shd w:val="clear" w:color="auto" w:fill="E7E6E6" w:themeFill="background2"/>
            <w:noWrap/>
            <w:hideMark/>
          </w:tcPr>
          <w:p w14:paraId="099D3C17" w14:textId="77777777" w:rsidR="006B2397" w:rsidRPr="00646254" w:rsidRDefault="006B2397" w:rsidP="00BA266B">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646254">
              <w:rPr>
                <w:rFonts w:ascii="Calibri" w:hAnsi="Calibri" w:cs="Calibri"/>
                <w:color w:val="002060"/>
                <w:sz w:val="18"/>
                <w:szCs w:val="18"/>
                <w:lang w:val="sr-Cyrl-CS"/>
              </w:rPr>
              <w:t>52,7</w:t>
            </w:r>
          </w:p>
        </w:tc>
      </w:tr>
      <w:tr w:rsidR="006B2397" w:rsidRPr="00646254" w14:paraId="569E3B63" w14:textId="77777777" w:rsidTr="00BA266B">
        <w:trPr>
          <w:trHeight w:val="253"/>
        </w:trPr>
        <w:tc>
          <w:tcPr>
            <w:cnfStyle w:val="001000000000" w:firstRow="0" w:lastRow="0" w:firstColumn="1" w:lastColumn="0" w:oddVBand="0" w:evenVBand="0" w:oddHBand="0" w:evenHBand="0" w:firstRowFirstColumn="0" w:firstRowLastColumn="0" w:lastRowFirstColumn="0" w:lastRowLastColumn="0"/>
            <w:tcW w:w="2688" w:type="pct"/>
            <w:tcBorders>
              <w:top w:val="nil"/>
              <w:left w:val="nil"/>
              <w:bottom w:val="nil"/>
              <w:right w:val="nil"/>
            </w:tcBorders>
            <w:noWrap/>
            <w:hideMark/>
          </w:tcPr>
          <w:p w14:paraId="3A9BD1D0" w14:textId="77777777" w:rsidR="006B2397" w:rsidRPr="00646254" w:rsidRDefault="006B2397" w:rsidP="00BA266B">
            <w:pPr>
              <w:spacing w:line="240" w:lineRule="auto"/>
              <w:rPr>
                <w:rFonts w:ascii="Calibri" w:hAnsi="Calibri" w:cs="Calibri"/>
                <w:color w:val="002060"/>
                <w:sz w:val="18"/>
                <w:szCs w:val="18"/>
                <w:lang w:val="sr-Cyrl-CS"/>
              </w:rPr>
            </w:pPr>
            <w:r w:rsidRPr="00646254">
              <w:rPr>
                <w:rFonts w:ascii="Calibri" w:hAnsi="Calibri" w:cs="Calibri"/>
                <w:color w:val="002060"/>
                <w:sz w:val="18"/>
                <w:szCs w:val="18"/>
                <w:lang w:val="sr-Cyrl-CS"/>
              </w:rPr>
              <w:t xml:space="preserve"> Каматни шок (сценарио 2)</w:t>
            </w:r>
          </w:p>
        </w:tc>
        <w:tc>
          <w:tcPr>
            <w:tcW w:w="578" w:type="pct"/>
            <w:tcBorders>
              <w:top w:val="nil"/>
              <w:left w:val="nil"/>
              <w:bottom w:val="nil"/>
              <w:right w:val="nil"/>
            </w:tcBorders>
            <w:shd w:val="clear" w:color="auto" w:fill="FFFFFF" w:themeFill="background1"/>
            <w:noWrap/>
            <w:hideMark/>
          </w:tcPr>
          <w:p w14:paraId="06CCDCD3" w14:textId="77777777" w:rsidR="006B2397" w:rsidRPr="00646254" w:rsidRDefault="006B2397" w:rsidP="00BA266B">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646254">
              <w:rPr>
                <w:rFonts w:ascii="Calibri" w:hAnsi="Calibri" w:cs="Calibri"/>
                <w:color w:val="002060"/>
                <w:sz w:val="18"/>
                <w:szCs w:val="18"/>
                <w:lang w:val="sr-Cyrl-CS"/>
              </w:rPr>
              <w:t>52,4</w:t>
            </w:r>
          </w:p>
        </w:tc>
        <w:tc>
          <w:tcPr>
            <w:tcW w:w="578" w:type="pct"/>
            <w:tcBorders>
              <w:top w:val="nil"/>
              <w:left w:val="nil"/>
              <w:bottom w:val="nil"/>
              <w:right w:val="nil"/>
            </w:tcBorders>
            <w:shd w:val="clear" w:color="auto" w:fill="FFFFFF" w:themeFill="background1"/>
            <w:noWrap/>
            <w:hideMark/>
          </w:tcPr>
          <w:p w14:paraId="7C405055" w14:textId="77777777" w:rsidR="006B2397" w:rsidRPr="00646254" w:rsidRDefault="006B2397" w:rsidP="00BA266B">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646254">
              <w:rPr>
                <w:rFonts w:ascii="Calibri" w:hAnsi="Calibri" w:cs="Calibri"/>
                <w:color w:val="002060"/>
                <w:sz w:val="18"/>
                <w:szCs w:val="18"/>
                <w:lang w:val="sr-Cyrl-CS"/>
              </w:rPr>
              <w:t>52,9</w:t>
            </w:r>
          </w:p>
        </w:tc>
        <w:tc>
          <w:tcPr>
            <w:tcW w:w="578" w:type="pct"/>
            <w:tcBorders>
              <w:top w:val="nil"/>
              <w:left w:val="nil"/>
              <w:bottom w:val="nil"/>
              <w:right w:val="nil"/>
            </w:tcBorders>
            <w:shd w:val="clear" w:color="auto" w:fill="FFFFFF" w:themeFill="background1"/>
            <w:noWrap/>
            <w:hideMark/>
          </w:tcPr>
          <w:p w14:paraId="4A56CA3C" w14:textId="77777777" w:rsidR="006B2397" w:rsidRPr="00646254" w:rsidRDefault="006B2397" w:rsidP="00BA266B">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646254">
              <w:rPr>
                <w:rFonts w:ascii="Calibri" w:hAnsi="Calibri" w:cs="Calibri"/>
                <w:color w:val="002060"/>
                <w:sz w:val="18"/>
                <w:szCs w:val="18"/>
                <w:lang w:val="sr-Cyrl-CS"/>
              </w:rPr>
              <w:t>52,7</w:t>
            </w:r>
          </w:p>
        </w:tc>
        <w:tc>
          <w:tcPr>
            <w:tcW w:w="578" w:type="pct"/>
            <w:tcBorders>
              <w:top w:val="nil"/>
              <w:left w:val="nil"/>
              <w:bottom w:val="nil"/>
              <w:right w:val="nil"/>
            </w:tcBorders>
            <w:shd w:val="clear" w:color="auto" w:fill="FFFFFF" w:themeFill="background1"/>
            <w:noWrap/>
            <w:hideMark/>
          </w:tcPr>
          <w:p w14:paraId="7E993549" w14:textId="77777777" w:rsidR="006B2397" w:rsidRPr="00646254" w:rsidRDefault="006B2397" w:rsidP="00BA266B">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646254">
              <w:rPr>
                <w:rFonts w:ascii="Calibri" w:hAnsi="Calibri" w:cs="Calibri"/>
                <w:color w:val="002060"/>
                <w:sz w:val="18"/>
                <w:szCs w:val="18"/>
                <w:lang w:val="sr-Cyrl-CS"/>
              </w:rPr>
              <w:t>53,2</w:t>
            </w:r>
          </w:p>
        </w:tc>
      </w:tr>
      <w:tr w:rsidR="006B2397" w:rsidRPr="00646254" w14:paraId="703E073C" w14:textId="77777777" w:rsidTr="00BA266B">
        <w:trPr>
          <w:cnfStyle w:val="000000100000" w:firstRow="0" w:lastRow="0" w:firstColumn="0" w:lastColumn="0" w:oddVBand="0" w:evenVBand="0" w:oddHBand="1" w:evenHBand="0" w:firstRowFirstColumn="0" w:firstRowLastColumn="0" w:lastRowFirstColumn="0" w:lastRowLastColumn="0"/>
          <w:trHeight w:val="253"/>
        </w:trPr>
        <w:tc>
          <w:tcPr>
            <w:cnfStyle w:val="001000000000" w:firstRow="0" w:lastRow="0" w:firstColumn="1" w:lastColumn="0" w:oddVBand="0" w:evenVBand="0" w:oddHBand="0" w:evenHBand="0" w:firstRowFirstColumn="0" w:firstRowLastColumn="0" w:lastRowFirstColumn="0" w:lastRowLastColumn="0"/>
            <w:tcW w:w="2688" w:type="pct"/>
            <w:tcBorders>
              <w:top w:val="nil"/>
              <w:bottom w:val="nil"/>
            </w:tcBorders>
            <w:shd w:val="clear" w:color="auto" w:fill="E7E6E6" w:themeFill="background2"/>
            <w:noWrap/>
            <w:hideMark/>
          </w:tcPr>
          <w:p w14:paraId="0F592733" w14:textId="77777777" w:rsidR="006B2397" w:rsidRPr="00646254" w:rsidRDefault="006B2397" w:rsidP="00BA266B">
            <w:pPr>
              <w:spacing w:line="240" w:lineRule="auto"/>
              <w:rPr>
                <w:rFonts w:ascii="Calibri" w:hAnsi="Calibri" w:cs="Calibri"/>
                <w:color w:val="002060"/>
                <w:sz w:val="18"/>
                <w:szCs w:val="18"/>
                <w:lang w:val="sr-Cyrl-CS"/>
              </w:rPr>
            </w:pPr>
            <w:r w:rsidRPr="00646254">
              <w:rPr>
                <w:rFonts w:ascii="Calibri" w:hAnsi="Calibri" w:cs="Calibri"/>
                <w:color w:val="002060"/>
                <w:sz w:val="18"/>
                <w:szCs w:val="18"/>
                <w:lang w:val="sr-Cyrl-CS"/>
              </w:rPr>
              <w:t xml:space="preserve"> Комбиновани шок (15% УСД и каматни шок1) </w:t>
            </w:r>
          </w:p>
        </w:tc>
        <w:tc>
          <w:tcPr>
            <w:tcW w:w="578" w:type="pct"/>
            <w:tcBorders>
              <w:top w:val="nil"/>
              <w:bottom w:val="single" w:sz="4" w:space="0" w:color="auto"/>
            </w:tcBorders>
            <w:shd w:val="clear" w:color="auto" w:fill="E7E6E6" w:themeFill="background2"/>
            <w:noWrap/>
            <w:hideMark/>
          </w:tcPr>
          <w:p w14:paraId="6A418805" w14:textId="77777777" w:rsidR="006B2397" w:rsidRPr="00646254" w:rsidRDefault="006B2397" w:rsidP="00BA266B">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646254">
              <w:rPr>
                <w:rFonts w:ascii="Calibri" w:hAnsi="Calibri" w:cs="Calibri"/>
                <w:color w:val="002060"/>
                <w:sz w:val="18"/>
                <w:szCs w:val="18"/>
                <w:lang w:val="sr-Cyrl-CS"/>
              </w:rPr>
              <w:t>53,4</w:t>
            </w:r>
          </w:p>
        </w:tc>
        <w:tc>
          <w:tcPr>
            <w:tcW w:w="578" w:type="pct"/>
            <w:tcBorders>
              <w:top w:val="nil"/>
              <w:bottom w:val="single" w:sz="4" w:space="0" w:color="auto"/>
            </w:tcBorders>
            <w:shd w:val="clear" w:color="auto" w:fill="E7E6E6" w:themeFill="background2"/>
            <w:noWrap/>
            <w:hideMark/>
          </w:tcPr>
          <w:p w14:paraId="6F0C265E" w14:textId="77777777" w:rsidR="006B2397" w:rsidRPr="00646254" w:rsidRDefault="006B2397" w:rsidP="00BA266B">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646254">
              <w:rPr>
                <w:rFonts w:ascii="Calibri" w:hAnsi="Calibri" w:cs="Calibri"/>
                <w:color w:val="002060"/>
                <w:sz w:val="18"/>
                <w:szCs w:val="18"/>
                <w:lang w:val="sr-Cyrl-CS"/>
              </w:rPr>
              <w:t>54,8</w:t>
            </w:r>
          </w:p>
        </w:tc>
        <w:tc>
          <w:tcPr>
            <w:tcW w:w="578" w:type="pct"/>
            <w:tcBorders>
              <w:top w:val="nil"/>
              <w:bottom w:val="single" w:sz="4" w:space="0" w:color="auto"/>
            </w:tcBorders>
            <w:shd w:val="clear" w:color="auto" w:fill="E7E6E6" w:themeFill="background2"/>
            <w:noWrap/>
            <w:hideMark/>
          </w:tcPr>
          <w:p w14:paraId="4028DC55" w14:textId="77777777" w:rsidR="006B2397" w:rsidRPr="00646254" w:rsidRDefault="006B2397" w:rsidP="00BA266B">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646254">
              <w:rPr>
                <w:rFonts w:ascii="Calibri" w:hAnsi="Calibri" w:cs="Calibri"/>
                <w:color w:val="002060"/>
                <w:sz w:val="18"/>
                <w:szCs w:val="18"/>
                <w:lang w:val="sr-Cyrl-CS"/>
              </w:rPr>
              <w:t>53,5</w:t>
            </w:r>
          </w:p>
        </w:tc>
        <w:tc>
          <w:tcPr>
            <w:tcW w:w="578" w:type="pct"/>
            <w:tcBorders>
              <w:top w:val="nil"/>
              <w:bottom w:val="single" w:sz="4" w:space="0" w:color="auto"/>
            </w:tcBorders>
            <w:shd w:val="clear" w:color="auto" w:fill="E7E6E6" w:themeFill="background2"/>
            <w:noWrap/>
            <w:hideMark/>
          </w:tcPr>
          <w:p w14:paraId="7A999034" w14:textId="77777777" w:rsidR="006B2397" w:rsidRPr="00646254" w:rsidRDefault="006B2397" w:rsidP="00BA266B">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646254">
              <w:rPr>
                <w:rFonts w:ascii="Calibri" w:hAnsi="Calibri" w:cs="Calibri"/>
                <w:color w:val="002060"/>
                <w:sz w:val="18"/>
                <w:szCs w:val="18"/>
                <w:lang w:val="sr-Cyrl-CS"/>
              </w:rPr>
              <w:t>53,8</w:t>
            </w:r>
          </w:p>
        </w:tc>
      </w:tr>
      <w:tr w:rsidR="006B2397" w:rsidRPr="00646254" w14:paraId="7A5481B5" w14:textId="77777777" w:rsidTr="00BA266B">
        <w:trPr>
          <w:trHeight w:val="253"/>
        </w:trPr>
        <w:tc>
          <w:tcPr>
            <w:cnfStyle w:val="001000000000" w:firstRow="0" w:lastRow="0" w:firstColumn="1" w:lastColumn="0" w:oddVBand="0" w:evenVBand="0" w:oddHBand="0" w:evenHBand="0" w:firstRowFirstColumn="0" w:firstRowLastColumn="0" w:lastRowFirstColumn="0" w:lastRowLastColumn="0"/>
            <w:tcW w:w="2688" w:type="pct"/>
            <w:tcBorders>
              <w:top w:val="nil"/>
              <w:left w:val="nil"/>
              <w:bottom w:val="single" w:sz="4" w:space="0" w:color="auto"/>
              <w:right w:val="nil"/>
            </w:tcBorders>
            <w:noWrap/>
            <w:hideMark/>
          </w:tcPr>
          <w:p w14:paraId="16A87BD1" w14:textId="77777777" w:rsidR="006B2397" w:rsidRPr="00646254" w:rsidRDefault="006B2397" w:rsidP="00BA266B">
            <w:pPr>
              <w:spacing w:line="240" w:lineRule="auto"/>
              <w:rPr>
                <w:rFonts w:ascii="Calibri" w:hAnsi="Calibri" w:cs="Calibri"/>
                <w:color w:val="002060"/>
                <w:sz w:val="18"/>
                <w:szCs w:val="18"/>
                <w:lang w:val="sr-Cyrl-CS"/>
              </w:rPr>
            </w:pPr>
            <w:r w:rsidRPr="00646254">
              <w:rPr>
                <w:rFonts w:ascii="Calibri" w:hAnsi="Calibri" w:cs="Calibri"/>
                <w:color w:val="002060"/>
                <w:sz w:val="18"/>
                <w:szCs w:val="18"/>
                <w:lang w:val="sr-Cyrl-CS"/>
              </w:rPr>
              <w:t xml:space="preserve"> Максимални ризик </w:t>
            </w:r>
          </w:p>
        </w:tc>
        <w:tc>
          <w:tcPr>
            <w:tcW w:w="578" w:type="pct"/>
            <w:tcBorders>
              <w:top w:val="single" w:sz="4" w:space="0" w:color="auto"/>
              <w:left w:val="nil"/>
              <w:bottom w:val="single" w:sz="4" w:space="0" w:color="002060"/>
              <w:right w:val="nil"/>
            </w:tcBorders>
            <w:shd w:val="clear" w:color="auto" w:fill="FFFFFF" w:themeFill="background1"/>
            <w:noWrap/>
            <w:hideMark/>
          </w:tcPr>
          <w:p w14:paraId="58A2AD82" w14:textId="77777777" w:rsidR="006B2397" w:rsidRPr="00646254" w:rsidRDefault="006B2397" w:rsidP="00BA266B">
            <w:pPr>
              <w:jc w:val="right"/>
              <w:cnfStyle w:val="000000000000" w:firstRow="0" w:lastRow="0" w:firstColumn="0" w:lastColumn="0" w:oddVBand="0" w:evenVBand="0" w:oddHBand="0" w:evenHBand="0" w:firstRowFirstColumn="0" w:firstRowLastColumn="0" w:lastRowFirstColumn="0" w:lastRowLastColumn="0"/>
              <w:rPr>
                <w:rFonts w:ascii="Calibri" w:hAnsi="Calibri" w:cs="Calibri"/>
                <w:b/>
                <w:color w:val="002060"/>
                <w:sz w:val="18"/>
                <w:szCs w:val="18"/>
                <w:lang w:val="sr-Cyrl-CS"/>
              </w:rPr>
            </w:pPr>
            <w:r w:rsidRPr="00646254">
              <w:rPr>
                <w:rFonts w:ascii="Calibri" w:hAnsi="Calibri" w:cs="Calibri"/>
                <w:b/>
                <w:color w:val="002060"/>
                <w:sz w:val="18"/>
                <w:szCs w:val="18"/>
                <w:lang w:val="sr-Cyrl-CS"/>
              </w:rPr>
              <w:t>5,3</w:t>
            </w:r>
          </w:p>
        </w:tc>
        <w:tc>
          <w:tcPr>
            <w:tcW w:w="578" w:type="pct"/>
            <w:tcBorders>
              <w:top w:val="single" w:sz="4" w:space="0" w:color="auto"/>
              <w:left w:val="nil"/>
              <w:bottom w:val="single" w:sz="4" w:space="0" w:color="002060"/>
              <w:right w:val="nil"/>
            </w:tcBorders>
            <w:shd w:val="clear" w:color="auto" w:fill="FFFFFF" w:themeFill="background1"/>
            <w:noWrap/>
            <w:hideMark/>
          </w:tcPr>
          <w:p w14:paraId="73E730FC" w14:textId="77777777" w:rsidR="006B2397" w:rsidRPr="00646254" w:rsidRDefault="006B2397" w:rsidP="00BA266B">
            <w:pPr>
              <w:jc w:val="right"/>
              <w:cnfStyle w:val="000000000000" w:firstRow="0" w:lastRow="0" w:firstColumn="0" w:lastColumn="0" w:oddVBand="0" w:evenVBand="0" w:oddHBand="0" w:evenHBand="0" w:firstRowFirstColumn="0" w:firstRowLastColumn="0" w:lastRowFirstColumn="0" w:lastRowLastColumn="0"/>
              <w:rPr>
                <w:rFonts w:ascii="Calibri" w:hAnsi="Calibri" w:cs="Calibri"/>
                <w:b/>
                <w:color w:val="002060"/>
                <w:sz w:val="18"/>
                <w:szCs w:val="18"/>
                <w:lang w:val="sr-Cyrl-CS"/>
              </w:rPr>
            </w:pPr>
            <w:r w:rsidRPr="00646254">
              <w:rPr>
                <w:rFonts w:ascii="Calibri" w:hAnsi="Calibri" w:cs="Calibri"/>
                <w:b/>
                <w:color w:val="002060"/>
                <w:sz w:val="18"/>
                <w:szCs w:val="18"/>
                <w:lang w:val="sr-Cyrl-CS"/>
              </w:rPr>
              <w:t>5,8</w:t>
            </w:r>
          </w:p>
        </w:tc>
        <w:tc>
          <w:tcPr>
            <w:tcW w:w="578" w:type="pct"/>
            <w:tcBorders>
              <w:top w:val="single" w:sz="4" w:space="0" w:color="auto"/>
              <w:left w:val="nil"/>
              <w:bottom w:val="single" w:sz="4" w:space="0" w:color="002060"/>
              <w:right w:val="nil"/>
            </w:tcBorders>
            <w:shd w:val="clear" w:color="auto" w:fill="FFFFFF" w:themeFill="background1"/>
            <w:noWrap/>
            <w:hideMark/>
          </w:tcPr>
          <w:p w14:paraId="074F2ECF" w14:textId="77777777" w:rsidR="006B2397" w:rsidRPr="00646254" w:rsidRDefault="006B2397" w:rsidP="00BA266B">
            <w:pPr>
              <w:jc w:val="right"/>
              <w:cnfStyle w:val="000000000000" w:firstRow="0" w:lastRow="0" w:firstColumn="0" w:lastColumn="0" w:oddVBand="0" w:evenVBand="0" w:oddHBand="0" w:evenHBand="0" w:firstRowFirstColumn="0" w:firstRowLastColumn="0" w:lastRowFirstColumn="0" w:lastRowLastColumn="0"/>
              <w:rPr>
                <w:rFonts w:ascii="Calibri" w:hAnsi="Calibri" w:cs="Calibri"/>
                <w:b/>
                <w:color w:val="002060"/>
                <w:sz w:val="18"/>
                <w:szCs w:val="18"/>
                <w:lang w:val="sr-Cyrl-CS"/>
              </w:rPr>
            </w:pPr>
            <w:r w:rsidRPr="00646254">
              <w:rPr>
                <w:rFonts w:ascii="Calibri" w:hAnsi="Calibri" w:cs="Calibri"/>
                <w:b/>
                <w:color w:val="002060"/>
                <w:sz w:val="18"/>
                <w:szCs w:val="18"/>
                <w:lang w:val="sr-Cyrl-CS"/>
              </w:rPr>
              <w:t>5,7</w:t>
            </w:r>
          </w:p>
        </w:tc>
        <w:tc>
          <w:tcPr>
            <w:tcW w:w="578" w:type="pct"/>
            <w:tcBorders>
              <w:top w:val="single" w:sz="4" w:space="0" w:color="auto"/>
              <w:left w:val="nil"/>
              <w:bottom w:val="single" w:sz="4" w:space="0" w:color="002060"/>
              <w:right w:val="nil"/>
            </w:tcBorders>
            <w:shd w:val="clear" w:color="auto" w:fill="FFFFFF" w:themeFill="background1"/>
            <w:noWrap/>
            <w:hideMark/>
          </w:tcPr>
          <w:p w14:paraId="03C36709" w14:textId="77777777" w:rsidR="006B2397" w:rsidRPr="00646254" w:rsidRDefault="006B2397" w:rsidP="00BA266B">
            <w:pPr>
              <w:jc w:val="right"/>
              <w:cnfStyle w:val="000000000000" w:firstRow="0" w:lastRow="0" w:firstColumn="0" w:lastColumn="0" w:oddVBand="0" w:evenVBand="0" w:oddHBand="0" w:evenHBand="0" w:firstRowFirstColumn="0" w:firstRowLastColumn="0" w:lastRowFirstColumn="0" w:lastRowLastColumn="0"/>
              <w:rPr>
                <w:rFonts w:ascii="Calibri" w:hAnsi="Calibri" w:cs="Calibri"/>
                <w:b/>
                <w:color w:val="002060"/>
                <w:sz w:val="18"/>
                <w:szCs w:val="18"/>
                <w:lang w:val="sr-Cyrl-CS"/>
              </w:rPr>
            </w:pPr>
            <w:r w:rsidRPr="00646254">
              <w:rPr>
                <w:rFonts w:ascii="Calibri" w:hAnsi="Calibri" w:cs="Calibri"/>
                <w:b/>
                <w:color w:val="002060"/>
                <w:sz w:val="18"/>
                <w:szCs w:val="18"/>
                <w:lang w:val="sr-Cyrl-CS"/>
              </w:rPr>
              <w:t>4,6</w:t>
            </w:r>
          </w:p>
        </w:tc>
      </w:tr>
    </w:tbl>
    <w:p w14:paraId="1700FADC" w14:textId="77777777" w:rsidR="006B2397" w:rsidRPr="00646254" w:rsidRDefault="006B2397" w:rsidP="008265F0">
      <w:pPr>
        <w:spacing w:line="256" w:lineRule="auto"/>
        <w:jc w:val="center"/>
        <w:rPr>
          <w:rFonts w:ascii="Calibri" w:eastAsia="Calibri" w:hAnsi="Calibri" w:cs="Times New Roman"/>
          <w:b/>
          <w:color w:val="002060"/>
          <w:lang w:val="sr-Cyrl-CS"/>
        </w:rPr>
      </w:pPr>
    </w:p>
    <w:p w14:paraId="107BEF76" w14:textId="77777777" w:rsidR="006B2397" w:rsidRPr="00646254" w:rsidRDefault="006B2397">
      <w:pPr>
        <w:jc w:val="left"/>
        <w:rPr>
          <w:rFonts w:ascii="Calibri" w:eastAsia="Calibri" w:hAnsi="Calibri" w:cs="Times New Roman"/>
          <w:b/>
          <w:color w:val="002060"/>
          <w:lang w:val="sr-Cyrl-CS"/>
        </w:rPr>
      </w:pPr>
      <w:r w:rsidRPr="00646254">
        <w:rPr>
          <w:rFonts w:ascii="Calibri" w:eastAsia="Calibri" w:hAnsi="Calibri" w:cs="Times New Roman"/>
          <w:b/>
          <w:color w:val="002060"/>
          <w:lang w:val="sr-Cyrl-CS"/>
        </w:rPr>
        <w:br w:type="page"/>
      </w:r>
    </w:p>
    <w:p w14:paraId="1BA49860" w14:textId="4600319B" w:rsidR="006B2397" w:rsidRPr="00646254" w:rsidRDefault="006B2397" w:rsidP="008265F0">
      <w:pPr>
        <w:spacing w:line="256" w:lineRule="auto"/>
        <w:jc w:val="center"/>
        <w:rPr>
          <w:rFonts w:ascii="Calibri" w:eastAsia="Calibri" w:hAnsi="Calibri" w:cs="Times New Roman"/>
          <w:b/>
          <w:color w:val="002060"/>
          <w:lang w:val="sr-Cyrl-CS"/>
        </w:rPr>
      </w:pPr>
      <w:r w:rsidRPr="00646254">
        <w:rPr>
          <w:rFonts w:ascii="Calibri" w:eastAsia="Calibri" w:hAnsi="Calibri" w:cs="Times New Roman"/>
          <w:b/>
          <w:color w:val="002060"/>
          <w:lang w:val="sr-Cyrl-CS"/>
        </w:rPr>
        <w:t>Табела 29. Однос плаћања по основу камата и БДП на крају 2024. године</w:t>
      </w:r>
    </w:p>
    <w:tbl>
      <w:tblPr>
        <w:tblStyle w:val="LightShading-Accent1222"/>
        <w:tblW w:w="5000" w:type="pct"/>
        <w:tblInd w:w="0" w:type="dxa"/>
        <w:tblLook w:val="04A0" w:firstRow="1" w:lastRow="0" w:firstColumn="1" w:lastColumn="0" w:noHBand="0" w:noVBand="1"/>
      </w:tblPr>
      <w:tblGrid>
        <w:gridCol w:w="5032"/>
        <w:gridCol w:w="1082"/>
        <w:gridCol w:w="1082"/>
        <w:gridCol w:w="1082"/>
        <w:gridCol w:w="1082"/>
      </w:tblGrid>
      <w:tr w:rsidR="006B2397" w:rsidRPr="00646254" w14:paraId="07F25ED1" w14:textId="77777777" w:rsidTr="008265F0">
        <w:trPr>
          <w:cnfStyle w:val="100000000000" w:firstRow="1" w:lastRow="0" w:firstColumn="0" w:lastColumn="0" w:oddVBand="0" w:evenVBand="0" w:oddHBand="0" w:evenHBand="0" w:firstRowFirstColumn="0" w:firstRowLastColumn="0" w:lastRowFirstColumn="0" w:lastRowLastColumn="0"/>
          <w:trHeight w:val="253"/>
        </w:trPr>
        <w:tc>
          <w:tcPr>
            <w:cnfStyle w:val="001000000000" w:firstRow="0" w:lastRow="0" w:firstColumn="1" w:lastColumn="0" w:oddVBand="0" w:evenVBand="0" w:oddHBand="0" w:evenHBand="0" w:firstRowFirstColumn="0" w:firstRowLastColumn="0" w:lastRowFirstColumn="0" w:lastRowLastColumn="0"/>
            <w:tcW w:w="2688" w:type="pct"/>
            <w:tcBorders>
              <w:top w:val="single" w:sz="4" w:space="0" w:color="002060"/>
              <w:bottom w:val="single" w:sz="8" w:space="0" w:color="FFFFFF" w:themeColor="background1"/>
            </w:tcBorders>
            <w:noWrap/>
            <w:hideMark/>
          </w:tcPr>
          <w:p w14:paraId="1476552C" w14:textId="77777777" w:rsidR="006B2397" w:rsidRPr="00646254" w:rsidRDefault="006B2397" w:rsidP="008265F0">
            <w:pPr>
              <w:rPr>
                <w:rFonts w:ascii="Calibri" w:hAnsi="Calibri" w:cs="Calibri"/>
                <w:color w:val="002060"/>
                <w:sz w:val="18"/>
                <w:szCs w:val="18"/>
                <w:lang w:val="sr-Cyrl-CS"/>
              </w:rPr>
            </w:pPr>
            <w:r w:rsidRPr="00646254">
              <w:rPr>
                <w:rFonts w:ascii="Calibri" w:hAnsi="Calibri" w:cs="Calibri"/>
                <w:color w:val="002060"/>
                <w:sz w:val="18"/>
                <w:szCs w:val="18"/>
                <w:lang w:val="sr-Cyrl-CS"/>
              </w:rPr>
              <w:t>Сценарији</w:t>
            </w:r>
          </w:p>
        </w:tc>
        <w:tc>
          <w:tcPr>
            <w:tcW w:w="578" w:type="pct"/>
            <w:tcBorders>
              <w:top w:val="single" w:sz="4" w:space="0" w:color="002060"/>
              <w:bottom w:val="single" w:sz="4" w:space="0" w:color="002060"/>
            </w:tcBorders>
            <w:noWrap/>
            <w:hideMark/>
          </w:tcPr>
          <w:p w14:paraId="1AAE389A" w14:textId="77777777" w:rsidR="006B2397" w:rsidRPr="00646254" w:rsidRDefault="006B2397" w:rsidP="008265F0">
            <w:pPr>
              <w:jc w:val="right"/>
              <w:cnfStyle w:val="100000000000" w:firstRow="1"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646254">
              <w:rPr>
                <w:rFonts w:ascii="Calibri" w:hAnsi="Calibri" w:cs="Calibri"/>
                <w:color w:val="002060"/>
                <w:sz w:val="18"/>
                <w:szCs w:val="18"/>
                <w:lang w:val="sr-Cyrl-CS"/>
              </w:rPr>
              <w:t>C1</w:t>
            </w:r>
          </w:p>
        </w:tc>
        <w:tc>
          <w:tcPr>
            <w:tcW w:w="578" w:type="pct"/>
            <w:tcBorders>
              <w:top w:val="single" w:sz="4" w:space="0" w:color="002060"/>
              <w:bottom w:val="single" w:sz="4" w:space="0" w:color="002060"/>
            </w:tcBorders>
            <w:noWrap/>
            <w:hideMark/>
          </w:tcPr>
          <w:p w14:paraId="28BE2797" w14:textId="77777777" w:rsidR="006B2397" w:rsidRPr="00646254" w:rsidRDefault="006B2397" w:rsidP="008265F0">
            <w:pPr>
              <w:jc w:val="right"/>
              <w:cnfStyle w:val="100000000000" w:firstRow="1"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646254">
              <w:rPr>
                <w:rFonts w:ascii="Calibri" w:hAnsi="Calibri" w:cs="Calibri"/>
                <w:color w:val="002060"/>
                <w:sz w:val="18"/>
                <w:szCs w:val="18"/>
                <w:lang w:val="sr-Cyrl-CS"/>
              </w:rPr>
              <w:t>C2</w:t>
            </w:r>
          </w:p>
        </w:tc>
        <w:tc>
          <w:tcPr>
            <w:tcW w:w="578" w:type="pct"/>
            <w:tcBorders>
              <w:top w:val="single" w:sz="4" w:space="0" w:color="002060"/>
              <w:bottom w:val="single" w:sz="4" w:space="0" w:color="002060"/>
            </w:tcBorders>
            <w:noWrap/>
            <w:hideMark/>
          </w:tcPr>
          <w:p w14:paraId="220195D0" w14:textId="77777777" w:rsidR="006B2397" w:rsidRPr="00646254" w:rsidRDefault="006B2397" w:rsidP="008265F0">
            <w:pPr>
              <w:jc w:val="right"/>
              <w:cnfStyle w:val="100000000000" w:firstRow="1"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646254">
              <w:rPr>
                <w:rFonts w:ascii="Calibri" w:hAnsi="Calibri" w:cs="Calibri"/>
                <w:color w:val="002060"/>
                <w:sz w:val="18"/>
                <w:szCs w:val="18"/>
                <w:lang w:val="sr-Cyrl-CS"/>
              </w:rPr>
              <w:t>C3</w:t>
            </w:r>
          </w:p>
        </w:tc>
        <w:tc>
          <w:tcPr>
            <w:tcW w:w="578" w:type="pct"/>
            <w:tcBorders>
              <w:top w:val="single" w:sz="4" w:space="0" w:color="002060"/>
              <w:bottom w:val="single" w:sz="4" w:space="0" w:color="002060"/>
            </w:tcBorders>
            <w:noWrap/>
            <w:hideMark/>
          </w:tcPr>
          <w:p w14:paraId="31DD0AC1" w14:textId="77777777" w:rsidR="006B2397" w:rsidRPr="00646254" w:rsidRDefault="006B2397" w:rsidP="008265F0">
            <w:pPr>
              <w:jc w:val="right"/>
              <w:cnfStyle w:val="100000000000" w:firstRow="1"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646254">
              <w:rPr>
                <w:rFonts w:ascii="Calibri" w:hAnsi="Calibri" w:cs="Calibri"/>
                <w:color w:val="002060"/>
                <w:sz w:val="18"/>
                <w:szCs w:val="18"/>
                <w:lang w:val="sr-Cyrl-CS"/>
              </w:rPr>
              <w:t>C4</w:t>
            </w:r>
          </w:p>
        </w:tc>
      </w:tr>
      <w:tr w:rsidR="006B2397" w:rsidRPr="00646254" w14:paraId="3427EC2D" w14:textId="77777777" w:rsidTr="0004447C">
        <w:trPr>
          <w:cnfStyle w:val="000000100000" w:firstRow="0" w:lastRow="0" w:firstColumn="0" w:lastColumn="0" w:oddVBand="0" w:evenVBand="0" w:oddHBand="1" w:evenHBand="0" w:firstRowFirstColumn="0" w:firstRowLastColumn="0" w:lastRowFirstColumn="0" w:lastRowLastColumn="0"/>
          <w:trHeight w:val="253"/>
        </w:trPr>
        <w:tc>
          <w:tcPr>
            <w:cnfStyle w:val="001000000000" w:firstRow="0" w:lastRow="0" w:firstColumn="1" w:lastColumn="0" w:oddVBand="0" w:evenVBand="0" w:oddHBand="0" w:evenHBand="0" w:firstRowFirstColumn="0" w:firstRowLastColumn="0" w:lastRowFirstColumn="0" w:lastRowLastColumn="0"/>
            <w:tcW w:w="2688" w:type="pct"/>
            <w:tcBorders>
              <w:top w:val="single" w:sz="8" w:space="0" w:color="FFFFFF" w:themeColor="background1"/>
              <w:bottom w:val="nil"/>
            </w:tcBorders>
            <w:shd w:val="clear" w:color="auto" w:fill="E7E6E6" w:themeFill="background2"/>
            <w:noWrap/>
            <w:hideMark/>
          </w:tcPr>
          <w:p w14:paraId="782C1D16" w14:textId="77777777" w:rsidR="006B2397" w:rsidRPr="00646254" w:rsidRDefault="006B2397" w:rsidP="00BA266B">
            <w:pPr>
              <w:spacing w:line="240" w:lineRule="auto"/>
              <w:rPr>
                <w:rFonts w:ascii="Calibri" w:hAnsi="Calibri" w:cs="Calibri"/>
                <w:color w:val="002060"/>
                <w:sz w:val="18"/>
                <w:szCs w:val="18"/>
                <w:lang w:val="sr-Cyrl-CS"/>
              </w:rPr>
            </w:pPr>
            <w:r w:rsidRPr="00646254">
              <w:rPr>
                <w:rFonts w:ascii="Calibri" w:hAnsi="Calibri" w:cs="Calibri"/>
                <w:color w:val="002060"/>
                <w:sz w:val="18"/>
                <w:szCs w:val="18"/>
                <w:lang w:val="sr-Cyrl-CS"/>
              </w:rPr>
              <w:t xml:space="preserve"> Основни сценарио</w:t>
            </w:r>
          </w:p>
        </w:tc>
        <w:tc>
          <w:tcPr>
            <w:tcW w:w="578" w:type="pct"/>
            <w:tcBorders>
              <w:top w:val="nil"/>
              <w:bottom w:val="nil"/>
            </w:tcBorders>
            <w:shd w:val="clear" w:color="auto" w:fill="E7E6E6" w:themeFill="background2"/>
            <w:noWrap/>
            <w:hideMark/>
          </w:tcPr>
          <w:p w14:paraId="4F64D8CA" w14:textId="77777777" w:rsidR="006B2397" w:rsidRPr="00646254" w:rsidRDefault="006B2397" w:rsidP="00BA266B">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646254">
              <w:rPr>
                <w:rFonts w:ascii="Calibri" w:hAnsi="Calibri" w:cs="Calibri"/>
                <w:color w:val="002060"/>
                <w:sz w:val="18"/>
                <w:szCs w:val="18"/>
                <w:lang w:val="sr-Cyrl-CS"/>
              </w:rPr>
              <w:t>1,2</w:t>
            </w:r>
          </w:p>
        </w:tc>
        <w:tc>
          <w:tcPr>
            <w:tcW w:w="578" w:type="pct"/>
            <w:tcBorders>
              <w:top w:val="nil"/>
              <w:bottom w:val="nil"/>
            </w:tcBorders>
            <w:shd w:val="clear" w:color="auto" w:fill="E7E6E6" w:themeFill="background2"/>
            <w:noWrap/>
            <w:hideMark/>
          </w:tcPr>
          <w:p w14:paraId="6ADDAAB3" w14:textId="77777777" w:rsidR="006B2397" w:rsidRPr="00646254" w:rsidRDefault="006B2397" w:rsidP="00BA266B">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646254">
              <w:rPr>
                <w:rFonts w:ascii="Calibri" w:hAnsi="Calibri" w:cs="Calibri"/>
                <w:color w:val="002060"/>
                <w:sz w:val="18"/>
                <w:szCs w:val="18"/>
                <w:lang w:val="sr-Cyrl-CS"/>
              </w:rPr>
              <w:t>1,4</w:t>
            </w:r>
          </w:p>
        </w:tc>
        <w:tc>
          <w:tcPr>
            <w:tcW w:w="578" w:type="pct"/>
            <w:tcBorders>
              <w:top w:val="nil"/>
              <w:bottom w:val="nil"/>
            </w:tcBorders>
            <w:shd w:val="clear" w:color="auto" w:fill="E7E6E6" w:themeFill="background2"/>
            <w:noWrap/>
            <w:hideMark/>
          </w:tcPr>
          <w:p w14:paraId="54EA95C1" w14:textId="77777777" w:rsidR="006B2397" w:rsidRPr="00646254" w:rsidRDefault="006B2397" w:rsidP="00BA266B">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646254">
              <w:rPr>
                <w:rFonts w:ascii="Calibri" w:hAnsi="Calibri" w:cs="Calibri"/>
                <w:color w:val="002060"/>
                <w:sz w:val="18"/>
                <w:szCs w:val="18"/>
                <w:lang w:val="sr-Cyrl-CS"/>
              </w:rPr>
              <w:t>1,2</w:t>
            </w:r>
          </w:p>
        </w:tc>
        <w:tc>
          <w:tcPr>
            <w:tcW w:w="578" w:type="pct"/>
            <w:tcBorders>
              <w:top w:val="nil"/>
              <w:bottom w:val="nil"/>
            </w:tcBorders>
            <w:shd w:val="clear" w:color="auto" w:fill="E7E6E6" w:themeFill="background2"/>
            <w:noWrap/>
            <w:hideMark/>
          </w:tcPr>
          <w:p w14:paraId="467FE95A" w14:textId="77777777" w:rsidR="006B2397" w:rsidRPr="00646254" w:rsidRDefault="006B2397" w:rsidP="00BA266B">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646254">
              <w:rPr>
                <w:rFonts w:ascii="Calibri" w:hAnsi="Calibri" w:cs="Calibri"/>
                <w:color w:val="002060"/>
                <w:sz w:val="18"/>
                <w:szCs w:val="18"/>
                <w:lang w:val="sr-Cyrl-CS"/>
              </w:rPr>
              <w:t>1,5</w:t>
            </w:r>
          </w:p>
        </w:tc>
      </w:tr>
      <w:tr w:rsidR="006B2397" w:rsidRPr="00646254" w14:paraId="0AA908F7" w14:textId="77777777" w:rsidTr="008265F0">
        <w:trPr>
          <w:trHeight w:val="253"/>
        </w:trPr>
        <w:tc>
          <w:tcPr>
            <w:cnfStyle w:val="001000000000" w:firstRow="0" w:lastRow="0" w:firstColumn="1" w:lastColumn="0" w:oddVBand="0" w:evenVBand="0" w:oddHBand="0" w:evenHBand="0" w:firstRowFirstColumn="0" w:firstRowLastColumn="0" w:lastRowFirstColumn="0" w:lastRowLastColumn="0"/>
            <w:tcW w:w="2688" w:type="pct"/>
            <w:tcBorders>
              <w:top w:val="nil"/>
              <w:left w:val="nil"/>
              <w:bottom w:val="nil"/>
              <w:right w:val="nil"/>
            </w:tcBorders>
            <w:noWrap/>
            <w:hideMark/>
          </w:tcPr>
          <w:p w14:paraId="7A9C42F3" w14:textId="77777777" w:rsidR="006B2397" w:rsidRPr="00646254" w:rsidRDefault="006B2397" w:rsidP="00BA266B">
            <w:pPr>
              <w:spacing w:line="240" w:lineRule="auto"/>
              <w:rPr>
                <w:rFonts w:ascii="Calibri" w:hAnsi="Calibri" w:cs="Calibri"/>
                <w:color w:val="002060"/>
                <w:sz w:val="18"/>
                <w:szCs w:val="18"/>
                <w:lang w:val="sr-Cyrl-CS"/>
              </w:rPr>
            </w:pPr>
            <w:r w:rsidRPr="00646254">
              <w:rPr>
                <w:rFonts w:ascii="Calibri" w:hAnsi="Calibri" w:cs="Calibri"/>
                <w:color w:val="002060"/>
                <w:sz w:val="18"/>
                <w:szCs w:val="18"/>
                <w:lang w:val="sr-Cyrl-CS"/>
              </w:rPr>
              <w:t xml:space="preserve"> Шок девизног курса (15% све валуте) </w:t>
            </w:r>
          </w:p>
        </w:tc>
        <w:tc>
          <w:tcPr>
            <w:tcW w:w="578" w:type="pct"/>
            <w:tcBorders>
              <w:top w:val="nil"/>
              <w:left w:val="nil"/>
              <w:bottom w:val="nil"/>
              <w:right w:val="nil"/>
            </w:tcBorders>
            <w:noWrap/>
            <w:hideMark/>
          </w:tcPr>
          <w:p w14:paraId="57C164DA" w14:textId="77777777" w:rsidR="006B2397" w:rsidRPr="00646254" w:rsidRDefault="006B2397" w:rsidP="00BA266B">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646254">
              <w:rPr>
                <w:rFonts w:ascii="Calibri" w:hAnsi="Calibri" w:cs="Calibri"/>
                <w:color w:val="002060"/>
                <w:sz w:val="18"/>
                <w:szCs w:val="18"/>
                <w:lang w:val="sr-Cyrl-CS"/>
              </w:rPr>
              <w:t>1,3</w:t>
            </w:r>
          </w:p>
        </w:tc>
        <w:tc>
          <w:tcPr>
            <w:tcW w:w="578" w:type="pct"/>
            <w:tcBorders>
              <w:top w:val="nil"/>
              <w:left w:val="nil"/>
              <w:bottom w:val="nil"/>
              <w:right w:val="nil"/>
            </w:tcBorders>
            <w:noWrap/>
            <w:hideMark/>
          </w:tcPr>
          <w:p w14:paraId="3146F3B6" w14:textId="77777777" w:rsidR="006B2397" w:rsidRPr="00646254" w:rsidRDefault="006B2397" w:rsidP="00BA266B">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646254">
              <w:rPr>
                <w:rFonts w:ascii="Calibri" w:hAnsi="Calibri" w:cs="Calibri"/>
                <w:color w:val="002060"/>
                <w:sz w:val="18"/>
                <w:szCs w:val="18"/>
                <w:lang w:val="sr-Cyrl-CS"/>
              </w:rPr>
              <w:t>1,5</w:t>
            </w:r>
          </w:p>
        </w:tc>
        <w:tc>
          <w:tcPr>
            <w:tcW w:w="578" w:type="pct"/>
            <w:tcBorders>
              <w:top w:val="nil"/>
              <w:left w:val="nil"/>
              <w:bottom w:val="nil"/>
              <w:right w:val="nil"/>
            </w:tcBorders>
            <w:noWrap/>
            <w:hideMark/>
          </w:tcPr>
          <w:p w14:paraId="0A0051E8" w14:textId="77777777" w:rsidR="006B2397" w:rsidRPr="00646254" w:rsidRDefault="006B2397" w:rsidP="00BA266B">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646254">
              <w:rPr>
                <w:rFonts w:ascii="Calibri" w:hAnsi="Calibri" w:cs="Calibri"/>
                <w:color w:val="002060"/>
                <w:sz w:val="18"/>
                <w:szCs w:val="18"/>
                <w:lang w:val="sr-Cyrl-CS"/>
              </w:rPr>
              <w:t>1,3</w:t>
            </w:r>
          </w:p>
        </w:tc>
        <w:tc>
          <w:tcPr>
            <w:tcW w:w="578" w:type="pct"/>
            <w:tcBorders>
              <w:top w:val="nil"/>
              <w:left w:val="nil"/>
              <w:bottom w:val="nil"/>
              <w:right w:val="nil"/>
            </w:tcBorders>
            <w:noWrap/>
            <w:hideMark/>
          </w:tcPr>
          <w:p w14:paraId="4952DB04" w14:textId="77777777" w:rsidR="006B2397" w:rsidRPr="00646254" w:rsidRDefault="006B2397" w:rsidP="00BA266B">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646254">
              <w:rPr>
                <w:rFonts w:ascii="Calibri" w:hAnsi="Calibri" w:cs="Calibri"/>
                <w:color w:val="002060"/>
                <w:sz w:val="18"/>
                <w:szCs w:val="18"/>
                <w:lang w:val="sr-Cyrl-CS"/>
              </w:rPr>
              <w:t>1,6</w:t>
            </w:r>
          </w:p>
        </w:tc>
      </w:tr>
      <w:tr w:rsidR="006B2397" w:rsidRPr="00646254" w14:paraId="35A56935" w14:textId="77777777" w:rsidTr="0004447C">
        <w:trPr>
          <w:cnfStyle w:val="000000100000" w:firstRow="0" w:lastRow="0" w:firstColumn="0" w:lastColumn="0" w:oddVBand="0" w:evenVBand="0" w:oddHBand="1" w:evenHBand="0" w:firstRowFirstColumn="0" w:firstRowLastColumn="0" w:lastRowFirstColumn="0" w:lastRowLastColumn="0"/>
          <w:trHeight w:val="253"/>
        </w:trPr>
        <w:tc>
          <w:tcPr>
            <w:cnfStyle w:val="001000000000" w:firstRow="0" w:lastRow="0" w:firstColumn="1" w:lastColumn="0" w:oddVBand="0" w:evenVBand="0" w:oddHBand="0" w:evenHBand="0" w:firstRowFirstColumn="0" w:firstRowLastColumn="0" w:lastRowFirstColumn="0" w:lastRowLastColumn="0"/>
            <w:tcW w:w="2688" w:type="pct"/>
            <w:tcBorders>
              <w:top w:val="nil"/>
              <w:bottom w:val="nil"/>
            </w:tcBorders>
            <w:shd w:val="clear" w:color="auto" w:fill="E7E6E6" w:themeFill="background2"/>
            <w:noWrap/>
            <w:hideMark/>
          </w:tcPr>
          <w:p w14:paraId="11C99D69" w14:textId="77777777" w:rsidR="006B2397" w:rsidRPr="00646254" w:rsidRDefault="006B2397" w:rsidP="00BA266B">
            <w:pPr>
              <w:spacing w:line="240" w:lineRule="auto"/>
              <w:rPr>
                <w:rFonts w:ascii="Calibri" w:hAnsi="Calibri" w:cs="Calibri"/>
                <w:color w:val="002060"/>
                <w:sz w:val="18"/>
                <w:szCs w:val="18"/>
                <w:lang w:val="sr-Cyrl-CS"/>
              </w:rPr>
            </w:pPr>
            <w:r w:rsidRPr="00646254">
              <w:rPr>
                <w:rFonts w:ascii="Calibri" w:hAnsi="Calibri" w:cs="Calibri"/>
                <w:color w:val="002060"/>
                <w:sz w:val="18"/>
                <w:szCs w:val="18"/>
                <w:lang w:val="sr-Cyrl-CS"/>
              </w:rPr>
              <w:t xml:space="preserve"> Каматни шок (сценарио 1) </w:t>
            </w:r>
          </w:p>
        </w:tc>
        <w:tc>
          <w:tcPr>
            <w:tcW w:w="578" w:type="pct"/>
            <w:tcBorders>
              <w:top w:val="nil"/>
              <w:bottom w:val="nil"/>
            </w:tcBorders>
            <w:shd w:val="clear" w:color="auto" w:fill="E7E6E6" w:themeFill="background2"/>
            <w:noWrap/>
            <w:hideMark/>
          </w:tcPr>
          <w:p w14:paraId="7EA88907" w14:textId="77777777" w:rsidR="006B2397" w:rsidRPr="00646254" w:rsidRDefault="006B2397" w:rsidP="00BA266B">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646254">
              <w:rPr>
                <w:rFonts w:ascii="Calibri" w:hAnsi="Calibri" w:cs="Calibri"/>
                <w:color w:val="002060"/>
                <w:sz w:val="18"/>
                <w:szCs w:val="18"/>
                <w:lang w:val="sr-Cyrl-CS"/>
              </w:rPr>
              <w:t>1,4</w:t>
            </w:r>
          </w:p>
        </w:tc>
        <w:tc>
          <w:tcPr>
            <w:tcW w:w="578" w:type="pct"/>
            <w:tcBorders>
              <w:top w:val="nil"/>
              <w:bottom w:val="nil"/>
            </w:tcBorders>
            <w:shd w:val="clear" w:color="auto" w:fill="E7E6E6" w:themeFill="background2"/>
            <w:noWrap/>
            <w:hideMark/>
          </w:tcPr>
          <w:p w14:paraId="229DC11D" w14:textId="77777777" w:rsidR="006B2397" w:rsidRPr="00646254" w:rsidRDefault="006B2397" w:rsidP="00BA266B">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646254">
              <w:rPr>
                <w:rFonts w:ascii="Calibri" w:hAnsi="Calibri" w:cs="Calibri"/>
                <w:color w:val="002060"/>
                <w:sz w:val="18"/>
                <w:szCs w:val="18"/>
                <w:lang w:val="sr-Cyrl-CS"/>
              </w:rPr>
              <w:t>1,8</w:t>
            </w:r>
          </w:p>
        </w:tc>
        <w:tc>
          <w:tcPr>
            <w:tcW w:w="578" w:type="pct"/>
            <w:tcBorders>
              <w:top w:val="nil"/>
              <w:bottom w:val="nil"/>
            </w:tcBorders>
            <w:shd w:val="clear" w:color="auto" w:fill="E7E6E6" w:themeFill="background2"/>
            <w:noWrap/>
            <w:hideMark/>
          </w:tcPr>
          <w:p w14:paraId="19063AD9" w14:textId="77777777" w:rsidR="006B2397" w:rsidRPr="00646254" w:rsidRDefault="006B2397" w:rsidP="00BA266B">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646254">
              <w:rPr>
                <w:rFonts w:ascii="Calibri" w:hAnsi="Calibri" w:cs="Calibri"/>
                <w:color w:val="002060"/>
                <w:sz w:val="18"/>
                <w:szCs w:val="18"/>
                <w:lang w:val="sr-Cyrl-CS"/>
              </w:rPr>
              <w:t>1,5</w:t>
            </w:r>
          </w:p>
        </w:tc>
        <w:tc>
          <w:tcPr>
            <w:tcW w:w="578" w:type="pct"/>
            <w:tcBorders>
              <w:top w:val="nil"/>
              <w:bottom w:val="nil"/>
            </w:tcBorders>
            <w:shd w:val="clear" w:color="auto" w:fill="E7E6E6" w:themeFill="background2"/>
            <w:noWrap/>
            <w:hideMark/>
          </w:tcPr>
          <w:p w14:paraId="1F0C4AFC" w14:textId="77777777" w:rsidR="006B2397" w:rsidRPr="00646254" w:rsidRDefault="006B2397" w:rsidP="00BA266B">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646254">
              <w:rPr>
                <w:rFonts w:ascii="Calibri" w:hAnsi="Calibri" w:cs="Calibri"/>
                <w:color w:val="002060"/>
                <w:sz w:val="18"/>
                <w:szCs w:val="18"/>
                <w:lang w:val="sr-Cyrl-CS"/>
              </w:rPr>
              <w:t>1,9</w:t>
            </w:r>
          </w:p>
        </w:tc>
      </w:tr>
      <w:tr w:rsidR="006B2397" w:rsidRPr="00646254" w14:paraId="22EDC995" w14:textId="77777777" w:rsidTr="008265F0">
        <w:trPr>
          <w:trHeight w:val="253"/>
        </w:trPr>
        <w:tc>
          <w:tcPr>
            <w:cnfStyle w:val="001000000000" w:firstRow="0" w:lastRow="0" w:firstColumn="1" w:lastColumn="0" w:oddVBand="0" w:evenVBand="0" w:oddHBand="0" w:evenHBand="0" w:firstRowFirstColumn="0" w:firstRowLastColumn="0" w:lastRowFirstColumn="0" w:lastRowLastColumn="0"/>
            <w:tcW w:w="2688" w:type="pct"/>
            <w:tcBorders>
              <w:top w:val="nil"/>
              <w:left w:val="nil"/>
              <w:bottom w:val="nil"/>
              <w:right w:val="nil"/>
            </w:tcBorders>
            <w:noWrap/>
            <w:hideMark/>
          </w:tcPr>
          <w:p w14:paraId="25C1F0EB" w14:textId="77777777" w:rsidR="006B2397" w:rsidRPr="00646254" w:rsidRDefault="006B2397" w:rsidP="00BA266B">
            <w:pPr>
              <w:spacing w:line="240" w:lineRule="auto"/>
              <w:rPr>
                <w:rFonts w:ascii="Calibri" w:hAnsi="Calibri" w:cs="Calibri"/>
                <w:color w:val="002060"/>
                <w:sz w:val="18"/>
                <w:szCs w:val="18"/>
                <w:lang w:val="sr-Cyrl-CS"/>
              </w:rPr>
            </w:pPr>
            <w:r w:rsidRPr="00646254">
              <w:rPr>
                <w:rFonts w:ascii="Calibri" w:hAnsi="Calibri" w:cs="Calibri"/>
                <w:color w:val="002060"/>
                <w:sz w:val="18"/>
                <w:szCs w:val="18"/>
                <w:lang w:val="sr-Cyrl-CS"/>
              </w:rPr>
              <w:t xml:space="preserve"> Каматни шок (сценарио 2)</w:t>
            </w:r>
          </w:p>
        </w:tc>
        <w:tc>
          <w:tcPr>
            <w:tcW w:w="578" w:type="pct"/>
            <w:tcBorders>
              <w:top w:val="nil"/>
              <w:left w:val="nil"/>
              <w:bottom w:val="nil"/>
              <w:right w:val="nil"/>
            </w:tcBorders>
            <w:noWrap/>
            <w:hideMark/>
          </w:tcPr>
          <w:p w14:paraId="1C4438F8" w14:textId="77777777" w:rsidR="006B2397" w:rsidRPr="00646254" w:rsidRDefault="006B2397" w:rsidP="00BA266B">
            <w:pPr>
              <w:jc w:val="right"/>
              <w:cnfStyle w:val="000000000000" w:firstRow="0" w:lastRow="0" w:firstColumn="0" w:lastColumn="0" w:oddVBand="0" w:evenVBand="0" w:oddHBand="0" w:evenHBand="0" w:firstRowFirstColumn="0" w:firstRowLastColumn="0" w:lastRowFirstColumn="0" w:lastRowLastColumn="0"/>
              <w:rPr>
                <w:rFonts w:ascii="Calibri" w:hAnsi="Calibri" w:cs="Calibri"/>
                <w:b/>
                <w:color w:val="002060"/>
                <w:sz w:val="18"/>
                <w:szCs w:val="18"/>
                <w:lang w:val="sr-Cyrl-CS"/>
              </w:rPr>
            </w:pPr>
            <w:r w:rsidRPr="00646254">
              <w:rPr>
                <w:rFonts w:ascii="Calibri" w:hAnsi="Calibri" w:cs="Calibri"/>
                <w:b/>
                <w:color w:val="002060"/>
                <w:sz w:val="18"/>
                <w:szCs w:val="18"/>
                <w:lang w:val="sr-Cyrl-CS"/>
              </w:rPr>
              <w:t>1,6</w:t>
            </w:r>
          </w:p>
        </w:tc>
        <w:tc>
          <w:tcPr>
            <w:tcW w:w="578" w:type="pct"/>
            <w:tcBorders>
              <w:top w:val="nil"/>
              <w:left w:val="nil"/>
              <w:bottom w:val="nil"/>
              <w:right w:val="nil"/>
            </w:tcBorders>
            <w:noWrap/>
            <w:hideMark/>
          </w:tcPr>
          <w:p w14:paraId="004A5485" w14:textId="77777777" w:rsidR="006B2397" w:rsidRPr="00646254" w:rsidRDefault="006B2397" w:rsidP="00BA266B">
            <w:pPr>
              <w:jc w:val="right"/>
              <w:cnfStyle w:val="000000000000" w:firstRow="0" w:lastRow="0" w:firstColumn="0" w:lastColumn="0" w:oddVBand="0" w:evenVBand="0" w:oddHBand="0" w:evenHBand="0" w:firstRowFirstColumn="0" w:firstRowLastColumn="0" w:lastRowFirstColumn="0" w:lastRowLastColumn="0"/>
              <w:rPr>
                <w:rFonts w:ascii="Calibri" w:hAnsi="Calibri" w:cs="Calibri"/>
                <w:b/>
                <w:color w:val="002060"/>
                <w:sz w:val="18"/>
                <w:szCs w:val="18"/>
                <w:lang w:val="sr-Cyrl-CS"/>
              </w:rPr>
            </w:pPr>
            <w:r w:rsidRPr="00646254">
              <w:rPr>
                <w:rFonts w:ascii="Calibri" w:hAnsi="Calibri" w:cs="Calibri"/>
                <w:b/>
                <w:color w:val="002060"/>
                <w:sz w:val="18"/>
                <w:szCs w:val="18"/>
                <w:lang w:val="sr-Cyrl-CS"/>
              </w:rPr>
              <w:t>2,0</w:t>
            </w:r>
          </w:p>
        </w:tc>
        <w:tc>
          <w:tcPr>
            <w:tcW w:w="578" w:type="pct"/>
            <w:tcBorders>
              <w:top w:val="nil"/>
              <w:left w:val="nil"/>
              <w:bottom w:val="nil"/>
              <w:right w:val="nil"/>
            </w:tcBorders>
            <w:noWrap/>
            <w:hideMark/>
          </w:tcPr>
          <w:p w14:paraId="3E991E4D" w14:textId="77777777" w:rsidR="006B2397" w:rsidRPr="00646254" w:rsidRDefault="006B2397" w:rsidP="00BA266B">
            <w:pPr>
              <w:jc w:val="right"/>
              <w:cnfStyle w:val="000000000000" w:firstRow="0" w:lastRow="0" w:firstColumn="0" w:lastColumn="0" w:oddVBand="0" w:evenVBand="0" w:oddHBand="0" w:evenHBand="0" w:firstRowFirstColumn="0" w:firstRowLastColumn="0" w:lastRowFirstColumn="0" w:lastRowLastColumn="0"/>
              <w:rPr>
                <w:rFonts w:ascii="Calibri" w:hAnsi="Calibri" w:cs="Calibri"/>
                <w:b/>
                <w:color w:val="002060"/>
                <w:sz w:val="18"/>
                <w:szCs w:val="18"/>
                <w:lang w:val="sr-Cyrl-CS"/>
              </w:rPr>
            </w:pPr>
            <w:r w:rsidRPr="00646254">
              <w:rPr>
                <w:rFonts w:ascii="Calibri" w:hAnsi="Calibri" w:cs="Calibri"/>
                <w:b/>
                <w:color w:val="002060"/>
                <w:sz w:val="18"/>
                <w:szCs w:val="18"/>
                <w:lang w:val="sr-Cyrl-CS"/>
              </w:rPr>
              <w:t>1,7</w:t>
            </w:r>
          </w:p>
        </w:tc>
        <w:tc>
          <w:tcPr>
            <w:tcW w:w="578" w:type="pct"/>
            <w:tcBorders>
              <w:top w:val="nil"/>
              <w:left w:val="nil"/>
              <w:bottom w:val="nil"/>
              <w:right w:val="nil"/>
            </w:tcBorders>
            <w:noWrap/>
            <w:hideMark/>
          </w:tcPr>
          <w:p w14:paraId="132C3B5B" w14:textId="77777777" w:rsidR="006B2397" w:rsidRPr="00646254" w:rsidRDefault="006B2397" w:rsidP="00BA266B">
            <w:pPr>
              <w:jc w:val="right"/>
              <w:cnfStyle w:val="000000000000" w:firstRow="0" w:lastRow="0" w:firstColumn="0" w:lastColumn="0" w:oddVBand="0" w:evenVBand="0" w:oddHBand="0" w:evenHBand="0" w:firstRowFirstColumn="0" w:firstRowLastColumn="0" w:lastRowFirstColumn="0" w:lastRowLastColumn="0"/>
              <w:rPr>
                <w:rFonts w:ascii="Calibri" w:hAnsi="Calibri" w:cs="Calibri"/>
                <w:b/>
                <w:color w:val="002060"/>
                <w:sz w:val="18"/>
                <w:szCs w:val="18"/>
                <w:lang w:val="sr-Cyrl-CS"/>
              </w:rPr>
            </w:pPr>
            <w:r w:rsidRPr="00646254">
              <w:rPr>
                <w:rFonts w:ascii="Calibri" w:hAnsi="Calibri" w:cs="Calibri"/>
                <w:b/>
                <w:color w:val="002060"/>
                <w:sz w:val="18"/>
                <w:szCs w:val="18"/>
                <w:lang w:val="sr-Cyrl-CS"/>
              </w:rPr>
              <w:t>2,2</w:t>
            </w:r>
          </w:p>
        </w:tc>
      </w:tr>
      <w:tr w:rsidR="006B2397" w:rsidRPr="00646254" w14:paraId="08182AF9" w14:textId="77777777" w:rsidTr="0004447C">
        <w:trPr>
          <w:cnfStyle w:val="000000100000" w:firstRow="0" w:lastRow="0" w:firstColumn="0" w:lastColumn="0" w:oddVBand="0" w:evenVBand="0" w:oddHBand="1" w:evenHBand="0" w:firstRowFirstColumn="0" w:firstRowLastColumn="0" w:lastRowFirstColumn="0" w:lastRowLastColumn="0"/>
          <w:trHeight w:val="253"/>
        </w:trPr>
        <w:tc>
          <w:tcPr>
            <w:cnfStyle w:val="001000000000" w:firstRow="0" w:lastRow="0" w:firstColumn="1" w:lastColumn="0" w:oddVBand="0" w:evenVBand="0" w:oddHBand="0" w:evenHBand="0" w:firstRowFirstColumn="0" w:firstRowLastColumn="0" w:lastRowFirstColumn="0" w:lastRowLastColumn="0"/>
            <w:tcW w:w="2688" w:type="pct"/>
            <w:tcBorders>
              <w:top w:val="nil"/>
              <w:bottom w:val="nil"/>
            </w:tcBorders>
            <w:shd w:val="clear" w:color="auto" w:fill="E7E6E6" w:themeFill="background2"/>
            <w:noWrap/>
            <w:hideMark/>
          </w:tcPr>
          <w:p w14:paraId="175B2376" w14:textId="77777777" w:rsidR="006B2397" w:rsidRPr="00646254" w:rsidRDefault="006B2397" w:rsidP="00BA266B">
            <w:pPr>
              <w:spacing w:line="240" w:lineRule="auto"/>
              <w:rPr>
                <w:rFonts w:ascii="Calibri" w:hAnsi="Calibri" w:cs="Calibri"/>
                <w:color w:val="002060"/>
                <w:sz w:val="18"/>
                <w:szCs w:val="18"/>
                <w:lang w:val="sr-Cyrl-CS"/>
              </w:rPr>
            </w:pPr>
            <w:r w:rsidRPr="00646254">
              <w:rPr>
                <w:rFonts w:ascii="Calibri" w:hAnsi="Calibri" w:cs="Calibri"/>
                <w:color w:val="002060"/>
                <w:sz w:val="18"/>
                <w:szCs w:val="18"/>
                <w:lang w:val="sr-Cyrl-CS"/>
              </w:rPr>
              <w:t xml:space="preserve"> Комбиновани шок (15% УСД и каматни шок1) </w:t>
            </w:r>
          </w:p>
        </w:tc>
        <w:tc>
          <w:tcPr>
            <w:tcW w:w="578" w:type="pct"/>
            <w:tcBorders>
              <w:top w:val="nil"/>
              <w:bottom w:val="single" w:sz="4" w:space="0" w:color="auto"/>
            </w:tcBorders>
            <w:shd w:val="clear" w:color="auto" w:fill="E7E6E6" w:themeFill="background2"/>
            <w:noWrap/>
            <w:hideMark/>
          </w:tcPr>
          <w:p w14:paraId="1E6C208A" w14:textId="77777777" w:rsidR="006B2397" w:rsidRPr="00646254" w:rsidRDefault="006B2397" w:rsidP="00BA266B">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646254">
              <w:rPr>
                <w:rFonts w:ascii="Calibri" w:hAnsi="Calibri" w:cs="Calibri"/>
                <w:color w:val="002060"/>
                <w:sz w:val="18"/>
                <w:szCs w:val="18"/>
                <w:lang w:val="sr-Cyrl-CS"/>
              </w:rPr>
              <w:t>1,5</w:t>
            </w:r>
          </w:p>
        </w:tc>
        <w:tc>
          <w:tcPr>
            <w:tcW w:w="578" w:type="pct"/>
            <w:tcBorders>
              <w:top w:val="nil"/>
              <w:bottom w:val="single" w:sz="4" w:space="0" w:color="auto"/>
            </w:tcBorders>
            <w:shd w:val="clear" w:color="auto" w:fill="E7E6E6" w:themeFill="background2"/>
            <w:noWrap/>
            <w:hideMark/>
          </w:tcPr>
          <w:p w14:paraId="35290A3A" w14:textId="77777777" w:rsidR="006B2397" w:rsidRPr="00646254" w:rsidRDefault="006B2397" w:rsidP="00BA266B">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646254">
              <w:rPr>
                <w:rFonts w:ascii="Calibri" w:hAnsi="Calibri" w:cs="Calibri"/>
                <w:color w:val="002060"/>
                <w:sz w:val="18"/>
                <w:szCs w:val="18"/>
                <w:lang w:val="sr-Cyrl-CS"/>
              </w:rPr>
              <w:t>1,9</w:t>
            </w:r>
          </w:p>
        </w:tc>
        <w:tc>
          <w:tcPr>
            <w:tcW w:w="578" w:type="pct"/>
            <w:tcBorders>
              <w:top w:val="nil"/>
              <w:bottom w:val="single" w:sz="4" w:space="0" w:color="auto"/>
            </w:tcBorders>
            <w:shd w:val="clear" w:color="auto" w:fill="E7E6E6" w:themeFill="background2"/>
            <w:noWrap/>
            <w:hideMark/>
          </w:tcPr>
          <w:p w14:paraId="027A207A" w14:textId="77777777" w:rsidR="006B2397" w:rsidRPr="00646254" w:rsidRDefault="006B2397" w:rsidP="00BA266B">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646254">
              <w:rPr>
                <w:rFonts w:ascii="Calibri" w:hAnsi="Calibri" w:cs="Calibri"/>
                <w:color w:val="002060"/>
                <w:sz w:val="18"/>
                <w:szCs w:val="18"/>
                <w:lang w:val="sr-Cyrl-CS"/>
              </w:rPr>
              <w:t>1,6</w:t>
            </w:r>
          </w:p>
        </w:tc>
        <w:tc>
          <w:tcPr>
            <w:tcW w:w="578" w:type="pct"/>
            <w:tcBorders>
              <w:top w:val="nil"/>
              <w:bottom w:val="single" w:sz="4" w:space="0" w:color="auto"/>
            </w:tcBorders>
            <w:shd w:val="clear" w:color="auto" w:fill="E7E6E6" w:themeFill="background2"/>
            <w:noWrap/>
            <w:hideMark/>
          </w:tcPr>
          <w:p w14:paraId="223C8DC9" w14:textId="77777777" w:rsidR="006B2397" w:rsidRPr="00646254" w:rsidRDefault="006B2397" w:rsidP="00BA266B">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646254">
              <w:rPr>
                <w:rFonts w:ascii="Calibri" w:hAnsi="Calibri" w:cs="Calibri"/>
                <w:color w:val="002060"/>
                <w:sz w:val="18"/>
                <w:szCs w:val="18"/>
                <w:lang w:val="sr-Cyrl-CS"/>
              </w:rPr>
              <w:t>1,9</w:t>
            </w:r>
          </w:p>
        </w:tc>
      </w:tr>
      <w:tr w:rsidR="006B2397" w:rsidRPr="00646254" w14:paraId="5B723EB0" w14:textId="77777777" w:rsidTr="00645FE5">
        <w:trPr>
          <w:trHeight w:val="253"/>
        </w:trPr>
        <w:tc>
          <w:tcPr>
            <w:cnfStyle w:val="001000000000" w:firstRow="0" w:lastRow="0" w:firstColumn="1" w:lastColumn="0" w:oddVBand="0" w:evenVBand="0" w:oddHBand="0" w:evenHBand="0" w:firstRowFirstColumn="0" w:firstRowLastColumn="0" w:lastRowFirstColumn="0" w:lastRowLastColumn="0"/>
            <w:tcW w:w="2688" w:type="pct"/>
            <w:tcBorders>
              <w:top w:val="nil"/>
              <w:left w:val="nil"/>
              <w:bottom w:val="single" w:sz="4" w:space="0" w:color="002060"/>
              <w:right w:val="nil"/>
            </w:tcBorders>
            <w:noWrap/>
            <w:hideMark/>
          </w:tcPr>
          <w:p w14:paraId="2235397F" w14:textId="77777777" w:rsidR="006B2397" w:rsidRPr="00646254" w:rsidRDefault="006B2397" w:rsidP="00BA266B">
            <w:pPr>
              <w:spacing w:line="240" w:lineRule="auto"/>
              <w:rPr>
                <w:rFonts w:ascii="Calibri" w:hAnsi="Calibri" w:cs="Calibri"/>
                <w:color w:val="002060"/>
                <w:sz w:val="18"/>
                <w:szCs w:val="18"/>
                <w:lang w:val="sr-Cyrl-CS"/>
              </w:rPr>
            </w:pPr>
            <w:r w:rsidRPr="00646254">
              <w:rPr>
                <w:rFonts w:ascii="Calibri" w:hAnsi="Calibri" w:cs="Calibri"/>
                <w:color w:val="002060"/>
                <w:sz w:val="18"/>
                <w:szCs w:val="18"/>
                <w:lang w:val="sr-Cyrl-CS"/>
              </w:rPr>
              <w:t xml:space="preserve"> Максимални ризик </w:t>
            </w:r>
          </w:p>
        </w:tc>
        <w:tc>
          <w:tcPr>
            <w:tcW w:w="578" w:type="pct"/>
            <w:tcBorders>
              <w:top w:val="single" w:sz="4" w:space="0" w:color="auto"/>
              <w:left w:val="nil"/>
              <w:bottom w:val="single" w:sz="4" w:space="0" w:color="002060"/>
              <w:right w:val="nil"/>
            </w:tcBorders>
            <w:noWrap/>
            <w:hideMark/>
          </w:tcPr>
          <w:p w14:paraId="6EEB88F6" w14:textId="77777777" w:rsidR="006B2397" w:rsidRPr="00646254" w:rsidRDefault="006B2397" w:rsidP="00BA266B">
            <w:pPr>
              <w:jc w:val="right"/>
              <w:cnfStyle w:val="000000000000" w:firstRow="0" w:lastRow="0" w:firstColumn="0" w:lastColumn="0" w:oddVBand="0" w:evenVBand="0" w:oddHBand="0" w:evenHBand="0" w:firstRowFirstColumn="0" w:firstRowLastColumn="0" w:lastRowFirstColumn="0" w:lastRowLastColumn="0"/>
              <w:rPr>
                <w:rFonts w:ascii="Calibri" w:hAnsi="Calibri" w:cs="Calibri"/>
                <w:b/>
                <w:color w:val="002060"/>
                <w:sz w:val="18"/>
                <w:szCs w:val="18"/>
                <w:lang w:val="sr-Cyrl-CS"/>
              </w:rPr>
            </w:pPr>
            <w:r w:rsidRPr="00646254">
              <w:rPr>
                <w:rFonts w:ascii="Calibri" w:hAnsi="Calibri" w:cs="Calibri"/>
                <w:b/>
                <w:color w:val="002060"/>
                <w:sz w:val="18"/>
                <w:szCs w:val="18"/>
                <w:lang w:val="sr-Cyrl-CS"/>
              </w:rPr>
              <w:t>0,5</w:t>
            </w:r>
          </w:p>
        </w:tc>
        <w:tc>
          <w:tcPr>
            <w:tcW w:w="578" w:type="pct"/>
            <w:tcBorders>
              <w:top w:val="single" w:sz="4" w:space="0" w:color="auto"/>
              <w:left w:val="nil"/>
              <w:bottom w:val="single" w:sz="4" w:space="0" w:color="002060"/>
              <w:right w:val="nil"/>
            </w:tcBorders>
            <w:noWrap/>
            <w:hideMark/>
          </w:tcPr>
          <w:p w14:paraId="5CF23EAD" w14:textId="77777777" w:rsidR="006B2397" w:rsidRPr="00646254" w:rsidRDefault="006B2397" w:rsidP="00BA266B">
            <w:pPr>
              <w:jc w:val="right"/>
              <w:cnfStyle w:val="000000000000" w:firstRow="0" w:lastRow="0" w:firstColumn="0" w:lastColumn="0" w:oddVBand="0" w:evenVBand="0" w:oddHBand="0" w:evenHBand="0" w:firstRowFirstColumn="0" w:firstRowLastColumn="0" w:lastRowFirstColumn="0" w:lastRowLastColumn="0"/>
              <w:rPr>
                <w:rFonts w:ascii="Calibri" w:hAnsi="Calibri" w:cs="Calibri"/>
                <w:b/>
                <w:color w:val="002060"/>
                <w:sz w:val="18"/>
                <w:szCs w:val="18"/>
                <w:lang w:val="sr-Cyrl-CS"/>
              </w:rPr>
            </w:pPr>
            <w:r w:rsidRPr="00646254">
              <w:rPr>
                <w:rFonts w:ascii="Calibri" w:hAnsi="Calibri" w:cs="Calibri"/>
                <w:b/>
                <w:color w:val="002060"/>
                <w:sz w:val="18"/>
                <w:szCs w:val="18"/>
                <w:lang w:val="sr-Cyrl-CS"/>
              </w:rPr>
              <w:t>0,6</w:t>
            </w:r>
          </w:p>
        </w:tc>
        <w:tc>
          <w:tcPr>
            <w:tcW w:w="578" w:type="pct"/>
            <w:tcBorders>
              <w:top w:val="single" w:sz="4" w:space="0" w:color="auto"/>
              <w:left w:val="nil"/>
              <w:bottom w:val="single" w:sz="4" w:space="0" w:color="002060"/>
              <w:right w:val="nil"/>
            </w:tcBorders>
            <w:noWrap/>
            <w:hideMark/>
          </w:tcPr>
          <w:p w14:paraId="545B4FAF" w14:textId="77777777" w:rsidR="006B2397" w:rsidRPr="00646254" w:rsidRDefault="006B2397" w:rsidP="00BA266B">
            <w:pPr>
              <w:jc w:val="right"/>
              <w:cnfStyle w:val="000000000000" w:firstRow="0" w:lastRow="0" w:firstColumn="0" w:lastColumn="0" w:oddVBand="0" w:evenVBand="0" w:oddHBand="0" w:evenHBand="0" w:firstRowFirstColumn="0" w:firstRowLastColumn="0" w:lastRowFirstColumn="0" w:lastRowLastColumn="0"/>
              <w:rPr>
                <w:rFonts w:ascii="Calibri" w:hAnsi="Calibri" w:cs="Calibri"/>
                <w:b/>
                <w:color w:val="002060"/>
                <w:sz w:val="18"/>
                <w:szCs w:val="18"/>
                <w:lang w:val="sr-Cyrl-CS"/>
              </w:rPr>
            </w:pPr>
            <w:r w:rsidRPr="00646254">
              <w:rPr>
                <w:rFonts w:ascii="Calibri" w:hAnsi="Calibri" w:cs="Calibri"/>
                <w:b/>
                <w:color w:val="002060"/>
                <w:sz w:val="18"/>
                <w:szCs w:val="18"/>
                <w:lang w:val="sr-Cyrl-CS"/>
              </w:rPr>
              <w:t>0,6</w:t>
            </w:r>
          </w:p>
        </w:tc>
        <w:tc>
          <w:tcPr>
            <w:tcW w:w="578" w:type="pct"/>
            <w:tcBorders>
              <w:top w:val="single" w:sz="4" w:space="0" w:color="auto"/>
              <w:left w:val="nil"/>
              <w:bottom w:val="single" w:sz="4" w:space="0" w:color="002060"/>
              <w:right w:val="nil"/>
            </w:tcBorders>
            <w:noWrap/>
            <w:hideMark/>
          </w:tcPr>
          <w:p w14:paraId="4E0CC870" w14:textId="77777777" w:rsidR="006B2397" w:rsidRPr="00646254" w:rsidRDefault="006B2397" w:rsidP="00BA266B">
            <w:pPr>
              <w:jc w:val="right"/>
              <w:cnfStyle w:val="000000000000" w:firstRow="0" w:lastRow="0" w:firstColumn="0" w:lastColumn="0" w:oddVBand="0" w:evenVBand="0" w:oddHBand="0" w:evenHBand="0" w:firstRowFirstColumn="0" w:firstRowLastColumn="0" w:lastRowFirstColumn="0" w:lastRowLastColumn="0"/>
              <w:rPr>
                <w:rFonts w:ascii="Calibri" w:hAnsi="Calibri" w:cs="Calibri"/>
                <w:b/>
                <w:color w:val="002060"/>
                <w:sz w:val="18"/>
                <w:szCs w:val="18"/>
                <w:lang w:val="sr-Cyrl-CS"/>
              </w:rPr>
            </w:pPr>
            <w:r w:rsidRPr="00646254">
              <w:rPr>
                <w:rFonts w:ascii="Calibri" w:hAnsi="Calibri" w:cs="Calibri"/>
                <w:b/>
                <w:color w:val="002060"/>
                <w:sz w:val="18"/>
                <w:szCs w:val="18"/>
                <w:lang w:val="sr-Cyrl-CS"/>
              </w:rPr>
              <w:t>0,7</w:t>
            </w:r>
          </w:p>
        </w:tc>
      </w:tr>
    </w:tbl>
    <w:p w14:paraId="48DBC326" w14:textId="77777777" w:rsidR="006B2397" w:rsidRPr="00646254" w:rsidRDefault="006B2397" w:rsidP="008265F0">
      <w:pPr>
        <w:spacing w:after="60" w:line="276" w:lineRule="auto"/>
        <w:rPr>
          <w:rFonts w:ascii="Calibri" w:eastAsia="Calibri" w:hAnsi="Calibri" w:cs="Calibri"/>
          <w:bCs/>
          <w:szCs w:val="72"/>
          <w:lang w:val="sr-Cyrl-CS"/>
        </w:rPr>
      </w:pPr>
    </w:p>
    <w:p w14:paraId="31DA6125" w14:textId="77777777" w:rsidR="006B2397" w:rsidRPr="00646254" w:rsidRDefault="006B2397" w:rsidP="008265F0">
      <w:pPr>
        <w:spacing w:after="0" w:line="276" w:lineRule="auto"/>
        <w:jc w:val="left"/>
        <w:rPr>
          <w:rFonts w:ascii="Calibri" w:eastAsia="Calibri" w:hAnsi="Calibri" w:cs="Calibri"/>
          <w:bCs/>
          <w:szCs w:val="72"/>
          <w:lang w:val="sr-Cyrl-CS"/>
        </w:rPr>
        <w:sectPr w:rsidR="006B2397" w:rsidRPr="00646254">
          <w:type w:val="continuous"/>
          <w:pgSz w:w="12240" w:h="15840"/>
          <w:pgMar w:top="1440" w:right="1440" w:bottom="1440" w:left="1440" w:header="720" w:footer="720" w:gutter="0"/>
          <w:cols w:space="720"/>
        </w:sectPr>
      </w:pPr>
    </w:p>
    <w:p w14:paraId="21CDA834" w14:textId="77777777" w:rsidR="006B2397" w:rsidRPr="00646254" w:rsidRDefault="006B2397" w:rsidP="00BA266B">
      <w:pPr>
        <w:jc w:val="center"/>
        <w:rPr>
          <w:rFonts w:ascii="Calibri" w:eastAsia="Calibri" w:hAnsi="Calibri" w:cs="Times New Roman"/>
          <w:b/>
          <w:color w:val="002060"/>
          <w:lang w:val="sr-Cyrl-CS"/>
        </w:rPr>
      </w:pPr>
      <w:r w:rsidRPr="00646254">
        <w:rPr>
          <w:rFonts w:ascii="Calibri" w:eastAsia="Calibri" w:hAnsi="Calibri" w:cs="Calibri"/>
          <w:bCs/>
          <w:szCs w:val="72"/>
          <w:lang w:val="sr-Cyrl-CS"/>
        </w:rPr>
        <w:t>Наредна табела приказује кретања основних параметара јавног дуга по основу све четири разматране стратегије, што осликава горе поменуте карактеристике сваке стратегије:</w:t>
      </w:r>
    </w:p>
    <w:p w14:paraId="69BA8B9C" w14:textId="77777777" w:rsidR="006B2397" w:rsidRPr="00646254" w:rsidRDefault="006B2397" w:rsidP="008265F0">
      <w:pPr>
        <w:spacing w:after="0" w:line="256" w:lineRule="auto"/>
        <w:jc w:val="left"/>
        <w:rPr>
          <w:rFonts w:ascii="Calibri" w:eastAsia="Calibri" w:hAnsi="Calibri" w:cs="Times New Roman"/>
          <w:b/>
          <w:color w:val="002060"/>
          <w:lang w:val="sr-Cyrl-CS"/>
        </w:rPr>
        <w:sectPr w:rsidR="006B2397" w:rsidRPr="00646254">
          <w:type w:val="continuous"/>
          <w:pgSz w:w="12240" w:h="15840"/>
          <w:pgMar w:top="1440" w:right="1440" w:bottom="1440" w:left="1440" w:header="720" w:footer="720" w:gutter="0"/>
          <w:cols w:num="2" w:space="720"/>
        </w:sectPr>
      </w:pPr>
    </w:p>
    <w:p w14:paraId="348ACCC5" w14:textId="77777777" w:rsidR="006B2397" w:rsidRPr="00646254" w:rsidRDefault="006B2397" w:rsidP="008265F0">
      <w:pPr>
        <w:spacing w:line="256" w:lineRule="auto"/>
        <w:jc w:val="center"/>
        <w:rPr>
          <w:rFonts w:ascii="Calibri" w:eastAsia="Calibri" w:hAnsi="Calibri" w:cs="Times New Roman"/>
          <w:b/>
          <w:color w:val="002060"/>
          <w:lang w:val="sr-Cyrl-CS"/>
        </w:rPr>
      </w:pPr>
      <w:r w:rsidRPr="00646254">
        <w:rPr>
          <w:rFonts w:ascii="Calibri" w:eastAsia="Calibri" w:hAnsi="Calibri" w:cs="Times New Roman"/>
          <w:b/>
          <w:color w:val="002060"/>
          <w:lang w:val="sr-Cyrl-CS"/>
        </w:rPr>
        <w:t>Табела 30. Индикатори ризика за алтернативне стратегије на крају 2024. године</w:t>
      </w:r>
    </w:p>
    <w:tbl>
      <w:tblPr>
        <w:tblStyle w:val="LightShading-Accent1222"/>
        <w:tblW w:w="5000" w:type="pct"/>
        <w:tblInd w:w="0" w:type="dxa"/>
        <w:tblLook w:val="04A0" w:firstRow="1" w:lastRow="0" w:firstColumn="1" w:lastColumn="0" w:noHBand="0" w:noVBand="1"/>
      </w:tblPr>
      <w:tblGrid>
        <w:gridCol w:w="2950"/>
        <w:gridCol w:w="3664"/>
        <w:gridCol w:w="685"/>
        <w:gridCol w:w="687"/>
        <w:gridCol w:w="685"/>
        <w:gridCol w:w="689"/>
      </w:tblGrid>
      <w:tr w:rsidR="006B2397" w:rsidRPr="00646254" w14:paraId="3791AD7B" w14:textId="77777777" w:rsidTr="008265F0">
        <w:trPr>
          <w:cnfStyle w:val="100000000000" w:firstRow="1" w:lastRow="0" w:firstColumn="0" w:lastColumn="0" w:oddVBand="0" w:evenVBand="0" w:oddHBand="0" w:evenHBand="0" w:firstRowFirstColumn="0" w:firstRowLastColumn="0" w:lastRowFirstColumn="0" w:lastRowLastColumn="0"/>
          <w:trHeight w:hRule="exact" w:val="269"/>
        </w:trPr>
        <w:tc>
          <w:tcPr>
            <w:cnfStyle w:val="001000000000" w:firstRow="0" w:lastRow="0" w:firstColumn="1" w:lastColumn="0" w:oddVBand="0" w:evenVBand="0" w:oddHBand="0" w:evenHBand="0" w:firstRowFirstColumn="0" w:firstRowLastColumn="0" w:lastRowFirstColumn="0" w:lastRowLastColumn="0"/>
            <w:tcW w:w="1576" w:type="pct"/>
            <w:tcBorders>
              <w:top w:val="single" w:sz="4" w:space="0" w:color="002060"/>
              <w:bottom w:val="nil"/>
            </w:tcBorders>
            <w:noWrap/>
            <w:hideMark/>
          </w:tcPr>
          <w:p w14:paraId="4BDE6706" w14:textId="77777777" w:rsidR="006B2397" w:rsidRPr="00646254" w:rsidRDefault="006B2397" w:rsidP="008265F0">
            <w:pPr>
              <w:spacing w:line="256" w:lineRule="auto"/>
              <w:rPr>
                <w:rFonts w:ascii="Calibri" w:hAnsi="Calibri"/>
                <w:color w:val="002060"/>
                <w:lang w:val="sr-Cyrl-CS"/>
              </w:rPr>
            </w:pPr>
          </w:p>
        </w:tc>
        <w:tc>
          <w:tcPr>
            <w:tcW w:w="1957" w:type="pct"/>
            <w:tcBorders>
              <w:top w:val="single" w:sz="4" w:space="0" w:color="002060"/>
              <w:bottom w:val="single" w:sz="4" w:space="0" w:color="auto"/>
            </w:tcBorders>
          </w:tcPr>
          <w:p w14:paraId="2E2339A2" w14:textId="77777777" w:rsidR="006B2397" w:rsidRPr="00646254" w:rsidRDefault="006B2397" w:rsidP="008265F0">
            <w:pPr>
              <w:cnfStyle w:val="100000000000" w:firstRow="1"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p>
        </w:tc>
        <w:tc>
          <w:tcPr>
            <w:tcW w:w="1467" w:type="pct"/>
            <w:gridSpan w:val="4"/>
            <w:tcBorders>
              <w:top w:val="single" w:sz="4" w:space="0" w:color="002060"/>
              <w:bottom w:val="single" w:sz="4" w:space="0" w:color="auto"/>
            </w:tcBorders>
            <w:noWrap/>
            <w:hideMark/>
          </w:tcPr>
          <w:p w14:paraId="1866B746" w14:textId="77777777" w:rsidR="006B2397" w:rsidRPr="00646254" w:rsidRDefault="006B2397" w:rsidP="008265F0">
            <w:pPr>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646254">
              <w:rPr>
                <w:rFonts w:ascii="Calibri" w:hAnsi="Calibri" w:cs="Calibri"/>
                <w:color w:val="002060"/>
                <w:sz w:val="18"/>
                <w:szCs w:val="18"/>
                <w:lang w:val="sr-Cyrl-CS"/>
              </w:rPr>
              <w:t>C1</w:t>
            </w:r>
            <w:r w:rsidRPr="00646254">
              <w:rPr>
                <w:rFonts w:ascii="Calibri" w:hAnsi="Calibri" w:cs="Calibri"/>
                <w:color w:val="002060"/>
                <w:sz w:val="18"/>
                <w:szCs w:val="18"/>
                <w:lang w:val="sr-Cyrl-CS"/>
              </w:rPr>
              <w:tab/>
              <w:t>C2</w:t>
            </w:r>
            <w:r w:rsidRPr="00646254">
              <w:rPr>
                <w:rFonts w:ascii="Calibri" w:hAnsi="Calibri" w:cs="Calibri"/>
                <w:color w:val="002060"/>
                <w:sz w:val="18"/>
                <w:szCs w:val="18"/>
                <w:lang w:val="sr-Cyrl-CS"/>
              </w:rPr>
              <w:tab/>
              <w:t>C3</w:t>
            </w:r>
            <w:r w:rsidRPr="00646254">
              <w:rPr>
                <w:rFonts w:ascii="Calibri" w:hAnsi="Calibri" w:cs="Calibri"/>
                <w:color w:val="002060"/>
                <w:sz w:val="18"/>
                <w:szCs w:val="18"/>
                <w:lang w:val="sr-Cyrl-CS"/>
              </w:rPr>
              <w:tab/>
              <w:t>C4</w:t>
            </w:r>
          </w:p>
        </w:tc>
      </w:tr>
      <w:tr w:rsidR="006B2397" w:rsidRPr="00646254" w14:paraId="21390EF9" w14:textId="77777777" w:rsidTr="00BA266B">
        <w:trPr>
          <w:cnfStyle w:val="000000100000" w:firstRow="0" w:lastRow="0" w:firstColumn="0" w:lastColumn="0" w:oddVBand="0" w:evenVBand="0" w:oddHBand="1" w:evenHBand="0" w:firstRowFirstColumn="0" w:firstRowLastColumn="0" w:lastRowFirstColumn="0" w:lastRowLastColumn="0"/>
          <w:trHeight w:hRule="exact" w:val="269"/>
        </w:trPr>
        <w:tc>
          <w:tcPr>
            <w:cnfStyle w:val="001000000000" w:firstRow="0" w:lastRow="0" w:firstColumn="1" w:lastColumn="0" w:oddVBand="0" w:evenVBand="0" w:oddHBand="0" w:evenHBand="0" w:firstRowFirstColumn="0" w:firstRowLastColumn="0" w:lastRowFirstColumn="0" w:lastRowLastColumn="0"/>
            <w:tcW w:w="1576" w:type="pct"/>
            <w:tcBorders>
              <w:top w:val="nil"/>
              <w:bottom w:val="nil"/>
            </w:tcBorders>
            <w:shd w:val="clear" w:color="auto" w:fill="E7E6E6" w:themeFill="background2"/>
            <w:noWrap/>
            <w:hideMark/>
          </w:tcPr>
          <w:p w14:paraId="6AB9123C" w14:textId="77777777" w:rsidR="006B2397" w:rsidRPr="00646254" w:rsidRDefault="006B2397" w:rsidP="00BA266B">
            <w:pPr>
              <w:spacing w:line="240" w:lineRule="auto"/>
              <w:rPr>
                <w:rFonts w:ascii="Calibri" w:hAnsi="Calibri" w:cs="Calibri"/>
                <w:color w:val="002060"/>
                <w:sz w:val="18"/>
                <w:szCs w:val="18"/>
                <w:lang w:val="sr-Cyrl-CS"/>
              </w:rPr>
            </w:pPr>
            <w:r w:rsidRPr="00646254">
              <w:rPr>
                <w:rFonts w:ascii="Calibri" w:hAnsi="Calibri" w:cs="Calibri"/>
                <w:color w:val="002060"/>
                <w:sz w:val="18"/>
                <w:szCs w:val="18"/>
                <w:lang w:val="sr-Cyrl-CS"/>
              </w:rPr>
              <w:t>Номинални дуг (% БДП)</w:t>
            </w:r>
          </w:p>
        </w:tc>
        <w:tc>
          <w:tcPr>
            <w:tcW w:w="1957" w:type="pct"/>
            <w:tcBorders>
              <w:top w:val="single" w:sz="4" w:space="0" w:color="auto"/>
              <w:bottom w:val="nil"/>
            </w:tcBorders>
            <w:shd w:val="clear" w:color="auto" w:fill="E7E6E6" w:themeFill="background2"/>
            <w:noWrap/>
            <w:hideMark/>
          </w:tcPr>
          <w:p w14:paraId="58FD7DBC" w14:textId="77777777" w:rsidR="006B2397" w:rsidRPr="00646254" w:rsidRDefault="006B2397" w:rsidP="00BA266B">
            <w:pPr>
              <w:spacing w:line="240" w:lineRule="auto"/>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646254">
              <w:rPr>
                <w:rFonts w:ascii="Calibri" w:hAnsi="Calibri" w:cs="Calibri"/>
                <w:color w:val="002060"/>
                <w:sz w:val="18"/>
                <w:szCs w:val="18"/>
                <w:lang w:val="sr-Cyrl-CS"/>
              </w:rPr>
              <w:t> </w:t>
            </w:r>
          </w:p>
        </w:tc>
        <w:tc>
          <w:tcPr>
            <w:tcW w:w="366" w:type="pct"/>
            <w:tcBorders>
              <w:top w:val="single" w:sz="4" w:space="0" w:color="auto"/>
              <w:bottom w:val="nil"/>
            </w:tcBorders>
            <w:shd w:val="clear" w:color="auto" w:fill="E7E6E6" w:themeFill="background2"/>
            <w:noWrap/>
            <w:hideMark/>
          </w:tcPr>
          <w:p w14:paraId="0FCD6B65" w14:textId="77777777" w:rsidR="006B2397" w:rsidRPr="00646254" w:rsidRDefault="006B2397" w:rsidP="00BA266B">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646254">
              <w:rPr>
                <w:rFonts w:ascii="Calibri" w:hAnsi="Calibri" w:cs="Calibri"/>
                <w:color w:val="002060"/>
                <w:sz w:val="18"/>
                <w:szCs w:val="18"/>
                <w:lang w:val="sr-Cyrl-CS"/>
              </w:rPr>
              <w:t>51,7</w:t>
            </w:r>
          </w:p>
        </w:tc>
        <w:tc>
          <w:tcPr>
            <w:tcW w:w="367" w:type="pct"/>
            <w:tcBorders>
              <w:top w:val="single" w:sz="4" w:space="0" w:color="auto"/>
              <w:bottom w:val="nil"/>
            </w:tcBorders>
            <w:shd w:val="clear" w:color="auto" w:fill="E7E6E6" w:themeFill="background2"/>
            <w:noWrap/>
            <w:hideMark/>
          </w:tcPr>
          <w:p w14:paraId="569DA9DA" w14:textId="77777777" w:rsidR="006B2397" w:rsidRPr="00646254" w:rsidRDefault="006B2397" w:rsidP="00BA266B">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646254">
              <w:rPr>
                <w:rFonts w:ascii="Calibri" w:hAnsi="Calibri" w:cs="Calibri"/>
                <w:color w:val="002060"/>
                <w:sz w:val="18"/>
                <w:szCs w:val="18"/>
                <w:lang w:val="sr-Cyrl-CS"/>
              </w:rPr>
              <w:t>52,0</w:t>
            </w:r>
          </w:p>
        </w:tc>
        <w:tc>
          <w:tcPr>
            <w:tcW w:w="366" w:type="pct"/>
            <w:tcBorders>
              <w:top w:val="single" w:sz="4" w:space="0" w:color="auto"/>
              <w:bottom w:val="nil"/>
            </w:tcBorders>
            <w:shd w:val="clear" w:color="auto" w:fill="E7E6E6" w:themeFill="background2"/>
            <w:noWrap/>
            <w:hideMark/>
          </w:tcPr>
          <w:p w14:paraId="7989F7D1" w14:textId="77777777" w:rsidR="006B2397" w:rsidRPr="00646254" w:rsidRDefault="006B2397" w:rsidP="00BA266B">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646254">
              <w:rPr>
                <w:rFonts w:ascii="Calibri" w:hAnsi="Calibri" w:cs="Calibri"/>
                <w:color w:val="002060"/>
                <w:sz w:val="18"/>
                <w:szCs w:val="18"/>
                <w:lang w:val="sr-Cyrl-CS"/>
              </w:rPr>
              <w:t>51,8</w:t>
            </w:r>
          </w:p>
        </w:tc>
        <w:tc>
          <w:tcPr>
            <w:tcW w:w="368" w:type="pct"/>
            <w:tcBorders>
              <w:top w:val="single" w:sz="4" w:space="0" w:color="auto"/>
              <w:bottom w:val="nil"/>
            </w:tcBorders>
            <w:shd w:val="clear" w:color="auto" w:fill="E7E6E6" w:themeFill="background2"/>
            <w:noWrap/>
            <w:hideMark/>
          </w:tcPr>
          <w:p w14:paraId="3CF51525" w14:textId="77777777" w:rsidR="006B2397" w:rsidRPr="00646254" w:rsidRDefault="006B2397" w:rsidP="00BA266B">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646254">
              <w:rPr>
                <w:rFonts w:ascii="Calibri" w:hAnsi="Calibri" w:cs="Calibri"/>
                <w:color w:val="002060"/>
                <w:sz w:val="18"/>
                <w:szCs w:val="18"/>
                <w:lang w:val="sr-Cyrl-CS"/>
              </w:rPr>
              <w:t>52,1</w:t>
            </w:r>
          </w:p>
        </w:tc>
      </w:tr>
      <w:tr w:rsidR="006B2397" w:rsidRPr="00646254" w14:paraId="284E3732" w14:textId="77777777" w:rsidTr="00BA266B">
        <w:trPr>
          <w:trHeight w:hRule="exact" w:val="269"/>
        </w:trPr>
        <w:tc>
          <w:tcPr>
            <w:cnfStyle w:val="001000000000" w:firstRow="0" w:lastRow="0" w:firstColumn="1" w:lastColumn="0" w:oddVBand="0" w:evenVBand="0" w:oddHBand="0" w:evenHBand="0" w:firstRowFirstColumn="0" w:firstRowLastColumn="0" w:lastRowFirstColumn="0" w:lastRowLastColumn="0"/>
            <w:tcW w:w="3533" w:type="pct"/>
            <w:gridSpan w:val="2"/>
            <w:tcBorders>
              <w:top w:val="nil"/>
              <w:left w:val="nil"/>
              <w:bottom w:val="nil"/>
              <w:right w:val="nil"/>
            </w:tcBorders>
            <w:noWrap/>
            <w:hideMark/>
          </w:tcPr>
          <w:p w14:paraId="25003AD4" w14:textId="77777777" w:rsidR="006B2397" w:rsidRPr="00646254" w:rsidRDefault="006B2397" w:rsidP="00BA266B">
            <w:pPr>
              <w:spacing w:line="240" w:lineRule="auto"/>
              <w:rPr>
                <w:rFonts w:ascii="Calibri" w:hAnsi="Calibri" w:cs="Calibri"/>
                <w:color w:val="002060"/>
                <w:sz w:val="18"/>
                <w:szCs w:val="18"/>
                <w:lang w:val="sr-Cyrl-CS"/>
              </w:rPr>
            </w:pPr>
            <w:r w:rsidRPr="00646254">
              <w:rPr>
                <w:rFonts w:ascii="Calibri" w:hAnsi="Calibri" w:cs="Calibri"/>
                <w:color w:val="002060"/>
                <w:sz w:val="18"/>
                <w:szCs w:val="18"/>
                <w:lang w:val="sr-Cyrl-CS"/>
              </w:rPr>
              <w:t>Примењена каматна стопа (%)</w:t>
            </w:r>
          </w:p>
        </w:tc>
        <w:tc>
          <w:tcPr>
            <w:tcW w:w="366" w:type="pct"/>
            <w:tcBorders>
              <w:top w:val="nil"/>
              <w:left w:val="nil"/>
              <w:bottom w:val="nil"/>
              <w:right w:val="nil"/>
            </w:tcBorders>
            <w:noWrap/>
            <w:hideMark/>
          </w:tcPr>
          <w:p w14:paraId="14DD9EBA" w14:textId="77777777" w:rsidR="006B2397" w:rsidRPr="00646254" w:rsidRDefault="006B2397" w:rsidP="00BA266B">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646254">
              <w:rPr>
                <w:rFonts w:ascii="Calibri" w:hAnsi="Calibri" w:cs="Calibri"/>
                <w:color w:val="002060"/>
                <w:sz w:val="18"/>
                <w:szCs w:val="18"/>
                <w:lang w:val="sr-Cyrl-CS"/>
              </w:rPr>
              <w:t>2,3</w:t>
            </w:r>
          </w:p>
        </w:tc>
        <w:tc>
          <w:tcPr>
            <w:tcW w:w="367" w:type="pct"/>
            <w:tcBorders>
              <w:top w:val="nil"/>
              <w:left w:val="nil"/>
              <w:bottom w:val="nil"/>
              <w:right w:val="nil"/>
            </w:tcBorders>
            <w:noWrap/>
            <w:hideMark/>
          </w:tcPr>
          <w:p w14:paraId="151EF288" w14:textId="77777777" w:rsidR="006B2397" w:rsidRPr="00646254" w:rsidRDefault="006B2397" w:rsidP="00BA266B">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646254">
              <w:rPr>
                <w:rFonts w:ascii="Calibri" w:hAnsi="Calibri" w:cs="Calibri"/>
                <w:color w:val="002060"/>
                <w:sz w:val="18"/>
                <w:szCs w:val="18"/>
                <w:lang w:val="sr-Cyrl-CS"/>
              </w:rPr>
              <w:t>2,8</w:t>
            </w:r>
          </w:p>
        </w:tc>
        <w:tc>
          <w:tcPr>
            <w:tcW w:w="366" w:type="pct"/>
            <w:tcBorders>
              <w:top w:val="nil"/>
              <w:left w:val="nil"/>
              <w:bottom w:val="nil"/>
              <w:right w:val="nil"/>
            </w:tcBorders>
            <w:noWrap/>
            <w:hideMark/>
          </w:tcPr>
          <w:p w14:paraId="5F4AFE48" w14:textId="77777777" w:rsidR="006B2397" w:rsidRPr="00646254" w:rsidRDefault="006B2397" w:rsidP="00BA266B">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646254">
              <w:rPr>
                <w:rFonts w:ascii="Calibri" w:hAnsi="Calibri" w:cs="Calibri"/>
                <w:color w:val="002060"/>
                <w:sz w:val="18"/>
                <w:szCs w:val="18"/>
                <w:lang w:val="sr-Cyrl-CS"/>
              </w:rPr>
              <w:t>2,3</w:t>
            </w:r>
          </w:p>
        </w:tc>
        <w:tc>
          <w:tcPr>
            <w:tcW w:w="368" w:type="pct"/>
            <w:tcBorders>
              <w:top w:val="nil"/>
              <w:left w:val="nil"/>
              <w:bottom w:val="nil"/>
              <w:right w:val="nil"/>
            </w:tcBorders>
            <w:noWrap/>
            <w:hideMark/>
          </w:tcPr>
          <w:p w14:paraId="5B09F6CF" w14:textId="77777777" w:rsidR="006B2397" w:rsidRPr="00646254" w:rsidRDefault="006B2397" w:rsidP="00BA266B">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646254">
              <w:rPr>
                <w:rFonts w:ascii="Calibri" w:hAnsi="Calibri" w:cs="Calibri"/>
                <w:color w:val="002060"/>
                <w:sz w:val="18"/>
                <w:szCs w:val="18"/>
                <w:lang w:val="sr-Cyrl-CS"/>
              </w:rPr>
              <w:t>3,0</w:t>
            </w:r>
          </w:p>
        </w:tc>
      </w:tr>
      <w:tr w:rsidR="006B2397" w:rsidRPr="00646254" w14:paraId="4CEB937B" w14:textId="77777777" w:rsidTr="00BA266B">
        <w:trPr>
          <w:cnfStyle w:val="000000100000" w:firstRow="0" w:lastRow="0" w:firstColumn="0" w:lastColumn="0" w:oddVBand="0" w:evenVBand="0" w:oddHBand="1" w:evenHBand="0" w:firstRowFirstColumn="0" w:firstRowLastColumn="0" w:lastRowFirstColumn="0" w:lastRowLastColumn="0"/>
          <w:trHeight w:hRule="exact" w:val="269"/>
        </w:trPr>
        <w:tc>
          <w:tcPr>
            <w:cnfStyle w:val="001000000000" w:firstRow="0" w:lastRow="0" w:firstColumn="1" w:lastColumn="0" w:oddVBand="0" w:evenVBand="0" w:oddHBand="0" w:evenHBand="0" w:firstRowFirstColumn="0" w:firstRowLastColumn="0" w:lastRowFirstColumn="0" w:lastRowLastColumn="0"/>
            <w:tcW w:w="1576" w:type="pct"/>
            <w:vMerge w:val="restart"/>
            <w:tcBorders>
              <w:top w:val="nil"/>
              <w:bottom w:val="single" w:sz="4" w:space="0" w:color="002060"/>
            </w:tcBorders>
            <w:shd w:val="clear" w:color="auto" w:fill="E7E6E6" w:themeFill="background2"/>
            <w:noWrap/>
            <w:hideMark/>
          </w:tcPr>
          <w:p w14:paraId="5BA84464" w14:textId="77777777" w:rsidR="006B2397" w:rsidRPr="00646254" w:rsidRDefault="006B2397" w:rsidP="00BA266B">
            <w:pPr>
              <w:spacing w:line="240" w:lineRule="auto"/>
              <w:rPr>
                <w:rFonts w:ascii="Calibri" w:hAnsi="Calibri" w:cs="Calibri"/>
                <w:color w:val="002060"/>
                <w:sz w:val="18"/>
                <w:szCs w:val="18"/>
                <w:lang w:val="sr-Cyrl-CS"/>
              </w:rPr>
            </w:pPr>
            <w:r w:rsidRPr="00646254">
              <w:rPr>
                <w:rFonts w:ascii="Calibri" w:hAnsi="Calibri" w:cs="Calibri"/>
                <w:color w:val="002060"/>
                <w:sz w:val="18"/>
                <w:szCs w:val="18"/>
                <w:lang w:val="sr-Cyrl-CS"/>
              </w:rPr>
              <w:t>Ризик</w:t>
            </w:r>
          </w:p>
          <w:p w14:paraId="61549841" w14:textId="77777777" w:rsidR="006B2397" w:rsidRPr="00646254" w:rsidRDefault="006B2397" w:rsidP="00BA266B">
            <w:pPr>
              <w:spacing w:line="240" w:lineRule="auto"/>
              <w:rPr>
                <w:rFonts w:ascii="Calibri" w:hAnsi="Calibri" w:cs="Calibri"/>
                <w:color w:val="002060"/>
                <w:sz w:val="18"/>
                <w:szCs w:val="18"/>
                <w:lang w:val="sr-Cyrl-CS"/>
              </w:rPr>
            </w:pPr>
            <w:r w:rsidRPr="00646254">
              <w:rPr>
                <w:rFonts w:ascii="Calibri" w:hAnsi="Calibri" w:cs="Calibri"/>
                <w:color w:val="002060"/>
                <w:sz w:val="18"/>
                <w:szCs w:val="18"/>
                <w:lang w:val="sr-Cyrl-CS"/>
              </w:rPr>
              <w:t>рефинансирања</w:t>
            </w:r>
          </w:p>
        </w:tc>
        <w:tc>
          <w:tcPr>
            <w:tcW w:w="1957" w:type="pct"/>
            <w:tcBorders>
              <w:top w:val="nil"/>
              <w:bottom w:val="nil"/>
            </w:tcBorders>
            <w:shd w:val="clear" w:color="auto" w:fill="E7E6E6" w:themeFill="background2"/>
            <w:noWrap/>
            <w:hideMark/>
          </w:tcPr>
          <w:p w14:paraId="0561CCFC" w14:textId="77777777" w:rsidR="006B2397" w:rsidRPr="00646254" w:rsidRDefault="006B2397" w:rsidP="00BA266B">
            <w:pPr>
              <w:spacing w:line="240" w:lineRule="auto"/>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646254">
              <w:rPr>
                <w:rFonts w:ascii="Calibri" w:hAnsi="Calibri" w:cs="Calibri"/>
                <w:color w:val="002060"/>
                <w:sz w:val="18"/>
                <w:szCs w:val="18"/>
                <w:lang w:val="sr-Cyrl-CS"/>
              </w:rPr>
              <w:t>ATM</w:t>
            </w:r>
            <w:r w:rsidRPr="00646254">
              <w:rPr>
                <w:rFonts w:ascii="Calibri" w:hAnsi="Calibri" w:cs="Calibri"/>
                <w:color w:val="002060"/>
                <w:sz w:val="18"/>
                <w:szCs w:val="18"/>
                <w:vertAlign w:val="superscript"/>
                <w:lang w:val="sr-Cyrl-CS"/>
              </w:rPr>
              <w:footnoteReference w:id="16"/>
            </w:r>
            <w:r w:rsidRPr="00646254">
              <w:rPr>
                <w:rFonts w:ascii="Calibri" w:hAnsi="Calibri" w:cs="Calibri"/>
                <w:color w:val="002060"/>
                <w:sz w:val="18"/>
                <w:szCs w:val="18"/>
                <w:lang w:val="sr-Cyrl-CS"/>
              </w:rPr>
              <w:t xml:space="preserve"> спољни портфолио (у годинама)</w:t>
            </w:r>
          </w:p>
        </w:tc>
        <w:tc>
          <w:tcPr>
            <w:tcW w:w="366" w:type="pct"/>
            <w:tcBorders>
              <w:top w:val="nil"/>
              <w:bottom w:val="nil"/>
            </w:tcBorders>
            <w:shd w:val="clear" w:color="auto" w:fill="E7E6E6" w:themeFill="background2"/>
            <w:noWrap/>
            <w:hideMark/>
          </w:tcPr>
          <w:p w14:paraId="14018B15" w14:textId="77777777" w:rsidR="006B2397" w:rsidRPr="00646254" w:rsidRDefault="006B2397" w:rsidP="00BA266B">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646254">
              <w:rPr>
                <w:rFonts w:ascii="Calibri" w:hAnsi="Calibri" w:cs="Calibri"/>
                <w:color w:val="002060"/>
                <w:sz w:val="18"/>
                <w:szCs w:val="18"/>
                <w:lang w:val="sr-Cyrl-CS"/>
              </w:rPr>
              <w:t>8,7</w:t>
            </w:r>
          </w:p>
        </w:tc>
        <w:tc>
          <w:tcPr>
            <w:tcW w:w="367" w:type="pct"/>
            <w:tcBorders>
              <w:top w:val="nil"/>
              <w:bottom w:val="nil"/>
            </w:tcBorders>
            <w:shd w:val="clear" w:color="auto" w:fill="E7E6E6" w:themeFill="background2"/>
            <w:noWrap/>
            <w:hideMark/>
          </w:tcPr>
          <w:p w14:paraId="1A416C90" w14:textId="77777777" w:rsidR="006B2397" w:rsidRPr="00646254" w:rsidRDefault="006B2397" w:rsidP="00BA266B">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646254">
              <w:rPr>
                <w:rFonts w:ascii="Calibri" w:hAnsi="Calibri" w:cs="Calibri"/>
                <w:color w:val="002060"/>
                <w:sz w:val="18"/>
                <w:szCs w:val="18"/>
                <w:lang w:val="sr-Cyrl-CS"/>
              </w:rPr>
              <w:t>8,9</w:t>
            </w:r>
          </w:p>
        </w:tc>
        <w:tc>
          <w:tcPr>
            <w:tcW w:w="366" w:type="pct"/>
            <w:tcBorders>
              <w:top w:val="nil"/>
              <w:bottom w:val="nil"/>
            </w:tcBorders>
            <w:shd w:val="clear" w:color="auto" w:fill="E7E6E6" w:themeFill="background2"/>
            <w:noWrap/>
            <w:hideMark/>
          </w:tcPr>
          <w:p w14:paraId="5AEE922C" w14:textId="77777777" w:rsidR="006B2397" w:rsidRPr="00646254" w:rsidRDefault="006B2397" w:rsidP="00BA266B">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646254">
              <w:rPr>
                <w:rFonts w:ascii="Calibri" w:hAnsi="Calibri" w:cs="Calibri"/>
                <w:color w:val="002060"/>
                <w:sz w:val="18"/>
                <w:szCs w:val="18"/>
                <w:lang w:val="sr-Cyrl-CS"/>
              </w:rPr>
              <w:t>8,6</w:t>
            </w:r>
          </w:p>
        </w:tc>
        <w:tc>
          <w:tcPr>
            <w:tcW w:w="368" w:type="pct"/>
            <w:tcBorders>
              <w:top w:val="nil"/>
              <w:bottom w:val="nil"/>
            </w:tcBorders>
            <w:shd w:val="clear" w:color="auto" w:fill="E7E6E6" w:themeFill="background2"/>
            <w:noWrap/>
            <w:hideMark/>
          </w:tcPr>
          <w:p w14:paraId="0D6A953A" w14:textId="77777777" w:rsidR="006B2397" w:rsidRPr="00646254" w:rsidRDefault="006B2397" w:rsidP="00BA266B">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646254">
              <w:rPr>
                <w:rFonts w:ascii="Calibri" w:hAnsi="Calibri" w:cs="Calibri"/>
                <w:color w:val="002060"/>
                <w:sz w:val="18"/>
                <w:szCs w:val="18"/>
                <w:lang w:val="sr-Cyrl-CS"/>
              </w:rPr>
              <w:t>6,9</w:t>
            </w:r>
          </w:p>
        </w:tc>
      </w:tr>
      <w:tr w:rsidR="006B2397" w:rsidRPr="00646254" w14:paraId="12DBF9AA" w14:textId="77777777" w:rsidTr="00BA266B">
        <w:trPr>
          <w:trHeight w:hRule="exact" w:val="269"/>
        </w:trPr>
        <w:tc>
          <w:tcPr>
            <w:cnfStyle w:val="001000000000" w:firstRow="0" w:lastRow="0" w:firstColumn="1" w:lastColumn="0" w:oddVBand="0" w:evenVBand="0" w:oddHBand="0" w:evenHBand="0" w:firstRowFirstColumn="0" w:firstRowLastColumn="0" w:lastRowFirstColumn="0" w:lastRowLastColumn="0"/>
            <w:tcW w:w="0" w:type="auto"/>
            <w:vMerge/>
            <w:tcBorders>
              <w:top w:val="nil"/>
              <w:left w:val="nil"/>
              <w:bottom w:val="single" w:sz="4" w:space="0" w:color="002060"/>
              <w:right w:val="nil"/>
            </w:tcBorders>
            <w:vAlign w:val="center"/>
            <w:hideMark/>
          </w:tcPr>
          <w:p w14:paraId="0485C57B" w14:textId="77777777" w:rsidR="006B2397" w:rsidRPr="00646254" w:rsidRDefault="006B2397" w:rsidP="00BA266B">
            <w:pPr>
              <w:jc w:val="left"/>
              <w:rPr>
                <w:rFonts w:ascii="Calibri" w:hAnsi="Calibri" w:cs="Calibri"/>
                <w:color w:val="002060"/>
                <w:sz w:val="18"/>
                <w:szCs w:val="18"/>
                <w:lang w:val="sr-Cyrl-CS"/>
              </w:rPr>
            </w:pPr>
          </w:p>
        </w:tc>
        <w:tc>
          <w:tcPr>
            <w:tcW w:w="1957" w:type="pct"/>
            <w:tcBorders>
              <w:top w:val="nil"/>
              <w:left w:val="nil"/>
              <w:bottom w:val="nil"/>
              <w:right w:val="nil"/>
            </w:tcBorders>
            <w:noWrap/>
            <w:hideMark/>
          </w:tcPr>
          <w:p w14:paraId="1AF5B376" w14:textId="77777777" w:rsidR="006B2397" w:rsidRPr="00646254" w:rsidRDefault="006B2397" w:rsidP="00BA266B">
            <w:pPr>
              <w:spacing w:line="240" w:lineRule="auto"/>
              <w:cnfStyle w:val="000000000000" w:firstRow="0" w:lastRow="0" w:firstColumn="0" w:lastColumn="0" w:oddVBand="0" w:evenVBand="0" w:oddHBand="0" w:evenHBand="0" w:firstRowFirstColumn="0" w:firstRowLastColumn="0" w:lastRowFirstColumn="0" w:lastRowLastColumn="0"/>
              <w:rPr>
                <w:rFonts w:ascii="Calibri" w:hAnsi="Calibri" w:cs="Calibri"/>
                <w:bCs/>
                <w:color w:val="002060"/>
                <w:sz w:val="18"/>
                <w:szCs w:val="18"/>
                <w:lang w:val="sr-Cyrl-CS"/>
              </w:rPr>
            </w:pPr>
            <w:r w:rsidRPr="00646254">
              <w:rPr>
                <w:rFonts w:ascii="Calibri" w:hAnsi="Calibri" w:cs="Calibri"/>
                <w:bCs/>
                <w:color w:val="002060"/>
                <w:sz w:val="18"/>
                <w:szCs w:val="18"/>
                <w:lang w:val="sr-Cyrl-CS"/>
              </w:rPr>
              <w:t>ATM домаћи портфолио (у годинама)</w:t>
            </w:r>
          </w:p>
        </w:tc>
        <w:tc>
          <w:tcPr>
            <w:tcW w:w="366" w:type="pct"/>
            <w:tcBorders>
              <w:top w:val="nil"/>
              <w:left w:val="nil"/>
              <w:bottom w:val="nil"/>
              <w:right w:val="nil"/>
            </w:tcBorders>
            <w:noWrap/>
            <w:hideMark/>
          </w:tcPr>
          <w:p w14:paraId="5EF27D0C" w14:textId="77777777" w:rsidR="006B2397" w:rsidRPr="00646254" w:rsidRDefault="006B2397" w:rsidP="00BA266B">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646254">
              <w:rPr>
                <w:rFonts w:ascii="Calibri" w:hAnsi="Calibri" w:cs="Calibri"/>
                <w:color w:val="002060"/>
                <w:sz w:val="18"/>
                <w:szCs w:val="18"/>
                <w:lang w:val="sr-Cyrl-CS"/>
              </w:rPr>
              <w:t>6,6</w:t>
            </w:r>
          </w:p>
        </w:tc>
        <w:tc>
          <w:tcPr>
            <w:tcW w:w="367" w:type="pct"/>
            <w:tcBorders>
              <w:top w:val="nil"/>
              <w:left w:val="nil"/>
              <w:bottom w:val="nil"/>
              <w:right w:val="nil"/>
            </w:tcBorders>
            <w:noWrap/>
            <w:hideMark/>
          </w:tcPr>
          <w:p w14:paraId="17B424A1" w14:textId="77777777" w:rsidR="006B2397" w:rsidRPr="00646254" w:rsidRDefault="006B2397" w:rsidP="00BA266B">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646254">
              <w:rPr>
                <w:rFonts w:ascii="Calibri" w:hAnsi="Calibri" w:cs="Calibri"/>
                <w:color w:val="002060"/>
                <w:sz w:val="18"/>
                <w:szCs w:val="18"/>
                <w:lang w:val="sr-Cyrl-CS"/>
              </w:rPr>
              <w:t>3,8</w:t>
            </w:r>
          </w:p>
        </w:tc>
        <w:tc>
          <w:tcPr>
            <w:tcW w:w="366" w:type="pct"/>
            <w:tcBorders>
              <w:top w:val="nil"/>
              <w:left w:val="nil"/>
              <w:bottom w:val="nil"/>
              <w:right w:val="nil"/>
            </w:tcBorders>
            <w:noWrap/>
            <w:hideMark/>
          </w:tcPr>
          <w:p w14:paraId="74EE0436" w14:textId="77777777" w:rsidR="006B2397" w:rsidRPr="00646254" w:rsidRDefault="006B2397" w:rsidP="00BA266B">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646254">
              <w:rPr>
                <w:rFonts w:ascii="Calibri" w:hAnsi="Calibri" w:cs="Calibri"/>
                <w:color w:val="002060"/>
                <w:sz w:val="18"/>
                <w:szCs w:val="18"/>
                <w:lang w:val="sr-Cyrl-CS"/>
              </w:rPr>
              <w:t>3,8</w:t>
            </w:r>
          </w:p>
        </w:tc>
        <w:tc>
          <w:tcPr>
            <w:tcW w:w="368" w:type="pct"/>
            <w:tcBorders>
              <w:top w:val="nil"/>
              <w:left w:val="nil"/>
              <w:bottom w:val="nil"/>
              <w:right w:val="nil"/>
            </w:tcBorders>
            <w:noWrap/>
            <w:hideMark/>
          </w:tcPr>
          <w:p w14:paraId="6A246FA5" w14:textId="77777777" w:rsidR="006B2397" w:rsidRPr="00646254" w:rsidRDefault="006B2397" w:rsidP="00BA266B">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646254">
              <w:rPr>
                <w:rFonts w:ascii="Calibri" w:hAnsi="Calibri" w:cs="Calibri"/>
                <w:color w:val="002060"/>
                <w:sz w:val="18"/>
                <w:szCs w:val="18"/>
                <w:lang w:val="sr-Cyrl-CS"/>
              </w:rPr>
              <w:t>8,0</w:t>
            </w:r>
          </w:p>
        </w:tc>
      </w:tr>
      <w:tr w:rsidR="006B2397" w:rsidRPr="00646254" w14:paraId="11A02371" w14:textId="77777777" w:rsidTr="00BA266B">
        <w:trPr>
          <w:cnfStyle w:val="000000100000" w:firstRow="0" w:lastRow="0" w:firstColumn="0" w:lastColumn="0" w:oddVBand="0" w:evenVBand="0" w:oddHBand="1" w:evenHBand="0" w:firstRowFirstColumn="0" w:firstRowLastColumn="0" w:lastRowFirstColumn="0" w:lastRowLastColumn="0"/>
          <w:trHeight w:hRule="exact" w:val="269"/>
        </w:trPr>
        <w:tc>
          <w:tcPr>
            <w:cnfStyle w:val="001000000000" w:firstRow="0" w:lastRow="0" w:firstColumn="1" w:lastColumn="0" w:oddVBand="0" w:evenVBand="0" w:oddHBand="0" w:evenHBand="0" w:firstRowFirstColumn="0" w:firstRowLastColumn="0" w:lastRowFirstColumn="0" w:lastRowLastColumn="0"/>
            <w:tcW w:w="0" w:type="auto"/>
            <w:vMerge/>
            <w:tcBorders>
              <w:top w:val="nil"/>
              <w:bottom w:val="single" w:sz="4" w:space="0" w:color="002060"/>
            </w:tcBorders>
            <w:vAlign w:val="center"/>
            <w:hideMark/>
          </w:tcPr>
          <w:p w14:paraId="1C05B7BE" w14:textId="77777777" w:rsidR="006B2397" w:rsidRPr="00646254" w:rsidRDefault="006B2397" w:rsidP="00BA266B">
            <w:pPr>
              <w:jc w:val="left"/>
              <w:rPr>
                <w:rFonts w:ascii="Calibri" w:hAnsi="Calibri" w:cs="Calibri"/>
                <w:color w:val="002060"/>
                <w:sz w:val="18"/>
                <w:szCs w:val="18"/>
                <w:lang w:val="sr-Cyrl-CS"/>
              </w:rPr>
            </w:pPr>
          </w:p>
        </w:tc>
        <w:tc>
          <w:tcPr>
            <w:tcW w:w="1957" w:type="pct"/>
            <w:tcBorders>
              <w:top w:val="nil"/>
              <w:bottom w:val="single" w:sz="4" w:space="0" w:color="auto"/>
            </w:tcBorders>
            <w:shd w:val="clear" w:color="auto" w:fill="E7E6E6" w:themeFill="background2"/>
            <w:noWrap/>
            <w:hideMark/>
          </w:tcPr>
          <w:p w14:paraId="2266A45B" w14:textId="77777777" w:rsidR="006B2397" w:rsidRPr="00646254" w:rsidRDefault="006B2397" w:rsidP="00BA266B">
            <w:pPr>
              <w:spacing w:line="240" w:lineRule="auto"/>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646254">
              <w:rPr>
                <w:rFonts w:ascii="Calibri" w:hAnsi="Calibri" w:cs="Calibri"/>
                <w:color w:val="002060"/>
                <w:sz w:val="18"/>
                <w:szCs w:val="18"/>
                <w:lang w:val="sr-Cyrl-CS"/>
              </w:rPr>
              <w:t>ATM укупан портфолио (у годинама)</w:t>
            </w:r>
          </w:p>
        </w:tc>
        <w:tc>
          <w:tcPr>
            <w:tcW w:w="366" w:type="pct"/>
            <w:tcBorders>
              <w:top w:val="nil"/>
              <w:bottom w:val="single" w:sz="4" w:space="0" w:color="auto"/>
            </w:tcBorders>
            <w:shd w:val="clear" w:color="auto" w:fill="E7E6E6" w:themeFill="background2"/>
            <w:noWrap/>
            <w:hideMark/>
          </w:tcPr>
          <w:p w14:paraId="56BBF09A" w14:textId="77777777" w:rsidR="006B2397" w:rsidRPr="00646254" w:rsidRDefault="006B2397" w:rsidP="00BA266B">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646254">
              <w:rPr>
                <w:rFonts w:ascii="Calibri" w:hAnsi="Calibri" w:cs="Calibri"/>
                <w:color w:val="002060"/>
                <w:sz w:val="18"/>
                <w:szCs w:val="18"/>
                <w:lang w:val="sr-Cyrl-CS"/>
              </w:rPr>
              <w:t>8,1</w:t>
            </w:r>
          </w:p>
        </w:tc>
        <w:tc>
          <w:tcPr>
            <w:tcW w:w="367" w:type="pct"/>
            <w:tcBorders>
              <w:top w:val="nil"/>
              <w:bottom w:val="single" w:sz="4" w:space="0" w:color="auto"/>
            </w:tcBorders>
            <w:shd w:val="clear" w:color="auto" w:fill="E7E6E6" w:themeFill="background2"/>
            <w:noWrap/>
            <w:hideMark/>
          </w:tcPr>
          <w:p w14:paraId="030A30F8" w14:textId="77777777" w:rsidR="006B2397" w:rsidRPr="00646254" w:rsidRDefault="006B2397" w:rsidP="00BA266B">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646254">
              <w:rPr>
                <w:rFonts w:ascii="Calibri" w:hAnsi="Calibri" w:cs="Calibri"/>
                <w:color w:val="002060"/>
                <w:sz w:val="18"/>
                <w:szCs w:val="18"/>
                <w:lang w:val="sr-Cyrl-CS"/>
              </w:rPr>
              <w:t>8,2</w:t>
            </w:r>
          </w:p>
        </w:tc>
        <w:tc>
          <w:tcPr>
            <w:tcW w:w="366" w:type="pct"/>
            <w:tcBorders>
              <w:top w:val="nil"/>
              <w:bottom w:val="single" w:sz="4" w:space="0" w:color="auto"/>
            </w:tcBorders>
            <w:shd w:val="clear" w:color="auto" w:fill="E7E6E6" w:themeFill="background2"/>
            <w:noWrap/>
            <w:hideMark/>
          </w:tcPr>
          <w:p w14:paraId="39055896" w14:textId="77777777" w:rsidR="006B2397" w:rsidRPr="00646254" w:rsidRDefault="006B2397" w:rsidP="00BA266B">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646254">
              <w:rPr>
                <w:rFonts w:ascii="Calibri" w:hAnsi="Calibri" w:cs="Calibri"/>
                <w:color w:val="002060"/>
                <w:sz w:val="18"/>
                <w:szCs w:val="18"/>
                <w:lang w:val="sr-Cyrl-CS"/>
              </w:rPr>
              <w:t>8,0</w:t>
            </w:r>
          </w:p>
        </w:tc>
        <w:tc>
          <w:tcPr>
            <w:tcW w:w="368" w:type="pct"/>
            <w:tcBorders>
              <w:top w:val="nil"/>
              <w:bottom w:val="single" w:sz="4" w:space="0" w:color="auto"/>
            </w:tcBorders>
            <w:shd w:val="clear" w:color="auto" w:fill="E7E6E6" w:themeFill="background2"/>
            <w:noWrap/>
            <w:hideMark/>
          </w:tcPr>
          <w:p w14:paraId="1D2438B4" w14:textId="77777777" w:rsidR="006B2397" w:rsidRPr="00646254" w:rsidRDefault="006B2397" w:rsidP="00BA266B">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646254">
              <w:rPr>
                <w:rFonts w:ascii="Calibri" w:hAnsi="Calibri" w:cs="Calibri"/>
                <w:color w:val="002060"/>
                <w:sz w:val="18"/>
                <w:szCs w:val="18"/>
                <w:lang w:val="sr-Cyrl-CS"/>
              </w:rPr>
              <w:t>7,5</w:t>
            </w:r>
          </w:p>
        </w:tc>
      </w:tr>
      <w:tr w:rsidR="006B2397" w:rsidRPr="00646254" w14:paraId="4B8CAE3E" w14:textId="77777777" w:rsidTr="00BA266B">
        <w:trPr>
          <w:trHeight w:hRule="exact" w:val="269"/>
        </w:trPr>
        <w:tc>
          <w:tcPr>
            <w:cnfStyle w:val="001000000000" w:firstRow="0" w:lastRow="0" w:firstColumn="1" w:lastColumn="0" w:oddVBand="0" w:evenVBand="0" w:oddHBand="0" w:evenHBand="0" w:firstRowFirstColumn="0" w:firstRowLastColumn="0" w:lastRowFirstColumn="0" w:lastRowLastColumn="0"/>
            <w:tcW w:w="1576" w:type="pct"/>
            <w:vMerge w:val="restart"/>
            <w:tcBorders>
              <w:top w:val="single" w:sz="4" w:space="0" w:color="002060"/>
              <w:left w:val="nil"/>
              <w:bottom w:val="nil"/>
              <w:right w:val="nil"/>
            </w:tcBorders>
            <w:noWrap/>
            <w:hideMark/>
          </w:tcPr>
          <w:p w14:paraId="477C558E" w14:textId="77777777" w:rsidR="006B2397" w:rsidRPr="00646254" w:rsidRDefault="006B2397" w:rsidP="00BA266B">
            <w:pPr>
              <w:spacing w:line="240" w:lineRule="auto"/>
              <w:rPr>
                <w:rFonts w:ascii="Calibri" w:hAnsi="Calibri" w:cs="Calibri"/>
                <w:color w:val="002060"/>
                <w:sz w:val="18"/>
                <w:szCs w:val="18"/>
                <w:lang w:val="sr-Cyrl-CS"/>
              </w:rPr>
            </w:pPr>
            <w:r w:rsidRPr="00646254">
              <w:rPr>
                <w:rFonts w:ascii="Calibri" w:hAnsi="Calibri" w:cs="Calibri"/>
                <w:color w:val="002060"/>
                <w:sz w:val="18"/>
                <w:szCs w:val="18"/>
                <w:lang w:val="sr-Cyrl-CS"/>
              </w:rPr>
              <w:t>Ризик каматних стопа</w:t>
            </w:r>
          </w:p>
        </w:tc>
        <w:tc>
          <w:tcPr>
            <w:tcW w:w="1957" w:type="pct"/>
            <w:tcBorders>
              <w:top w:val="single" w:sz="4" w:space="0" w:color="auto"/>
              <w:left w:val="nil"/>
              <w:bottom w:val="nil"/>
              <w:right w:val="nil"/>
            </w:tcBorders>
            <w:noWrap/>
            <w:hideMark/>
          </w:tcPr>
          <w:p w14:paraId="07EB0893" w14:textId="77777777" w:rsidR="006B2397" w:rsidRPr="00646254" w:rsidRDefault="006B2397" w:rsidP="00BA266B">
            <w:pPr>
              <w:spacing w:line="240" w:lineRule="auto"/>
              <w:cnfStyle w:val="000000000000" w:firstRow="0" w:lastRow="0" w:firstColumn="0" w:lastColumn="0" w:oddVBand="0" w:evenVBand="0" w:oddHBand="0" w:evenHBand="0" w:firstRowFirstColumn="0" w:firstRowLastColumn="0" w:lastRowFirstColumn="0" w:lastRowLastColumn="0"/>
              <w:rPr>
                <w:rFonts w:ascii="Calibri" w:hAnsi="Calibri" w:cs="Calibri"/>
                <w:bCs/>
                <w:color w:val="002060"/>
                <w:sz w:val="18"/>
                <w:szCs w:val="18"/>
                <w:lang w:val="sr-Cyrl-CS"/>
              </w:rPr>
            </w:pPr>
            <w:r w:rsidRPr="00646254">
              <w:rPr>
                <w:rFonts w:ascii="Calibri" w:hAnsi="Calibri" w:cs="Calibri"/>
                <w:bCs/>
                <w:color w:val="002060"/>
                <w:sz w:val="18"/>
                <w:szCs w:val="18"/>
                <w:lang w:val="sr-Cyrl-CS"/>
              </w:rPr>
              <w:t>АТR</w:t>
            </w:r>
            <w:r w:rsidRPr="00646254">
              <w:rPr>
                <w:rFonts w:ascii="Calibri" w:hAnsi="Calibri" w:cs="Calibri"/>
                <w:bCs/>
                <w:color w:val="002060"/>
                <w:sz w:val="18"/>
                <w:szCs w:val="18"/>
                <w:vertAlign w:val="superscript"/>
                <w:lang w:val="sr-Cyrl-CS"/>
              </w:rPr>
              <w:footnoteReference w:id="17"/>
            </w:r>
            <w:r w:rsidRPr="00646254">
              <w:rPr>
                <w:rFonts w:ascii="Calibri" w:hAnsi="Calibri" w:cs="Calibri"/>
                <w:bCs/>
                <w:color w:val="002060"/>
                <w:sz w:val="18"/>
                <w:szCs w:val="18"/>
                <w:lang w:val="sr-Cyrl-CS"/>
              </w:rPr>
              <w:t xml:space="preserve"> (у годинама)</w:t>
            </w:r>
          </w:p>
        </w:tc>
        <w:tc>
          <w:tcPr>
            <w:tcW w:w="366" w:type="pct"/>
            <w:tcBorders>
              <w:top w:val="single" w:sz="4" w:space="0" w:color="auto"/>
              <w:left w:val="nil"/>
              <w:bottom w:val="nil"/>
              <w:right w:val="nil"/>
            </w:tcBorders>
            <w:noWrap/>
            <w:hideMark/>
          </w:tcPr>
          <w:p w14:paraId="5EB496AA" w14:textId="77777777" w:rsidR="006B2397" w:rsidRPr="00646254" w:rsidRDefault="006B2397" w:rsidP="00BA266B">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646254">
              <w:rPr>
                <w:rFonts w:ascii="Calibri" w:hAnsi="Calibri" w:cs="Calibri"/>
                <w:color w:val="002060"/>
                <w:sz w:val="18"/>
                <w:szCs w:val="18"/>
                <w:lang w:val="sr-Cyrl-CS"/>
              </w:rPr>
              <w:t>5,9</w:t>
            </w:r>
          </w:p>
        </w:tc>
        <w:tc>
          <w:tcPr>
            <w:tcW w:w="367" w:type="pct"/>
            <w:tcBorders>
              <w:top w:val="single" w:sz="4" w:space="0" w:color="auto"/>
              <w:left w:val="nil"/>
              <w:bottom w:val="nil"/>
              <w:right w:val="nil"/>
            </w:tcBorders>
            <w:noWrap/>
            <w:hideMark/>
          </w:tcPr>
          <w:p w14:paraId="5104D87D" w14:textId="77777777" w:rsidR="006B2397" w:rsidRPr="00646254" w:rsidRDefault="006B2397" w:rsidP="00BA266B">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646254">
              <w:rPr>
                <w:rFonts w:ascii="Calibri" w:hAnsi="Calibri" w:cs="Calibri"/>
                <w:color w:val="002060"/>
                <w:sz w:val="18"/>
                <w:szCs w:val="18"/>
                <w:lang w:val="sr-Cyrl-CS"/>
              </w:rPr>
              <w:t>7,4</w:t>
            </w:r>
          </w:p>
        </w:tc>
        <w:tc>
          <w:tcPr>
            <w:tcW w:w="366" w:type="pct"/>
            <w:tcBorders>
              <w:top w:val="single" w:sz="4" w:space="0" w:color="auto"/>
              <w:left w:val="nil"/>
              <w:bottom w:val="nil"/>
              <w:right w:val="nil"/>
            </w:tcBorders>
            <w:noWrap/>
            <w:hideMark/>
          </w:tcPr>
          <w:p w14:paraId="41F2205B" w14:textId="77777777" w:rsidR="006B2397" w:rsidRPr="00646254" w:rsidRDefault="006B2397" w:rsidP="00BA266B">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646254">
              <w:rPr>
                <w:rFonts w:ascii="Calibri" w:hAnsi="Calibri" w:cs="Calibri"/>
                <w:color w:val="002060"/>
                <w:sz w:val="18"/>
                <w:szCs w:val="18"/>
                <w:lang w:val="sr-Cyrl-CS"/>
              </w:rPr>
              <w:t>7,1</w:t>
            </w:r>
          </w:p>
        </w:tc>
        <w:tc>
          <w:tcPr>
            <w:tcW w:w="368" w:type="pct"/>
            <w:tcBorders>
              <w:top w:val="single" w:sz="4" w:space="0" w:color="auto"/>
              <w:left w:val="nil"/>
              <w:bottom w:val="nil"/>
              <w:right w:val="nil"/>
            </w:tcBorders>
            <w:noWrap/>
            <w:hideMark/>
          </w:tcPr>
          <w:p w14:paraId="00D020F3" w14:textId="77777777" w:rsidR="006B2397" w:rsidRPr="00646254" w:rsidRDefault="006B2397" w:rsidP="00BA266B">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646254">
              <w:rPr>
                <w:rFonts w:ascii="Calibri" w:hAnsi="Calibri" w:cs="Calibri"/>
                <w:color w:val="002060"/>
                <w:sz w:val="18"/>
                <w:szCs w:val="18"/>
                <w:lang w:val="sr-Cyrl-CS"/>
              </w:rPr>
              <w:t>6,6</w:t>
            </w:r>
          </w:p>
        </w:tc>
      </w:tr>
      <w:tr w:rsidR="006B2397" w:rsidRPr="00646254" w14:paraId="5E9C4E36" w14:textId="77777777" w:rsidTr="00BA266B">
        <w:trPr>
          <w:cnfStyle w:val="000000100000" w:firstRow="0" w:lastRow="0" w:firstColumn="0" w:lastColumn="0" w:oddVBand="0" w:evenVBand="0" w:oddHBand="1" w:evenHBand="0" w:firstRowFirstColumn="0" w:firstRowLastColumn="0" w:lastRowFirstColumn="0" w:lastRowLastColumn="0"/>
          <w:trHeight w:hRule="exact" w:val="269"/>
        </w:trPr>
        <w:tc>
          <w:tcPr>
            <w:cnfStyle w:val="001000000000" w:firstRow="0" w:lastRow="0" w:firstColumn="1" w:lastColumn="0" w:oddVBand="0" w:evenVBand="0" w:oddHBand="0" w:evenHBand="0" w:firstRowFirstColumn="0" w:firstRowLastColumn="0" w:lastRowFirstColumn="0" w:lastRowLastColumn="0"/>
            <w:tcW w:w="0" w:type="auto"/>
            <w:vMerge/>
            <w:tcBorders>
              <w:top w:val="single" w:sz="4" w:space="0" w:color="002060"/>
              <w:bottom w:val="nil"/>
            </w:tcBorders>
            <w:vAlign w:val="center"/>
            <w:hideMark/>
          </w:tcPr>
          <w:p w14:paraId="6F05618E" w14:textId="77777777" w:rsidR="006B2397" w:rsidRPr="00646254" w:rsidRDefault="006B2397" w:rsidP="00BA266B">
            <w:pPr>
              <w:jc w:val="left"/>
              <w:rPr>
                <w:rFonts w:ascii="Calibri" w:hAnsi="Calibri" w:cs="Calibri"/>
                <w:color w:val="002060"/>
                <w:sz w:val="18"/>
                <w:szCs w:val="18"/>
                <w:lang w:val="sr-Cyrl-CS"/>
              </w:rPr>
            </w:pPr>
          </w:p>
        </w:tc>
        <w:tc>
          <w:tcPr>
            <w:tcW w:w="1957" w:type="pct"/>
            <w:tcBorders>
              <w:top w:val="nil"/>
              <w:bottom w:val="nil"/>
            </w:tcBorders>
            <w:shd w:val="clear" w:color="auto" w:fill="E7E6E6" w:themeFill="background2"/>
            <w:noWrap/>
            <w:hideMark/>
          </w:tcPr>
          <w:p w14:paraId="3C7C7282" w14:textId="77777777" w:rsidR="006B2397" w:rsidRPr="00646254" w:rsidRDefault="006B2397" w:rsidP="00BA266B">
            <w:pPr>
              <w:spacing w:line="240" w:lineRule="auto"/>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646254">
              <w:rPr>
                <w:rFonts w:ascii="Calibri" w:hAnsi="Calibri" w:cs="Calibri"/>
                <w:color w:val="002060"/>
                <w:sz w:val="18"/>
                <w:szCs w:val="18"/>
                <w:lang w:val="sr-Cyrl-CS"/>
              </w:rPr>
              <w:t>Рефиксирање (% укупног дуга)</w:t>
            </w:r>
          </w:p>
        </w:tc>
        <w:tc>
          <w:tcPr>
            <w:tcW w:w="366" w:type="pct"/>
            <w:tcBorders>
              <w:top w:val="nil"/>
              <w:bottom w:val="nil"/>
            </w:tcBorders>
            <w:shd w:val="clear" w:color="auto" w:fill="E7E6E6" w:themeFill="background2"/>
            <w:noWrap/>
            <w:hideMark/>
          </w:tcPr>
          <w:p w14:paraId="0D41AAB0" w14:textId="77777777" w:rsidR="006B2397" w:rsidRPr="00646254" w:rsidRDefault="006B2397" w:rsidP="00BA266B">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646254">
              <w:rPr>
                <w:rFonts w:ascii="Calibri" w:hAnsi="Calibri" w:cs="Calibri"/>
                <w:color w:val="002060"/>
                <w:sz w:val="18"/>
                <w:szCs w:val="18"/>
                <w:lang w:val="sr-Cyrl-CS"/>
              </w:rPr>
              <w:t>22,3</w:t>
            </w:r>
          </w:p>
        </w:tc>
        <w:tc>
          <w:tcPr>
            <w:tcW w:w="367" w:type="pct"/>
            <w:tcBorders>
              <w:top w:val="nil"/>
              <w:bottom w:val="nil"/>
            </w:tcBorders>
            <w:shd w:val="clear" w:color="auto" w:fill="E7E6E6" w:themeFill="background2"/>
            <w:noWrap/>
            <w:hideMark/>
          </w:tcPr>
          <w:p w14:paraId="2B3DE407" w14:textId="77777777" w:rsidR="006B2397" w:rsidRPr="00646254" w:rsidRDefault="006B2397" w:rsidP="00BA266B">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646254">
              <w:rPr>
                <w:rFonts w:ascii="Calibri" w:hAnsi="Calibri" w:cs="Calibri"/>
                <w:color w:val="002060"/>
                <w:sz w:val="18"/>
                <w:szCs w:val="18"/>
                <w:lang w:val="sr-Cyrl-CS"/>
              </w:rPr>
              <w:t>13,6</w:t>
            </w:r>
          </w:p>
        </w:tc>
        <w:tc>
          <w:tcPr>
            <w:tcW w:w="366" w:type="pct"/>
            <w:tcBorders>
              <w:top w:val="nil"/>
              <w:bottom w:val="nil"/>
            </w:tcBorders>
            <w:shd w:val="clear" w:color="auto" w:fill="E7E6E6" w:themeFill="background2"/>
            <w:noWrap/>
            <w:hideMark/>
          </w:tcPr>
          <w:p w14:paraId="00619BF7" w14:textId="77777777" w:rsidR="006B2397" w:rsidRPr="00646254" w:rsidRDefault="006B2397" w:rsidP="00BA266B">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646254">
              <w:rPr>
                <w:rFonts w:ascii="Calibri" w:hAnsi="Calibri" w:cs="Calibri"/>
                <w:color w:val="002060"/>
                <w:sz w:val="18"/>
                <w:szCs w:val="18"/>
                <w:lang w:val="sr-Cyrl-CS"/>
              </w:rPr>
              <w:t>13,6</w:t>
            </w:r>
          </w:p>
        </w:tc>
        <w:tc>
          <w:tcPr>
            <w:tcW w:w="368" w:type="pct"/>
            <w:tcBorders>
              <w:top w:val="nil"/>
              <w:bottom w:val="nil"/>
            </w:tcBorders>
            <w:shd w:val="clear" w:color="auto" w:fill="E7E6E6" w:themeFill="background2"/>
            <w:noWrap/>
            <w:hideMark/>
          </w:tcPr>
          <w:p w14:paraId="3BA907C8" w14:textId="77777777" w:rsidR="006B2397" w:rsidRPr="00646254" w:rsidRDefault="006B2397" w:rsidP="00BA266B">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646254">
              <w:rPr>
                <w:rFonts w:ascii="Calibri" w:hAnsi="Calibri" w:cs="Calibri"/>
                <w:color w:val="002060"/>
                <w:sz w:val="18"/>
                <w:szCs w:val="18"/>
                <w:lang w:val="sr-Cyrl-CS"/>
              </w:rPr>
              <w:t>13,5</w:t>
            </w:r>
          </w:p>
        </w:tc>
      </w:tr>
      <w:tr w:rsidR="006B2397" w:rsidRPr="00646254" w14:paraId="6176C50E" w14:textId="77777777" w:rsidTr="00BA266B">
        <w:trPr>
          <w:trHeight w:hRule="exact" w:val="269"/>
        </w:trPr>
        <w:tc>
          <w:tcPr>
            <w:cnfStyle w:val="001000000000" w:firstRow="0" w:lastRow="0" w:firstColumn="1" w:lastColumn="0" w:oddVBand="0" w:evenVBand="0" w:oddHBand="0" w:evenHBand="0" w:firstRowFirstColumn="0" w:firstRowLastColumn="0" w:lastRowFirstColumn="0" w:lastRowLastColumn="0"/>
            <w:tcW w:w="0" w:type="auto"/>
            <w:vMerge/>
            <w:tcBorders>
              <w:top w:val="single" w:sz="4" w:space="0" w:color="002060"/>
              <w:left w:val="nil"/>
              <w:bottom w:val="nil"/>
              <w:right w:val="nil"/>
            </w:tcBorders>
            <w:vAlign w:val="center"/>
            <w:hideMark/>
          </w:tcPr>
          <w:p w14:paraId="2D714B94" w14:textId="77777777" w:rsidR="006B2397" w:rsidRPr="00646254" w:rsidRDefault="006B2397" w:rsidP="00BA266B">
            <w:pPr>
              <w:jc w:val="left"/>
              <w:rPr>
                <w:rFonts w:ascii="Calibri" w:hAnsi="Calibri" w:cs="Calibri"/>
                <w:color w:val="002060"/>
                <w:sz w:val="18"/>
                <w:szCs w:val="18"/>
                <w:lang w:val="sr-Cyrl-CS"/>
              </w:rPr>
            </w:pPr>
          </w:p>
        </w:tc>
        <w:tc>
          <w:tcPr>
            <w:tcW w:w="1957" w:type="pct"/>
            <w:tcBorders>
              <w:top w:val="nil"/>
              <w:left w:val="nil"/>
              <w:bottom w:val="nil"/>
              <w:right w:val="nil"/>
            </w:tcBorders>
            <w:noWrap/>
            <w:hideMark/>
          </w:tcPr>
          <w:p w14:paraId="6E6D3E0F" w14:textId="77777777" w:rsidR="006B2397" w:rsidRPr="00646254" w:rsidRDefault="006B2397" w:rsidP="00BA266B">
            <w:pPr>
              <w:spacing w:line="240" w:lineRule="auto"/>
              <w:cnfStyle w:val="000000000000" w:firstRow="0" w:lastRow="0" w:firstColumn="0" w:lastColumn="0" w:oddVBand="0" w:evenVBand="0" w:oddHBand="0" w:evenHBand="0" w:firstRowFirstColumn="0" w:firstRowLastColumn="0" w:lastRowFirstColumn="0" w:lastRowLastColumn="0"/>
              <w:rPr>
                <w:rFonts w:ascii="Calibri" w:hAnsi="Calibri" w:cs="Calibri"/>
                <w:bCs/>
                <w:color w:val="002060"/>
                <w:sz w:val="18"/>
                <w:szCs w:val="18"/>
                <w:lang w:val="sr-Cyrl-CS"/>
              </w:rPr>
            </w:pPr>
            <w:r w:rsidRPr="00646254">
              <w:rPr>
                <w:rFonts w:ascii="Calibri" w:hAnsi="Calibri" w:cs="Calibri"/>
                <w:bCs/>
                <w:color w:val="002060"/>
                <w:sz w:val="18"/>
                <w:szCs w:val="18"/>
                <w:lang w:val="sr-Cyrl-CS"/>
              </w:rPr>
              <w:t>Дуг по фиксним стопама (% укупног дуга)</w:t>
            </w:r>
          </w:p>
        </w:tc>
        <w:tc>
          <w:tcPr>
            <w:tcW w:w="366" w:type="pct"/>
            <w:tcBorders>
              <w:top w:val="nil"/>
              <w:left w:val="nil"/>
              <w:bottom w:val="nil"/>
              <w:right w:val="nil"/>
            </w:tcBorders>
            <w:noWrap/>
            <w:hideMark/>
          </w:tcPr>
          <w:p w14:paraId="6FF2C8B9" w14:textId="77777777" w:rsidR="006B2397" w:rsidRPr="00646254" w:rsidRDefault="006B2397" w:rsidP="00BA266B">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646254">
              <w:rPr>
                <w:rFonts w:ascii="Calibri" w:hAnsi="Calibri" w:cs="Calibri"/>
                <w:color w:val="002060"/>
                <w:sz w:val="18"/>
                <w:szCs w:val="18"/>
                <w:lang w:val="sr-Cyrl-CS"/>
              </w:rPr>
              <w:t>84,7</w:t>
            </w:r>
          </w:p>
        </w:tc>
        <w:tc>
          <w:tcPr>
            <w:tcW w:w="367" w:type="pct"/>
            <w:tcBorders>
              <w:top w:val="nil"/>
              <w:left w:val="nil"/>
              <w:bottom w:val="nil"/>
              <w:right w:val="nil"/>
            </w:tcBorders>
            <w:noWrap/>
            <w:hideMark/>
          </w:tcPr>
          <w:p w14:paraId="500B4409" w14:textId="77777777" w:rsidR="006B2397" w:rsidRPr="00646254" w:rsidRDefault="006B2397" w:rsidP="00BA266B">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646254">
              <w:rPr>
                <w:rFonts w:ascii="Calibri" w:hAnsi="Calibri" w:cs="Calibri"/>
                <w:color w:val="002060"/>
                <w:sz w:val="18"/>
                <w:szCs w:val="18"/>
                <w:lang w:val="sr-Cyrl-CS"/>
              </w:rPr>
              <w:t>92,1</w:t>
            </w:r>
          </w:p>
        </w:tc>
        <w:tc>
          <w:tcPr>
            <w:tcW w:w="366" w:type="pct"/>
            <w:tcBorders>
              <w:top w:val="nil"/>
              <w:left w:val="nil"/>
              <w:bottom w:val="nil"/>
              <w:right w:val="nil"/>
            </w:tcBorders>
            <w:noWrap/>
            <w:hideMark/>
          </w:tcPr>
          <w:p w14:paraId="5B3DFD96" w14:textId="77777777" w:rsidR="006B2397" w:rsidRPr="00646254" w:rsidRDefault="006B2397" w:rsidP="00BA266B">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646254">
              <w:rPr>
                <w:rFonts w:ascii="Calibri" w:hAnsi="Calibri" w:cs="Calibri"/>
                <w:color w:val="002060"/>
                <w:sz w:val="18"/>
                <w:szCs w:val="18"/>
                <w:lang w:val="sr-Cyrl-CS"/>
              </w:rPr>
              <w:t>92,1</w:t>
            </w:r>
          </w:p>
        </w:tc>
        <w:tc>
          <w:tcPr>
            <w:tcW w:w="368" w:type="pct"/>
            <w:tcBorders>
              <w:top w:val="nil"/>
              <w:left w:val="nil"/>
              <w:bottom w:val="nil"/>
              <w:right w:val="nil"/>
            </w:tcBorders>
            <w:noWrap/>
            <w:hideMark/>
          </w:tcPr>
          <w:p w14:paraId="7436480B" w14:textId="77777777" w:rsidR="006B2397" w:rsidRPr="00646254" w:rsidRDefault="006B2397" w:rsidP="00BA266B">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646254">
              <w:rPr>
                <w:rFonts w:ascii="Calibri" w:hAnsi="Calibri" w:cs="Calibri"/>
                <w:color w:val="002060"/>
                <w:sz w:val="18"/>
                <w:szCs w:val="18"/>
                <w:lang w:val="sr-Cyrl-CS"/>
              </w:rPr>
              <w:t>92,1</w:t>
            </w:r>
          </w:p>
        </w:tc>
      </w:tr>
      <w:tr w:rsidR="006B2397" w:rsidRPr="00646254" w14:paraId="7C6D4333" w14:textId="77777777" w:rsidTr="00BA266B">
        <w:trPr>
          <w:cnfStyle w:val="000000100000" w:firstRow="0" w:lastRow="0" w:firstColumn="0" w:lastColumn="0" w:oddVBand="0" w:evenVBand="0" w:oddHBand="1" w:evenHBand="0" w:firstRowFirstColumn="0" w:firstRowLastColumn="0" w:lastRowFirstColumn="0" w:lastRowLastColumn="0"/>
          <w:trHeight w:hRule="exact" w:val="269"/>
        </w:trPr>
        <w:tc>
          <w:tcPr>
            <w:cnfStyle w:val="001000000000" w:firstRow="0" w:lastRow="0" w:firstColumn="1" w:lastColumn="0" w:oddVBand="0" w:evenVBand="0" w:oddHBand="0" w:evenHBand="0" w:firstRowFirstColumn="0" w:firstRowLastColumn="0" w:lastRowFirstColumn="0" w:lastRowLastColumn="0"/>
            <w:tcW w:w="1576" w:type="pct"/>
            <w:tcBorders>
              <w:top w:val="nil"/>
              <w:bottom w:val="single" w:sz="4" w:space="0" w:color="002060"/>
            </w:tcBorders>
            <w:shd w:val="clear" w:color="auto" w:fill="E7E6E6" w:themeFill="background2"/>
            <w:noWrap/>
            <w:hideMark/>
          </w:tcPr>
          <w:p w14:paraId="24729C0E" w14:textId="77777777" w:rsidR="006B2397" w:rsidRPr="00646254" w:rsidRDefault="006B2397" w:rsidP="00BA266B">
            <w:pPr>
              <w:spacing w:line="240" w:lineRule="auto"/>
              <w:rPr>
                <w:rFonts w:ascii="Calibri" w:hAnsi="Calibri" w:cs="Calibri"/>
                <w:color w:val="002060"/>
                <w:sz w:val="18"/>
                <w:szCs w:val="18"/>
                <w:lang w:val="sr-Cyrl-CS"/>
              </w:rPr>
            </w:pPr>
            <w:r w:rsidRPr="00646254">
              <w:rPr>
                <w:rFonts w:ascii="Calibri" w:hAnsi="Calibri" w:cs="Calibri"/>
                <w:color w:val="002060"/>
                <w:sz w:val="18"/>
                <w:szCs w:val="18"/>
                <w:lang w:val="sr-Cyrl-CS"/>
              </w:rPr>
              <w:t>Ризик девизног курса</w:t>
            </w:r>
          </w:p>
        </w:tc>
        <w:tc>
          <w:tcPr>
            <w:tcW w:w="1957" w:type="pct"/>
            <w:tcBorders>
              <w:top w:val="nil"/>
              <w:bottom w:val="single" w:sz="4" w:space="0" w:color="002060"/>
            </w:tcBorders>
            <w:shd w:val="clear" w:color="auto" w:fill="E7E6E6" w:themeFill="background2"/>
            <w:noWrap/>
            <w:hideMark/>
          </w:tcPr>
          <w:p w14:paraId="5BD98320" w14:textId="77777777" w:rsidR="006B2397" w:rsidRPr="00646254" w:rsidRDefault="006B2397" w:rsidP="00BA266B">
            <w:pPr>
              <w:spacing w:line="240" w:lineRule="auto"/>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646254">
              <w:rPr>
                <w:rFonts w:ascii="Calibri" w:hAnsi="Calibri" w:cs="Calibri"/>
                <w:color w:val="002060"/>
                <w:sz w:val="18"/>
                <w:szCs w:val="18"/>
                <w:lang w:val="sr-Cyrl-CS"/>
              </w:rPr>
              <w:t>Ино-валутни дуг (% укупног дуга)</w:t>
            </w:r>
          </w:p>
        </w:tc>
        <w:tc>
          <w:tcPr>
            <w:tcW w:w="366" w:type="pct"/>
            <w:tcBorders>
              <w:top w:val="nil"/>
              <w:bottom w:val="single" w:sz="4" w:space="0" w:color="auto"/>
            </w:tcBorders>
            <w:shd w:val="clear" w:color="auto" w:fill="E7E6E6" w:themeFill="background2"/>
            <w:noWrap/>
            <w:hideMark/>
          </w:tcPr>
          <w:p w14:paraId="42884BC0" w14:textId="77777777" w:rsidR="006B2397" w:rsidRPr="00646254" w:rsidRDefault="006B2397" w:rsidP="00BA266B">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646254">
              <w:rPr>
                <w:rFonts w:ascii="Calibri" w:hAnsi="Calibri" w:cs="Calibri"/>
                <w:color w:val="002060"/>
                <w:sz w:val="18"/>
                <w:szCs w:val="18"/>
                <w:lang w:val="sr-Cyrl-CS"/>
              </w:rPr>
              <w:t>72,5</w:t>
            </w:r>
          </w:p>
        </w:tc>
        <w:tc>
          <w:tcPr>
            <w:tcW w:w="367" w:type="pct"/>
            <w:tcBorders>
              <w:top w:val="nil"/>
              <w:bottom w:val="single" w:sz="4" w:space="0" w:color="auto"/>
            </w:tcBorders>
            <w:shd w:val="clear" w:color="auto" w:fill="E7E6E6" w:themeFill="background2"/>
            <w:noWrap/>
            <w:hideMark/>
          </w:tcPr>
          <w:p w14:paraId="01CED886" w14:textId="77777777" w:rsidR="006B2397" w:rsidRPr="00646254" w:rsidRDefault="006B2397" w:rsidP="00BA266B">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646254">
              <w:rPr>
                <w:rFonts w:ascii="Calibri" w:hAnsi="Calibri" w:cs="Calibri"/>
                <w:color w:val="002060"/>
                <w:sz w:val="18"/>
                <w:szCs w:val="18"/>
                <w:lang w:val="sr-Cyrl-CS"/>
              </w:rPr>
              <w:t>86,4</w:t>
            </w:r>
          </w:p>
        </w:tc>
        <w:tc>
          <w:tcPr>
            <w:tcW w:w="366" w:type="pct"/>
            <w:tcBorders>
              <w:top w:val="nil"/>
              <w:bottom w:val="single" w:sz="4" w:space="0" w:color="auto"/>
            </w:tcBorders>
            <w:shd w:val="clear" w:color="auto" w:fill="E7E6E6" w:themeFill="background2"/>
            <w:noWrap/>
            <w:hideMark/>
          </w:tcPr>
          <w:p w14:paraId="77554300" w14:textId="77777777" w:rsidR="006B2397" w:rsidRPr="00646254" w:rsidRDefault="006B2397" w:rsidP="00BA266B">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646254">
              <w:rPr>
                <w:rFonts w:ascii="Calibri" w:hAnsi="Calibri" w:cs="Calibri"/>
                <w:color w:val="002060"/>
                <w:sz w:val="18"/>
                <w:szCs w:val="18"/>
                <w:lang w:val="sr-Cyrl-CS"/>
              </w:rPr>
              <w:t>86,4</w:t>
            </w:r>
          </w:p>
        </w:tc>
        <w:tc>
          <w:tcPr>
            <w:tcW w:w="368" w:type="pct"/>
            <w:tcBorders>
              <w:top w:val="nil"/>
              <w:bottom w:val="single" w:sz="4" w:space="0" w:color="auto"/>
            </w:tcBorders>
            <w:shd w:val="clear" w:color="auto" w:fill="E7E6E6" w:themeFill="background2"/>
            <w:noWrap/>
            <w:hideMark/>
          </w:tcPr>
          <w:p w14:paraId="1CF84B4B" w14:textId="77777777" w:rsidR="006B2397" w:rsidRPr="00646254" w:rsidRDefault="006B2397" w:rsidP="00BA266B">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646254">
              <w:rPr>
                <w:rFonts w:ascii="Calibri" w:hAnsi="Calibri" w:cs="Calibri"/>
                <w:color w:val="002060"/>
                <w:sz w:val="18"/>
                <w:szCs w:val="18"/>
                <w:lang w:val="sr-Cyrl-CS"/>
              </w:rPr>
              <w:t>47,8</w:t>
            </w:r>
          </w:p>
        </w:tc>
      </w:tr>
    </w:tbl>
    <w:p w14:paraId="06B7FC42" w14:textId="77777777" w:rsidR="006B2397" w:rsidRPr="00646254" w:rsidRDefault="006B2397" w:rsidP="008265F0">
      <w:pPr>
        <w:spacing w:after="0" w:line="256" w:lineRule="auto"/>
        <w:jc w:val="left"/>
        <w:rPr>
          <w:rFonts w:ascii="Cambria" w:eastAsia="Calibri" w:hAnsi="Cambria" w:cs="Times New Roman"/>
          <w:b/>
          <w:i/>
          <w:lang w:val="sr-Cyrl-CS"/>
        </w:rPr>
        <w:sectPr w:rsidR="006B2397" w:rsidRPr="00646254">
          <w:type w:val="continuous"/>
          <w:pgSz w:w="12240" w:h="15840"/>
          <w:pgMar w:top="1440" w:right="1440" w:bottom="1440" w:left="1440" w:header="720" w:footer="720" w:gutter="0"/>
          <w:cols w:space="720"/>
          <w15:footnoteColumns w:val="1"/>
        </w:sectPr>
      </w:pPr>
    </w:p>
    <w:p w14:paraId="5B5525D9" w14:textId="77777777" w:rsidR="006B2397" w:rsidRPr="00646254" w:rsidRDefault="006B2397" w:rsidP="008265F0">
      <w:pPr>
        <w:spacing w:line="256" w:lineRule="auto"/>
        <w:rPr>
          <w:rFonts w:ascii="Calibri" w:eastAsia="Calibri" w:hAnsi="Calibri" w:cs="Times New Roman"/>
          <w:b/>
          <w:color w:val="2F5496" w:themeColor="accent1" w:themeShade="BF"/>
          <w:sz w:val="22"/>
          <w:lang w:val="sr-Cyrl-CS"/>
        </w:rPr>
      </w:pPr>
      <w:r w:rsidRPr="00646254">
        <w:rPr>
          <w:rFonts w:ascii="Calibri" w:eastAsia="Calibri" w:hAnsi="Calibri" w:cs="Times New Roman"/>
          <w:b/>
          <w:color w:val="2F5496" w:themeColor="accent1" w:themeShade="BF"/>
          <w:sz w:val="22"/>
          <w:lang w:val="sr-Cyrl-CS"/>
        </w:rPr>
        <w:t>Стрес-тест анализа</w:t>
      </w:r>
    </w:p>
    <w:p w14:paraId="6C99E6AC" w14:textId="77777777" w:rsidR="006B2397" w:rsidRPr="00646254" w:rsidRDefault="006B2397" w:rsidP="00BA266B">
      <w:pPr>
        <w:rPr>
          <w:rFonts w:ascii="Calibri" w:eastAsia="Calibri" w:hAnsi="Calibri" w:cs="Calibri"/>
          <w:bCs/>
          <w:spacing w:val="-4"/>
          <w:szCs w:val="72"/>
          <w:lang w:val="sr-Cyrl-CS"/>
        </w:rPr>
      </w:pPr>
      <w:r w:rsidRPr="00646254">
        <w:rPr>
          <w:rFonts w:ascii="Calibri" w:eastAsia="Calibri" w:hAnsi="Calibri" w:cs="Calibri"/>
          <w:bCs/>
          <w:spacing w:val="-4"/>
          <w:szCs w:val="72"/>
          <w:lang w:val="sr-Cyrl-CS"/>
        </w:rPr>
        <w:t>Фискално правило, дефинисано Законом о буџетском систему, прописује обавезу да јавни дуг општег нивоа државе не може бити већи од 45% БДП. У случају да износ дуга пређе тај ниво, Влада је дужна да донесе програм за смањење јавног дуга у односу на БДП, тј. за враћање дуга у законски оквир.</w:t>
      </w:r>
    </w:p>
    <w:p w14:paraId="67334373" w14:textId="77777777" w:rsidR="006B2397" w:rsidRPr="00646254" w:rsidRDefault="006B2397" w:rsidP="00BA266B">
      <w:pPr>
        <w:rPr>
          <w:rFonts w:ascii="Calibri" w:eastAsia="Calibri" w:hAnsi="Calibri" w:cs="Calibri"/>
          <w:bCs/>
          <w:szCs w:val="72"/>
          <w:lang w:val="sr-Cyrl-CS"/>
        </w:rPr>
      </w:pPr>
      <w:r w:rsidRPr="00646254">
        <w:rPr>
          <w:rFonts w:ascii="Calibri" w:eastAsia="Calibri" w:hAnsi="Calibri" w:cs="Calibri"/>
          <w:bCs/>
          <w:szCs w:val="72"/>
          <w:lang w:val="sr-Cyrl-CS"/>
        </w:rPr>
        <w:t>На крају 2020. године стање дуга централног нивоа власти достигло је 57,0% БДП, а опште државе 57,8% БДП. Рацио јавни дуг/БДП централног нивоа власти на крају августа 2021. године износио је 54,3% БДП, а опште државе 55,0% БДП. До краја 2021. године се очекује благи раст рација на ниво од око 57,3% БДП на централном нивоу, односно 58,2% БДП на нивоу опште државе, услед потребе да се даље финансирају мере за сузбијање утицаја пандемије изазване коронавирусом COVID-19. Због високог учешћа дуга деноминованог у страној валути (69,1%), евидентно је да ће девизни ризик детерминисати понашање рација јавни дуг/БДП у наредном периоду и битно условљавати успех мера фискалне политике на консолидацији јавних финансија и смањењу учешћа јавног дуга у БДП.</w:t>
      </w:r>
    </w:p>
    <w:p w14:paraId="34AF936E" w14:textId="77777777" w:rsidR="006B2397" w:rsidRPr="00646254" w:rsidRDefault="006B2397" w:rsidP="00BA266B">
      <w:pPr>
        <w:rPr>
          <w:rFonts w:ascii="Calibri" w:eastAsia="Calibri" w:hAnsi="Calibri" w:cs="Calibri"/>
          <w:bCs/>
          <w:szCs w:val="72"/>
          <w:lang w:val="sr-Cyrl-CS"/>
        </w:rPr>
      </w:pPr>
      <w:r w:rsidRPr="00646254">
        <w:rPr>
          <w:rFonts w:ascii="Calibri" w:eastAsia="Calibri" w:hAnsi="Calibri" w:cs="Calibri"/>
          <w:bCs/>
          <w:szCs w:val="72"/>
          <w:lang w:val="sr-Cyrl-CS"/>
        </w:rPr>
        <w:t>На основу планираног макроекономског оквира, а у случају изостанка утицаја могућих ризика, јавни дуг централног нивоа власти би на кају 2024. године требало да буде на нивоу од 52,7% БДП.</w:t>
      </w:r>
    </w:p>
    <w:p w14:paraId="4EB7B814" w14:textId="77777777" w:rsidR="006B2397" w:rsidRPr="00646254" w:rsidRDefault="006B2397" w:rsidP="00BA266B">
      <w:pPr>
        <w:rPr>
          <w:rFonts w:ascii="Calibri" w:eastAsia="Calibri" w:hAnsi="Calibri" w:cs="Calibri"/>
          <w:bCs/>
          <w:szCs w:val="72"/>
          <w:lang w:val="sr-Cyrl-CS"/>
        </w:rPr>
      </w:pPr>
      <w:r w:rsidRPr="00646254">
        <w:rPr>
          <w:rFonts w:ascii="Calibri" w:eastAsia="Calibri" w:hAnsi="Calibri" w:cs="Calibri"/>
          <w:bCs/>
          <w:szCs w:val="72"/>
          <w:lang w:val="sr-Cyrl-CS"/>
        </w:rPr>
        <w:t>Основни фактори који утичу на стабилизацију рација јавни дуг/БДП су раст БДП, позитивни примарни резултат, курс динара према ино-валутама и висина каматних стопа.</w:t>
      </w:r>
    </w:p>
    <w:p w14:paraId="791DBE4A" w14:textId="77777777" w:rsidR="006B2397" w:rsidRPr="00646254" w:rsidRDefault="006B2397" w:rsidP="008265F0">
      <w:pPr>
        <w:spacing w:line="256" w:lineRule="auto"/>
        <w:jc w:val="center"/>
        <w:rPr>
          <w:rFonts w:ascii="Calibri" w:eastAsia="Calibri" w:hAnsi="Calibri" w:cs="Times New Roman"/>
          <w:b/>
          <w:color w:val="002060"/>
          <w:lang w:val="sr-Cyrl-CS"/>
        </w:rPr>
        <w:sectPr w:rsidR="006B2397" w:rsidRPr="00646254" w:rsidSect="008265F0">
          <w:type w:val="continuous"/>
          <w:pgSz w:w="12240" w:h="15840" w:code="1"/>
          <w:pgMar w:top="1418" w:right="1418" w:bottom="1418" w:left="1418" w:header="720" w:footer="720" w:gutter="0"/>
          <w:cols w:num="2" w:space="720"/>
          <w:docGrid w:linePitch="272"/>
        </w:sectPr>
      </w:pPr>
    </w:p>
    <w:p w14:paraId="1B07F6F0" w14:textId="77777777" w:rsidR="006B2397" w:rsidRPr="00646254" w:rsidRDefault="006B2397">
      <w:pPr>
        <w:jc w:val="left"/>
        <w:rPr>
          <w:rFonts w:ascii="Calibri" w:eastAsia="Calibri" w:hAnsi="Calibri" w:cs="Times New Roman"/>
          <w:b/>
          <w:color w:val="002060"/>
          <w:lang w:val="sr-Cyrl-CS"/>
        </w:rPr>
      </w:pPr>
      <w:r w:rsidRPr="00646254">
        <w:rPr>
          <w:rFonts w:ascii="Calibri" w:eastAsia="Calibri" w:hAnsi="Calibri" w:cs="Times New Roman"/>
          <w:b/>
          <w:color w:val="002060"/>
          <w:lang w:val="sr-Cyrl-CS"/>
        </w:rPr>
        <w:br w:type="page"/>
      </w:r>
    </w:p>
    <w:p w14:paraId="051A13B9" w14:textId="3930AA74" w:rsidR="006B2397" w:rsidRPr="00646254" w:rsidRDefault="006B2397" w:rsidP="008265F0">
      <w:pPr>
        <w:spacing w:line="256" w:lineRule="auto"/>
        <w:jc w:val="center"/>
        <w:rPr>
          <w:rFonts w:ascii="Calibri" w:eastAsia="Calibri" w:hAnsi="Calibri" w:cs="Times New Roman"/>
          <w:b/>
          <w:color w:val="002060"/>
          <w:lang w:val="sr-Cyrl-CS"/>
        </w:rPr>
      </w:pPr>
      <w:r w:rsidRPr="00646254">
        <w:rPr>
          <w:rFonts w:ascii="Calibri" w:eastAsia="Calibri" w:hAnsi="Calibri" w:cs="Times New Roman"/>
          <w:b/>
          <w:color w:val="002060"/>
          <w:lang w:val="sr-Cyrl-CS"/>
        </w:rPr>
        <w:t xml:space="preserve">Табела 31. Доприноси основних макроекономских варијабли на промену рација </w:t>
      </w:r>
      <w:r w:rsidRPr="00646254">
        <w:rPr>
          <w:rFonts w:ascii="Calibri" w:eastAsia="Calibri" w:hAnsi="Calibri" w:cs="Times New Roman"/>
          <w:b/>
          <w:color w:val="002060"/>
          <w:lang w:val="sr-Cyrl-CS"/>
        </w:rPr>
        <w:br w:type="textWrapping" w:clear="all"/>
        <w:t>јавни дуг (централног нивоа државе) – БДП, у %</w:t>
      </w:r>
    </w:p>
    <w:tbl>
      <w:tblPr>
        <w:tblStyle w:val="LightShading-Accent1222"/>
        <w:tblW w:w="5000" w:type="pct"/>
        <w:tblInd w:w="0" w:type="dxa"/>
        <w:tblLook w:val="0420" w:firstRow="1" w:lastRow="0" w:firstColumn="0" w:lastColumn="0" w:noHBand="0" w:noVBand="1"/>
      </w:tblPr>
      <w:tblGrid>
        <w:gridCol w:w="3843"/>
        <w:gridCol w:w="926"/>
        <w:gridCol w:w="927"/>
        <w:gridCol w:w="927"/>
        <w:gridCol w:w="927"/>
        <w:gridCol w:w="927"/>
        <w:gridCol w:w="927"/>
      </w:tblGrid>
      <w:tr w:rsidR="006B2397" w:rsidRPr="00646254" w14:paraId="236AC474" w14:textId="77777777" w:rsidTr="008265F0">
        <w:trPr>
          <w:cnfStyle w:val="100000000000" w:firstRow="1" w:lastRow="0" w:firstColumn="0" w:lastColumn="0" w:oddVBand="0" w:evenVBand="0" w:oddHBand="0" w:evenHBand="0" w:firstRowFirstColumn="0" w:firstRowLastColumn="0" w:lastRowFirstColumn="0" w:lastRowLastColumn="0"/>
          <w:trHeight w:val="196"/>
        </w:trPr>
        <w:tc>
          <w:tcPr>
            <w:tcW w:w="2043" w:type="pct"/>
            <w:tcBorders>
              <w:top w:val="single" w:sz="4" w:space="0" w:color="002060"/>
              <w:bottom w:val="single" w:sz="8" w:space="0" w:color="FFFFFF" w:themeColor="background1"/>
            </w:tcBorders>
            <w:noWrap/>
            <w:hideMark/>
          </w:tcPr>
          <w:p w14:paraId="547356FB" w14:textId="77777777" w:rsidR="006B2397" w:rsidRPr="00646254" w:rsidRDefault="006B2397" w:rsidP="008265F0">
            <w:pPr>
              <w:jc w:val="center"/>
              <w:rPr>
                <w:rFonts w:ascii="Calibri" w:hAnsi="Calibri" w:cs="Calibri"/>
                <w:color w:val="002060"/>
                <w:sz w:val="18"/>
                <w:szCs w:val="18"/>
                <w:lang w:val="sr-Cyrl-CS"/>
              </w:rPr>
            </w:pPr>
            <w:r w:rsidRPr="00646254">
              <w:rPr>
                <w:rFonts w:ascii="Calibri" w:hAnsi="Calibri" w:cs="Calibri"/>
                <w:color w:val="002060"/>
                <w:sz w:val="18"/>
                <w:szCs w:val="18"/>
                <w:lang w:val="sr-Cyrl-CS"/>
              </w:rPr>
              <w:t> </w:t>
            </w:r>
          </w:p>
        </w:tc>
        <w:tc>
          <w:tcPr>
            <w:tcW w:w="492" w:type="pct"/>
            <w:tcBorders>
              <w:top w:val="single" w:sz="4" w:space="0" w:color="002060"/>
              <w:bottom w:val="single" w:sz="4" w:space="0" w:color="002060"/>
            </w:tcBorders>
            <w:hideMark/>
          </w:tcPr>
          <w:p w14:paraId="67DCAC8E" w14:textId="77777777" w:rsidR="006B2397" w:rsidRPr="00646254" w:rsidRDefault="006B2397" w:rsidP="008265F0">
            <w:pPr>
              <w:jc w:val="center"/>
              <w:rPr>
                <w:rFonts w:ascii="Calibri" w:hAnsi="Calibri" w:cs="Calibri"/>
                <w:color w:val="002060"/>
                <w:sz w:val="18"/>
                <w:szCs w:val="18"/>
                <w:lang w:val="sr-Cyrl-CS"/>
              </w:rPr>
            </w:pPr>
            <w:r w:rsidRPr="00646254">
              <w:rPr>
                <w:rFonts w:ascii="Calibri" w:hAnsi="Calibri" w:cs="Calibri"/>
                <w:color w:val="002060"/>
                <w:sz w:val="18"/>
                <w:szCs w:val="18"/>
                <w:lang w:val="sr-Cyrl-CS"/>
              </w:rPr>
              <w:t xml:space="preserve">2019 </w:t>
            </w:r>
          </w:p>
        </w:tc>
        <w:tc>
          <w:tcPr>
            <w:tcW w:w="493" w:type="pct"/>
            <w:tcBorders>
              <w:top w:val="single" w:sz="4" w:space="0" w:color="002060"/>
              <w:bottom w:val="single" w:sz="4" w:space="0" w:color="002060"/>
            </w:tcBorders>
            <w:hideMark/>
          </w:tcPr>
          <w:p w14:paraId="17D4A778" w14:textId="77777777" w:rsidR="006B2397" w:rsidRPr="00646254" w:rsidRDefault="006B2397" w:rsidP="008265F0">
            <w:pPr>
              <w:jc w:val="center"/>
              <w:rPr>
                <w:rFonts w:ascii="Calibri" w:hAnsi="Calibri" w:cs="Calibri"/>
                <w:color w:val="002060"/>
                <w:sz w:val="18"/>
                <w:szCs w:val="18"/>
                <w:lang w:val="sr-Cyrl-CS"/>
              </w:rPr>
            </w:pPr>
            <w:r w:rsidRPr="00646254">
              <w:rPr>
                <w:rFonts w:ascii="Calibri" w:hAnsi="Calibri" w:cs="Calibri"/>
                <w:color w:val="002060"/>
                <w:sz w:val="18"/>
                <w:szCs w:val="18"/>
                <w:lang w:val="sr-Cyrl-CS"/>
              </w:rPr>
              <w:t xml:space="preserve">2020 </w:t>
            </w:r>
          </w:p>
        </w:tc>
        <w:tc>
          <w:tcPr>
            <w:tcW w:w="493" w:type="pct"/>
            <w:tcBorders>
              <w:top w:val="single" w:sz="4" w:space="0" w:color="002060"/>
              <w:bottom w:val="single" w:sz="4" w:space="0" w:color="002060"/>
            </w:tcBorders>
            <w:noWrap/>
            <w:hideMark/>
          </w:tcPr>
          <w:p w14:paraId="54295EF0" w14:textId="77777777" w:rsidR="006B2397" w:rsidRPr="00646254" w:rsidRDefault="006B2397" w:rsidP="008265F0">
            <w:pPr>
              <w:jc w:val="center"/>
              <w:rPr>
                <w:rFonts w:ascii="Calibri" w:hAnsi="Calibri" w:cs="Calibri"/>
                <w:color w:val="002060"/>
                <w:sz w:val="18"/>
                <w:szCs w:val="18"/>
                <w:lang w:val="sr-Cyrl-CS"/>
              </w:rPr>
            </w:pPr>
            <w:r w:rsidRPr="00646254">
              <w:rPr>
                <w:rFonts w:ascii="Calibri" w:hAnsi="Calibri" w:cs="Calibri"/>
                <w:color w:val="002060"/>
                <w:sz w:val="18"/>
                <w:szCs w:val="18"/>
                <w:lang w:val="sr-Cyrl-CS"/>
              </w:rPr>
              <w:t>2021 п</w:t>
            </w:r>
          </w:p>
        </w:tc>
        <w:tc>
          <w:tcPr>
            <w:tcW w:w="493" w:type="pct"/>
            <w:tcBorders>
              <w:top w:val="single" w:sz="4" w:space="0" w:color="002060"/>
              <w:bottom w:val="single" w:sz="4" w:space="0" w:color="002060"/>
            </w:tcBorders>
            <w:noWrap/>
            <w:hideMark/>
          </w:tcPr>
          <w:p w14:paraId="522C0DCE" w14:textId="77777777" w:rsidR="006B2397" w:rsidRPr="00646254" w:rsidRDefault="006B2397" w:rsidP="008265F0">
            <w:pPr>
              <w:jc w:val="center"/>
              <w:rPr>
                <w:rFonts w:ascii="Calibri" w:hAnsi="Calibri" w:cs="Calibri"/>
                <w:color w:val="002060"/>
                <w:sz w:val="18"/>
                <w:szCs w:val="18"/>
                <w:lang w:val="sr-Cyrl-CS"/>
              </w:rPr>
            </w:pPr>
            <w:r w:rsidRPr="00646254">
              <w:rPr>
                <w:rFonts w:ascii="Calibri" w:hAnsi="Calibri" w:cs="Calibri"/>
                <w:color w:val="002060"/>
                <w:sz w:val="18"/>
                <w:szCs w:val="18"/>
                <w:lang w:val="sr-Cyrl-CS"/>
              </w:rPr>
              <w:t>2022 п</w:t>
            </w:r>
          </w:p>
        </w:tc>
        <w:tc>
          <w:tcPr>
            <w:tcW w:w="493" w:type="pct"/>
            <w:tcBorders>
              <w:top w:val="single" w:sz="4" w:space="0" w:color="002060"/>
              <w:bottom w:val="single" w:sz="4" w:space="0" w:color="002060"/>
            </w:tcBorders>
            <w:noWrap/>
            <w:hideMark/>
          </w:tcPr>
          <w:p w14:paraId="7F1A71E5" w14:textId="77777777" w:rsidR="006B2397" w:rsidRPr="00646254" w:rsidRDefault="006B2397" w:rsidP="008265F0">
            <w:pPr>
              <w:jc w:val="center"/>
              <w:rPr>
                <w:rFonts w:ascii="Calibri" w:hAnsi="Calibri" w:cs="Calibri"/>
                <w:color w:val="002060"/>
                <w:sz w:val="18"/>
                <w:szCs w:val="18"/>
                <w:lang w:val="sr-Cyrl-CS"/>
              </w:rPr>
            </w:pPr>
            <w:r w:rsidRPr="00646254">
              <w:rPr>
                <w:rFonts w:ascii="Calibri" w:hAnsi="Calibri" w:cs="Calibri"/>
                <w:color w:val="002060"/>
                <w:sz w:val="18"/>
                <w:szCs w:val="18"/>
                <w:lang w:val="sr-Cyrl-CS"/>
              </w:rPr>
              <w:t>2023 п</w:t>
            </w:r>
          </w:p>
        </w:tc>
        <w:tc>
          <w:tcPr>
            <w:tcW w:w="493" w:type="pct"/>
            <w:tcBorders>
              <w:top w:val="single" w:sz="4" w:space="0" w:color="002060"/>
              <w:bottom w:val="single" w:sz="4" w:space="0" w:color="002060"/>
            </w:tcBorders>
            <w:noWrap/>
            <w:hideMark/>
          </w:tcPr>
          <w:p w14:paraId="34906B22" w14:textId="77777777" w:rsidR="006B2397" w:rsidRPr="00646254" w:rsidRDefault="006B2397" w:rsidP="008265F0">
            <w:pPr>
              <w:jc w:val="center"/>
              <w:rPr>
                <w:rFonts w:ascii="Calibri" w:hAnsi="Calibri" w:cs="Calibri"/>
                <w:color w:val="002060"/>
                <w:sz w:val="18"/>
                <w:szCs w:val="18"/>
                <w:lang w:val="sr-Cyrl-CS"/>
              </w:rPr>
            </w:pPr>
            <w:r w:rsidRPr="00646254">
              <w:rPr>
                <w:rFonts w:ascii="Calibri" w:hAnsi="Calibri" w:cs="Calibri"/>
                <w:color w:val="002060"/>
                <w:sz w:val="18"/>
                <w:szCs w:val="18"/>
                <w:lang w:val="sr-Cyrl-CS"/>
              </w:rPr>
              <w:t>2024 п</w:t>
            </w:r>
          </w:p>
        </w:tc>
      </w:tr>
      <w:tr w:rsidR="006B2397" w:rsidRPr="00646254" w14:paraId="266DC5C6" w14:textId="77777777" w:rsidTr="0004447C">
        <w:trPr>
          <w:cnfStyle w:val="000000100000" w:firstRow="0" w:lastRow="0" w:firstColumn="0" w:lastColumn="0" w:oddVBand="0" w:evenVBand="0" w:oddHBand="1" w:evenHBand="0" w:firstRowFirstColumn="0" w:firstRowLastColumn="0" w:lastRowFirstColumn="0" w:lastRowLastColumn="0"/>
          <w:trHeight w:val="284"/>
        </w:trPr>
        <w:tc>
          <w:tcPr>
            <w:tcW w:w="2043" w:type="pct"/>
            <w:tcBorders>
              <w:top w:val="single" w:sz="8" w:space="0" w:color="FFFFFF" w:themeColor="background1"/>
              <w:bottom w:val="nil"/>
            </w:tcBorders>
            <w:shd w:val="clear" w:color="auto" w:fill="E7E6E6" w:themeFill="background2"/>
            <w:noWrap/>
            <w:hideMark/>
          </w:tcPr>
          <w:p w14:paraId="51FF6C75" w14:textId="77777777" w:rsidR="006B2397" w:rsidRPr="00646254" w:rsidRDefault="006B2397" w:rsidP="00BA266B">
            <w:pPr>
              <w:spacing w:line="240" w:lineRule="auto"/>
              <w:rPr>
                <w:rFonts w:ascii="Calibri" w:hAnsi="Calibri" w:cs="Calibri"/>
                <w:bCs/>
                <w:color w:val="002060"/>
                <w:sz w:val="18"/>
                <w:szCs w:val="18"/>
                <w:lang w:val="sr-Cyrl-CS"/>
              </w:rPr>
            </w:pPr>
            <w:r w:rsidRPr="00646254">
              <w:rPr>
                <w:rFonts w:ascii="Calibri" w:hAnsi="Calibri" w:cs="Calibri"/>
                <w:bCs/>
                <w:color w:val="002060"/>
                <w:sz w:val="18"/>
                <w:szCs w:val="18"/>
                <w:lang w:val="sr-Cyrl-CS"/>
              </w:rPr>
              <w:t>Дуг централне државе/БДП</w:t>
            </w:r>
          </w:p>
        </w:tc>
        <w:tc>
          <w:tcPr>
            <w:tcW w:w="492" w:type="pct"/>
            <w:tcBorders>
              <w:top w:val="single" w:sz="4" w:space="0" w:color="002060"/>
              <w:bottom w:val="nil"/>
            </w:tcBorders>
            <w:shd w:val="clear" w:color="auto" w:fill="E7E6E6" w:themeFill="background2"/>
            <w:hideMark/>
          </w:tcPr>
          <w:p w14:paraId="4EF0A7EF" w14:textId="77777777" w:rsidR="006B2397" w:rsidRPr="00646254" w:rsidRDefault="006B2397" w:rsidP="00BA266B">
            <w:pPr>
              <w:spacing w:line="240" w:lineRule="auto"/>
              <w:jc w:val="center"/>
              <w:rPr>
                <w:rFonts w:ascii="Calibri" w:hAnsi="Calibri" w:cs="Calibri"/>
                <w:bCs/>
                <w:color w:val="002060"/>
                <w:sz w:val="18"/>
                <w:szCs w:val="18"/>
                <w:lang w:val="sr-Cyrl-CS"/>
              </w:rPr>
            </w:pPr>
            <w:r w:rsidRPr="00646254">
              <w:rPr>
                <w:rFonts w:ascii="Calibri" w:hAnsi="Calibri" w:cs="Calibri"/>
                <w:bCs/>
                <w:color w:val="002060"/>
                <w:sz w:val="18"/>
                <w:szCs w:val="18"/>
                <w:lang w:val="sr-Cyrl-CS"/>
              </w:rPr>
              <w:t>51,9</w:t>
            </w:r>
          </w:p>
        </w:tc>
        <w:tc>
          <w:tcPr>
            <w:tcW w:w="493" w:type="pct"/>
            <w:tcBorders>
              <w:top w:val="single" w:sz="4" w:space="0" w:color="002060"/>
              <w:bottom w:val="nil"/>
            </w:tcBorders>
            <w:shd w:val="clear" w:color="auto" w:fill="E7E6E6" w:themeFill="background2"/>
            <w:hideMark/>
          </w:tcPr>
          <w:p w14:paraId="01675717" w14:textId="77777777" w:rsidR="006B2397" w:rsidRPr="00646254" w:rsidRDefault="006B2397" w:rsidP="00BA266B">
            <w:pPr>
              <w:spacing w:line="240" w:lineRule="auto"/>
              <w:jc w:val="center"/>
              <w:rPr>
                <w:rFonts w:ascii="Calibri" w:hAnsi="Calibri" w:cs="Calibri"/>
                <w:bCs/>
                <w:color w:val="002060"/>
                <w:sz w:val="18"/>
                <w:szCs w:val="18"/>
                <w:lang w:val="sr-Cyrl-CS"/>
              </w:rPr>
            </w:pPr>
            <w:r w:rsidRPr="00646254">
              <w:rPr>
                <w:rFonts w:ascii="Calibri" w:hAnsi="Calibri" w:cs="Calibri"/>
                <w:bCs/>
                <w:color w:val="002060"/>
                <w:sz w:val="18"/>
                <w:szCs w:val="18"/>
                <w:lang w:val="sr-Cyrl-CS"/>
              </w:rPr>
              <w:t>57,0</w:t>
            </w:r>
          </w:p>
        </w:tc>
        <w:tc>
          <w:tcPr>
            <w:tcW w:w="493" w:type="pct"/>
            <w:tcBorders>
              <w:top w:val="single" w:sz="4" w:space="0" w:color="002060"/>
              <w:bottom w:val="nil"/>
            </w:tcBorders>
            <w:shd w:val="clear" w:color="auto" w:fill="E7E6E6" w:themeFill="background2"/>
            <w:noWrap/>
            <w:hideMark/>
          </w:tcPr>
          <w:p w14:paraId="7484C9F8" w14:textId="77777777" w:rsidR="006B2397" w:rsidRPr="00646254" w:rsidRDefault="006B2397" w:rsidP="00BA266B">
            <w:pPr>
              <w:spacing w:line="240" w:lineRule="auto"/>
              <w:jc w:val="center"/>
              <w:rPr>
                <w:rFonts w:ascii="Calibri" w:hAnsi="Calibri" w:cs="Calibri"/>
                <w:bCs/>
                <w:color w:val="002060"/>
                <w:sz w:val="18"/>
                <w:szCs w:val="18"/>
                <w:lang w:val="sr-Cyrl-CS"/>
              </w:rPr>
            </w:pPr>
            <w:r w:rsidRPr="00646254">
              <w:rPr>
                <w:rFonts w:ascii="Calibri" w:hAnsi="Calibri" w:cs="Calibri"/>
                <w:bCs/>
                <w:color w:val="002060"/>
                <w:sz w:val="18"/>
                <w:szCs w:val="18"/>
                <w:lang w:val="sr-Cyrl-CS"/>
              </w:rPr>
              <w:t>57,3</w:t>
            </w:r>
          </w:p>
        </w:tc>
        <w:tc>
          <w:tcPr>
            <w:tcW w:w="493" w:type="pct"/>
            <w:tcBorders>
              <w:top w:val="single" w:sz="4" w:space="0" w:color="002060"/>
              <w:bottom w:val="nil"/>
            </w:tcBorders>
            <w:shd w:val="clear" w:color="auto" w:fill="E7E6E6" w:themeFill="background2"/>
            <w:noWrap/>
            <w:hideMark/>
          </w:tcPr>
          <w:p w14:paraId="25452D47" w14:textId="77777777" w:rsidR="006B2397" w:rsidRPr="00646254" w:rsidRDefault="006B2397" w:rsidP="00BA266B">
            <w:pPr>
              <w:spacing w:line="240" w:lineRule="auto"/>
              <w:jc w:val="center"/>
              <w:rPr>
                <w:rFonts w:ascii="Calibri" w:hAnsi="Calibri" w:cs="Calibri"/>
                <w:bCs/>
                <w:color w:val="002060"/>
                <w:sz w:val="18"/>
                <w:szCs w:val="18"/>
                <w:lang w:val="sr-Cyrl-CS"/>
              </w:rPr>
            </w:pPr>
            <w:r w:rsidRPr="00646254">
              <w:rPr>
                <w:rFonts w:ascii="Calibri" w:hAnsi="Calibri" w:cs="Calibri"/>
                <w:bCs/>
                <w:color w:val="002060"/>
                <w:sz w:val="18"/>
                <w:szCs w:val="18"/>
                <w:lang w:val="sr-Cyrl-CS"/>
              </w:rPr>
              <w:t>55,5</w:t>
            </w:r>
          </w:p>
        </w:tc>
        <w:tc>
          <w:tcPr>
            <w:tcW w:w="493" w:type="pct"/>
            <w:tcBorders>
              <w:top w:val="single" w:sz="4" w:space="0" w:color="002060"/>
              <w:bottom w:val="nil"/>
            </w:tcBorders>
            <w:shd w:val="clear" w:color="auto" w:fill="E7E6E6" w:themeFill="background2"/>
            <w:noWrap/>
            <w:hideMark/>
          </w:tcPr>
          <w:p w14:paraId="69E6B74F" w14:textId="77777777" w:rsidR="006B2397" w:rsidRPr="00646254" w:rsidRDefault="006B2397" w:rsidP="00BA266B">
            <w:pPr>
              <w:spacing w:line="240" w:lineRule="auto"/>
              <w:jc w:val="center"/>
              <w:rPr>
                <w:rFonts w:ascii="Calibri" w:hAnsi="Calibri" w:cs="Calibri"/>
                <w:bCs/>
                <w:color w:val="002060"/>
                <w:sz w:val="18"/>
                <w:szCs w:val="18"/>
                <w:lang w:val="sr-Cyrl-CS"/>
              </w:rPr>
            </w:pPr>
            <w:r w:rsidRPr="00646254">
              <w:rPr>
                <w:rFonts w:ascii="Calibri" w:hAnsi="Calibri" w:cs="Calibri"/>
                <w:bCs/>
                <w:color w:val="002060"/>
                <w:sz w:val="18"/>
                <w:szCs w:val="18"/>
                <w:lang w:val="sr-Cyrl-CS"/>
              </w:rPr>
              <w:t>54,3</w:t>
            </w:r>
          </w:p>
        </w:tc>
        <w:tc>
          <w:tcPr>
            <w:tcW w:w="493" w:type="pct"/>
            <w:tcBorders>
              <w:top w:val="single" w:sz="4" w:space="0" w:color="002060"/>
              <w:bottom w:val="nil"/>
            </w:tcBorders>
            <w:shd w:val="clear" w:color="auto" w:fill="E7E6E6" w:themeFill="background2"/>
            <w:noWrap/>
            <w:hideMark/>
          </w:tcPr>
          <w:p w14:paraId="53134C95" w14:textId="77777777" w:rsidR="006B2397" w:rsidRPr="00646254" w:rsidRDefault="006B2397" w:rsidP="00BA266B">
            <w:pPr>
              <w:spacing w:line="240" w:lineRule="auto"/>
              <w:jc w:val="center"/>
              <w:rPr>
                <w:rFonts w:ascii="Calibri" w:hAnsi="Calibri" w:cs="Calibri"/>
                <w:bCs/>
                <w:color w:val="002060"/>
                <w:sz w:val="18"/>
                <w:szCs w:val="18"/>
                <w:lang w:val="sr-Cyrl-CS"/>
              </w:rPr>
            </w:pPr>
            <w:r w:rsidRPr="00646254">
              <w:rPr>
                <w:rFonts w:ascii="Calibri" w:hAnsi="Calibri" w:cs="Calibri"/>
                <w:bCs/>
                <w:color w:val="002060"/>
                <w:sz w:val="18"/>
                <w:szCs w:val="18"/>
                <w:lang w:val="sr-Cyrl-CS"/>
              </w:rPr>
              <w:t>52,7</w:t>
            </w:r>
          </w:p>
        </w:tc>
      </w:tr>
      <w:tr w:rsidR="006B2397" w:rsidRPr="00646254" w14:paraId="2668A496" w14:textId="77777777" w:rsidTr="008265F0">
        <w:trPr>
          <w:trHeight w:val="284"/>
        </w:trPr>
        <w:tc>
          <w:tcPr>
            <w:tcW w:w="2043" w:type="pct"/>
            <w:tcBorders>
              <w:top w:val="nil"/>
              <w:left w:val="nil"/>
              <w:bottom w:val="nil"/>
              <w:right w:val="nil"/>
            </w:tcBorders>
            <w:noWrap/>
            <w:hideMark/>
          </w:tcPr>
          <w:p w14:paraId="5C490802" w14:textId="77777777" w:rsidR="006B2397" w:rsidRPr="00646254" w:rsidRDefault="006B2397" w:rsidP="00BA266B">
            <w:pPr>
              <w:spacing w:line="240" w:lineRule="auto"/>
              <w:rPr>
                <w:rFonts w:ascii="Calibri" w:hAnsi="Calibri" w:cs="Calibri"/>
                <w:bCs/>
                <w:color w:val="002060"/>
                <w:sz w:val="18"/>
                <w:szCs w:val="18"/>
                <w:lang w:val="sr-Cyrl-CS"/>
              </w:rPr>
            </w:pPr>
            <w:r w:rsidRPr="00646254">
              <w:rPr>
                <w:rFonts w:ascii="Calibri" w:hAnsi="Calibri" w:cs="Calibri"/>
                <w:bCs/>
                <w:color w:val="002060"/>
                <w:sz w:val="18"/>
                <w:szCs w:val="18"/>
                <w:lang w:val="sr-Cyrl-CS"/>
              </w:rPr>
              <w:t>Промена у односу на претходну год. у % БДП</w:t>
            </w:r>
          </w:p>
        </w:tc>
        <w:tc>
          <w:tcPr>
            <w:tcW w:w="492" w:type="pct"/>
            <w:tcBorders>
              <w:top w:val="nil"/>
              <w:left w:val="nil"/>
              <w:bottom w:val="nil"/>
              <w:right w:val="nil"/>
            </w:tcBorders>
            <w:hideMark/>
          </w:tcPr>
          <w:p w14:paraId="78C50EB6" w14:textId="77777777" w:rsidR="006B2397" w:rsidRPr="00646254" w:rsidRDefault="006B2397" w:rsidP="00BA266B">
            <w:pPr>
              <w:spacing w:line="240" w:lineRule="auto"/>
              <w:jc w:val="center"/>
              <w:rPr>
                <w:rFonts w:ascii="Calibri" w:hAnsi="Calibri" w:cs="Calibri"/>
                <w:bCs/>
                <w:color w:val="002060"/>
                <w:sz w:val="18"/>
                <w:szCs w:val="18"/>
                <w:lang w:val="sr-Cyrl-CS"/>
              </w:rPr>
            </w:pPr>
            <w:r w:rsidRPr="00646254">
              <w:rPr>
                <w:rFonts w:ascii="Calibri" w:hAnsi="Calibri" w:cs="Calibri"/>
                <w:bCs/>
                <w:color w:val="002060"/>
                <w:sz w:val="18"/>
                <w:szCs w:val="18"/>
                <w:lang w:val="sr-Cyrl-CS"/>
              </w:rPr>
              <w:t>-1,7</w:t>
            </w:r>
          </w:p>
        </w:tc>
        <w:tc>
          <w:tcPr>
            <w:tcW w:w="493" w:type="pct"/>
            <w:tcBorders>
              <w:top w:val="nil"/>
              <w:left w:val="nil"/>
              <w:bottom w:val="nil"/>
              <w:right w:val="nil"/>
            </w:tcBorders>
            <w:hideMark/>
          </w:tcPr>
          <w:p w14:paraId="3AD26217" w14:textId="77777777" w:rsidR="006B2397" w:rsidRPr="00646254" w:rsidRDefault="006B2397" w:rsidP="00BA266B">
            <w:pPr>
              <w:spacing w:line="240" w:lineRule="auto"/>
              <w:jc w:val="center"/>
              <w:rPr>
                <w:rFonts w:ascii="Calibri" w:hAnsi="Calibri" w:cs="Calibri"/>
                <w:bCs/>
                <w:color w:val="002060"/>
                <w:sz w:val="18"/>
                <w:szCs w:val="18"/>
                <w:lang w:val="sr-Cyrl-CS"/>
              </w:rPr>
            </w:pPr>
            <w:r w:rsidRPr="00646254">
              <w:rPr>
                <w:rFonts w:ascii="Calibri" w:hAnsi="Calibri" w:cs="Calibri"/>
                <w:bCs/>
                <w:color w:val="002060"/>
                <w:sz w:val="18"/>
                <w:szCs w:val="18"/>
                <w:lang w:val="sr-Cyrl-CS"/>
              </w:rPr>
              <w:t>5,1</w:t>
            </w:r>
          </w:p>
        </w:tc>
        <w:tc>
          <w:tcPr>
            <w:tcW w:w="493" w:type="pct"/>
            <w:tcBorders>
              <w:top w:val="nil"/>
              <w:left w:val="nil"/>
              <w:bottom w:val="nil"/>
              <w:right w:val="nil"/>
            </w:tcBorders>
            <w:noWrap/>
            <w:hideMark/>
          </w:tcPr>
          <w:p w14:paraId="3409DD81" w14:textId="77777777" w:rsidR="006B2397" w:rsidRPr="00646254" w:rsidRDefault="006B2397" w:rsidP="00BA266B">
            <w:pPr>
              <w:spacing w:line="240" w:lineRule="auto"/>
              <w:jc w:val="center"/>
              <w:rPr>
                <w:rFonts w:ascii="Calibri" w:hAnsi="Calibri" w:cs="Calibri"/>
                <w:bCs/>
                <w:color w:val="002060"/>
                <w:sz w:val="18"/>
                <w:szCs w:val="18"/>
                <w:lang w:val="sr-Cyrl-CS"/>
              </w:rPr>
            </w:pPr>
            <w:r w:rsidRPr="00646254">
              <w:rPr>
                <w:rFonts w:ascii="Calibri" w:hAnsi="Calibri" w:cs="Calibri"/>
                <w:bCs/>
                <w:color w:val="002060"/>
                <w:sz w:val="18"/>
                <w:szCs w:val="18"/>
                <w:lang w:val="sr-Cyrl-CS"/>
              </w:rPr>
              <w:t>0,3</w:t>
            </w:r>
          </w:p>
        </w:tc>
        <w:tc>
          <w:tcPr>
            <w:tcW w:w="493" w:type="pct"/>
            <w:tcBorders>
              <w:top w:val="nil"/>
              <w:left w:val="nil"/>
              <w:bottom w:val="nil"/>
              <w:right w:val="nil"/>
            </w:tcBorders>
            <w:noWrap/>
            <w:hideMark/>
          </w:tcPr>
          <w:p w14:paraId="79836CD6" w14:textId="77777777" w:rsidR="006B2397" w:rsidRPr="00646254" w:rsidRDefault="006B2397" w:rsidP="00BA266B">
            <w:pPr>
              <w:spacing w:line="240" w:lineRule="auto"/>
              <w:jc w:val="center"/>
              <w:rPr>
                <w:rFonts w:ascii="Calibri" w:hAnsi="Calibri" w:cs="Calibri"/>
                <w:bCs/>
                <w:color w:val="002060"/>
                <w:sz w:val="18"/>
                <w:szCs w:val="18"/>
                <w:lang w:val="sr-Cyrl-CS"/>
              </w:rPr>
            </w:pPr>
            <w:r w:rsidRPr="00646254">
              <w:rPr>
                <w:rFonts w:ascii="Calibri" w:hAnsi="Calibri" w:cs="Calibri"/>
                <w:bCs/>
                <w:color w:val="002060"/>
                <w:sz w:val="18"/>
                <w:szCs w:val="18"/>
                <w:lang w:val="sr-Cyrl-CS"/>
              </w:rPr>
              <w:t>-1,8</w:t>
            </w:r>
          </w:p>
        </w:tc>
        <w:tc>
          <w:tcPr>
            <w:tcW w:w="493" w:type="pct"/>
            <w:tcBorders>
              <w:top w:val="nil"/>
              <w:left w:val="nil"/>
              <w:bottom w:val="nil"/>
              <w:right w:val="nil"/>
            </w:tcBorders>
            <w:noWrap/>
            <w:hideMark/>
          </w:tcPr>
          <w:p w14:paraId="41F338D1" w14:textId="77777777" w:rsidR="006B2397" w:rsidRPr="00646254" w:rsidRDefault="006B2397" w:rsidP="00BA266B">
            <w:pPr>
              <w:spacing w:line="240" w:lineRule="auto"/>
              <w:jc w:val="center"/>
              <w:rPr>
                <w:rFonts w:ascii="Calibri" w:hAnsi="Calibri" w:cs="Calibri"/>
                <w:bCs/>
                <w:color w:val="002060"/>
                <w:sz w:val="18"/>
                <w:szCs w:val="18"/>
                <w:lang w:val="sr-Cyrl-CS"/>
              </w:rPr>
            </w:pPr>
            <w:r w:rsidRPr="00646254">
              <w:rPr>
                <w:rFonts w:ascii="Calibri" w:hAnsi="Calibri" w:cs="Calibri"/>
                <w:bCs/>
                <w:color w:val="002060"/>
                <w:sz w:val="18"/>
                <w:szCs w:val="18"/>
                <w:lang w:val="sr-Cyrl-CS"/>
              </w:rPr>
              <w:t>-1,2</w:t>
            </w:r>
          </w:p>
        </w:tc>
        <w:tc>
          <w:tcPr>
            <w:tcW w:w="493" w:type="pct"/>
            <w:tcBorders>
              <w:top w:val="nil"/>
              <w:left w:val="nil"/>
              <w:bottom w:val="nil"/>
              <w:right w:val="nil"/>
            </w:tcBorders>
            <w:noWrap/>
            <w:hideMark/>
          </w:tcPr>
          <w:p w14:paraId="2AD77322" w14:textId="77777777" w:rsidR="006B2397" w:rsidRPr="00646254" w:rsidRDefault="006B2397" w:rsidP="00BA266B">
            <w:pPr>
              <w:spacing w:line="240" w:lineRule="auto"/>
              <w:jc w:val="center"/>
              <w:rPr>
                <w:rFonts w:ascii="Calibri" w:hAnsi="Calibri" w:cs="Calibri"/>
                <w:bCs/>
                <w:color w:val="002060"/>
                <w:sz w:val="18"/>
                <w:szCs w:val="18"/>
                <w:lang w:val="sr-Cyrl-CS"/>
              </w:rPr>
            </w:pPr>
            <w:r w:rsidRPr="00646254">
              <w:rPr>
                <w:rFonts w:ascii="Calibri" w:hAnsi="Calibri" w:cs="Calibri"/>
                <w:bCs/>
                <w:color w:val="002060"/>
                <w:sz w:val="18"/>
                <w:szCs w:val="18"/>
                <w:lang w:val="sr-Cyrl-CS"/>
              </w:rPr>
              <w:t>-1,6</w:t>
            </w:r>
          </w:p>
        </w:tc>
      </w:tr>
      <w:tr w:rsidR="006B2397" w:rsidRPr="00646254" w14:paraId="1E07915C" w14:textId="77777777" w:rsidTr="0004447C">
        <w:trPr>
          <w:cnfStyle w:val="000000100000" w:firstRow="0" w:lastRow="0" w:firstColumn="0" w:lastColumn="0" w:oddVBand="0" w:evenVBand="0" w:oddHBand="1" w:evenHBand="0" w:firstRowFirstColumn="0" w:firstRowLastColumn="0" w:lastRowFirstColumn="0" w:lastRowLastColumn="0"/>
          <w:trHeight w:val="284"/>
        </w:trPr>
        <w:tc>
          <w:tcPr>
            <w:tcW w:w="2043" w:type="pct"/>
            <w:tcBorders>
              <w:top w:val="nil"/>
              <w:bottom w:val="nil"/>
            </w:tcBorders>
            <w:shd w:val="clear" w:color="auto" w:fill="E7E6E6" w:themeFill="background2"/>
            <w:noWrap/>
            <w:hideMark/>
          </w:tcPr>
          <w:p w14:paraId="177EE20A" w14:textId="77777777" w:rsidR="006B2397" w:rsidRPr="00646254" w:rsidRDefault="006B2397" w:rsidP="00BA266B">
            <w:pPr>
              <w:spacing w:line="240" w:lineRule="auto"/>
              <w:rPr>
                <w:rFonts w:ascii="Calibri" w:hAnsi="Calibri" w:cs="Calibri"/>
                <w:bCs/>
                <w:color w:val="002060"/>
                <w:sz w:val="18"/>
                <w:szCs w:val="18"/>
                <w:lang w:val="sr-Cyrl-CS"/>
              </w:rPr>
            </w:pPr>
            <w:r w:rsidRPr="00646254">
              <w:rPr>
                <w:rFonts w:ascii="Calibri" w:hAnsi="Calibri" w:cs="Calibri"/>
                <w:bCs/>
                <w:color w:val="002060"/>
                <w:sz w:val="18"/>
                <w:szCs w:val="18"/>
                <w:lang w:val="sr-Cyrl-CS"/>
              </w:rPr>
              <w:t>Допринос примарног фискалног резултата</w:t>
            </w:r>
          </w:p>
        </w:tc>
        <w:tc>
          <w:tcPr>
            <w:tcW w:w="492" w:type="pct"/>
            <w:tcBorders>
              <w:top w:val="nil"/>
              <w:bottom w:val="nil"/>
            </w:tcBorders>
            <w:shd w:val="clear" w:color="auto" w:fill="E7E6E6" w:themeFill="background2"/>
            <w:hideMark/>
          </w:tcPr>
          <w:p w14:paraId="79B26169" w14:textId="77777777" w:rsidR="006B2397" w:rsidRPr="00646254" w:rsidRDefault="006B2397" w:rsidP="00BA266B">
            <w:pPr>
              <w:spacing w:line="240" w:lineRule="auto"/>
              <w:jc w:val="center"/>
              <w:rPr>
                <w:rFonts w:ascii="Calibri" w:hAnsi="Calibri" w:cs="Calibri"/>
                <w:bCs/>
                <w:color w:val="002060"/>
                <w:sz w:val="18"/>
                <w:szCs w:val="18"/>
                <w:lang w:val="sr-Cyrl-CS"/>
              </w:rPr>
            </w:pPr>
            <w:r w:rsidRPr="00646254">
              <w:rPr>
                <w:rFonts w:ascii="Calibri" w:hAnsi="Calibri" w:cs="Calibri"/>
                <w:bCs/>
                <w:color w:val="002060"/>
                <w:sz w:val="18"/>
                <w:szCs w:val="18"/>
                <w:lang w:val="sr-Cyrl-CS"/>
              </w:rPr>
              <w:t>-2,2</w:t>
            </w:r>
          </w:p>
        </w:tc>
        <w:tc>
          <w:tcPr>
            <w:tcW w:w="493" w:type="pct"/>
            <w:tcBorders>
              <w:top w:val="nil"/>
              <w:bottom w:val="nil"/>
            </w:tcBorders>
            <w:shd w:val="clear" w:color="auto" w:fill="E7E6E6" w:themeFill="background2"/>
            <w:hideMark/>
          </w:tcPr>
          <w:p w14:paraId="4B4FF9CC" w14:textId="77777777" w:rsidR="006B2397" w:rsidRPr="00646254" w:rsidRDefault="006B2397" w:rsidP="00BA266B">
            <w:pPr>
              <w:spacing w:line="240" w:lineRule="auto"/>
              <w:jc w:val="center"/>
              <w:rPr>
                <w:rFonts w:ascii="Calibri" w:hAnsi="Calibri" w:cs="Calibri"/>
                <w:bCs/>
                <w:color w:val="002060"/>
                <w:sz w:val="18"/>
                <w:szCs w:val="18"/>
                <w:lang w:val="sr-Cyrl-CS"/>
              </w:rPr>
            </w:pPr>
            <w:r w:rsidRPr="00646254">
              <w:rPr>
                <w:rFonts w:ascii="Calibri" w:hAnsi="Calibri" w:cs="Calibri"/>
                <w:bCs/>
                <w:color w:val="002060"/>
                <w:sz w:val="18"/>
                <w:szCs w:val="18"/>
                <w:lang w:val="sr-Cyrl-CS"/>
              </w:rPr>
              <w:t>6,4</w:t>
            </w:r>
          </w:p>
        </w:tc>
        <w:tc>
          <w:tcPr>
            <w:tcW w:w="493" w:type="pct"/>
            <w:tcBorders>
              <w:top w:val="nil"/>
              <w:bottom w:val="nil"/>
            </w:tcBorders>
            <w:shd w:val="clear" w:color="auto" w:fill="E7E6E6" w:themeFill="background2"/>
            <w:noWrap/>
            <w:hideMark/>
          </w:tcPr>
          <w:p w14:paraId="562EDC4D" w14:textId="77777777" w:rsidR="006B2397" w:rsidRPr="00646254" w:rsidRDefault="006B2397" w:rsidP="00BA266B">
            <w:pPr>
              <w:spacing w:line="240" w:lineRule="auto"/>
              <w:jc w:val="center"/>
              <w:rPr>
                <w:rFonts w:ascii="Calibri" w:hAnsi="Calibri" w:cs="Calibri"/>
                <w:bCs/>
                <w:color w:val="002060"/>
                <w:sz w:val="18"/>
                <w:szCs w:val="18"/>
                <w:lang w:val="sr-Cyrl-CS"/>
              </w:rPr>
            </w:pPr>
            <w:r w:rsidRPr="00646254">
              <w:rPr>
                <w:rFonts w:ascii="Calibri" w:hAnsi="Calibri" w:cs="Calibri"/>
                <w:bCs/>
                <w:color w:val="002060"/>
                <w:sz w:val="18"/>
                <w:szCs w:val="18"/>
                <w:lang w:val="sr-Cyrl-CS"/>
              </w:rPr>
              <w:t>3,1</w:t>
            </w:r>
          </w:p>
        </w:tc>
        <w:tc>
          <w:tcPr>
            <w:tcW w:w="493" w:type="pct"/>
            <w:tcBorders>
              <w:top w:val="nil"/>
              <w:bottom w:val="nil"/>
            </w:tcBorders>
            <w:shd w:val="clear" w:color="auto" w:fill="E7E6E6" w:themeFill="background2"/>
            <w:noWrap/>
            <w:hideMark/>
          </w:tcPr>
          <w:p w14:paraId="5EC663F7" w14:textId="77777777" w:rsidR="006B2397" w:rsidRPr="00646254" w:rsidRDefault="006B2397" w:rsidP="00BA266B">
            <w:pPr>
              <w:spacing w:line="240" w:lineRule="auto"/>
              <w:jc w:val="center"/>
              <w:rPr>
                <w:rFonts w:ascii="Calibri" w:hAnsi="Calibri" w:cs="Calibri"/>
                <w:bCs/>
                <w:color w:val="002060"/>
                <w:sz w:val="18"/>
                <w:szCs w:val="18"/>
                <w:lang w:val="sr-Cyrl-CS"/>
              </w:rPr>
            </w:pPr>
            <w:r w:rsidRPr="00646254">
              <w:rPr>
                <w:rFonts w:ascii="Calibri" w:hAnsi="Calibri" w:cs="Calibri"/>
                <w:bCs/>
                <w:color w:val="002060"/>
                <w:sz w:val="18"/>
                <w:szCs w:val="18"/>
                <w:lang w:val="sr-Cyrl-CS"/>
              </w:rPr>
              <w:t>1,4</w:t>
            </w:r>
          </w:p>
        </w:tc>
        <w:tc>
          <w:tcPr>
            <w:tcW w:w="493" w:type="pct"/>
            <w:tcBorders>
              <w:top w:val="nil"/>
              <w:bottom w:val="nil"/>
            </w:tcBorders>
            <w:shd w:val="clear" w:color="auto" w:fill="E7E6E6" w:themeFill="background2"/>
            <w:noWrap/>
            <w:hideMark/>
          </w:tcPr>
          <w:p w14:paraId="7BF5ED71" w14:textId="77777777" w:rsidR="006B2397" w:rsidRPr="00646254" w:rsidRDefault="006B2397" w:rsidP="00BA266B">
            <w:pPr>
              <w:spacing w:line="240" w:lineRule="auto"/>
              <w:jc w:val="center"/>
              <w:rPr>
                <w:rFonts w:ascii="Calibri" w:hAnsi="Calibri" w:cs="Calibri"/>
                <w:bCs/>
                <w:color w:val="002060"/>
                <w:sz w:val="18"/>
                <w:szCs w:val="18"/>
                <w:lang w:val="sr-Cyrl-CS"/>
              </w:rPr>
            </w:pPr>
            <w:r w:rsidRPr="00646254">
              <w:rPr>
                <w:rFonts w:ascii="Calibri" w:hAnsi="Calibri" w:cs="Calibri"/>
                <w:bCs/>
                <w:color w:val="002060"/>
                <w:sz w:val="18"/>
                <w:szCs w:val="18"/>
                <w:lang w:val="sr-Cyrl-CS"/>
              </w:rPr>
              <w:t>-0,1</w:t>
            </w:r>
          </w:p>
        </w:tc>
        <w:tc>
          <w:tcPr>
            <w:tcW w:w="493" w:type="pct"/>
            <w:tcBorders>
              <w:top w:val="nil"/>
              <w:bottom w:val="nil"/>
            </w:tcBorders>
            <w:shd w:val="clear" w:color="auto" w:fill="E7E6E6" w:themeFill="background2"/>
            <w:noWrap/>
            <w:hideMark/>
          </w:tcPr>
          <w:p w14:paraId="24A30BC7" w14:textId="77777777" w:rsidR="006B2397" w:rsidRPr="00646254" w:rsidRDefault="006B2397" w:rsidP="00BA266B">
            <w:pPr>
              <w:spacing w:line="240" w:lineRule="auto"/>
              <w:jc w:val="center"/>
              <w:rPr>
                <w:rFonts w:ascii="Calibri" w:hAnsi="Calibri" w:cs="Calibri"/>
                <w:bCs/>
                <w:color w:val="002060"/>
                <w:sz w:val="18"/>
                <w:szCs w:val="18"/>
                <w:lang w:val="sr-Cyrl-CS"/>
              </w:rPr>
            </w:pPr>
            <w:r w:rsidRPr="00646254">
              <w:rPr>
                <w:rFonts w:ascii="Calibri" w:hAnsi="Calibri" w:cs="Calibri"/>
                <w:bCs/>
                <w:color w:val="002060"/>
                <w:sz w:val="18"/>
                <w:szCs w:val="18"/>
                <w:lang w:val="sr-Cyrl-CS"/>
              </w:rPr>
              <w:t>-0,5</w:t>
            </w:r>
          </w:p>
        </w:tc>
      </w:tr>
      <w:tr w:rsidR="006B2397" w:rsidRPr="00646254" w14:paraId="05CEFE16" w14:textId="77777777" w:rsidTr="008265F0">
        <w:trPr>
          <w:trHeight w:val="284"/>
        </w:trPr>
        <w:tc>
          <w:tcPr>
            <w:tcW w:w="2043" w:type="pct"/>
            <w:tcBorders>
              <w:top w:val="nil"/>
              <w:left w:val="nil"/>
              <w:bottom w:val="nil"/>
              <w:right w:val="nil"/>
            </w:tcBorders>
            <w:noWrap/>
            <w:hideMark/>
          </w:tcPr>
          <w:p w14:paraId="23603583" w14:textId="77777777" w:rsidR="006B2397" w:rsidRPr="00646254" w:rsidRDefault="006B2397" w:rsidP="00BA266B">
            <w:pPr>
              <w:spacing w:line="240" w:lineRule="auto"/>
              <w:rPr>
                <w:rFonts w:ascii="Calibri" w:hAnsi="Calibri" w:cs="Calibri"/>
                <w:bCs/>
                <w:color w:val="002060"/>
                <w:sz w:val="18"/>
                <w:szCs w:val="18"/>
                <w:lang w:val="sr-Cyrl-CS"/>
              </w:rPr>
            </w:pPr>
            <w:r w:rsidRPr="00646254">
              <w:rPr>
                <w:rFonts w:ascii="Calibri" w:hAnsi="Calibri" w:cs="Calibri"/>
                <w:bCs/>
                <w:color w:val="002060"/>
                <w:sz w:val="18"/>
                <w:szCs w:val="18"/>
                <w:lang w:val="sr-Cyrl-CS"/>
              </w:rPr>
              <w:t>Допринос камата</w:t>
            </w:r>
          </w:p>
        </w:tc>
        <w:tc>
          <w:tcPr>
            <w:tcW w:w="492" w:type="pct"/>
            <w:tcBorders>
              <w:top w:val="nil"/>
              <w:left w:val="nil"/>
              <w:bottom w:val="nil"/>
              <w:right w:val="nil"/>
            </w:tcBorders>
            <w:hideMark/>
          </w:tcPr>
          <w:p w14:paraId="3CF1BA2E" w14:textId="77777777" w:rsidR="006B2397" w:rsidRPr="00646254" w:rsidRDefault="006B2397" w:rsidP="00BA266B">
            <w:pPr>
              <w:spacing w:line="240" w:lineRule="auto"/>
              <w:jc w:val="center"/>
              <w:rPr>
                <w:rFonts w:ascii="Calibri" w:hAnsi="Calibri" w:cs="Calibri"/>
                <w:bCs/>
                <w:color w:val="002060"/>
                <w:sz w:val="18"/>
                <w:szCs w:val="18"/>
                <w:lang w:val="sr-Cyrl-CS"/>
              </w:rPr>
            </w:pPr>
            <w:r w:rsidRPr="00646254">
              <w:rPr>
                <w:rFonts w:ascii="Calibri" w:hAnsi="Calibri" w:cs="Calibri"/>
                <w:bCs/>
                <w:color w:val="002060"/>
                <w:sz w:val="18"/>
                <w:szCs w:val="18"/>
                <w:lang w:val="sr-Cyrl-CS"/>
              </w:rPr>
              <w:t>2,0</w:t>
            </w:r>
          </w:p>
        </w:tc>
        <w:tc>
          <w:tcPr>
            <w:tcW w:w="493" w:type="pct"/>
            <w:tcBorders>
              <w:top w:val="nil"/>
              <w:left w:val="nil"/>
              <w:bottom w:val="nil"/>
              <w:right w:val="nil"/>
            </w:tcBorders>
            <w:hideMark/>
          </w:tcPr>
          <w:p w14:paraId="20805D84" w14:textId="77777777" w:rsidR="006B2397" w:rsidRPr="00646254" w:rsidRDefault="006B2397" w:rsidP="00BA266B">
            <w:pPr>
              <w:spacing w:line="240" w:lineRule="auto"/>
              <w:jc w:val="center"/>
              <w:rPr>
                <w:rFonts w:ascii="Calibri" w:hAnsi="Calibri" w:cs="Calibri"/>
                <w:bCs/>
                <w:color w:val="002060"/>
                <w:sz w:val="18"/>
                <w:szCs w:val="18"/>
                <w:lang w:val="sr-Cyrl-CS"/>
              </w:rPr>
            </w:pPr>
            <w:r w:rsidRPr="00646254">
              <w:rPr>
                <w:rFonts w:ascii="Calibri" w:hAnsi="Calibri" w:cs="Calibri"/>
                <w:bCs/>
                <w:color w:val="002060"/>
                <w:sz w:val="18"/>
                <w:szCs w:val="18"/>
                <w:lang w:val="sr-Cyrl-CS"/>
              </w:rPr>
              <w:t>2,0</w:t>
            </w:r>
          </w:p>
        </w:tc>
        <w:tc>
          <w:tcPr>
            <w:tcW w:w="493" w:type="pct"/>
            <w:tcBorders>
              <w:top w:val="nil"/>
              <w:left w:val="nil"/>
              <w:bottom w:val="nil"/>
              <w:right w:val="nil"/>
            </w:tcBorders>
            <w:noWrap/>
            <w:hideMark/>
          </w:tcPr>
          <w:p w14:paraId="77904C85" w14:textId="77777777" w:rsidR="006B2397" w:rsidRPr="00646254" w:rsidRDefault="006B2397" w:rsidP="00BA266B">
            <w:pPr>
              <w:spacing w:line="240" w:lineRule="auto"/>
              <w:jc w:val="center"/>
              <w:rPr>
                <w:rFonts w:ascii="Calibri" w:hAnsi="Calibri" w:cs="Calibri"/>
                <w:bCs/>
                <w:color w:val="002060"/>
                <w:sz w:val="18"/>
                <w:szCs w:val="18"/>
                <w:lang w:val="sr-Cyrl-CS"/>
              </w:rPr>
            </w:pPr>
            <w:r w:rsidRPr="00646254">
              <w:rPr>
                <w:rFonts w:ascii="Calibri" w:hAnsi="Calibri" w:cs="Calibri"/>
                <w:bCs/>
                <w:color w:val="002060"/>
                <w:sz w:val="18"/>
                <w:szCs w:val="18"/>
                <w:lang w:val="sr-Cyrl-CS"/>
              </w:rPr>
              <w:t>1,8</w:t>
            </w:r>
          </w:p>
        </w:tc>
        <w:tc>
          <w:tcPr>
            <w:tcW w:w="493" w:type="pct"/>
            <w:tcBorders>
              <w:top w:val="nil"/>
              <w:left w:val="nil"/>
              <w:bottom w:val="nil"/>
              <w:right w:val="nil"/>
            </w:tcBorders>
            <w:noWrap/>
            <w:hideMark/>
          </w:tcPr>
          <w:p w14:paraId="75D473AA" w14:textId="77777777" w:rsidR="006B2397" w:rsidRPr="00646254" w:rsidRDefault="006B2397" w:rsidP="00BA266B">
            <w:pPr>
              <w:spacing w:line="240" w:lineRule="auto"/>
              <w:jc w:val="center"/>
              <w:rPr>
                <w:rFonts w:ascii="Calibri" w:hAnsi="Calibri" w:cs="Calibri"/>
                <w:bCs/>
                <w:color w:val="002060"/>
                <w:sz w:val="18"/>
                <w:szCs w:val="18"/>
                <w:lang w:val="sr-Cyrl-CS"/>
              </w:rPr>
            </w:pPr>
            <w:r w:rsidRPr="00646254">
              <w:rPr>
                <w:rFonts w:ascii="Calibri" w:hAnsi="Calibri" w:cs="Calibri"/>
                <w:bCs/>
                <w:color w:val="002060"/>
                <w:sz w:val="18"/>
                <w:szCs w:val="18"/>
                <w:lang w:val="sr-Cyrl-CS"/>
              </w:rPr>
              <w:t>1,7</w:t>
            </w:r>
          </w:p>
        </w:tc>
        <w:tc>
          <w:tcPr>
            <w:tcW w:w="493" w:type="pct"/>
            <w:tcBorders>
              <w:top w:val="nil"/>
              <w:left w:val="nil"/>
              <w:bottom w:val="nil"/>
              <w:right w:val="nil"/>
            </w:tcBorders>
            <w:noWrap/>
            <w:hideMark/>
          </w:tcPr>
          <w:p w14:paraId="72662994" w14:textId="77777777" w:rsidR="006B2397" w:rsidRPr="00646254" w:rsidRDefault="006B2397" w:rsidP="00BA266B">
            <w:pPr>
              <w:spacing w:line="240" w:lineRule="auto"/>
              <w:jc w:val="center"/>
              <w:rPr>
                <w:rFonts w:ascii="Calibri" w:hAnsi="Calibri" w:cs="Calibri"/>
                <w:bCs/>
                <w:color w:val="002060"/>
                <w:sz w:val="18"/>
                <w:szCs w:val="18"/>
                <w:lang w:val="sr-Cyrl-CS"/>
              </w:rPr>
            </w:pPr>
            <w:r w:rsidRPr="00646254">
              <w:rPr>
                <w:rFonts w:ascii="Calibri" w:hAnsi="Calibri" w:cs="Calibri"/>
                <w:bCs/>
                <w:color w:val="002060"/>
                <w:sz w:val="18"/>
                <w:szCs w:val="18"/>
                <w:lang w:val="sr-Cyrl-CS"/>
              </w:rPr>
              <w:t>1,7</w:t>
            </w:r>
          </w:p>
        </w:tc>
        <w:tc>
          <w:tcPr>
            <w:tcW w:w="493" w:type="pct"/>
            <w:tcBorders>
              <w:top w:val="nil"/>
              <w:left w:val="nil"/>
              <w:bottom w:val="nil"/>
              <w:right w:val="nil"/>
            </w:tcBorders>
            <w:noWrap/>
            <w:hideMark/>
          </w:tcPr>
          <w:p w14:paraId="54561776" w14:textId="77777777" w:rsidR="006B2397" w:rsidRPr="00646254" w:rsidRDefault="006B2397" w:rsidP="00BA266B">
            <w:pPr>
              <w:spacing w:line="240" w:lineRule="auto"/>
              <w:jc w:val="center"/>
              <w:rPr>
                <w:rFonts w:ascii="Calibri" w:hAnsi="Calibri" w:cs="Calibri"/>
                <w:bCs/>
                <w:color w:val="002060"/>
                <w:sz w:val="18"/>
                <w:szCs w:val="18"/>
                <w:lang w:val="sr-Cyrl-CS"/>
              </w:rPr>
            </w:pPr>
            <w:r w:rsidRPr="00646254">
              <w:rPr>
                <w:rFonts w:ascii="Calibri" w:hAnsi="Calibri" w:cs="Calibri"/>
                <w:bCs/>
                <w:color w:val="002060"/>
                <w:sz w:val="18"/>
                <w:szCs w:val="18"/>
                <w:lang w:val="sr-Cyrl-CS"/>
              </w:rPr>
              <w:t>1,7</w:t>
            </w:r>
          </w:p>
        </w:tc>
      </w:tr>
      <w:tr w:rsidR="006B2397" w:rsidRPr="00646254" w14:paraId="05CA654D" w14:textId="77777777" w:rsidTr="0004447C">
        <w:trPr>
          <w:cnfStyle w:val="000000100000" w:firstRow="0" w:lastRow="0" w:firstColumn="0" w:lastColumn="0" w:oddVBand="0" w:evenVBand="0" w:oddHBand="1" w:evenHBand="0" w:firstRowFirstColumn="0" w:firstRowLastColumn="0" w:lastRowFirstColumn="0" w:lastRowLastColumn="0"/>
          <w:trHeight w:val="284"/>
        </w:trPr>
        <w:tc>
          <w:tcPr>
            <w:tcW w:w="2043" w:type="pct"/>
            <w:tcBorders>
              <w:top w:val="nil"/>
              <w:bottom w:val="nil"/>
            </w:tcBorders>
            <w:shd w:val="clear" w:color="auto" w:fill="E7E6E6" w:themeFill="background2"/>
            <w:hideMark/>
          </w:tcPr>
          <w:p w14:paraId="70F63AE6" w14:textId="77777777" w:rsidR="006B2397" w:rsidRPr="00646254" w:rsidRDefault="006B2397" w:rsidP="00BA266B">
            <w:pPr>
              <w:spacing w:line="240" w:lineRule="auto"/>
              <w:rPr>
                <w:rFonts w:ascii="Calibri" w:hAnsi="Calibri" w:cs="Calibri"/>
                <w:bCs/>
                <w:color w:val="002060"/>
                <w:sz w:val="18"/>
                <w:szCs w:val="18"/>
                <w:lang w:val="sr-Cyrl-CS"/>
              </w:rPr>
            </w:pPr>
            <w:r w:rsidRPr="00646254">
              <w:rPr>
                <w:rFonts w:ascii="Calibri" w:hAnsi="Calibri" w:cs="Calibri"/>
                <w:bCs/>
                <w:color w:val="002060"/>
                <w:sz w:val="18"/>
                <w:szCs w:val="18"/>
                <w:lang w:val="sr-Cyrl-CS"/>
              </w:rPr>
              <w:t>Допринос раста номиналног БДП</w:t>
            </w:r>
          </w:p>
        </w:tc>
        <w:tc>
          <w:tcPr>
            <w:tcW w:w="492" w:type="pct"/>
            <w:tcBorders>
              <w:top w:val="nil"/>
              <w:bottom w:val="nil"/>
            </w:tcBorders>
            <w:shd w:val="clear" w:color="auto" w:fill="E7E6E6" w:themeFill="background2"/>
            <w:hideMark/>
          </w:tcPr>
          <w:p w14:paraId="313E9080" w14:textId="77777777" w:rsidR="006B2397" w:rsidRPr="00646254" w:rsidRDefault="006B2397" w:rsidP="00BA266B">
            <w:pPr>
              <w:spacing w:line="240" w:lineRule="auto"/>
              <w:jc w:val="center"/>
              <w:rPr>
                <w:rFonts w:ascii="Calibri" w:hAnsi="Calibri" w:cs="Calibri"/>
                <w:bCs/>
                <w:color w:val="002060"/>
                <w:sz w:val="18"/>
                <w:szCs w:val="18"/>
                <w:lang w:val="sr-Cyrl-CS"/>
              </w:rPr>
            </w:pPr>
            <w:r w:rsidRPr="00646254">
              <w:rPr>
                <w:rFonts w:ascii="Calibri" w:hAnsi="Calibri" w:cs="Calibri"/>
                <w:bCs/>
                <w:color w:val="002060"/>
                <w:sz w:val="18"/>
                <w:szCs w:val="18"/>
                <w:lang w:val="sr-Cyrl-CS"/>
              </w:rPr>
              <w:t>-3,5</w:t>
            </w:r>
          </w:p>
        </w:tc>
        <w:tc>
          <w:tcPr>
            <w:tcW w:w="493" w:type="pct"/>
            <w:tcBorders>
              <w:top w:val="nil"/>
              <w:bottom w:val="nil"/>
            </w:tcBorders>
            <w:shd w:val="clear" w:color="auto" w:fill="E7E6E6" w:themeFill="background2"/>
            <w:hideMark/>
          </w:tcPr>
          <w:p w14:paraId="483A5D95" w14:textId="77777777" w:rsidR="006B2397" w:rsidRPr="00646254" w:rsidRDefault="006B2397" w:rsidP="00BA266B">
            <w:pPr>
              <w:spacing w:line="240" w:lineRule="auto"/>
              <w:jc w:val="center"/>
              <w:rPr>
                <w:rFonts w:ascii="Calibri" w:hAnsi="Calibri" w:cs="Calibri"/>
                <w:bCs/>
                <w:color w:val="002060"/>
                <w:sz w:val="18"/>
                <w:szCs w:val="18"/>
                <w:lang w:val="sr-Cyrl-CS"/>
              </w:rPr>
            </w:pPr>
            <w:r w:rsidRPr="00646254">
              <w:rPr>
                <w:rFonts w:ascii="Calibri" w:hAnsi="Calibri" w:cs="Calibri"/>
                <w:bCs/>
                <w:color w:val="002060"/>
                <w:sz w:val="18"/>
                <w:szCs w:val="18"/>
                <w:lang w:val="sr-Cyrl-CS"/>
              </w:rPr>
              <w:t>-0,8</w:t>
            </w:r>
          </w:p>
        </w:tc>
        <w:tc>
          <w:tcPr>
            <w:tcW w:w="493" w:type="pct"/>
            <w:tcBorders>
              <w:top w:val="nil"/>
              <w:bottom w:val="nil"/>
            </w:tcBorders>
            <w:shd w:val="clear" w:color="auto" w:fill="E7E6E6" w:themeFill="background2"/>
            <w:noWrap/>
            <w:hideMark/>
          </w:tcPr>
          <w:p w14:paraId="02250A3B" w14:textId="77777777" w:rsidR="006B2397" w:rsidRPr="00646254" w:rsidRDefault="006B2397" w:rsidP="00BA266B">
            <w:pPr>
              <w:spacing w:line="240" w:lineRule="auto"/>
              <w:jc w:val="center"/>
              <w:rPr>
                <w:rFonts w:ascii="Calibri" w:hAnsi="Calibri" w:cs="Calibri"/>
                <w:bCs/>
                <w:color w:val="002060"/>
                <w:sz w:val="18"/>
                <w:szCs w:val="18"/>
                <w:lang w:val="sr-Cyrl-CS"/>
              </w:rPr>
            </w:pPr>
            <w:r w:rsidRPr="00646254">
              <w:rPr>
                <w:rFonts w:ascii="Calibri" w:hAnsi="Calibri" w:cs="Calibri"/>
                <w:bCs/>
                <w:color w:val="002060"/>
                <w:sz w:val="18"/>
                <w:szCs w:val="18"/>
                <w:lang w:val="sr-Cyrl-CS"/>
              </w:rPr>
              <w:t>-6,1</w:t>
            </w:r>
          </w:p>
        </w:tc>
        <w:tc>
          <w:tcPr>
            <w:tcW w:w="493" w:type="pct"/>
            <w:tcBorders>
              <w:top w:val="nil"/>
              <w:bottom w:val="nil"/>
            </w:tcBorders>
            <w:shd w:val="clear" w:color="auto" w:fill="E7E6E6" w:themeFill="background2"/>
            <w:noWrap/>
            <w:hideMark/>
          </w:tcPr>
          <w:p w14:paraId="62061887" w14:textId="77777777" w:rsidR="006B2397" w:rsidRPr="00646254" w:rsidRDefault="006B2397" w:rsidP="00BA266B">
            <w:pPr>
              <w:spacing w:line="240" w:lineRule="auto"/>
              <w:jc w:val="center"/>
              <w:rPr>
                <w:rFonts w:ascii="Calibri" w:hAnsi="Calibri" w:cs="Calibri"/>
                <w:bCs/>
                <w:color w:val="002060"/>
                <w:sz w:val="18"/>
                <w:szCs w:val="18"/>
                <w:lang w:val="sr-Cyrl-CS"/>
              </w:rPr>
            </w:pPr>
            <w:r w:rsidRPr="00646254">
              <w:rPr>
                <w:rFonts w:ascii="Calibri" w:hAnsi="Calibri" w:cs="Calibri"/>
                <w:bCs/>
                <w:color w:val="002060"/>
                <w:sz w:val="18"/>
                <w:szCs w:val="18"/>
                <w:lang w:val="sr-Cyrl-CS"/>
              </w:rPr>
              <w:t>-4,1</w:t>
            </w:r>
          </w:p>
        </w:tc>
        <w:tc>
          <w:tcPr>
            <w:tcW w:w="493" w:type="pct"/>
            <w:tcBorders>
              <w:top w:val="nil"/>
              <w:bottom w:val="nil"/>
            </w:tcBorders>
            <w:shd w:val="clear" w:color="auto" w:fill="E7E6E6" w:themeFill="background2"/>
            <w:noWrap/>
            <w:hideMark/>
          </w:tcPr>
          <w:p w14:paraId="1EE7DB7F" w14:textId="77777777" w:rsidR="006B2397" w:rsidRPr="00646254" w:rsidRDefault="006B2397" w:rsidP="00BA266B">
            <w:pPr>
              <w:spacing w:line="240" w:lineRule="auto"/>
              <w:jc w:val="center"/>
              <w:rPr>
                <w:rFonts w:ascii="Calibri" w:hAnsi="Calibri" w:cs="Calibri"/>
                <w:bCs/>
                <w:color w:val="002060"/>
                <w:sz w:val="18"/>
                <w:szCs w:val="18"/>
                <w:lang w:val="sr-Cyrl-CS"/>
              </w:rPr>
            </w:pPr>
            <w:r w:rsidRPr="00646254">
              <w:rPr>
                <w:rFonts w:ascii="Calibri" w:hAnsi="Calibri" w:cs="Calibri"/>
                <w:bCs/>
                <w:color w:val="002060"/>
                <w:sz w:val="18"/>
                <w:szCs w:val="18"/>
                <w:lang w:val="sr-Cyrl-CS"/>
              </w:rPr>
              <w:t>-4,2</w:t>
            </w:r>
          </w:p>
        </w:tc>
        <w:tc>
          <w:tcPr>
            <w:tcW w:w="493" w:type="pct"/>
            <w:tcBorders>
              <w:top w:val="nil"/>
              <w:bottom w:val="nil"/>
            </w:tcBorders>
            <w:shd w:val="clear" w:color="auto" w:fill="E7E6E6" w:themeFill="background2"/>
            <w:noWrap/>
            <w:hideMark/>
          </w:tcPr>
          <w:p w14:paraId="3FDC698F" w14:textId="77777777" w:rsidR="006B2397" w:rsidRPr="00646254" w:rsidRDefault="006B2397" w:rsidP="00BA266B">
            <w:pPr>
              <w:spacing w:line="240" w:lineRule="auto"/>
              <w:jc w:val="center"/>
              <w:rPr>
                <w:rFonts w:ascii="Calibri" w:hAnsi="Calibri" w:cs="Calibri"/>
                <w:bCs/>
                <w:color w:val="002060"/>
                <w:sz w:val="18"/>
                <w:szCs w:val="18"/>
                <w:lang w:val="sr-Cyrl-CS"/>
              </w:rPr>
            </w:pPr>
            <w:r w:rsidRPr="00646254">
              <w:rPr>
                <w:rFonts w:ascii="Calibri" w:hAnsi="Calibri" w:cs="Calibri"/>
                <w:bCs/>
                <w:color w:val="002060"/>
                <w:sz w:val="18"/>
                <w:szCs w:val="18"/>
                <w:lang w:val="sr-Cyrl-CS"/>
              </w:rPr>
              <w:t>-4,0</w:t>
            </w:r>
          </w:p>
        </w:tc>
      </w:tr>
      <w:tr w:rsidR="006B2397" w:rsidRPr="00646254" w14:paraId="25602BE3" w14:textId="77777777" w:rsidTr="008265F0">
        <w:trPr>
          <w:trHeight w:val="80"/>
        </w:trPr>
        <w:tc>
          <w:tcPr>
            <w:tcW w:w="2043" w:type="pct"/>
            <w:tcBorders>
              <w:top w:val="nil"/>
              <w:left w:val="nil"/>
              <w:bottom w:val="single" w:sz="4" w:space="0" w:color="002060"/>
              <w:right w:val="nil"/>
            </w:tcBorders>
            <w:hideMark/>
          </w:tcPr>
          <w:p w14:paraId="409CDFFD" w14:textId="77777777" w:rsidR="006B2397" w:rsidRPr="00646254" w:rsidRDefault="006B2397" w:rsidP="00BA266B">
            <w:pPr>
              <w:spacing w:line="240" w:lineRule="auto"/>
              <w:rPr>
                <w:rFonts w:ascii="Calibri" w:hAnsi="Calibri" w:cs="Calibri"/>
                <w:bCs/>
                <w:color w:val="002060"/>
                <w:sz w:val="18"/>
                <w:szCs w:val="18"/>
                <w:lang w:val="sr-Cyrl-CS"/>
              </w:rPr>
            </w:pPr>
            <w:r w:rsidRPr="00646254">
              <w:rPr>
                <w:rFonts w:ascii="Calibri" w:hAnsi="Calibri" w:cs="Calibri"/>
                <w:bCs/>
                <w:color w:val="002060"/>
                <w:sz w:val="18"/>
                <w:szCs w:val="18"/>
                <w:lang w:val="sr-Cyrl-CS"/>
              </w:rPr>
              <w:t>Допринос осталих фактора</w:t>
            </w:r>
          </w:p>
        </w:tc>
        <w:tc>
          <w:tcPr>
            <w:tcW w:w="492" w:type="pct"/>
            <w:tcBorders>
              <w:top w:val="nil"/>
              <w:left w:val="nil"/>
              <w:bottom w:val="single" w:sz="4" w:space="0" w:color="002060"/>
              <w:right w:val="nil"/>
            </w:tcBorders>
            <w:hideMark/>
          </w:tcPr>
          <w:p w14:paraId="5D49BC68" w14:textId="77777777" w:rsidR="006B2397" w:rsidRPr="00646254" w:rsidRDefault="006B2397" w:rsidP="00BA266B">
            <w:pPr>
              <w:spacing w:line="240" w:lineRule="auto"/>
              <w:jc w:val="center"/>
              <w:rPr>
                <w:rFonts w:ascii="Calibri" w:hAnsi="Calibri" w:cs="Calibri"/>
                <w:bCs/>
                <w:color w:val="002060"/>
                <w:sz w:val="18"/>
                <w:szCs w:val="18"/>
                <w:lang w:val="sr-Cyrl-CS"/>
              </w:rPr>
            </w:pPr>
            <w:r w:rsidRPr="00646254">
              <w:rPr>
                <w:rFonts w:ascii="Calibri" w:hAnsi="Calibri" w:cs="Calibri"/>
                <w:bCs/>
                <w:color w:val="002060"/>
                <w:sz w:val="18"/>
                <w:szCs w:val="18"/>
                <w:lang w:val="sr-Cyrl-CS"/>
              </w:rPr>
              <w:t>2,0</w:t>
            </w:r>
          </w:p>
        </w:tc>
        <w:tc>
          <w:tcPr>
            <w:tcW w:w="493" w:type="pct"/>
            <w:tcBorders>
              <w:top w:val="nil"/>
              <w:left w:val="nil"/>
              <w:bottom w:val="single" w:sz="4" w:space="0" w:color="002060"/>
              <w:right w:val="nil"/>
            </w:tcBorders>
            <w:hideMark/>
          </w:tcPr>
          <w:p w14:paraId="70CDD744" w14:textId="77777777" w:rsidR="006B2397" w:rsidRPr="00646254" w:rsidRDefault="006B2397" w:rsidP="00BA266B">
            <w:pPr>
              <w:spacing w:line="240" w:lineRule="auto"/>
              <w:jc w:val="center"/>
              <w:rPr>
                <w:rFonts w:ascii="Calibri" w:hAnsi="Calibri" w:cs="Calibri"/>
                <w:bCs/>
                <w:color w:val="002060"/>
                <w:sz w:val="18"/>
                <w:szCs w:val="18"/>
                <w:lang w:val="sr-Cyrl-CS"/>
              </w:rPr>
            </w:pPr>
            <w:r w:rsidRPr="00646254">
              <w:rPr>
                <w:rFonts w:ascii="Calibri" w:hAnsi="Calibri" w:cs="Calibri"/>
                <w:bCs/>
                <w:color w:val="002060"/>
                <w:sz w:val="18"/>
                <w:szCs w:val="18"/>
                <w:lang w:val="sr-Cyrl-CS"/>
              </w:rPr>
              <w:t>-2,5</w:t>
            </w:r>
          </w:p>
        </w:tc>
        <w:tc>
          <w:tcPr>
            <w:tcW w:w="493" w:type="pct"/>
            <w:tcBorders>
              <w:top w:val="nil"/>
              <w:left w:val="nil"/>
              <w:bottom w:val="single" w:sz="4" w:space="0" w:color="002060"/>
              <w:right w:val="nil"/>
            </w:tcBorders>
            <w:noWrap/>
            <w:hideMark/>
          </w:tcPr>
          <w:p w14:paraId="23C844B7" w14:textId="77777777" w:rsidR="006B2397" w:rsidRPr="00646254" w:rsidRDefault="006B2397" w:rsidP="00BA266B">
            <w:pPr>
              <w:spacing w:line="240" w:lineRule="auto"/>
              <w:jc w:val="center"/>
              <w:rPr>
                <w:rFonts w:ascii="Calibri" w:hAnsi="Calibri" w:cs="Calibri"/>
                <w:bCs/>
                <w:color w:val="002060"/>
                <w:sz w:val="18"/>
                <w:szCs w:val="18"/>
                <w:lang w:val="sr-Cyrl-CS"/>
              </w:rPr>
            </w:pPr>
            <w:r w:rsidRPr="00646254">
              <w:rPr>
                <w:rFonts w:ascii="Calibri" w:hAnsi="Calibri" w:cs="Calibri"/>
                <w:bCs/>
                <w:color w:val="002060"/>
                <w:sz w:val="18"/>
                <w:szCs w:val="18"/>
                <w:lang w:val="sr-Cyrl-CS"/>
              </w:rPr>
              <w:t>1,5</w:t>
            </w:r>
          </w:p>
        </w:tc>
        <w:tc>
          <w:tcPr>
            <w:tcW w:w="493" w:type="pct"/>
            <w:tcBorders>
              <w:top w:val="nil"/>
              <w:left w:val="nil"/>
              <w:bottom w:val="single" w:sz="4" w:space="0" w:color="002060"/>
              <w:right w:val="nil"/>
            </w:tcBorders>
            <w:noWrap/>
            <w:hideMark/>
          </w:tcPr>
          <w:p w14:paraId="5500E171" w14:textId="77777777" w:rsidR="006B2397" w:rsidRPr="00646254" w:rsidRDefault="006B2397" w:rsidP="00BA266B">
            <w:pPr>
              <w:spacing w:line="240" w:lineRule="auto"/>
              <w:jc w:val="center"/>
              <w:rPr>
                <w:rFonts w:ascii="Calibri" w:hAnsi="Calibri" w:cs="Calibri"/>
                <w:bCs/>
                <w:color w:val="002060"/>
                <w:sz w:val="18"/>
                <w:szCs w:val="18"/>
                <w:lang w:val="sr-Cyrl-CS"/>
              </w:rPr>
            </w:pPr>
            <w:r w:rsidRPr="00646254">
              <w:rPr>
                <w:rFonts w:ascii="Calibri" w:hAnsi="Calibri" w:cs="Calibri"/>
                <w:bCs/>
                <w:color w:val="002060"/>
                <w:sz w:val="18"/>
                <w:szCs w:val="18"/>
                <w:lang w:val="sr-Cyrl-CS"/>
              </w:rPr>
              <w:t>-0,8</w:t>
            </w:r>
          </w:p>
        </w:tc>
        <w:tc>
          <w:tcPr>
            <w:tcW w:w="493" w:type="pct"/>
            <w:tcBorders>
              <w:top w:val="nil"/>
              <w:left w:val="nil"/>
              <w:bottom w:val="single" w:sz="4" w:space="0" w:color="002060"/>
              <w:right w:val="nil"/>
            </w:tcBorders>
            <w:noWrap/>
            <w:hideMark/>
          </w:tcPr>
          <w:p w14:paraId="1DD59866" w14:textId="77777777" w:rsidR="006B2397" w:rsidRPr="00646254" w:rsidRDefault="006B2397" w:rsidP="00BA266B">
            <w:pPr>
              <w:spacing w:line="240" w:lineRule="auto"/>
              <w:jc w:val="center"/>
              <w:rPr>
                <w:rFonts w:ascii="Calibri" w:hAnsi="Calibri" w:cs="Calibri"/>
                <w:bCs/>
                <w:color w:val="002060"/>
                <w:sz w:val="18"/>
                <w:szCs w:val="18"/>
                <w:lang w:val="sr-Cyrl-CS"/>
              </w:rPr>
            </w:pPr>
            <w:r w:rsidRPr="00646254">
              <w:rPr>
                <w:rFonts w:ascii="Calibri" w:hAnsi="Calibri" w:cs="Calibri"/>
                <w:bCs/>
                <w:color w:val="002060"/>
                <w:sz w:val="18"/>
                <w:szCs w:val="18"/>
                <w:lang w:val="sr-Cyrl-CS"/>
              </w:rPr>
              <w:t>1,3</w:t>
            </w:r>
          </w:p>
        </w:tc>
        <w:tc>
          <w:tcPr>
            <w:tcW w:w="493" w:type="pct"/>
            <w:tcBorders>
              <w:top w:val="nil"/>
              <w:left w:val="nil"/>
              <w:bottom w:val="single" w:sz="4" w:space="0" w:color="002060"/>
              <w:right w:val="nil"/>
            </w:tcBorders>
            <w:noWrap/>
            <w:hideMark/>
          </w:tcPr>
          <w:p w14:paraId="26444D8F" w14:textId="77777777" w:rsidR="006B2397" w:rsidRPr="00646254" w:rsidRDefault="006B2397" w:rsidP="00BA266B">
            <w:pPr>
              <w:spacing w:line="240" w:lineRule="auto"/>
              <w:jc w:val="center"/>
              <w:rPr>
                <w:rFonts w:ascii="Calibri" w:hAnsi="Calibri" w:cs="Calibri"/>
                <w:bCs/>
                <w:color w:val="002060"/>
                <w:sz w:val="18"/>
                <w:szCs w:val="18"/>
                <w:lang w:val="sr-Cyrl-CS"/>
              </w:rPr>
            </w:pPr>
            <w:r w:rsidRPr="00646254">
              <w:rPr>
                <w:rFonts w:ascii="Calibri" w:hAnsi="Calibri" w:cs="Calibri"/>
                <w:bCs/>
                <w:color w:val="002060"/>
                <w:sz w:val="18"/>
                <w:szCs w:val="18"/>
                <w:lang w:val="sr-Cyrl-CS"/>
              </w:rPr>
              <w:t>1,2</w:t>
            </w:r>
          </w:p>
        </w:tc>
      </w:tr>
    </w:tbl>
    <w:p w14:paraId="75805B22" w14:textId="77777777" w:rsidR="006B2397" w:rsidRPr="00646254" w:rsidRDefault="006B2397" w:rsidP="008265F0">
      <w:pPr>
        <w:spacing w:line="256" w:lineRule="auto"/>
        <w:jc w:val="center"/>
        <w:rPr>
          <w:rFonts w:ascii="Calibri" w:eastAsia="Calibri" w:hAnsi="Calibri" w:cs="Times New Roman"/>
          <w:b/>
          <w:color w:val="002060"/>
          <w:lang w:val="sr-Cyrl-CS"/>
        </w:rPr>
        <w:sectPr w:rsidR="006B2397" w:rsidRPr="00646254" w:rsidSect="00EF25B6">
          <w:type w:val="continuous"/>
          <w:pgSz w:w="12240" w:h="15840" w:code="1"/>
          <w:pgMar w:top="1418" w:right="1418" w:bottom="1418" w:left="1418" w:header="720" w:footer="720" w:gutter="0"/>
          <w:cols w:space="720"/>
          <w:docGrid w:linePitch="272"/>
        </w:sectPr>
      </w:pPr>
    </w:p>
    <w:p w14:paraId="583525FB" w14:textId="77777777" w:rsidR="006B2397" w:rsidRPr="00646254" w:rsidRDefault="006B2397" w:rsidP="00BA266B">
      <w:pPr>
        <w:spacing w:line="256" w:lineRule="auto"/>
        <w:jc w:val="center"/>
        <w:rPr>
          <w:rFonts w:ascii="Calibri" w:eastAsia="Calibri" w:hAnsi="Calibri" w:cs="Times New Roman"/>
          <w:b/>
          <w:color w:val="002060"/>
          <w:lang w:val="sr-Cyrl-CS"/>
        </w:rPr>
      </w:pPr>
      <w:r w:rsidRPr="00646254">
        <w:rPr>
          <w:rFonts w:ascii="Calibri" w:eastAsia="Calibri" w:hAnsi="Calibri" w:cs="Times New Roman"/>
          <w:b/>
          <w:color w:val="002060"/>
          <w:lang w:val="sr-Cyrl-CS"/>
        </w:rPr>
        <w:t>Утицај промене курса динара према корпи валута из портфолија јавног дуга централног нивоа државе на промену рација јавни дуг – БДП</w:t>
      </w:r>
    </w:p>
    <w:p w14:paraId="09FEE721" w14:textId="77777777" w:rsidR="006B2397" w:rsidRPr="00646254" w:rsidRDefault="006B2397" w:rsidP="008265F0">
      <w:pPr>
        <w:spacing w:line="256" w:lineRule="auto"/>
        <w:rPr>
          <w:rFonts w:ascii="Calibri" w:eastAsia="Calibri" w:hAnsi="Calibri" w:cs="Times New Roman"/>
          <w:b/>
          <w:lang w:val="sr-Cyrl-CS"/>
        </w:rPr>
      </w:pPr>
      <w:r w:rsidRPr="00646254">
        <w:rPr>
          <w:noProof/>
        </w:rPr>
        <w:drawing>
          <wp:inline distT="0" distB="0" distL="0" distR="0" wp14:anchorId="3F59169A" wp14:editId="57C4FA52">
            <wp:extent cx="2757170" cy="3339871"/>
            <wp:effectExtent l="0" t="0" r="5080" b="0"/>
            <wp:docPr id="93" name="Chart 93"/>
            <wp:cNvGraphicFramePr/>
            <a:graphic xmlns:a="http://schemas.openxmlformats.org/drawingml/2006/main">
              <a:graphicData uri="http://schemas.openxmlformats.org/drawingml/2006/chart">
                <c:chart xmlns:c="http://schemas.openxmlformats.org/drawingml/2006/chart" xmlns:r="http://schemas.openxmlformats.org/officeDocument/2006/relationships" r:id="rId191"/>
              </a:graphicData>
            </a:graphic>
          </wp:inline>
        </w:drawing>
      </w:r>
    </w:p>
    <w:p w14:paraId="12F58168" w14:textId="77777777" w:rsidR="006B2397" w:rsidRPr="00646254" w:rsidRDefault="006B2397" w:rsidP="00BA266B">
      <w:pPr>
        <w:rPr>
          <w:rFonts w:ascii="Calibri" w:eastAsia="Calibri" w:hAnsi="Calibri" w:cs="Calibri"/>
          <w:bCs/>
          <w:szCs w:val="72"/>
          <w:lang w:val="sr-Cyrl-CS"/>
        </w:rPr>
      </w:pPr>
      <w:r w:rsidRPr="00646254">
        <w:rPr>
          <w:rFonts w:ascii="Calibri" w:eastAsia="Calibri" w:hAnsi="Calibri" w:cs="Calibri"/>
          <w:bCs/>
          <w:szCs w:val="72"/>
          <w:lang w:val="sr-Cyrl-CS"/>
        </w:rPr>
        <w:t>На графикону је представљено кретање рација јавног дуга централног нивоа државе и БДП у зависности од промене курса динара према одређеној корпи валута. Приказана је основна пројекција са алтернативним сценаријима у зависности од апрецијације, односно депрецијације курса динара у распону од 10% апрецијације до 10% депрецијације динара у односу на корпу валута. Применом наведених сценарија може се видети да би се рацио за 2024. годину кретао у распону од 49,1% до 56,3%, док би за основни сценарио био на нивоу од 52,7%.</w:t>
      </w:r>
    </w:p>
    <w:p w14:paraId="6F7230E5" w14:textId="77777777" w:rsidR="006B2397" w:rsidRPr="00646254" w:rsidRDefault="006B2397" w:rsidP="00BA266B">
      <w:pPr>
        <w:rPr>
          <w:rFonts w:ascii="Calibri" w:eastAsia="Calibri" w:hAnsi="Calibri" w:cs="Calibri"/>
          <w:bCs/>
          <w:spacing w:val="-2"/>
          <w:szCs w:val="72"/>
          <w:lang w:val="sr-Cyrl-CS"/>
        </w:rPr>
      </w:pPr>
      <w:r w:rsidRPr="00646254">
        <w:rPr>
          <w:rFonts w:ascii="Calibri" w:eastAsia="Calibri" w:hAnsi="Calibri" w:cs="Calibri"/>
          <w:bCs/>
          <w:spacing w:val="-2"/>
          <w:szCs w:val="72"/>
          <w:lang w:val="sr-Cyrl-CS"/>
        </w:rPr>
        <w:t>Главни ризици за остварење Стратегије, поред горе наведених фактора који су квантификовани, су и стабилност макроекономске ситуације у Републици Србији, потребе за додатним задуживањем како би се регулисали дугови на другим нивоима власти, јавном сектору и финансијском сектору Републике Србије и активирање датих гаранција.</w:t>
      </w:r>
    </w:p>
    <w:p w14:paraId="0ACAB14A" w14:textId="77777777" w:rsidR="006B2397" w:rsidRPr="00646254" w:rsidRDefault="006B2397" w:rsidP="00BA266B">
      <w:pPr>
        <w:rPr>
          <w:rFonts w:ascii="Calibri" w:eastAsia="Calibri" w:hAnsi="Calibri" w:cs="Calibri"/>
          <w:bCs/>
          <w:szCs w:val="72"/>
          <w:lang w:val="sr-Cyrl-CS"/>
        </w:rPr>
      </w:pPr>
      <w:r w:rsidRPr="00646254">
        <w:rPr>
          <w:rFonts w:ascii="Calibri" w:eastAsia="Calibri" w:hAnsi="Calibri" w:cs="Calibri"/>
          <w:bCs/>
          <w:szCs w:val="72"/>
          <w:lang w:val="sr-Cyrl-CS"/>
        </w:rPr>
        <w:t>Важно је напоменути да смањењу јавног дуга у односу на БДП доприноси и адекватна контрола издавања гаранција и унапређење процеса приоритизације инвестиционих пројеката, који се финансирају из кредитних линија мултилатералних и билатералних кредитора. Почев од 2015. године, гаранције се издају само за пројектне (инвестиционе) зајмове, односно прекинуто је издавање гаранција за зајмове за текућу ликвидност јавним предузећима, што је значајно утицало на смањење стања гарантованог јавног дуга у претходних шест година.</w:t>
      </w:r>
    </w:p>
    <w:p w14:paraId="1D000D2C" w14:textId="77777777" w:rsidR="006B2397" w:rsidRPr="00646254" w:rsidRDefault="006B2397" w:rsidP="008265F0">
      <w:pPr>
        <w:spacing w:line="256" w:lineRule="auto"/>
        <w:rPr>
          <w:rFonts w:ascii="Calibri" w:eastAsia="Calibri" w:hAnsi="Calibri" w:cs="Times New Roman"/>
          <w:b/>
          <w:color w:val="2F5496" w:themeColor="accent1" w:themeShade="BF"/>
          <w:sz w:val="22"/>
          <w:lang w:val="sr-Cyrl-CS"/>
        </w:rPr>
      </w:pPr>
      <w:r w:rsidRPr="00646254">
        <w:rPr>
          <w:rFonts w:ascii="Calibri" w:eastAsia="Calibri" w:hAnsi="Calibri" w:cs="Times New Roman"/>
          <w:b/>
          <w:color w:val="2F5496" w:themeColor="accent1" w:themeShade="BF"/>
          <w:sz w:val="22"/>
          <w:lang w:val="sr-Cyrl-CS"/>
        </w:rPr>
        <w:t>Дугорочни стратешки оквир за управљање јавним дугом</w:t>
      </w:r>
    </w:p>
    <w:p w14:paraId="260607AF" w14:textId="77777777" w:rsidR="006B2397" w:rsidRPr="00646254" w:rsidRDefault="006B2397" w:rsidP="00BA266B">
      <w:pPr>
        <w:rPr>
          <w:rFonts w:ascii="Calibri" w:eastAsia="Calibri" w:hAnsi="Calibri" w:cs="Calibri"/>
          <w:bCs/>
          <w:szCs w:val="72"/>
          <w:lang w:val="sr-Cyrl-CS"/>
        </w:rPr>
      </w:pPr>
      <w:r w:rsidRPr="00646254">
        <w:rPr>
          <w:rFonts w:ascii="Calibri" w:eastAsia="Calibri" w:hAnsi="Calibri" w:cs="Calibri"/>
          <w:bCs/>
          <w:szCs w:val="72"/>
          <w:lang w:val="sr-Cyrl-CS"/>
        </w:rPr>
        <w:t>Основни стратешки циљеви којима је потребно тежити у наредном дугорочном периоду, како би се минимизирали ризици повећања задужености и трошкова сервисирања јавног дуга су:</w:t>
      </w:r>
    </w:p>
    <w:p w14:paraId="50618EFA" w14:textId="77777777" w:rsidR="006B2397" w:rsidRPr="00646254" w:rsidRDefault="006B2397" w:rsidP="00BA266B">
      <w:pPr>
        <w:numPr>
          <w:ilvl w:val="0"/>
          <w:numId w:val="13"/>
        </w:numPr>
        <w:ind w:left="142" w:hanging="142"/>
        <w:contextualSpacing/>
        <w:rPr>
          <w:rFonts w:ascii="Calibri" w:eastAsia="Calibri" w:hAnsi="Calibri" w:cs="Calibri"/>
          <w:bCs/>
          <w:szCs w:val="72"/>
          <w:lang w:val="sr-Cyrl-CS"/>
        </w:rPr>
      </w:pPr>
      <w:r w:rsidRPr="00646254">
        <w:rPr>
          <w:rFonts w:ascii="Calibri" w:eastAsia="Calibri" w:hAnsi="Calibri" w:cs="Calibri"/>
          <w:bCs/>
          <w:szCs w:val="72"/>
          <w:lang w:val="sr-Cyrl-CS"/>
        </w:rPr>
        <w:t>да учешће дуга деноминованог у динарима износи најмање 30% укупног јавног дуга на средњи рок;</w:t>
      </w:r>
    </w:p>
    <w:p w14:paraId="49B6F4D2" w14:textId="77777777" w:rsidR="006B2397" w:rsidRPr="00646254" w:rsidRDefault="006B2397" w:rsidP="00BA266B">
      <w:pPr>
        <w:numPr>
          <w:ilvl w:val="0"/>
          <w:numId w:val="13"/>
        </w:numPr>
        <w:ind w:left="142" w:hanging="142"/>
        <w:contextualSpacing/>
        <w:rPr>
          <w:rFonts w:ascii="Calibri" w:eastAsia="Calibri" w:hAnsi="Calibri" w:cs="Calibri"/>
          <w:bCs/>
          <w:szCs w:val="72"/>
          <w:lang w:val="sr-Cyrl-CS"/>
        </w:rPr>
      </w:pPr>
      <w:r w:rsidRPr="00646254">
        <w:rPr>
          <w:rFonts w:ascii="Calibri" w:eastAsia="Calibri" w:hAnsi="Calibri" w:cs="Calibri"/>
          <w:bCs/>
          <w:szCs w:val="72"/>
          <w:lang w:val="sr-Cyrl-CS"/>
        </w:rPr>
        <w:t>да учешће дуга деноминованог у еврима у јавном дугу износи најмање 65% дуга у ино-валути, укључујући будућа задуживања и трансакције;</w:t>
      </w:r>
    </w:p>
    <w:p w14:paraId="0ADAFAA1" w14:textId="77777777" w:rsidR="006B2397" w:rsidRPr="00646254" w:rsidRDefault="006B2397" w:rsidP="00BA266B">
      <w:pPr>
        <w:numPr>
          <w:ilvl w:val="0"/>
          <w:numId w:val="13"/>
        </w:numPr>
        <w:ind w:left="142" w:hanging="142"/>
        <w:contextualSpacing/>
        <w:rPr>
          <w:rFonts w:ascii="Calibri" w:eastAsia="Calibri" w:hAnsi="Calibri" w:cs="Calibri"/>
          <w:bCs/>
          <w:szCs w:val="72"/>
          <w:lang w:val="sr-Cyrl-CS"/>
        </w:rPr>
      </w:pPr>
      <w:r w:rsidRPr="00646254">
        <w:rPr>
          <w:rFonts w:ascii="Calibri" w:eastAsia="Calibri" w:hAnsi="Calibri" w:cs="Calibri"/>
          <w:bCs/>
          <w:szCs w:val="72"/>
          <w:lang w:val="sr-Cyrl-CS"/>
        </w:rPr>
        <w:t>да учешће дуга са варијабилном каматном стопом износи испод 15% у средњорочном интервалу;</w:t>
      </w:r>
    </w:p>
    <w:p w14:paraId="0DCD99E7" w14:textId="77777777" w:rsidR="006B2397" w:rsidRPr="00646254" w:rsidRDefault="006B2397" w:rsidP="00BA266B">
      <w:pPr>
        <w:numPr>
          <w:ilvl w:val="0"/>
          <w:numId w:val="13"/>
        </w:numPr>
        <w:ind w:left="142" w:hanging="142"/>
        <w:contextualSpacing/>
        <w:rPr>
          <w:rFonts w:ascii="Calibri" w:eastAsia="Calibri" w:hAnsi="Calibri" w:cs="Calibri"/>
          <w:bCs/>
          <w:szCs w:val="72"/>
          <w:lang w:val="sr-Cyrl-CS"/>
        </w:rPr>
      </w:pPr>
      <w:r w:rsidRPr="00646254">
        <w:rPr>
          <w:rFonts w:ascii="Calibri" w:eastAsia="Calibri" w:hAnsi="Calibri" w:cs="Calibri"/>
          <w:bCs/>
          <w:szCs w:val="72"/>
          <w:lang w:val="sr-Cyrl-CS"/>
        </w:rPr>
        <w:t>да просечно време до промене каматне стопе (АТR) буде одржавано на нивоу од минимум 5,0 година, у складу са горе наведеном мером постепеног смањивања учешћа дуга са варијабилним каматним стопама;</w:t>
      </w:r>
    </w:p>
    <w:p w14:paraId="2395FB3A" w14:textId="77777777" w:rsidR="006B2397" w:rsidRPr="00646254" w:rsidRDefault="006B2397" w:rsidP="00BA266B">
      <w:pPr>
        <w:numPr>
          <w:ilvl w:val="0"/>
          <w:numId w:val="13"/>
        </w:numPr>
        <w:ind w:left="142" w:hanging="142"/>
        <w:contextualSpacing/>
        <w:rPr>
          <w:rFonts w:ascii="Calibri" w:eastAsia="Calibri" w:hAnsi="Calibri" w:cs="Calibri"/>
          <w:bCs/>
          <w:szCs w:val="72"/>
          <w:lang w:val="sr-Cyrl-CS"/>
        </w:rPr>
      </w:pPr>
      <w:r w:rsidRPr="00646254">
        <w:rPr>
          <w:rFonts w:ascii="Calibri" w:eastAsia="Calibri" w:hAnsi="Calibri" w:cs="Calibri"/>
          <w:bCs/>
          <w:szCs w:val="72"/>
          <w:lang w:val="sr-Cyrl-CS"/>
        </w:rPr>
        <w:t>да просечна пондерисана каматна стопа (WAIR) на јавни дуг у домаћој валути не прелази 5,00%;</w:t>
      </w:r>
    </w:p>
    <w:p w14:paraId="4BD39E69" w14:textId="77777777" w:rsidR="006B2397" w:rsidRPr="00646254" w:rsidRDefault="006B2397" w:rsidP="00BA266B">
      <w:pPr>
        <w:numPr>
          <w:ilvl w:val="0"/>
          <w:numId w:val="13"/>
        </w:numPr>
        <w:ind w:left="142" w:hanging="142"/>
        <w:contextualSpacing/>
        <w:rPr>
          <w:rFonts w:ascii="Calibri" w:eastAsia="Calibri" w:hAnsi="Calibri" w:cs="Calibri"/>
          <w:bCs/>
          <w:szCs w:val="72"/>
          <w:lang w:val="sr-Cyrl-CS"/>
        </w:rPr>
      </w:pPr>
      <w:r w:rsidRPr="00646254">
        <w:rPr>
          <w:rFonts w:ascii="Calibri" w:eastAsia="Calibri" w:hAnsi="Calibri" w:cs="Calibri"/>
          <w:bCs/>
          <w:szCs w:val="72"/>
          <w:lang w:val="sr-Cyrl-CS"/>
        </w:rPr>
        <w:t>да учешће краткорочног дуга (чије је доспеће до годину дана) износи до 15% укупног јавног дуга;</w:t>
      </w:r>
    </w:p>
    <w:p w14:paraId="107100C8" w14:textId="77777777" w:rsidR="006B2397" w:rsidRPr="00646254" w:rsidRDefault="006B2397" w:rsidP="00BA266B">
      <w:pPr>
        <w:numPr>
          <w:ilvl w:val="0"/>
          <w:numId w:val="13"/>
        </w:numPr>
        <w:ind w:left="142" w:hanging="142"/>
        <w:contextualSpacing/>
        <w:rPr>
          <w:rFonts w:ascii="Calibri" w:eastAsia="Calibri" w:hAnsi="Calibri" w:cs="Calibri"/>
          <w:bCs/>
          <w:szCs w:val="72"/>
          <w:lang w:val="sr-Cyrl-CS"/>
        </w:rPr>
      </w:pPr>
      <w:r w:rsidRPr="00646254">
        <w:rPr>
          <w:rFonts w:ascii="Calibri" w:eastAsia="Calibri" w:hAnsi="Calibri" w:cs="Calibri"/>
          <w:bCs/>
          <w:szCs w:val="72"/>
          <w:lang w:val="sr-Cyrl-CS"/>
        </w:rPr>
        <w:t>да просечно време до доспећа (АТМ) унутрашњег дуга буде на нивоу од најмање 5,0 година на средњи рок;</w:t>
      </w:r>
    </w:p>
    <w:p w14:paraId="5A37BBF1" w14:textId="77777777" w:rsidR="006B2397" w:rsidRPr="00646254" w:rsidRDefault="006B2397" w:rsidP="00BA266B">
      <w:pPr>
        <w:numPr>
          <w:ilvl w:val="0"/>
          <w:numId w:val="13"/>
        </w:numPr>
        <w:ind w:left="142" w:hanging="142"/>
        <w:rPr>
          <w:rFonts w:ascii="Calibri" w:eastAsia="Calibri" w:hAnsi="Calibri" w:cs="Calibri"/>
          <w:bCs/>
          <w:szCs w:val="72"/>
          <w:lang w:val="sr-Cyrl-CS"/>
        </w:rPr>
      </w:pPr>
      <w:r w:rsidRPr="00646254">
        <w:rPr>
          <w:rFonts w:ascii="Calibri" w:eastAsia="Calibri" w:hAnsi="Calibri" w:cs="Calibri"/>
          <w:bCs/>
          <w:szCs w:val="72"/>
          <w:lang w:val="sr-Cyrl-CS"/>
        </w:rPr>
        <w:t>да се просечно време до доспећа (АТМ) спољног дуга одржава на нивоу од 7,0 ± 0,5 година у истом временском хоризонту.</w:t>
      </w:r>
    </w:p>
    <w:p w14:paraId="2EE2D828" w14:textId="77777777" w:rsidR="006B2397" w:rsidRPr="00646254" w:rsidRDefault="006B2397" w:rsidP="008265F0">
      <w:pPr>
        <w:spacing w:after="240" w:line="256" w:lineRule="auto"/>
        <w:jc w:val="center"/>
        <w:rPr>
          <w:rFonts w:ascii="Calibri" w:eastAsia="Calibri" w:hAnsi="Calibri" w:cs="Times New Roman"/>
          <w:b/>
          <w:color w:val="002060"/>
          <w:spacing w:val="-2"/>
          <w:lang w:val="sr-Cyrl-CS"/>
        </w:rPr>
      </w:pPr>
      <w:r w:rsidRPr="00646254">
        <w:rPr>
          <w:rFonts w:ascii="Calibri" w:eastAsia="Calibri" w:hAnsi="Calibri" w:cs="Times New Roman"/>
          <w:b/>
          <w:color w:val="002060"/>
          <w:spacing w:val="-2"/>
          <w:lang w:val="sr-Cyrl-CS"/>
        </w:rPr>
        <w:t xml:space="preserve">Кретање приноса до доспећа динарских </w:t>
      </w:r>
      <w:r w:rsidRPr="00646254">
        <w:rPr>
          <w:rFonts w:ascii="Calibri" w:eastAsia="Calibri" w:hAnsi="Calibri" w:cs="Calibri"/>
          <w:b/>
          <w:bCs/>
          <w:color w:val="002060"/>
          <w:spacing w:val="-2"/>
          <w:szCs w:val="72"/>
          <w:lang w:val="sr-Cyrl-CS"/>
        </w:rPr>
        <w:t>„</w:t>
      </w:r>
      <w:r w:rsidRPr="00646254">
        <w:rPr>
          <w:rFonts w:ascii="Calibri" w:eastAsia="Calibri" w:hAnsi="Calibri" w:cs="Times New Roman"/>
          <w:b/>
          <w:color w:val="002060"/>
          <w:spacing w:val="-2"/>
          <w:lang w:val="sr-Cyrl-CS"/>
        </w:rPr>
        <w:t>бенчмарк” емисија укључених у GBI-EM Global Diversified Index на секундарном трговању</w:t>
      </w:r>
    </w:p>
    <w:p w14:paraId="4F8B50F8" w14:textId="77777777" w:rsidR="006B2397" w:rsidRPr="00646254" w:rsidRDefault="006B2397" w:rsidP="008265F0">
      <w:pPr>
        <w:spacing w:after="240" w:line="256" w:lineRule="auto"/>
        <w:jc w:val="center"/>
        <w:rPr>
          <w:rFonts w:ascii="Calibri" w:eastAsia="Calibri" w:hAnsi="Calibri" w:cs="Times New Roman"/>
          <w:b/>
          <w:lang w:val="sr-Cyrl-CS"/>
        </w:rPr>
      </w:pPr>
    </w:p>
    <w:p w14:paraId="2EAE1D26" w14:textId="77777777" w:rsidR="006B2397" w:rsidRPr="00646254" w:rsidRDefault="006B2397" w:rsidP="008265F0">
      <w:pPr>
        <w:spacing w:after="40" w:line="256" w:lineRule="auto"/>
        <w:jc w:val="center"/>
        <w:rPr>
          <w:rFonts w:ascii="Calibri" w:eastAsia="Calibri" w:hAnsi="Calibri" w:cs="Times New Roman"/>
          <w:b/>
          <w:bCs/>
          <w:color w:val="002060"/>
          <w:lang w:val="sr-Cyrl-CS"/>
        </w:rPr>
      </w:pPr>
      <w:r w:rsidRPr="00646254">
        <w:rPr>
          <w:noProof/>
        </w:rPr>
        <w:drawing>
          <wp:inline distT="0" distB="0" distL="0" distR="0" wp14:anchorId="3AC3F69A" wp14:editId="0AD8517C">
            <wp:extent cx="2757170" cy="1987064"/>
            <wp:effectExtent l="0" t="0" r="5080" b="0"/>
            <wp:docPr id="94" name="Chart 94"/>
            <wp:cNvGraphicFramePr/>
            <a:graphic xmlns:a="http://schemas.openxmlformats.org/drawingml/2006/main">
              <a:graphicData uri="http://schemas.openxmlformats.org/drawingml/2006/chart">
                <c:chart xmlns:c="http://schemas.openxmlformats.org/drawingml/2006/chart" xmlns:r="http://schemas.openxmlformats.org/officeDocument/2006/relationships" r:id="rId192"/>
              </a:graphicData>
            </a:graphic>
          </wp:inline>
        </w:drawing>
      </w:r>
    </w:p>
    <w:p w14:paraId="68A11996" w14:textId="77777777" w:rsidR="006B2397" w:rsidRPr="00646254" w:rsidRDefault="006B2397" w:rsidP="008265F0">
      <w:pPr>
        <w:spacing w:after="40" w:line="256" w:lineRule="auto"/>
        <w:jc w:val="center"/>
        <w:rPr>
          <w:rFonts w:ascii="Calibri" w:eastAsia="Calibri" w:hAnsi="Calibri" w:cs="Times New Roman"/>
          <w:b/>
          <w:bCs/>
          <w:color w:val="002060"/>
          <w:lang w:val="sr-Cyrl-CS"/>
        </w:rPr>
      </w:pPr>
    </w:p>
    <w:p w14:paraId="075F8715" w14:textId="0246A2A3" w:rsidR="006B2397" w:rsidRPr="00646254" w:rsidRDefault="006B2397" w:rsidP="008265F0">
      <w:pPr>
        <w:spacing w:after="40" w:line="256" w:lineRule="auto"/>
        <w:jc w:val="center"/>
        <w:rPr>
          <w:rFonts w:ascii="Calibri" w:eastAsia="Calibri" w:hAnsi="Calibri" w:cs="Times New Roman"/>
          <w:b/>
          <w:color w:val="002060"/>
          <w:spacing w:val="-2"/>
          <w:lang w:val="sr-Cyrl-CS"/>
        </w:rPr>
      </w:pPr>
      <w:r w:rsidRPr="00646254">
        <w:rPr>
          <w:rFonts w:ascii="Calibri" w:eastAsia="Calibri" w:hAnsi="Calibri" w:cs="Times New Roman"/>
          <w:b/>
          <w:bCs/>
          <w:color w:val="002060"/>
          <w:lang w:val="sr-Cyrl-CS"/>
        </w:rPr>
        <w:br w:type="column"/>
        <w:t xml:space="preserve">Просечно време до доспећа (АТМ) државних хартија од вредности емитованих на домаћем финансијском тржишту у периоду </w:t>
      </w:r>
      <w:r w:rsidRPr="00646254">
        <w:rPr>
          <w:rFonts w:ascii="Calibri" w:eastAsia="Calibri" w:hAnsi="Calibri" w:cs="Times New Roman"/>
          <w:b/>
          <w:bCs/>
          <w:color w:val="002060"/>
          <w:lang w:val="sr-Cyrl-CS"/>
        </w:rPr>
        <w:br w:type="textWrapping" w:clear="all"/>
        <w:t>01. јануар 2017.–</w:t>
      </w:r>
      <w:r w:rsidRPr="00646254">
        <w:rPr>
          <w:rFonts w:ascii="Calibri" w:eastAsia="Calibri" w:hAnsi="Calibri" w:cs="Times New Roman"/>
          <w:b/>
          <w:color w:val="002060"/>
          <w:spacing w:val="-2"/>
          <w:lang w:val="sr-Cyrl-CS"/>
        </w:rPr>
        <w:t>31. август 2021. године</w:t>
      </w:r>
    </w:p>
    <w:p w14:paraId="76CDE035" w14:textId="77777777" w:rsidR="006B2397" w:rsidRPr="00646254" w:rsidRDefault="006B2397" w:rsidP="00EF25B6">
      <w:pPr>
        <w:spacing w:line="257" w:lineRule="auto"/>
        <w:jc w:val="center"/>
        <w:rPr>
          <w:rFonts w:ascii="Calibri" w:eastAsia="Calibri" w:hAnsi="Calibri" w:cs="Times New Roman"/>
          <w:b/>
          <w:color w:val="002060"/>
          <w:spacing w:val="-2"/>
          <w:sz w:val="12"/>
          <w:szCs w:val="12"/>
          <w:lang w:val="sr-Cyrl-CS"/>
        </w:rPr>
      </w:pPr>
    </w:p>
    <w:p w14:paraId="531F3834" w14:textId="77777777" w:rsidR="006B2397" w:rsidRPr="00646254" w:rsidRDefault="006B2397" w:rsidP="008265F0">
      <w:pPr>
        <w:spacing w:line="256" w:lineRule="auto"/>
        <w:rPr>
          <w:rFonts w:ascii="Calibri" w:eastAsia="Calibri" w:hAnsi="Calibri" w:cs="Times New Roman"/>
          <w:b/>
          <w:color w:val="2F5496" w:themeColor="accent1" w:themeShade="BF"/>
          <w:sz w:val="22"/>
          <w:lang w:val="sr-Cyrl-CS"/>
        </w:rPr>
      </w:pPr>
      <w:r w:rsidRPr="00646254">
        <w:rPr>
          <w:noProof/>
        </w:rPr>
        <w:drawing>
          <wp:inline distT="0" distB="0" distL="0" distR="0" wp14:anchorId="27BAA5DD" wp14:editId="3E79E262">
            <wp:extent cx="2757170" cy="2421332"/>
            <wp:effectExtent l="0" t="0" r="5080" b="0"/>
            <wp:docPr id="26" name="Chart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193"/>
              </a:graphicData>
            </a:graphic>
          </wp:inline>
        </w:drawing>
      </w:r>
    </w:p>
    <w:p w14:paraId="1D2E3D54" w14:textId="77777777" w:rsidR="006B2397" w:rsidRPr="00646254" w:rsidRDefault="006B2397" w:rsidP="008265F0">
      <w:pPr>
        <w:spacing w:line="256" w:lineRule="auto"/>
        <w:rPr>
          <w:rFonts w:ascii="Calibri" w:eastAsia="Calibri" w:hAnsi="Calibri" w:cs="Times New Roman"/>
          <w:b/>
          <w:color w:val="2F5496" w:themeColor="accent1" w:themeShade="BF"/>
          <w:sz w:val="22"/>
          <w:lang w:val="sr-Cyrl-CS"/>
        </w:rPr>
      </w:pPr>
      <w:r w:rsidRPr="00646254">
        <w:rPr>
          <w:rFonts w:ascii="Calibri" w:eastAsia="Calibri" w:hAnsi="Calibri" w:cs="Times New Roman"/>
          <w:b/>
          <w:color w:val="2F5496" w:themeColor="accent1" w:themeShade="BF"/>
          <w:sz w:val="22"/>
          <w:lang w:val="sr-Cyrl-CS"/>
        </w:rPr>
        <w:t>Мере за унапређење тржишта динарских хартија од вредности у периоду 2022–2024. године</w:t>
      </w:r>
    </w:p>
    <w:p w14:paraId="11F37A7D" w14:textId="77777777" w:rsidR="006B2397" w:rsidRPr="00646254" w:rsidRDefault="006B2397" w:rsidP="00BA266B">
      <w:pPr>
        <w:rPr>
          <w:rFonts w:ascii="Calibri" w:eastAsia="Calibri" w:hAnsi="Calibri" w:cs="Calibri"/>
          <w:bCs/>
          <w:szCs w:val="72"/>
          <w:lang w:val="sr-Cyrl-CS"/>
        </w:rPr>
      </w:pPr>
      <w:r w:rsidRPr="00646254">
        <w:rPr>
          <w:rFonts w:ascii="Calibri" w:eastAsia="Calibri" w:hAnsi="Calibri" w:cs="Calibri"/>
          <w:bCs/>
          <w:szCs w:val="72"/>
          <w:lang w:val="sr-Cyrl-CS"/>
        </w:rPr>
        <w:t>Тржиште државних хартија од вредности, у периоду од 2012. године до августа 2021. године, карактерише испуњавање зацртаних стратешких циљева, првенствено у погледу инструмената финансирања, као и у развоју и одржавању стабилности диверсификоване базе инвеститора. Преласком са краткорочних извора финансирања који се везују за период до 2010. године, на средњорочне и дугорочне инструменте финансирања, уз константно смањење трошкова задуживања, утиче се на смањење ризика рефинансирања, као једног од примарних ризика у процесу управљања јавним дугом. На крају 2013. године учешће дугорочних динарских инструмената по оригиналној рочности од три и више година износило је 38,3% у стању динарских хартија од вредности, док је на крају августа 2021. године износило 92,2%.</w:t>
      </w:r>
    </w:p>
    <w:p w14:paraId="730C55E0" w14:textId="77777777" w:rsidR="006B2397" w:rsidRPr="00646254" w:rsidRDefault="006B2397">
      <w:pPr>
        <w:jc w:val="left"/>
        <w:rPr>
          <w:rFonts w:ascii="Calibri" w:eastAsia="Calibri" w:hAnsi="Calibri" w:cs="Calibri"/>
          <w:bCs/>
          <w:szCs w:val="72"/>
          <w:lang w:val="sr-Cyrl-CS"/>
        </w:rPr>
      </w:pPr>
      <w:r w:rsidRPr="00646254">
        <w:rPr>
          <w:rFonts w:ascii="Calibri" w:eastAsia="Calibri" w:hAnsi="Calibri" w:cs="Calibri"/>
          <w:bCs/>
          <w:szCs w:val="72"/>
          <w:lang w:val="sr-Cyrl-CS"/>
        </w:rPr>
        <w:br w:type="page"/>
      </w:r>
    </w:p>
    <w:p w14:paraId="44AEBF03" w14:textId="0AC6EFAA" w:rsidR="006B2397" w:rsidRPr="00646254" w:rsidRDefault="006B2397" w:rsidP="00BA266B">
      <w:pPr>
        <w:rPr>
          <w:rFonts w:ascii="Calibri" w:eastAsia="Calibri" w:hAnsi="Calibri" w:cs="Calibri"/>
          <w:bCs/>
          <w:spacing w:val="-2"/>
          <w:szCs w:val="72"/>
          <w:lang w:val="sr-Cyrl-CS"/>
        </w:rPr>
      </w:pPr>
      <w:r w:rsidRPr="00646254">
        <w:rPr>
          <w:rFonts w:ascii="Calibri" w:eastAsia="Calibri" w:hAnsi="Calibri" w:cs="Calibri"/>
          <w:bCs/>
          <w:szCs w:val="72"/>
          <w:lang w:val="sr-Cyrl-CS"/>
        </w:rPr>
        <w:t>Транспарентност у раду и извештавању, као и присутност на међународном тржишту капитала, утичу на информисаност, а тиме и на заинтересованост нерезидената да инвестирају капитал у дужничке инструменте, првенствено у државне динарске дугорочне хартије од вредности, чиме се остварује раст стабилне базе инвеститора. Услед успешне реализације „бенчмарк</w:t>
      </w:r>
      <w:r w:rsidRPr="00646254">
        <w:rPr>
          <w:rFonts w:eastAsia="MS PGothic" w:cstheme="minorHAnsi"/>
          <w:szCs w:val="20"/>
          <w:lang w:val="sr-Cyrl-CS" w:eastAsia="ja-JP"/>
        </w:rPr>
        <w:t>”</w:t>
      </w:r>
      <w:r w:rsidRPr="00646254">
        <w:rPr>
          <w:rFonts w:ascii="Calibri" w:eastAsia="Calibri" w:hAnsi="Calibri" w:cs="Calibri"/>
          <w:bCs/>
          <w:szCs w:val="72"/>
          <w:lang w:val="sr-Cyrl-CS"/>
        </w:rPr>
        <w:t xml:space="preserve"> емисија током 2014. и 2015. године, са истом праксом је настављено током 2016. године. У фебруару и јулу 2016. године емитоване су „бенчмарк</w:t>
      </w:r>
      <w:r w:rsidRPr="00646254">
        <w:rPr>
          <w:rFonts w:eastAsia="MS PGothic" w:cstheme="minorHAnsi"/>
          <w:szCs w:val="20"/>
          <w:lang w:val="sr-Cyrl-CS" w:eastAsia="ja-JP"/>
        </w:rPr>
        <w:t>”</w:t>
      </w:r>
      <w:r w:rsidRPr="00646254">
        <w:rPr>
          <w:rFonts w:ascii="Calibri" w:eastAsia="Calibri" w:hAnsi="Calibri" w:cs="Calibri"/>
          <w:bCs/>
          <w:szCs w:val="72"/>
          <w:lang w:val="sr-Cyrl-CS"/>
        </w:rPr>
        <w:t xml:space="preserve"> трогодишња и седмогодишња обвезница обима емисије по 110,0 млрд динара. У априлу 2017. године емитована је трогодишња „бенчмарк</w:t>
      </w:r>
      <w:r w:rsidRPr="00646254">
        <w:rPr>
          <w:rFonts w:eastAsia="MS PGothic" w:cstheme="minorHAnsi"/>
          <w:szCs w:val="20"/>
          <w:lang w:val="sr-Cyrl-CS" w:eastAsia="ja-JP"/>
        </w:rPr>
        <w:t>”</w:t>
      </w:r>
      <w:r w:rsidRPr="00646254">
        <w:rPr>
          <w:rFonts w:ascii="Calibri" w:eastAsia="Calibri" w:hAnsi="Calibri" w:cs="Calibri"/>
          <w:bCs/>
          <w:szCs w:val="72"/>
          <w:lang w:val="sr-Cyrl-CS"/>
        </w:rPr>
        <w:t xml:space="preserve"> обвезница обима емисије у износу од 110,0 млрд динара. У јануару и фебруару 2018. године емитоване су „бенчмарк</w:t>
      </w:r>
      <w:r w:rsidRPr="00646254">
        <w:rPr>
          <w:rFonts w:eastAsia="MS PGothic" w:cstheme="minorHAnsi"/>
          <w:szCs w:val="20"/>
          <w:lang w:val="sr-Cyrl-CS" w:eastAsia="ja-JP"/>
        </w:rPr>
        <w:t>”</w:t>
      </w:r>
      <w:r w:rsidRPr="00646254">
        <w:rPr>
          <w:rFonts w:ascii="Calibri" w:eastAsia="Calibri" w:hAnsi="Calibri" w:cs="Calibri"/>
          <w:bCs/>
          <w:szCs w:val="72"/>
          <w:lang w:val="sr-Cyrl-CS"/>
        </w:rPr>
        <w:t xml:space="preserve"> петогодишња и десетогодишња обвезница обима емисије по 110,0 млрд динара. У јануару 2019. године емитоване су „бенчмарк</w:t>
      </w:r>
      <w:r w:rsidRPr="00646254">
        <w:rPr>
          <w:rFonts w:eastAsia="MS PGothic" w:cstheme="minorHAnsi"/>
          <w:szCs w:val="20"/>
          <w:lang w:val="sr-Cyrl-CS" w:eastAsia="ja-JP"/>
        </w:rPr>
        <w:t>”</w:t>
      </w:r>
      <w:r w:rsidRPr="00646254">
        <w:rPr>
          <w:rFonts w:ascii="Calibri" w:eastAsia="Calibri" w:hAnsi="Calibri" w:cs="Calibri"/>
          <w:bCs/>
          <w:szCs w:val="72"/>
          <w:lang w:val="sr-Cyrl-CS"/>
        </w:rPr>
        <w:t xml:space="preserve"> трогодишња и седмогодишња обвезница обима емисије 100,0 и 150,0 млрд динара. </w:t>
      </w:r>
      <w:r w:rsidRPr="00646254">
        <w:rPr>
          <w:rFonts w:ascii="Calibri" w:eastAsia="Calibri" w:hAnsi="Calibri" w:cs="Calibri"/>
          <w:bCs/>
          <w:spacing w:val="-2"/>
          <w:szCs w:val="72"/>
          <w:lang w:val="sr-Cyrl-CS"/>
        </w:rPr>
        <w:t>У јануару и фебруару 2020. године по први пут су емитоване петоипогодишње и дванаестоипогодишње обвезнице са полугодишњим купоном. У 2021. години изменама Уредбе о општим условима за емисију и продају државних хартија од вредности на примарном тржишту („</w:t>
      </w:r>
      <w:r w:rsidR="00C6397B">
        <w:rPr>
          <w:rFonts w:ascii="Calibri" w:eastAsia="Calibri" w:hAnsi="Calibri" w:cs="Calibri"/>
          <w:bCs/>
          <w:spacing w:val="-2"/>
          <w:szCs w:val="72"/>
          <w:lang w:val="sr-Cyrl-CS"/>
        </w:rPr>
        <w:t>Службени гласник РС”, бр. 100/14, 78/17, 66/18, 78/18 и 140/</w:t>
      </w:r>
      <w:r w:rsidRPr="00646254">
        <w:rPr>
          <w:rFonts w:ascii="Calibri" w:eastAsia="Calibri" w:hAnsi="Calibri" w:cs="Calibri"/>
          <w:bCs/>
          <w:spacing w:val="-2"/>
          <w:szCs w:val="72"/>
          <w:lang w:val="sr-Cyrl-CS"/>
        </w:rPr>
        <w:t>20), омогућено је повећање обима раније емитованих обвезница, па је код петоипогодишње и дванаестоипогодишње обвезнице, повећан обим емисије за по 50 милијарди динара. Такође, повећање обима емисије, у износу од 10 милијарди динара, извршено је и код десетогодишње обвезнице првобитно емитоване 6. фебруара 2018. године.</w:t>
      </w:r>
    </w:p>
    <w:p w14:paraId="7EE2B95E" w14:textId="77777777" w:rsidR="006B2397" w:rsidRPr="00646254" w:rsidRDefault="006B2397" w:rsidP="00BA266B">
      <w:pPr>
        <w:rPr>
          <w:rFonts w:ascii="Calibri" w:eastAsia="Calibri" w:hAnsi="Calibri" w:cs="Calibri"/>
          <w:bCs/>
          <w:szCs w:val="72"/>
          <w:lang w:val="sr-Cyrl-CS"/>
        </w:rPr>
      </w:pPr>
      <w:r w:rsidRPr="00646254">
        <w:rPr>
          <w:rFonts w:ascii="Calibri" w:eastAsia="Calibri" w:hAnsi="Calibri" w:cs="Calibri"/>
          <w:bCs/>
          <w:szCs w:val="72"/>
          <w:lang w:val="sr-Cyrl-CS"/>
        </w:rPr>
        <w:t>Овим емисијама знатно је повећан обим секундарног трговања ових инструмената што је допринело и паду извршних стопа приноса на реотварањима поменутих емисија. Учешће страних инвеститора у динарским хартијама од вредности, на крају августа 2021. године износило је 20,9%.</w:t>
      </w:r>
    </w:p>
    <w:p w14:paraId="5AEE3ED6" w14:textId="310B8608" w:rsidR="006B2397" w:rsidRPr="00646254" w:rsidRDefault="006B2397" w:rsidP="00BA266B">
      <w:pPr>
        <w:rPr>
          <w:rFonts w:ascii="Calibri" w:eastAsia="Calibri" w:hAnsi="Calibri" w:cs="Calibri"/>
          <w:bCs/>
          <w:szCs w:val="72"/>
          <w:lang w:val="sr-Cyrl-CS"/>
        </w:rPr>
      </w:pPr>
      <w:r w:rsidRPr="00646254">
        <w:rPr>
          <w:rFonts w:ascii="Calibri" w:eastAsia="Calibri" w:hAnsi="Calibri" w:cs="Calibri"/>
          <w:bCs/>
          <w:szCs w:val="72"/>
          <w:lang w:val="sr-Cyrl-CS"/>
        </w:rPr>
        <w:t>30. јуна. 2021. године три динарске бенчмарк обвезнице укључ</w:t>
      </w:r>
      <w:r w:rsidR="007E4D0F">
        <w:rPr>
          <w:rFonts w:ascii="Calibri" w:eastAsia="Calibri" w:hAnsi="Calibri" w:cs="Calibri"/>
          <w:bCs/>
          <w:szCs w:val="72"/>
          <w:lang w:val="sr-Cyrl-CS"/>
        </w:rPr>
        <w:t>е</w:t>
      </w:r>
      <w:r w:rsidRPr="00646254">
        <w:rPr>
          <w:rFonts w:ascii="Calibri" w:eastAsia="Calibri" w:hAnsi="Calibri" w:cs="Calibri"/>
          <w:bCs/>
          <w:szCs w:val="72"/>
          <w:lang w:val="sr-Cyrl-CS"/>
        </w:rPr>
        <w:t>не су у J.P</w:t>
      </w:r>
      <w:r w:rsidR="007E4D0F">
        <w:rPr>
          <w:rFonts w:ascii="Calibri" w:eastAsia="Calibri" w:hAnsi="Calibri" w:cs="Calibri"/>
          <w:bCs/>
          <w:szCs w:val="72"/>
          <w:lang w:val="sr-Cyrl-CS"/>
        </w:rPr>
        <w:t>.</w:t>
      </w:r>
      <w:r w:rsidRPr="00646254">
        <w:rPr>
          <w:rFonts w:ascii="Calibri" w:eastAsia="Calibri" w:hAnsi="Calibri" w:cs="Calibri"/>
          <w:bCs/>
          <w:szCs w:val="72"/>
          <w:lang w:val="sr-Cyrl-CS"/>
        </w:rPr>
        <w:t xml:space="preserve"> Morgan индекс државних обвезница земаља у развоју (GBI-EM Global Diversified Index), са датумом доспећа 11. јануар 2026. године (RSMFRSD89592), 6. фебруар 2028. године (RSMFRSD55940) и 20. август 2032. године (RSMFRSD86176).</w:t>
      </w:r>
    </w:p>
    <w:p w14:paraId="00ED82F8" w14:textId="61ADEDC9" w:rsidR="006B2397" w:rsidRPr="00646254" w:rsidRDefault="006B2397" w:rsidP="00BA266B">
      <w:pPr>
        <w:rPr>
          <w:rFonts w:ascii="Calibri" w:eastAsia="Calibri" w:hAnsi="Calibri" w:cs="Calibri"/>
          <w:bCs/>
          <w:szCs w:val="72"/>
          <w:lang w:val="sr-Cyrl-CS"/>
        </w:rPr>
      </w:pPr>
      <w:r w:rsidRPr="00646254">
        <w:rPr>
          <w:rFonts w:ascii="Calibri" w:eastAsia="Calibri" w:hAnsi="Calibri" w:cs="Calibri"/>
          <w:bCs/>
          <w:szCs w:val="72"/>
          <w:lang w:val="sr-Cyrl-CS"/>
        </w:rPr>
        <w:t xml:space="preserve">У периоду за који се доноси ова Стратегија очекује се унапређење ефикасности примарног тржишта </w:t>
      </w:r>
      <w:r w:rsidR="00B9598B" w:rsidRPr="00646254">
        <w:rPr>
          <w:rFonts w:ascii="Calibri" w:eastAsia="Calibri" w:hAnsi="Calibri" w:cs="Calibri"/>
          <w:bCs/>
          <w:szCs w:val="72"/>
          <w:lang w:val="sr-Cyrl-CS"/>
        </w:rPr>
        <w:t>путем</w:t>
      </w:r>
      <w:r w:rsidRPr="00646254">
        <w:rPr>
          <w:rFonts w:ascii="Calibri" w:eastAsia="Calibri" w:hAnsi="Calibri" w:cs="Calibri"/>
          <w:bCs/>
          <w:szCs w:val="72"/>
          <w:lang w:val="sr-Cyrl-CS"/>
        </w:rPr>
        <w:t xml:space="preserve"> приступ</w:t>
      </w:r>
      <w:r w:rsidR="00B9598B" w:rsidRPr="00646254">
        <w:rPr>
          <w:rFonts w:ascii="Calibri" w:eastAsia="Calibri" w:hAnsi="Calibri" w:cs="Calibri"/>
          <w:bCs/>
          <w:szCs w:val="72"/>
          <w:lang w:val="sr-Cyrl-CS"/>
        </w:rPr>
        <w:t>а</w:t>
      </w:r>
      <w:r w:rsidRPr="00646254">
        <w:rPr>
          <w:rFonts w:ascii="Calibri" w:eastAsia="Calibri" w:hAnsi="Calibri" w:cs="Calibri"/>
          <w:bCs/>
          <w:szCs w:val="72"/>
          <w:lang w:val="sr-Cyrl-CS"/>
        </w:rPr>
        <w:t xml:space="preserve"> Euroclear платформи и кроз концепт примарних дилера, као механизма продаје државних хартија од вредности који директно, у дужем року, доприноси смањењу трошкова задуживања, као и смањењу ризика рефинансирања. Увођење система продаје државних хартија од вредности на домаћем финансијском тржишту преко примарних дилера, пружа добру основу за унапређење тржишне ефикасности секундарног тржишта државних хартија од вредности. Развојем секундарног тржишта, временом ће се успоставити концепт тржишне ефикасности у процесу вредновања државних хартија од вредности. Увођењем „бенчмарк</w:t>
      </w:r>
      <w:r w:rsidRPr="00646254">
        <w:rPr>
          <w:rFonts w:eastAsia="MS PGothic" w:cstheme="minorHAnsi"/>
          <w:szCs w:val="20"/>
          <w:lang w:val="sr-Cyrl-CS" w:eastAsia="ja-JP"/>
        </w:rPr>
        <w:t>”</w:t>
      </w:r>
      <w:r w:rsidRPr="00646254">
        <w:rPr>
          <w:rFonts w:ascii="Calibri" w:eastAsia="Calibri" w:hAnsi="Calibri" w:cs="Calibri"/>
          <w:bCs/>
          <w:szCs w:val="72"/>
          <w:lang w:val="sr-Cyrl-CS"/>
        </w:rPr>
        <w:t xml:space="preserve"> емисија обвезница остварен је позитиван ефекат на обим и континуитет секундарног трговања, као и на унапређење тржишне ефикасности у поступку продаје државних хартија на примарном тржишту.</w:t>
      </w:r>
    </w:p>
    <w:p w14:paraId="32C614CC" w14:textId="77777777" w:rsidR="006B2397" w:rsidRPr="00646254" w:rsidRDefault="006B2397" w:rsidP="00BA266B">
      <w:pPr>
        <w:rPr>
          <w:rFonts w:ascii="Calibri" w:eastAsia="Calibri" w:hAnsi="Calibri" w:cs="Calibri"/>
          <w:bCs/>
          <w:szCs w:val="72"/>
          <w:lang w:val="sr-Cyrl-CS"/>
        </w:rPr>
      </w:pPr>
      <w:r w:rsidRPr="00646254">
        <w:rPr>
          <w:rFonts w:ascii="Calibri" w:eastAsia="Calibri" w:hAnsi="Calibri" w:cs="Calibri"/>
          <w:bCs/>
          <w:szCs w:val="72"/>
          <w:lang w:val="sr-Cyrl-CS"/>
        </w:rPr>
        <w:t>Као водеће факторе који утичу на криву приноса државних хартија од вредности потребно је издвојити фискални резултат, очекивану стопу инфлације и девизни курс. Као посебну групу фактора потребно је издвојити макроекономска кретања и очекивања, као и промене на међународном финансијском тржишту, које се рефлектују на премију ризика земље.</w:t>
      </w:r>
    </w:p>
    <w:p w14:paraId="7418B27F" w14:textId="77777777" w:rsidR="006B2397" w:rsidRPr="00646254" w:rsidRDefault="006B2397" w:rsidP="00BA266B">
      <w:pPr>
        <w:rPr>
          <w:rFonts w:ascii="Calibri" w:eastAsia="Calibri" w:hAnsi="Calibri" w:cs="Calibri"/>
          <w:bCs/>
          <w:szCs w:val="72"/>
          <w:lang w:val="sr-Cyrl-CS"/>
        </w:rPr>
      </w:pPr>
      <w:r w:rsidRPr="00646254">
        <w:rPr>
          <w:rFonts w:ascii="Calibri" w:eastAsia="Calibri" w:hAnsi="Calibri" w:cs="Calibri"/>
          <w:bCs/>
          <w:szCs w:val="72"/>
          <w:lang w:val="sr-Cyrl-CS"/>
        </w:rPr>
        <w:t>На крају 2012. године просечна рочност динарских хартија од вредности износила je 394 дана (1,1 годину), на крају 2013. године 469 дана (1,3 године), на крају 2014. године 645 дана (1,8 годину), на крају 2015. године 749 дана (2,1 годину), на крају 2016. године 789 дана (2,2 године), на крају 2017. године 864 дана (2,4 године), на крају 2018. године 1.188 дана (3,3 године), на крају 2019. године 1.403 дана (3,8 година), на крају 2020. године 1.429 дана (3,9 година), а на крају августа 2021. године 1.552 дана (4,2 годинe).</w:t>
      </w:r>
    </w:p>
    <w:p w14:paraId="7284960D" w14:textId="77777777" w:rsidR="006B2397" w:rsidRPr="00646254" w:rsidRDefault="006B2397" w:rsidP="00BA266B">
      <w:pPr>
        <w:rPr>
          <w:rFonts w:ascii="Calibri" w:eastAsia="Calibri" w:hAnsi="Calibri" w:cs="Calibri"/>
          <w:bCs/>
          <w:szCs w:val="72"/>
          <w:lang w:val="sr-Cyrl-CS"/>
        </w:rPr>
      </w:pPr>
      <w:r w:rsidRPr="00646254">
        <w:rPr>
          <w:rFonts w:ascii="Calibri" w:eastAsia="Calibri" w:hAnsi="Calibri" w:cs="Calibri"/>
          <w:bCs/>
          <w:szCs w:val="72"/>
          <w:lang w:val="sr-Cyrl-CS"/>
        </w:rPr>
        <w:t>Развој домаћег тржишта државних хартија од вредности од стране Републике Србије потпомогнут је следећим мерама:</w:t>
      </w:r>
    </w:p>
    <w:p w14:paraId="637D6622" w14:textId="77777777" w:rsidR="006B2397" w:rsidRPr="00646254" w:rsidRDefault="006B2397" w:rsidP="00BA266B">
      <w:pPr>
        <w:numPr>
          <w:ilvl w:val="0"/>
          <w:numId w:val="32"/>
        </w:numPr>
        <w:ind w:left="0" w:hanging="142"/>
        <w:rPr>
          <w:rFonts w:ascii="Calibri" w:eastAsia="Calibri" w:hAnsi="Calibri" w:cs="Calibri"/>
          <w:bCs/>
          <w:szCs w:val="72"/>
          <w:lang w:val="sr-Cyrl-CS"/>
        </w:rPr>
      </w:pPr>
      <w:r w:rsidRPr="00646254">
        <w:rPr>
          <w:rFonts w:ascii="Calibri" w:eastAsia="Calibri" w:hAnsi="Calibri" w:cs="Calibri"/>
          <w:bCs/>
          <w:szCs w:val="72"/>
          <w:lang w:val="sr-Cyrl-CS"/>
        </w:rPr>
        <w:t>Обвезнице Републике Србије укључене су у глобални индекс што би требало значајно да повећа базу инвеститора и додатно поспеши секундарно трговање, што ће даље допринети смањењу трошкова задуживања путем емисија динарских државних хартија од вредности;</w:t>
      </w:r>
    </w:p>
    <w:p w14:paraId="5CC41877" w14:textId="77777777" w:rsidR="006B2397" w:rsidRPr="00646254" w:rsidRDefault="006B2397" w:rsidP="00BA266B">
      <w:pPr>
        <w:numPr>
          <w:ilvl w:val="0"/>
          <w:numId w:val="32"/>
        </w:numPr>
        <w:ind w:left="0" w:hanging="142"/>
        <w:rPr>
          <w:rFonts w:ascii="Calibri" w:eastAsia="Calibri" w:hAnsi="Calibri" w:cs="Calibri"/>
          <w:bCs/>
          <w:szCs w:val="72"/>
          <w:lang w:val="sr-Cyrl-CS"/>
        </w:rPr>
      </w:pPr>
      <w:r w:rsidRPr="00646254">
        <w:rPr>
          <w:rFonts w:ascii="Calibri" w:eastAsia="Calibri" w:hAnsi="Calibri" w:cs="Calibri"/>
          <w:bCs/>
          <w:szCs w:val="72"/>
          <w:lang w:val="sr-Cyrl-CS"/>
        </w:rPr>
        <w:t>У циљу креирања што веће базе инвеститора и развоја секундарног тржишта хартија од вредности емитованих на домаћем тржишту, креиран је једнак порески третман домаћих и страних инвеститора крајем 2011. године, и у наредном периоду тежиће се уклањању свих евентуалних препрека за слободан проток капитала;</w:t>
      </w:r>
    </w:p>
    <w:p w14:paraId="69EB7F92" w14:textId="1FA2D2E1" w:rsidR="006B2397" w:rsidRPr="00646254" w:rsidRDefault="006B2397" w:rsidP="00BA266B">
      <w:pPr>
        <w:numPr>
          <w:ilvl w:val="0"/>
          <w:numId w:val="32"/>
        </w:numPr>
        <w:ind w:left="0" w:hanging="142"/>
        <w:rPr>
          <w:rFonts w:ascii="Calibri" w:eastAsia="Calibri" w:hAnsi="Calibri" w:cs="Calibri"/>
          <w:bCs/>
          <w:szCs w:val="72"/>
          <w:lang w:val="sr-Cyrl-CS"/>
        </w:rPr>
      </w:pPr>
      <w:r w:rsidRPr="00646254">
        <w:rPr>
          <w:rFonts w:ascii="Calibri" w:eastAsia="Calibri" w:hAnsi="Calibri" w:cs="Calibri"/>
          <w:bCs/>
          <w:szCs w:val="72"/>
          <w:lang w:val="sr-Cyrl-CS"/>
        </w:rPr>
        <w:t>Предузете су активности на омогућавању салдирања државних хартија од вредности на иностраном тржишту. Изменама и допунама Закона о јавном дугу из децембра 2019. године, омогућено је да клиринг и салдирање државних хартија од вредности емитованих на домаћем тржишту, поред Централног регистара врши и друго страно правно лице које обавља послове клиринга и салдирања. Clearstream је у октобру 2021. године постао први међународни централни регистар хартија од вредности, који је омогућ</w:t>
      </w:r>
      <w:r w:rsidR="00FD1702">
        <w:rPr>
          <w:rFonts w:ascii="Calibri" w:eastAsia="Calibri" w:hAnsi="Calibri" w:cs="Calibri"/>
          <w:bCs/>
          <w:szCs w:val="72"/>
          <w:lang w:val="sr-Cyrl-CS"/>
        </w:rPr>
        <w:t>ио страним инвеститорима директ</w:t>
      </w:r>
      <w:r w:rsidRPr="00646254">
        <w:rPr>
          <w:rFonts w:ascii="Calibri" w:eastAsia="Calibri" w:hAnsi="Calibri" w:cs="Calibri"/>
          <w:bCs/>
          <w:szCs w:val="72"/>
          <w:lang w:val="sr-Cyrl-CS"/>
        </w:rPr>
        <w:t>но салдирање државних обвезница деноминованих у динарима (РСД).</w:t>
      </w:r>
      <w:bookmarkStart w:id="49" w:name="_Toc56667083"/>
      <w:r w:rsidRPr="00646254">
        <w:rPr>
          <w:rFonts w:ascii="Calibri" w:eastAsia="Calibri" w:hAnsi="Calibri" w:cs="Calibri"/>
          <w:bCs/>
          <w:szCs w:val="72"/>
          <w:lang w:val="sr-Cyrl-CS"/>
        </w:rPr>
        <w:t xml:space="preserve"> Присуство Clearstream-а допринеће додатном повећању учешћа страних инвеститора и повећању ликвидност на домаћем тржишту капитала.</w:t>
      </w:r>
    </w:p>
    <w:p w14:paraId="0A89E4ED" w14:textId="77777777" w:rsidR="006B2397" w:rsidRPr="00646254" w:rsidRDefault="006B2397" w:rsidP="00BA266B">
      <w:pPr>
        <w:numPr>
          <w:ilvl w:val="0"/>
          <w:numId w:val="32"/>
        </w:numPr>
        <w:ind w:left="0" w:hanging="142"/>
        <w:rPr>
          <w:rFonts w:ascii="Calibri" w:eastAsia="Calibri" w:hAnsi="Calibri" w:cs="Calibri"/>
          <w:bCs/>
          <w:szCs w:val="72"/>
          <w:lang w:val="sr-Cyrl-CS"/>
        </w:rPr>
      </w:pPr>
      <w:r w:rsidRPr="00646254">
        <w:rPr>
          <w:rFonts w:ascii="Calibri" w:eastAsia="Calibri" w:hAnsi="Calibri" w:cs="Calibri"/>
          <w:bCs/>
          <w:szCs w:val="72"/>
          <w:lang w:val="sr-Cyrl-CS"/>
        </w:rPr>
        <w:t xml:space="preserve"> Током 2021. и 2022. године активно ће се радити на усаглашавању законске регулативе за повезивање Централног регистра са Euroclear-oм путем I-link платформе.</w:t>
      </w:r>
    </w:p>
    <w:p w14:paraId="67200640" w14:textId="4C2BDF3C" w:rsidR="006B2397" w:rsidRPr="00646254" w:rsidRDefault="006B2397" w:rsidP="00BA266B">
      <w:pPr>
        <w:rPr>
          <w:rFonts w:ascii="Calibri" w:eastAsia="Calibri" w:hAnsi="Calibri" w:cs="Calibri"/>
          <w:bCs/>
          <w:szCs w:val="72"/>
          <w:lang w:val="sr-Cyrl-CS"/>
        </w:rPr>
      </w:pPr>
      <w:r w:rsidRPr="00646254">
        <w:rPr>
          <w:rFonts w:ascii="Calibri" w:eastAsia="Calibri" w:hAnsi="Calibri" w:cs="Calibri"/>
          <w:bCs/>
          <w:szCs w:val="72"/>
          <w:lang w:val="sr-Cyrl-CS"/>
        </w:rPr>
        <w:t>Република Србија планира да успостави I-link са Euroclear</w:t>
      </w:r>
      <w:r w:rsidR="00B9598B" w:rsidRPr="00646254">
        <w:rPr>
          <w:rFonts w:ascii="Calibri" w:eastAsia="Calibri" w:hAnsi="Calibri" w:cs="Calibri"/>
          <w:bCs/>
          <w:szCs w:val="72"/>
          <w:lang w:val="sr-Cyrl-CS"/>
        </w:rPr>
        <w:t>-ом</w:t>
      </w:r>
      <w:r w:rsidRPr="00646254">
        <w:rPr>
          <w:rFonts w:ascii="Calibri" w:eastAsia="Calibri" w:hAnsi="Calibri" w:cs="Calibri"/>
          <w:bCs/>
          <w:szCs w:val="72"/>
          <w:lang w:val="sr-Cyrl-CS"/>
        </w:rPr>
        <w:t xml:space="preserve"> у другој половини 2022. године, како би почетком 2023. године прве аукције државних обвезница биле салдиране путем I-link-а.</w:t>
      </w:r>
    </w:p>
    <w:p w14:paraId="529CC141" w14:textId="5A08E70B" w:rsidR="006B2397" w:rsidRPr="00646254" w:rsidRDefault="00B9598B" w:rsidP="00BA266B">
      <w:pPr>
        <w:rPr>
          <w:rFonts w:ascii="Calibri" w:eastAsia="Calibri" w:hAnsi="Calibri" w:cs="Calibri"/>
          <w:bCs/>
          <w:szCs w:val="72"/>
          <w:lang w:val="sr-Cyrl-CS"/>
        </w:rPr>
      </w:pPr>
      <w:r w:rsidRPr="00646254">
        <w:rPr>
          <w:rFonts w:ascii="Calibri" w:eastAsia="Calibri" w:hAnsi="Calibri" w:cs="Calibri"/>
          <w:bCs/>
          <w:szCs w:val="72"/>
          <w:lang w:val="sr-Cyrl-CS"/>
        </w:rPr>
        <w:t>Увођење</w:t>
      </w:r>
      <w:r w:rsidR="006B2397" w:rsidRPr="00646254">
        <w:rPr>
          <w:rFonts w:ascii="Calibri" w:eastAsia="Calibri" w:hAnsi="Calibri" w:cs="Calibri"/>
          <w:bCs/>
          <w:szCs w:val="72"/>
          <w:lang w:val="sr-Cyrl-CS"/>
        </w:rPr>
        <w:t xml:space="preserve"> система салдирања I-link допринеће додатном повећању учешћа страних инвеститора и повећању ликвидност на секундарном тржишту државних хартија од вредности.</w:t>
      </w:r>
    </w:p>
    <w:p w14:paraId="62AECC0E" w14:textId="77777777" w:rsidR="006B2397" w:rsidRPr="00646254" w:rsidRDefault="006B2397" w:rsidP="00BA266B">
      <w:pPr>
        <w:rPr>
          <w:rFonts w:ascii="Calibri" w:eastAsia="Calibri" w:hAnsi="Calibri" w:cs="Calibri"/>
          <w:bCs/>
          <w:szCs w:val="72"/>
          <w:lang w:val="sr-Cyrl-CS"/>
        </w:rPr>
      </w:pPr>
      <w:r w:rsidRPr="00646254">
        <w:rPr>
          <w:rFonts w:ascii="Calibri" w:eastAsia="Calibri" w:hAnsi="Calibri" w:cs="Calibri"/>
          <w:bCs/>
          <w:szCs w:val="72"/>
          <w:lang w:val="sr-Cyrl-CS"/>
        </w:rPr>
        <w:t>Министарство финансија Републике Србије очекује да ће овај корак значајно олакшати приступ страних инвеститора српском тржишту капитала.</w:t>
      </w:r>
    </w:p>
    <w:p w14:paraId="66D70F13" w14:textId="77777777" w:rsidR="006B2397" w:rsidRPr="00646254" w:rsidRDefault="006B2397" w:rsidP="00BA266B">
      <w:pPr>
        <w:pStyle w:val="ListParagraph"/>
        <w:numPr>
          <w:ilvl w:val="0"/>
          <w:numId w:val="49"/>
        </w:numPr>
        <w:spacing w:after="60" w:line="254" w:lineRule="auto"/>
        <w:rPr>
          <w:rFonts w:ascii="Calibri" w:eastAsia="Calibri" w:hAnsi="Calibri" w:cs="Calibri"/>
          <w:bCs/>
          <w:szCs w:val="72"/>
          <w:lang w:val="sr-Cyrl-CS"/>
        </w:rPr>
        <w:sectPr w:rsidR="006B2397" w:rsidRPr="00646254" w:rsidSect="008265F0">
          <w:type w:val="continuous"/>
          <w:pgSz w:w="12240" w:h="15840" w:code="1"/>
          <w:pgMar w:top="1418" w:right="1418" w:bottom="1418" w:left="1418" w:header="720" w:footer="720" w:gutter="0"/>
          <w:cols w:num="2" w:space="720"/>
          <w:docGrid w:linePitch="272"/>
        </w:sectPr>
      </w:pPr>
    </w:p>
    <w:bookmarkEnd w:id="49"/>
    <w:p w14:paraId="636A2B82" w14:textId="77777777" w:rsidR="006B2397" w:rsidRPr="00646254" w:rsidRDefault="006B2397">
      <w:pPr>
        <w:jc w:val="left"/>
        <w:rPr>
          <w:rFonts w:cstheme="minorHAnsi"/>
          <w:bCs/>
          <w:spacing w:val="-2"/>
          <w:szCs w:val="72"/>
          <w:lang w:val="sr-Cyrl-CS"/>
        </w:rPr>
      </w:pPr>
      <w:r w:rsidRPr="00646254">
        <w:rPr>
          <w:rFonts w:cstheme="minorHAnsi"/>
          <w:bCs/>
          <w:spacing w:val="-2"/>
          <w:szCs w:val="72"/>
          <w:lang w:val="sr-Cyrl-CS"/>
        </w:rPr>
        <w:br w:type="page"/>
      </w:r>
    </w:p>
    <w:p w14:paraId="7C7CD010" w14:textId="293C4D98" w:rsidR="00427829" w:rsidRPr="00646254" w:rsidRDefault="00427829" w:rsidP="00427829">
      <w:pPr>
        <w:keepNext/>
        <w:keepLines/>
        <w:spacing w:after="0" w:line="240" w:lineRule="auto"/>
        <w:jc w:val="center"/>
        <w:outlineLvl w:val="0"/>
        <w:rPr>
          <w:rFonts w:cstheme="minorHAnsi"/>
          <w:bCs/>
          <w:color w:val="2F5496" w:themeColor="accent1" w:themeShade="BF"/>
          <w:szCs w:val="72"/>
          <w:lang w:val="sr-Cyrl-CS"/>
        </w:rPr>
      </w:pPr>
      <w:bookmarkStart w:id="50" w:name="_Toc529801854"/>
      <w:bookmarkStart w:id="51" w:name="_Toc86650481"/>
      <w:bookmarkEnd w:id="16"/>
      <w:bookmarkEnd w:id="25"/>
      <w:bookmarkEnd w:id="26"/>
      <w:bookmarkEnd w:id="27"/>
      <w:bookmarkEnd w:id="28"/>
      <w:r w:rsidRPr="00646254">
        <w:rPr>
          <w:rFonts w:eastAsiaTheme="majorEastAsia" w:cstheme="minorHAnsi"/>
          <w:b/>
          <w:color w:val="2F5496" w:themeColor="accent1" w:themeShade="BF"/>
          <w:sz w:val="26"/>
          <w:szCs w:val="26"/>
          <w:lang w:val="sr-Cyrl-CS"/>
        </w:rPr>
        <w:t>IV. ЗАВРШНЕ ОДРЕДБЕ</w:t>
      </w:r>
      <w:bookmarkEnd w:id="50"/>
      <w:bookmarkEnd w:id="51"/>
    </w:p>
    <w:p w14:paraId="5B46E109" w14:textId="7C0B721F" w:rsidR="00427829" w:rsidRPr="00646254" w:rsidRDefault="00427829" w:rsidP="00427829">
      <w:pPr>
        <w:rPr>
          <w:highlight w:val="darkGray"/>
          <w:lang w:val="sr-Cyrl-CS"/>
        </w:rPr>
      </w:pPr>
    </w:p>
    <w:p w14:paraId="5E261BE7" w14:textId="77777777" w:rsidR="00427829" w:rsidRPr="00646254" w:rsidRDefault="00427829" w:rsidP="00427829">
      <w:pPr>
        <w:rPr>
          <w:highlight w:val="darkGray"/>
          <w:lang w:val="sr-Cyrl-CS"/>
        </w:rPr>
      </w:pPr>
    </w:p>
    <w:p w14:paraId="4933ED69" w14:textId="18E8599E" w:rsidR="00427829" w:rsidRPr="00646254" w:rsidRDefault="00427829" w:rsidP="00427829">
      <w:pPr>
        <w:spacing w:after="80"/>
        <w:ind w:firstLine="720"/>
        <w:rPr>
          <w:rFonts w:cstheme="minorHAnsi"/>
          <w:bCs/>
          <w:szCs w:val="72"/>
          <w:lang w:val="sr-Cyrl-CS"/>
        </w:rPr>
      </w:pPr>
      <w:r w:rsidRPr="00646254">
        <w:rPr>
          <w:rFonts w:cstheme="minorHAnsi"/>
          <w:bCs/>
          <w:szCs w:val="72"/>
          <w:lang w:val="sr-Cyrl-CS"/>
        </w:rPr>
        <w:t xml:space="preserve">Саставни део ове </w:t>
      </w:r>
      <w:r w:rsidR="008B25EA" w:rsidRPr="00646254">
        <w:rPr>
          <w:rFonts w:cstheme="minorHAnsi"/>
          <w:bCs/>
          <w:szCs w:val="72"/>
          <w:lang w:val="sr-Cyrl-CS"/>
        </w:rPr>
        <w:t>реви</w:t>
      </w:r>
      <w:r w:rsidR="001F292D" w:rsidRPr="00646254">
        <w:rPr>
          <w:rFonts w:cstheme="minorHAnsi"/>
          <w:bCs/>
          <w:szCs w:val="72"/>
          <w:lang w:val="sr-Cyrl-CS"/>
        </w:rPr>
        <w:t>д</w:t>
      </w:r>
      <w:r w:rsidR="008B25EA" w:rsidRPr="00646254">
        <w:rPr>
          <w:rFonts w:cstheme="minorHAnsi"/>
          <w:bCs/>
          <w:szCs w:val="72"/>
          <w:lang w:val="sr-Cyrl-CS"/>
        </w:rPr>
        <w:t>иране Ф</w:t>
      </w:r>
      <w:r w:rsidRPr="00646254">
        <w:rPr>
          <w:rFonts w:cstheme="minorHAnsi"/>
          <w:bCs/>
          <w:szCs w:val="72"/>
          <w:lang w:val="sr-Cyrl-CS"/>
        </w:rPr>
        <w:t>искалне стратегије чине Прилог 1</w:t>
      </w:r>
      <w:r w:rsidR="00D505DF" w:rsidRPr="00646254">
        <w:rPr>
          <w:rFonts w:cstheme="minorHAnsi"/>
          <w:bCs/>
          <w:szCs w:val="72"/>
          <w:lang w:val="sr-Cyrl-CS"/>
        </w:rPr>
        <w:t xml:space="preserve"> </w:t>
      </w:r>
      <w:r w:rsidRPr="00646254">
        <w:rPr>
          <w:rFonts w:cstheme="minorHAnsi"/>
          <w:bCs/>
          <w:szCs w:val="72"/>
          <w:lang w:val="sr-Cyrl-CS"/>
        </w:rPr>
        <w:t xml:space="preserve">– Пројекција основних макроекономских индикатора </w:t>
      </w:r>
      <w:r w:rsidR="002E2D44" w:rsidRPr="00646254">
        <w:rPr>
          <w:rFonts w:cstheme="minorHAnsi"/>
          <w:bCs/>
          <w:szCs w:val="72"/>
          <w:lang w:val="sr-Cyrl-CS"/>
        </w:rPr>
        <w:t xml:space="preserve">и </w:t>
      </w:r>
      <w:r w:rsidRPr="00646254">
        <w:rPr>
          <w:rFonts w:cstheme="minorHAnsi"/>
          <w:bCs/>
          <w:szCs w:val="72"/>
          <w:lang w:val="sr-Cyrl-CS"/>
        </w:rPr>
        <w:t>Прилог 2 – Фискални оквир опште државе у 202</w:t>
      </w:r>
      <w:r w:rsidR="00D65162" w:rsidRPr="00646254">
        <w:rPr>
          <w:rFonts w:cstheme="minorHAnsi"/>
          <w:bCs/>
          <w:szCs w:val="72"/>
          <w:lang w:val="sr-Cyrl-CS"/>
        </w:rPr>
        <w:t>2</w:t>
      </w:r>
      <w:r w:rsidRPr="00646254">
        <w:rPr>
          <w:rFonts w:cstheme="minorHAnsi"/>
          <w:bCs/>
          <w:szCs w:val="72"/>
          <w:lang w:val="sr-Cyrl-CS"/>
        </w:rPr>
        <w:t>. год</w:t>
      </w:r>
      <w:r w:rsidR="00776442" w:rsidRPr="00646254">
        <w:rPr>
          <w:rFonts w:cstheme="minorHAnsi"/>
          <w:bCs/>
          <w:szCs w:val="72"/>
          <w:lang w:val="sr-Cyrl-CS"/>
        </w:rPr>
        <w:t>ини, који</w:t>
      </w:r>
      <w:r w:rsidR="005A184B" w:rsidRPr="00646254">
        <w:rPr>
          <w:rFonts w:cstheme="minorHAnsi"/>
          <w:bCs/>
          <w:szCs w:val="72"/>
          <w:lang w:val="sr-Cyrl-CS"/>
        </w:rPr>
        <w:t xml:space="preserve"> су</w:t>
      </w:r>
      <w:r w:rsidR="00776442" w:rsidRPr="00646254">
        <w:rPr>
          <w:rFonts w:cstheme="minorHAnsi"/>
          <w:bCs/>
          <w:szCs w:val="72"/>
          <w:lang w:val="sr-Cyrl-CS"/>
        </w:rPr>
        <w:t xml:space="preserve"> одштампан</w:t>
      </w:r>
      <w:r w:rsidR="005A184B" w:rsidRPr="00646254">
        <w:rPr>
          <w:rFonts w:cstheme="minorHAnsi"/>
          <w:bCs/>
          <w:szCs w:val="72"/>
          <w:lang w:val="sr-Cyrl-CS"/>
        </w:rPr>
        <w:t>и</w:t>
      </w:r>
      <w:r w:rsidR="0078423E" w:rsidRPr="00646254">
        <w:rPr>
          <w:rFonts w:cstheme="minorHAnsi"/>
          <w:bCs/>
          <w:szCs w:val="72"/>
          <w:lang w:val="sr-Cyrl-CS"/>
        </w:rPr>
        <w:t xml:space="preserve"> уз ову </w:t>
      </w:r>
      <w:r w:rsidR="008B25EA" w:rsidRPr="00646254">
        <w:rPr>
          <w:rFonts w:cstheme="minorHAnsi"/>
          <w:bCs/>
          <w:szCs w:val="72"/>
          <w:lang w:val="sr-Cyrl-CS"/>
        </w:rPr>
        <w:t>ревидирану Ф</w:t>
      </w:r>
      <w:r w:rsidR="003A690D" w:rsidRPr="00646254">
        <w:rPr>
          <w:rFonts w:cstheme="minorHAnsi"/>
          <w:bCs/>
          <w:szCs w:val="72"/>
          <w:lang w:val="sr-Cyrl-CS"/>
        </w:rPr>
        <w:t>искалну стратегију.</w:t>
      </w:r>
    </w:p>
    <w:p w14:paraId="6827B87F" w14:textId="6D36B905" w:rsidR="00427829" w:rsidRPr="00646254" w:rsidRDefault="0078423E" w:rsidP="00427829">
      <w:pPr>
        <w:spacing w:after="80"/>
        <w:ind w:firstLine="720"/>
        <w:rPr>
          <w:rFonts w:cstheme="minorHAnsi"/>
          <w:bCs/>
          <w:szCs w:val="72"/>
          <w:lang w:val="sr-Cyrl-CS"/>
        </w:rPr>
      </w:pPr>
      <w:r w:rsidRPr="00646254">
        <w:rPr>
          <w:rFonts w:cstheme="minorHAnsi"/>
          <w:bCs/>
          <w:szCs w:val="72"/>
          <w:lang w:val="sr-Cyrl-CS"/>
        </w:rPr>
        <w:t xml:space="preserve">Ову </w:t>
      </w:r>
      <w:r w:rsidR="008B25EA" w:rsidRPr="00646254">
        <w:rPr>
          <w:rFonts w:cstheme="minorHAnsi"/>
          <w:bCs/>
          <w:szCs w:val="72"/>
          <w:lang w:val="sr-Cyrl-CS"/>
        </w:rPr>
        <w:t>ревидирану Ф</w:t>
      </w:r>
      <w:r w:rsidR="00427829" w:rsidRPr="00646254">
        <w:rPr>
          <w:rFonts w:cstheme="minorHAnsi"/>
          <w:bCs/>
          <w:szCs w:val="72"/>
          <w:lang w:val="sr-Cyrl-CS"/>
        </w:rPr>
        <w:t>искалну страт</w:t>
      </w:r>
      <w:r w:rsidR="00776442" w:rsidRPr="00646254">
        <w:rPr>
          <w:rFonts w:cstheme="minorHAnsi"/>
          <w:bCs/>
          <w:szCs w:val="72"/>
          <w:lang w:val="sr-Cyrl-CS"/>
        </w:rPr>
        <w:t xml:space="preserve">егију доставити </w:t>
      </w:r>
      <w:r w:rsidR="00A940CE" w:rsidRPr="00646254">
        <w:rPr>
          <w:lang w:val="sr-Cyrl-CS"/>
        </w:rPr>
        <w:t xml:space="preserve">одбору Народне скупштине надлежном за финансије, републички буџет и контролу трошења јавних средстава </w:t>
      </w:r>
      <w:r w:rsidR="00427829" w:rsidRPr="00646254">
        <w:rPr>
          <w:rFonts w:cstheme="minorHAnsi"/>
          <w:bCs/>
          <w:szCs w:val="72"/>
          <w:lang w:val="sr-Cyrl-CS"/>
        </w:rPr>
        <w:t>и Министарству финансија.</w:t>
      </w:r>
    </w:p>
    <w:p w14:paraId="56DDDACB" w14:textId="6764F474" w:rsidR="00427829" w:rsidRPr="00646254" w:rsidRDefault="0078423E" w:rsidP="00427829">
      <w:pPr>
        <w:spacing w:after="0"/>
        <w:ind w:firstLine="720"/>
        <w:rPr>
          <w:rFonts w:cstheme="minorHAnsi"/>
          <w:bCs/>
          <w:szCs w:val="72"/>
          <w:lang w:val="sr-Cyrl-CS"/>
        </w:rPr>
      </w:pPr>
      <w:r w:rsidRPr="00646254">
        <w:rPr>
          <w:rFonts w:cstheme="minorHAnsi"/>
          <w:bCs/>
          <w:szCs w:val="72"/>
          <w:lang w:val="sr-Cyrl-CS"/>
        </w:rPr>
        <w:t xml:space="preserve">Ову </w:t>
      </w:r>
      <w:r w:rsidR="008B25EA" w:rsidRPr="00646254">
        <w:rPr>
          <w:rFonts w:cstheme="minorHAnsi"/>
          <w:bCs/>
          <w:szCs w:val="72"/>
          <w:lang w:val="sr-Cyrl-CS"/>
        </w:rPr>
        <w:t>ревидирану Ф</w:t>
      </w:r>
      <w:r w:rsidR="00427829" w:rsidRPr="00646254">
        <w:rPr>
          <w:rFonts w:cstheme="minorHAnsi"/>
          <w:bCs/>
          <w:szCs w:val="72"/>
          <w:lang w:val="sr-Cyrl-CS"/>
        </w:rPr>
        <w:t xml:space="preserve">искалну стратегију објавити </w:t>
      </w:r>
      <w:r w:rsidR="008B25EA" w:rsidRPr="00646254">
        <w:rPr>
          <w:rFonts w:cstheme="minorHAnsi"/>
          <w:bCs/>
          <w:szCs w:val="72"/>
          <w:lang w:val="sr-Cyrl-CS"/>
        </w:rPr>
        <w:t xml:space="preserve">у „Службеном гласнику Републике Србије” и </w:t>
      </w:r>
      <w:r w:rsidR="00427829" w:rsidRPr="00646254">
        <w:rPr>
          <w:rFonts w:cstheme="minorHAnsi"/>
          <w:bCs/>
          <w:szCs w:val="72"/>
          <w:lang w:val="sr-Cyrl-CS"/>
        </w:rPr>
        <w:t>на интернет страници Министарства финансија.</w:t>
      </w:r>
    </w:p>
    <w:p w14:paraId="181F84DA" w14:textId="77777777" w:rsidR="00427829" w:rsidRPr="00646254" w:rsidRDefault="00427829" w:rsidP="00427829">
      <w:pPr>
        <w:spacing w:after="0"/>
        <w:jc w:val="right"/>
        <w:rPr>
          <w:rFonts w:cstheme="minorHAnsi"/>
          <w:bCs/>
          <w:szCs w:val="72"/>
          <w:lang w:val="sr-Cyrl-CS"/>
        </w:rPr>
      </w:pPr>
    </w:p>
    <w:p w14:paraId="0C385047" w14:textId="77777777" w:rsidR="00427829" w:rsidRPr="00646254" w:rsidRDefault="00427829" w:rsidP="00427829">
      <w:pPr>
        <w:spacing w:after="0"/>
        <w:jc w:val="right"/>
        <w:rPr>
          <w:rFonts w:cstheme="minorHAnsi"/>
          <w:bCs/>
          <w:szCs w:val="72"/>
          <w:lang w:val="sr-Cyrl-CS"/>
        </w:rPr>
      </w:pPr>
    </w:p>
    <w:p w14:paraId="676C664B" w14:textId="51F61D52" w:rsidR="00427829" w:rsidRPr="00646254" w:rsidRDefault="00427829" w:rsidP="002E2D44">
      <w:pPr>
        <w:tabs>
          <w:tab w:val="left" w:pos="1189"/>
        </w:tabs>
        <w:spacing w:after="0"/>
        <w:rPr>
          <w:rFonts w:cstheme="minorHAnsi"/>
          <w:bCs/>
          <w:szCs w:val="72"/>
          <w:lang w:val="sr-Cyrl-CS"/>
        </w:rPr>
      </w:pPr>
      <w:r w:rsidRPr="00646254">
        <w:rPr>
          <w:rFonts w:cstheme="minorHAnsi"/>
          <w:bCs/>
          <w:szCs w:val="72"/>
          <w:lang w:val="sr-Cyrl-CS"/>
        </w:rPr>
        <w:t>05 Број:</w:t>
      </w:r>
      <w:r w:rsidR="00646254" w:rsidRPr="00646254">
        <w:rPr>
          <w:rFonts w:cstheme="minorHAnsi"/>
          <w:bCs/>
          <w:szCs w:val="72"/>
          <w:lang w:val="sr-Cyrl-CS"/>
        </w:rPr>
        <w:t xml:space="preserve"> 400-9950/2021-1</w:t>
      </w:r>
    </w:p>
    <w:p w14:paraId="449D356B" w14:textId="22744B80" w:rsidR="00427829" w:rsidRPr="00646254" w:rsidRDefault="009C15E3" w:rsidP="00776442">
      <w:pPr>
        <w:spacing w:after="0"/>
        <w:rPr>
          <w:rFonts w:cstheme="minorHAnsi"/>
          <w:bCs/>
          <w:szCs w:val="72"/>
          <w:lang w:val="sr-Cyrl-CS"/>
        </w:rPr>
      </w:pPr>
      <w:r>
        <w:rPr>
          <w:rFonts w:cstheme="minorHAnsi"/>
          <w:bCs/>
          <w:szCs w:val="72"/>
          <w:lang w:val="sr-Cyrl-CS"/>
        </w:rPr>
        <w:t xml:space="preserve">У Београду, </w:t>
      </w:r>
      <w:r w:rsidR="003A690D" w:rsidRPr="00646254">
        <w:rPr>
          <w:rFonts w:cstheme="minorHAnsi"/>
          <w:bCs/>
          <w:szCs w:val="72"/>
          <w:lang w:val="sr-Cyrl-CS"/>
        </w:rPr>
        <w:t xml:space="preserve"> </w:t>
      </w:r>
      <w:r w:rsidR="00646254" w:rsidRPr="00646254">
        <w:rPr>
          <w:rFonts w:cstheme="minorHAnsi"/>
          <w:bCs/>
          <w:szCs w:val="72"/>
          <w:lang w:val="sr-Cyrl-CS"/>
        </w:rPr>
        <w:t>3.</w:t>
      </w:r>
      <w:r w:rsidR="003A690D" w:rsidRPr="00646254">
        <w:rPr>
          <w:rFonts w:cstheme="minorHAnsi"/>
          <w:bCs/>
          <w:szCs w:val="72"/>
          <w:lang w:val="sr-Cyrl-CS"/>
        </w:rPr>
        <w:t xml:space="preserve">  новембра </w:t>
      </w:r>
      <w:r w:rsidR="00427829" w:rsidRPr="00646254">
        <w:rPr>
          <w:rFonts w:cstheme="minorHAnsi"/>
          <w:bCs/>
          <w:szCs w:val="72"/>
          <w:lang w:val="sr-Cyrl-CS"/>
        </w:rPr>
        <w:t>20</w:t>
      </w:r>
      <w:r w:rsidR="00921E8D" w:rsidRPr="00646254">
        <w:rPr>
          <w:rFonts w:cstheme="minorHAnsi"/>
          <w:bCs/>
          <w:szCs w:val="72"/>
          <w:lang w:val="sr-Cyrl-CS"/>
        </w:rPr>
        <w:t>2</w:t>
      </w:r>
      <w:r w:rsidR="00D65162" w:rsidRPr="00646254">
        <w:rPr>
          <w:rFonts w:cstheme="minorHAnsi"/>
          <w:bCs/>
          <w:szCs w:val="72"/>
          <w:lang w:val="sr-Cyrl-CS"/>
        </w:rPr>
        <w:t>1</w:t>
      </w:r>
      <w:r w:rsidR="00427829" w:rsidRPr="00646254">
        <w:rPr>
          <w:rFonts w:cstheme="minorHAnsi"/>
          <w:bCs/>
          <w:szCs w:val="72"/>
          <w:lang w:val="sr-Cyrl-CS"/>
        </w:rPr>
        <w:t>. године</w:t>
      </w:r>
    </w:p>
    <w:p w14:paraId="5E173278" w14:textId="77777777" w:rsidR="00427829" w:rsidRPr="00646254" w:rsidRDefault="00427829" w:rsidP="00427829">
      <w:pPr>
        <w:spacing w:after="0"/>
        <w:jc w:val="right"/>
        <w:rPr>
          <w:rFonts w:cstheme="minorHAnsi"/>
          <w:bCs/>
          <w:szCs w:val="72"/>
          <w:highlight w:val="darkGray"/>
          <w:lang w:val="sr-Cyrl-CS"/>
        </w:rPr>
      </w:pPr>
    </w:p>
    <w:p w14:paraId="3AF81550" w14:textId="77777777" w:rsidR="00427829" w:rsidRPr="00646254" w:rsidRDefault="00427829" w:rsidP="0001068B">
      <w:pPr>
        <w:spacing w:after="0"/>
        <w:jc w:val="center"/>
        <w:rPr>
          <w:rFonts w:cstheme="minorHAnsi"/>
          <w:bCs/>
          <w:szCs w:val="72"/>
          <w:lang w:val="sr-Cyrl-CS"/>
        </w:rPr>
      </w:pPr>
      <w:r w:rsidRPr="00646254">
        <w:rPr>
          <w:rFonts w:cstheme="minorHAnsi"/>
          <w:bCs/>
          <w:szCs w:val="72"/>
          <w:lang w:val="sr-Cyrl-CS"/>
        </w:rPr>
        <w:t>В Л А Д А</w:t>
      </w:r>
    </w:p>
    <w:p w14:paraId="5A56713B" w14:textId="77777777" w:rsidR="00427829" w:rsidRPr="00646254" w:rsidRDefault="00427829" w:rsidP="00427829">
      <w:pPr>
        <w:spacing w:after="0"/>
        <w:jc w:val="right"/>
        <w:rPr>
          <w:rFonts w:cstheme="minorHAnsi"/>
          <w:bCs/>
          <w:szCs w:val="72"/>
          <w:lang w:val="sr-Cyrl-CS"/>
        </w:rPr>
      </w:pPr>
    </w:p>
    <w:p w14:paraId="4142D61A" w14:textId="07C58E20" w:rsidR="00427829" w:rsidRPr="00646254" w:rsidRDefault="00376746" w:rsidP="00376746">
      <w:pPr>
        <w:spacing w:after="0"/>
        <w:jc w:val="center"/>
        <w:rPr>
          <w:rFonts w:cstheme="minorHAnsi"/>
          <w:bCs/>
          <w:szCs w:val="72"/>
          <w:lang w:val="sr-Cyrl-CS"/>
        </w:rPr>
      </w:pPr>
      <w:r w:rsidRPr="00646254">
        <w:rPr>
          <w:rFonts w:cstheme="minorHAnsi"/>
          <w:bCs/>
          <w:szCs w:val="72"/>
          <w:lang w:val="sr-Cyrl-CS"/>
        </w:rPr>
        <w:t xml:space="preserve">                                                                                                                                                                  </w:t>
      </w:r>
      <w:r w:rsidR="00427829" w:rsidRPr="00646254">
        <w:rPr>
          <w:rFonts w:cstheme="minorHAnsi"/>
          <w:bCs/>
          <w:szCs w:val="72"/>
          <w:lang w:val="sr-Cyrl-CS"/>
        </w:rPr>
        <w:t>ПРЕДСЕДНИК</w:t>
      </w:r>
    </w:p>
    <w:p w14:paraId="3C1C6BFA" w14:textId="77777777" w:rsidR="00427829" w:rsidRPr="00646254" w:rsidRDefault="00427829" w:rsidP="00427829">
      <w:pPr>
        <w:spacing w:after="0"/>
        <w:jc w:val="right"/>
        <w:rPr>
          <w:rFonts w:cstheme="minorHAnsi"/>
          <w:bCs/>
          <w:szCs w:val="72"/>
          <w:lang w:val="sr-Cyrl-CS"/>
        </w:rPr>
      </w:pPr>
    </w:p>
    <w:p w14:paraId="29672911" w14:textId="598A0FEE" w:rsidR="00427829" w:rsidRPr="00460428" w:rsidRDefault="00376746" w:rsidP="00376746">
      <w:pPr>
        <w:spacing w:after="0"/>
        <w:jc w:val="center"/>
        <w:rPr>
          <w:rFonts w:cstheme="minorHAnsi"/>
          <w:bCs/>
          <w:szCs w:val="72"/>
          <w:lang w:val="sr-Cyrl-RS"/>
        </w:rPr>
      </w:pPr>
      <w:r w:rsidRPr="00646254">
        <w:rPr>
          <w:rFonts w:cstheme="minorHAnsi"/>
          <w:bCs/>
          <w:szCs w:val="72"/>
          <w:lang w:val="sr-Cyrl-CS"/>
        </w:rPr>
        <w:t xml:space="preserve">                                                                                                                                   </w:t>
      </w:r>
      <w:r w:rsidR="00AD4263">
        <w:rPr>
          <w:rFonts w:cstheme="minorHAnsi"/>
          <w:bCs/>
          <w:szCs w:val="72"/>
          <w:lang w:val="sr-Cyrl-CS"/>
        </w:rPr>
        <w:t xml:space="preserve">                               </w:t>
      </w:r>
      <w:r w:rsidR="00427829" w:rsidRPr="00646254">
        <w:rPr>
          <w:rFonts w:cstheme="minorHAnsi"/>
          <w:bCs/>
          <w:szCs w:val="72"/>
          <w:lang w:val="sr-Cyrl-CS"/>
        </w:rPr>
        <w:t>Ана Брнабић</w:t>
      </w:r>
      <w:r w:rsidR="00460428">
        <w:rPr>
          <w:rFonts w:cstheme="minorHAnsi"/>
          <w:bCs/>
          <w:szCs w:val="72"/>
          <w:lang w:val="sr-Cyrl-RS"/>
        </w:rPr>
        <w:t>, с.р.</w:t>
      </w:r>
    </w:p>
    <w:p w14:paraId="759F4372" w14:textId="77777777" w:rsidR="00427829" w:rsidRPr="00646254" w:rsidRDefault="00427829" w:rsidP="00427829">
      <w:pPr>
        <w:spacing w:after="0"/>
        <w:jc w:val="right"/>
        <w:rPr>
          <w:rFonts w:cstheme="minorHAnsi"/>
          <w:bCs/>
          <w:szCs w:val="72"/>
          <w:lang w:val="sr-Cyrl-CS"/>
        </w:rPr>
      </w:pPr>
    </w:p>
    <w:p w14:paraId="79EB572F" w14:textId="77777777" w:rsidR="00427829" w:rsidRPr="00646254" w:rsidRDefault="00427829" w:rsidP="00427829">
      <w:pPr>
        <w:rPr>
          <w:rFonts w:cstheme="minorHAnsi"/>
          <w:bCs/>
          <w:szCs w:val="72"/>
          <w:lang w:val="sr-Cyrl-CS"/>
        </w:rPr>
      </w:pPr>
    </w:p>
    <w:p w14:paraId="1B36A909" w14:textId="558B8CF0" w:rsidR="00AB0E2B" w:rsidRPr="00646254" w:rsidRDefault="00AB0E2B" w:rsidP="00E4657F">
      <w:pPr>
        <w:spacing w:after="60"/>
        <w:rPr>
          <w:rFonts w:cstheme="minorHAnsi"/>
          <w:bCs/>
          <w:spacing w:val="-2"/>
          <w:szCs w:val="72"/>
          <w:lang w:val="sr-Cyrl-CS"/>
        </w:rPr>
      </w:pPr>
    </w:p>
    <w:p w14:paraId="65AAC620" w14:textId="0734A2DF" w:rsidR="00AB0E2B" w:rsidRPr="00646254" w:rsidRDefault="00AB0E2B" w:rsidP="00E4657F">
      <w:pPr>
        <w:spacing w:after="60"/>
        <w:rPr>
          <w:rFonts w:cstheme="minorHAnsi"/>
          <w:bCs/>
          <w:spacing w:val="-2"/>
          <w:szCs w:val="72"/>
          <w:lang w:val="sr-Cyrl-CS"/>
        </w:rPr>
      </w:pPr>
    </w:p>
    <w:p w14:paraId="0958F858" w14:textId="77777777" w:rsidR="00AB0E2B" w:rsidRPr="00646254" w:rsidRDefault="00AB0E2B" w:rsidP="00E4657F">
      <w:pPr>
        <w:spacing w:after="60"/>
        <w:rPr>
          <w:rFonts w:cstheme="minorHAnsi"/>
          <w:bCs/>
          <w:spacing w:val="-2"/>
          <w:szCs w:val="72"/>
          <w:lang w:val="sr-Cyrl-CS"/>
        </w:rPr>
      </w:pPr>
    </w:p>
    <w:p w14:paraId="0D0657C2" w14:textId="77777777" w:rsidR="004044DC" w:rsidRPr="00646254" w:rsidRDefault="004044DC" w:rsidP="00E4657F">
      <w:pPr>
        <w:spacing w:after="60"/>
        <w:rPr>
          <w:rFonts w:cstheme="minorHAnsi"/>
          <w:bCs/>
          <w:spacing w:val="-2"/>
          <w:szCs w:val="72"/>
          <w:lang w:val="sr-Cyrl-CS"/>
        </w:rPr>
        <w:sectPr w:rsidR="004044DC" w:rsidRPr="00646254" w:rsidSect="00AE40EB">
          <w:headerReference w:type="even" r:id="rId194"/>
          <w:headerReference w:type="default" r:id="rId195"/>
          <w:footerReference w:type="even" r:id="rId196"/>
          <w:footerReference w:type="default" r:id="rId197"/>
          <w:headerReference w:type="first" r:id="rId198"/>
          <w:type w:val="continuous"/>
          <w:pgSz w:w="12240" w:h="15840" w:code="1"/>
          <w:pgMar w:top="1418" w:right="1418" w:bottom="1418" w:left="1418" w:header="720" w:footer="720" w:gutter="0"/>
          <w:cols w:space="720"/>
          <w:docGrid w:linePitch="272"/>
        </w:sectPr>
      </w:pPr>
    </w:p>
    <w:p w14:paraId="327B2772" w14:textId="77777777" w:rsidR="002A6CF0" w:rsidRPr="00646254" w:rsidRDefault="002A6CF0" w:rsidP="00426178">
      <w:pPr>
        <w:pStyle w:val="Heading1"/>
        <w:spacing w:after="160"/>
        <w:rPr>
          <w:rFonts w:asciiTheme="minorHAnsi" w:hAnsiTheme="minorHAnsi" w:cstheme="minorHAnsi"/>
          <w:color w:val="002060"/>
          <w:sz w:val="24"/>
          <w:szCs w:val="26"/>
          <w:lang w:val="sr-Cyrl-CS"/>
        </w:rPr>
      </w:pPr>
      <w:bookmarkStart w:id="52" w:name="_Toc86650482"/>
      <w:bookmarkStart w:id="53" w:name="_Toc23342474"/>
      <w:bookmarkStart w:id="54" w:name="_Toc530635112"/>
      <w:r w:rsidRPr="00646254">
        <w:rPr>
          <w:rFonts w:asciiTheme="minorHAnsi" w:hAnsiTheme="minorHAnsi" w:cstheme="minorHAnsi"/>
          <w:color w:val="002060"/>
          <w:sz w:val="24"/>
          <w:szCs w:val="26"/>
          <w:lang w:val="sr-Cyrl-CS"/>
        </w:rPr>
        <w:t>Прилог 1 – Пројекција основних макроекономских индикатора</w:t>
      </w:r>
      <w:bookmarkEnd w:id="52"/>
    </w:p>
    <w:tbl>
      <w:tblPr>
        <w:tblStyle w:val="TableGrid1"/>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48"/>
        <w:gridCol w:w="1129"/>
        <w:gridCol w:w="1131"/>
        <w:gridCol w:w="1129"/>
        <w:gridCol w:w="1123"/>
      </w:tblGrid>
      <w:tr w:rsidR="002A6CF0" w:rsidRPr="00646254" w14:paraId="2549968D" w14:textId="77777777" w:rsidTr="00426178">
        <w:trPr>
          <w:trHeight w:val="551"/>
          <w:jc w:val="center"/>
        </w:trPr>
        <w:tc>
          <w:tcPr>
            <w:tcW w:w="2590" w:type="pct"/>
            <w:tcBorders>
              <w:top w:val="single" w:sz="4" w:space="0" w:color="002060"/>
              <w:bottom w:val="single" w:sz="4" w:space="0" w:color="002060"/>
            </w:tcBorders>
            <w:vAlign w:val="center"/>
            <w:hideMark/>
          </w:tcPr>
          <w:p w14:paraId="39A5178E" w14:textId="77777777" w:rsidR="002A6CF0" w:rsidRPr="00646254" w:rsidRDefault="002A6CF0" w:rsidP="00426178">
            <w:pPr>
              <w:rPr>
                <w:rFonts w:eastAsia="Calibri" w:cstheme="minorHAnsi"/>
                <w:iCs/>
                <w:color w:val="002060"/>
                <w:sz w:val="18"/>
                <w:szCs w:val="18"/>
                <w:lang w:val="sr-Cyrl-CS"/>
              </w:rPr>
            </w:pPr>
          </w:p>
        </w:tc>
        <w:tc>
          <w:tcPr>
            <w:tcW w:w="603" w:type="pct"/>
            <w:tcBorders>
              <w:top w:val="single" w:sz="4" w:space="0" w:color="002060"/>
              <w:bottom w:val="single" w:sz="4" w:space="0" w:color="002060"/>
            </w:tcBorders>
            <w:noWrap/>
            <w:vAlign w:val="center"/>
          </w:tcPr>
          <w:p w14:paraId="0D8585F2" w14:textId="77777777" w:rsidR="002A6CF0" w:rsidRPr="00646254" w:rsidRDefault="002A6CF0" w:rsidP="00426178">
            <w:pPr>
              <w:jc w:val="center"/>
              <w:rPr>
                <w:rFonts w:eastAsia="Calibri" w:cstheme="minorHAnsi"/>
                <w:iCs/>
                <w:color w:val="002060"/>
                <w:szCs w:val="18"/>
                <w:lang w:val="sr-Cyrl-CS"/>
              </w:rPr>
            </w:pPr>
            <w:r w:rsidRPr="00646254">
              <w:rPr>
                <w:rFonts w:eastAsia="Calibri" w:cstheme="minorHAnsi"/>
                <w:iCs/>
                <w:color w:val="002060"/>
                <w:szCs w:val="18"/>
                <w:lang w:val="sr-Cyrl-CS"/>
              </w:rPr>
              <w:t>2021</w:t>
            </w:r>
          </w:p>
        </w:tc>
        <w:tc>
          <w:tcPr>
            <w:tcW w:w="604" w:type="pct"/>
            <w:tcBorders>
              <w:top w:val="single" w:sz="4" w:space="0" w:color="002060"/>
              <w:bottom w:val="single" w:sz="4" w:space="0" w:color="002060"/>
            </w:tcBorders>
            <w:noWrap/>
            <w:vAlign w:val="center"/>
            <w:hideMark/>
          </w:tcPr>
          <w:p w14:paraId="567042D8" w14:textId="77777777" w:rsidR="002A6CF0" w:rsidRPr="00646254" w:rsidRDefault="002A6CF0" w:rsidP="00426178">
            <w:pPr>
              <w:jc w:val="center"/>
              <w:rPr>
                <w:rFonts w:eastAsia="Calibri" w:cstheme="minorHAnsi"/>
                <w:iCs/>
                <w:color w:val="002060"/>
                <w:sz w:val="18"/>
                <w:szCs w:val="18"/>
                <w:lang w:val="sr-Cyrl-CS"/>
              </w:rPr>
            </w:pPr>
            <w:r w:rsidRPr="00646254">
              <w:rPr>
                <w:color w:val="002060"/>
                <w:lang w:val="sr-Cyrl-CS"/>
              </w:rPr>
              <w:t>2022</w:t>
            </w:r>
          </w:p>
        </w:tc>
        <w:tc>
          <w:tcPr>
            <w:tcW w:w="603" w:type="pct"/>
            <w:tcBorders>
              <w:top w:val="single" w:sz="4" w:space="0" w:color="002060"/>
              <w:bottom w:val="single" w:sz="4" w:space="0" w:color="002060"/>
            </w:tcBorders>
            <w:noWrap/>
            <w:vAlign w:val="center"/>
            <w:hideMark/>
          </w:tcPr>
          <w:p w14:paraId="2BC13F92" w14:textId="77777777" w:rsidR="002A6CF0" w:rsidRPr="00646254" w:rsidRDefault="002A6CF0" w:rsidP="00426178">
            <w:pPr>
              <w:jc w:val="center"/>
              <w:rPr>
                <w:rFonts w:eastAsia="Calibri" w:cstheme="minorHAnsi"/>
                <w:iCs/>
                <w:color w:val="002060"/>
                <w:sz w:val="18"/>
                <w:szCs w:val="18"/>
                <w:lang w:val="sr-Cyrl-CS"/>
              </w:rPr>
            </w:pPr>
            <w:r w:rsidRPr="00646254">
              <w:rPr>
                <w:color w:val="002060"/>
                <w:lang w:val="sr-Cyrl-CS"/>
              </w:rPr>
              <w:t>2023</w:t>
            </w:r>
          </w:p>
        </w:tc>
        <w:tc>
          <w:tcPr>
            <w:tcW w:w="600" w:type="pct"/>
            <w:tcBorders>
              <w:top w:val="single" w:sz="4" w:space="0" w:color="002060"/>
              <w:bottom w:val="single" w:sz="4" w:space="0" w:color="002060"/>
            </w:tcBorders>
            <w:noWrap/>
            <w:vAlign w:val="center"/>
            <w:hideMark/>
          </w:tcPr>
          <w:p w14:paraId="2FB09B7B" w14:textId="77777777" w:rsidR="002A6CF0" w:rsidRPr="00646254" w:rsidRDefault="002A6CF0" w:rsidP="00426178">
            <w:pPr>
              <w:jc w:val="center"/>
              <w:rPr>
                <w:rFonts w:eastAsia="Calibri" w:cstheme="minorHAnsi"/>
                <w:iCs/>
                <w:color w:val="002060"/>
                <w:sz w:val="18"/>
                <w:szCs w:val="18"/>
                <w:lang w:val="sr-Cyrl-CS"/>
              </w:rPr>
            </w:pPr>
            <w:r w:rsidRPr="00646254">
              <w:rPr>
                <w:color w:val="002060"/>
                <w:lang w:val="sr-Cyrl-CS"/>
              </w:rPr>
              <w:t>2024</w:t>
            </w:r>
          </w:p>
        </w:tc>
      </w:tr>
      <w:tr w:rsidR="002A6CF0" w:rsidRPr="00646254" w14:paraId="5F226A9E" w14:textId="77777777" w:rsidTr="00426178">
        <w:trPr>
          <w:trHeight w:val="281"/>
          <w:jc w:val="center"/>
        </w:trPr>
        <w:tc>
          <w:tcPr>
            <w:tcW w:w="2590" w:type="pct"/>
            <w:tcBorders>
              <w:top w:val="single" w:sz="4" w:space="0" w:color="002060"/>
            </w:tcBorders>
            <w:noWrap/>
            <w:vAlign w:val="center"/>
            <w:hideMark/>
          </w:tcPr>
          <w:p w14:paraId="13216309" w14:textId="77777777" w:rsidR="002A6CF0" w:rsidRPr="00646254" w:rsidRDefault="002A6CF0" w:rsidP="00426178">
            <w:pPr>
              <w:jc w:val="left"/>
              <w:rPr>
                <w:rFonts w:eastAsia="Calibri" w:cstheme="minorHAnsi"/>
                <w:color w:val="002060"/>
                <w:sz w:val="18"/>
                <w:szCs w:val="18"/>
                <w:lang w:val="sr-Cyrl-CS"/>
              </w:rPr>
            </w:pPr>
            <w:r w:rsidRPr="00646254">
              <w:rPr>
                <w:rFonts w:eastAsia="Calibri" w:cstheme="minorHAnsi"/>
                <w:color w:val="002060"/>
                <w:sz w:val="18"/>
                <w:szCs w:val="18"/>
                <w:lang w:val="sr-Cyrl-CS"/>
              </w:rPr>
              <w:t>Стопа реалног раста БДП, %</w:t>
            </w:r>
          </w:p>
        </w:tc>
        <w:tc>
          <w:tcPr>
            <w:tcW w:w="603" w:type="pct"/>
            <w:noWrap/>
            <w:vAlign w:val="center"/>
          </w:tcPr>
          <w:p w14:paraId="02E11283" w14:textId="77777777" w:rsidR="002A6CF0" w:rsidRPr="00646254" w:rsidRDefault="002A6CF0" w:rsidP="00426178">
            <w:pPr>
              <w:jc w:val="center"/>
              <w:rPr>
                <w:rFonts w:cstheme="minorHAnsi"/>
                <w:color w:val="002060"/>
                <w:sz w:val="18"/>
                <w:szCs w:val="18"/>
                <w:lang w:val="sr-Cyrl-CS"/>
              </w:rPr>
            </w:pPr>
            <w:r w:rsidRPr="00646254">
              <w:rPr>
                <w:rFonts w:cstheme="minorHAnsi"/>
                <w:color w:val="002060"/>
                <w:sz w:val="18"/>
                <w:szCs w:val="18"/>
                <w:lang w:val="sr-Cyrl-CS"/>
              </w:rPr>
              <w:t>7,0</w:t>
            </w:r>
          </w:p>
        </w:tc>
        <w:tc>
          <w:tcPr>
            <w:tcW w:w="604" w:type="pct"/>
            <w:noWrap/>
            <w:vAlign w:val="center"/>
          </w:tcPr>
          <w:p w14:paraId="0F8FCE96" w14:textId="77777777" w:rsidR="002A6CF0" w:rsidRPr="00646254" w:rsidRDefault="002A6CF0" w:rsidP="00426178">
            <w:pPr>
              <w:jc w:val="center"/>
              <w:rPr>
                <w:rFonts w:cstheme="minorHAnsi"/>
                <w:color w:val="002060"/>
                <w:sz w:val="18"/>
                <w:szCs w:val="18"/>
                <w:lang w:val="sr-Cyrl-CS"/>
              </w:rPr>
            </w:pPr>
            <w:r w:rsidRPr="00646254">
              <w:rPr>
                <w:rFonts w:cstheme="minorHAnsi"/>
                <w:color w:val="002060"/>
                <w:sz w:val="18"/>
                <w:szCs w:val="18"/>
                <w:lang w:val="sr-Cyrl-CS"/>
              </w:rPr>
              <w:t>4,5</w:t>
            </w:r>
          </w:p>
        </w:tc>
        <w:tc>
          <w:tcPr>
            <w:tcW w:w="603" w:type="pct"/>
            <w:noWrap/>
            <w:vAlign w:val="center"/>
          </w:tcPr>
          <w:p w14:paraId="1AF4FD4E" w14:textId="77777777" w:rsidR="002A6CF0" w:rsidRPr="00646254" w:rsidRDefault="002A6CF0" w:rsidP="00426178">
            <w:pPr>
              <w:jc w:val="center"/>
              <w:rPr>
                <w:rFonts w:cstheme="minorHAnsi"/>
                <w:color w:val="002060"/>
                <w:sz w:val="18"/>
                <w:szCs w:val="18"/>
                <w:lang w:val="sr-Cyrl-CS"/>
              </w:rPr>
            </w:pPr>
            <w:r w:rsidRPr="00646254">
              <w:rPr>
                <w:rFonts w:cstheme="minorHAnsi"/>
                <w:color w:val="002060"/>
                <w:sz w:val="18"/>
                <w:szCs w:val="18"/>
                <w:lang w:val="sr-Cyrl-CS"/>
              </w:rPr>
              <w:t>5,0</w:t>
            </w:r>
          </w:p>
        </w:tc>
        <w:tc>
          <w:tcPr>
            <w:tcW w:w="600" w:type="pct"/>
            <w:noWrap/>
            <w:vAlign w:val="center"/>
          </w:tcPr>
          <w:p w14:paraId="43A65547" w14:textId="77777777" w:rsidR="002A6CF0" w:rsidRPr="00646254" w:rsidRDefault="002A6CF0" w:rsidP="00426178">
            <w:pPr>
              <w:jc w:val="center"/>
              <w:rPr>
                <w:rFonts w:cstheme="minorHAnsi"/>
                <w:color w:val="002060"/>
                <w:sz w:val="18"/>
                <w:szCs w:val="18"/>
                <w:lang w:val="sr-Cyrl-CS"/>
              </w:rPr>
            </w:pPr>
            <w:r w:rsidRPr="00646254">
              <w:rPr>
                <w:rFonts w:cstheme="minorHAnsi"/>
                <w:color w:val="002060"/>
                <w:sz w:val="18"/>
                <w:szCs w:val="18"/>
                <w:lang w:val="sr-Cyrl-CS"/>
              </w:rPr>
              <w:t>5,0</w:t>
            </w:r>
          </w:p>
        </w:tc>
      </w:tr>
      <w:tr w:rsidR="002A6CF0" w:rsidRPr="00646254" w14:paraId="6FC20264" w14:textId="77777777" w:rsidTr="00426178">
        <w:trPr>
          <w:trHeight w:val="281"/>
          <w:jc w:val="center"/>
        </w:trPr>
        <w:tc>
          <w:tcPr>
            <w:tcW w:w="2590" w:type="pct"/>
            <w:noWrap/>
            <w:vAlign w:val="center"/>
            <w:hideMark/>
          </w:tcPr>
          <w:p w14:paraId="466129D5" w14:textId="77777777" w:rsidR="002A6CF0" w:rsidRPr="00646254" w:rsidRDefault="002A6CF0" w:rsidP="00426178">
            <w:pPr>
              <w:jc w:val="left"/>
              <w:rPr>
                <w:rFonts w:eastAsia="Calibri" w:cstheme="minorHAnsi"/>
                <w:color w:val="002060"/>
                <w:sz w:val="18"/>
                <w:szCs w:val="18"/>
                <w:lang w:val="sr-Cyrl-CS"/>
              </w:rPr>
            </w:pPr>
            <w:r w:rsidRPr="00646254">
              <w:rPr>
                <w:rFonts w:eastAsia="Calibri" w:cstheme="minorHAnsi"/>
                <w:color w:val="002060"/>
                <w:sz w:val="18"/>
                <w:szCs w:val="18"/>
                <w:lang w:val="sr-Cyrl-CS"/>
              </w:rPr>
              <w:t>БДП у текућим тржишним ценама</w:t>
            </w:r>
          </w:p>
          <w:p w14:paraId="188EA294" w14:textId="77777777" w:rsidR="002A6CF0" w:rsidRPr="00646254" w:rsidRDefault="002A6CF0" w:rsidP="00426178">
            <w:pPr>
              <w:jc w:val="left"/>
              <w:rPr>
                <w:rFonts w:eastAsia="Calibri" w:cstheme="minorHAnsi"/>
                <w:bCs/>
                <w:color w:val="002060"/>
                <w:sz w:val="18"/>
                <w:szCs w:val="18"/>
                <w:lang w:val="sr-Cyrl-CS"/>
              </w:rPr>
            </w:pPr>
            <w:r w:rsidRPr="00646254">
              <w:rPr>
                <w:rFonts w:eastAsia="Calibri" w:cstheme="minorHAnsi"/>
                <w:color w:val="002060"/>
                <w:sz w:val="18"/>
                <w:szCs w:val="18"/>
                <w:lang w:val="sr-Cyrl-CS"/>
              </w:rPr>
              <w:t>(у млрд динара)</w:t>
            </w:r>
          </w:p>
        </w:tc>
        <w:tc>
          <w:tcPr>
            <w:tcW w:w="603" w:type="pct"/>
            <w:noWrap/>
            <w:vAlign w:val="center"/>
          </w:tcPr>
          <w:p w14:paraId="32FFC535" w14:textId="77777777" w:rsidR="002A6CF0" w:rsidRPr="00646254" w:rsidRDefault="002A6CF0" w:rsidP="00426178">
            <w:pPr>
              <w:jc w:val="center"/>
              <w:rPr>
                <w:rFonts w:cstheme="minorHAnsi"/>
                <w:color w:val="002060"/>
                <w:sz w:val="18"/>
                <w:szCs w:val="18"/>
                <w:lang w:val="sr-Cyrl-CS"/>
              </w:rPr>
            </w:pPr>
            <w:r w:rsidRPr="00646254">
              <w:rPr>
                <w:rFonts w:cstheme="minorHAnsi"/>
                <w:color w:val="002060"/>
                <w:sz w:val="18"/>
                <w:szCs w:val="18"/>
                <w:lang w:val="sr-Cyrl-CS"/>
              </w:rPr>
              <w:t>6.163,0</w:t>
            </w:r>
          </w:p>
        </w:tc>
        <w:tc>
          <w:tcPr>
            <w:tcW w:w="604" w:type="pct"/>
            <w:noWrap/>
            <w:vAlign w:val="center"/>
          </w:tcPr>
          <w:p w14:paraId="193D59FF" w14:textId="77777777" w:rsidR="002A6CF0" w:rsidRPr="00646254" w:rsidRDefault="002A6CF0" w:rsidP="00426178">
            <w:pPr>
              <w:jc w:val="center"/>
              <w:rPr>
                <w:rFonts w:cstheme="minorHAnsi"/>
                <w:color w:val="002060"/>
                <w:sz w:val="18"/>
                <w:szCs w:val="18"/>
                <w:lang w:val="sr-Cyrl-CS"/>
              </w:rPr>
            </w:pPr>
            <w:r w:rsidRPr="00646254">
              <w:rPr>
                <w:rFonts w:cstheme="minorHAnsi"/>
                <w:color w:val="002060"/>
                <w:sz w:val="18"/>
                <w:szCs w:val="18"/>
                <w:lang w:val="sr-Cyrl-CS"/>
              </w:rPr>
              <w:t>6.638,7</w:t>
            </w:r>
          </w:p>
        </w:tc>
        <w:tc>
          <w:tcPr>
            <w:tcW w:w="603" w:type="pct"/>
            <w:noWrap/>
            <w:vAlign w:val="center"/>
          </w:tcPr>
          <w:p w14:paraId="61B25A03" w14:textId="77777777" w:rsidR="002A6CF0" w:rsidRPr="00646254" w:rsidRDefault="002A6CF0" w:rsidP="00426178">
            <w:pPr>
              <w:jc w:val="center"/>
              <w:rPr>
                <w:rFonts w:cstheme="minorHAnsi"/>
                <w:color w:val="002060"/>
                <w:sz w:val="18"/>
                <w:szCs w:val="18"/>
                <w:lang w:val="sr-Cyrl-CS"/>
              </w:rPr>
            </w:pPr>
            <w:r w:rsidRPr="00646254">
              <w:rPr>
                <w:rFonts w:cstheme="minorHAnsi"/>
                <w:color w:val="002060"/>
                <w:sz w:val="18"/>
                <w:szCs w:val="18"/>
                <w:lang w:val="sr-Cyrl-CS"/>
              </w:rPr>
              <w:t>7.175,9</w:t>
            </w:r>
          </w:p>
        </w:tc>
        <w:tc>
          <w:tcPr>
            <w:tcW w:w="600" w:type="pct"/>
            <w:noWrap/>
            <w:vAlign w:val="center"/>
          </w:tcPr>
          <w:p w14:paraId="1233FEC8" w14:textId="77777777" w:rsidR="002A6CF0" w:rsidRPr="00646254" w:rsidRDefault="002A6CF0" w:rsidP="00426178">
            <w:pPr>
              <w:jc w:val="center"/>
              <w:rPr>
                <w:rFonts w:cstheme="minorHAnsi"/>
                <w:color w:val="002060"/>
                <w:sz w:val="18"/>
                <w:szCs w:val="18"/>
                <w:lang w:val="sr-Cyrl-CS"/>
              </w:rPr>
            </w:pPr>
            <w:r w:rsidRPr="00646254">
              <w:rPr>
                <w:rFonts w:cstheme="minorHAnsi"/>
                <w:color w:val="002060"/>
                <w:sz w:val="18"/>
                <w:szCs w:val="18"/>
                <w:lang w:val="sr-Cyrl-CS"/>
              </w:rPr>
              <w:t>7.747,6</w:t>
            </w:r>
          </w:p>
        </w:tc>
      </w:tr>
      <w:tr w:rsidR="002A6CF0" w:rsidRPr="00646254" w14:paraId="089DD48E" w14:textId="77777777" w:rsidTr="00426178">
        <w:trPr>
          <w:trHeight w:val="281"/>
          <w:jc w:val="center"/>
        </w:trPr>
        <w:tc>
          <w:tcPr>
            <w:tcW w:w="2590" w:type="pct"/>
            <w:shd w:val="clear" w:color="auto" w:fill="E7E6E6" w:themeFill="background2"/>
            <w:noWrap/>
            <w:vAlign w:val="center"/>
            <w:hideMark/>
          </w:tcPr>
          <w:p w14:paraId="00E297F7" w14:textId="77777777" w:rsidR="002A6CF0" w:rsidRPr="00646254" w:rsidRDefault="002A6CF0" w:rsidP="00426178">
            <w:pPr>
              <w:jc w:val="left"/>
              <w:rPr>
                <w:rFonts w:eastAsia="Calibri" w:cstheme="minorHAnsi"/>
                <w:bCs/>
                <w:color w:val="002060"/>
                <w:sz w:val="18"/>
                <w:szCs w:val="18"/>
                <w:lang w:val="sr-Cyrl-CS"/>
              </w:rPr>
            </w:pPr>
            <w:r w:rsidRPr="00646254">
              <w:rPr>
                <w:rFonts w:eastAsia="Calibri" w:cstheme="minorHAnsi"/>
                <w:iCs/>
                <w:color w:val="002060"/>
                <w:sz w:val="18"/>
                <w:szCs w:val="18"/>
                <w:lang w:val="sr-Cyrl-CS"/>
              </w:rPr>
              <w:t xml:space="preserve">Извори раста: процентне промене у </w:t>
            </w:r>
            <w:r w:rsidRPr="00646254">
              <w:rPr>
                <w:rFonts w:eastAsia="Calibri" w:cstheme="minorHAnsi"/>
                <w:bCs/>
                <w:iCs/>
                <w:color w:val="002060"/>
                <w:sz w:val="18"/>
                <w:szCs w:val="18"/>
                <w:lang w:val="sr-Cyrl-CS"/>
              </w:rPr>
              <w:t>сталним</w:t>
            </w:r>
            <w:r w:rsidRPr="00646254">
              <w:rPr>
                <w:rFonts w:eastAsia="Calibri" w:cstheme="minorHAnsi"/>
                <w:iCs/>
                <w:color w:val="002060"/>
                <w:sz w:val="18"/>
                <w:szCs w:val="18"/>
                <w:lang w:val="sr-Cyrl-CS"/>
              </w:rPr>
              <w:t xml:space="preserve"> ценама</w:t>
            </w:r>
          </w:p>
        </w:tc>
        <w:tc>
          <w:tcPr>
            <w:tcW w:w="603" w:type="pct"/>
            <w:shd w:val="clear" w:color="auto" w:fill="E7E6E6" w:themeFill="background2"/>
            <w:vAlign w:val="center"/>
          </w:tcPr>
          <w:p w14:paraId="0FEC85EC" w14:textId="77777777" w:rsidR="002A6CF0" w:rsidRPr="00646254" w:rsidRDefault="002A6CF0" w:rsidP="00426178">
            <w:pPr>
              <w:jc w:val="center"/>
              <w:rPr>
                <w:rFonts w:eastAsia="Calibri" w:cstheme="minorHAnsi"/>
                <w:bCs/>
                <w:color w:val="002060"/>
                <w:sz w:val="18"/>
                <w:szCs w:val="18"/>
                <w:lang w:val="sr-Cyrl-CS"/>
              </w:rPr>
            </w:pPr>
          </w:p>
        </w:tc>
        <w:tc>
          <w:tcPr>
            <w:tcW w:w="604" w:type="pct"/>
            <w:shd w:val="clear" w:color="auto" w:fill="E7E6E6" w:themeFill="background2"/>
            <w:vAlign w:val="center"/>
          </w:tcPr>
          <w:p w14:paraId="7FDA6222" w14:textId="77777777" w:rsidR="002A6CF0" w:rsidRPr="00646254" w:rsidRDefault="002A6CF0" w:rsidP="00426178">
            <w:pPr>
              <w:jc w:val="center"/>
              <w:rPr>
                <w:rFonts w:eastAsia="Calibri" w:cstheme="minorHAnsi"/>
                <w:bCs/>
                <w:color w:val="002060"/>
                <w:sz w:val="18"/>
                <w:szCs w:val="18"/>
                <w:lang w:val="sr-Cyrl-CS"/>
              </w:rPr>
            </w:pPr>
          </w:p>
        </w:tc>
        <w:tc>
          <w:tcPr>
            <w:tcW w:w="603" w:type="pct"/>
            <w:shd w:val="clear" w:color="auto" w:fill="E7E6E6" w:themeFill="background2"/>
            <w:vAlign w:val="center"/>
          </w:tcPr>
          <w:p w14:paraId="77F3AEEB" w14:textId="77777777" w:rsidR="002A6CF0" w:rsidRPr="00646254" w:rsidRDefault="002A6CF0" w:rsidP="00426178">
            <w:pPr>
              <w:jc w:val="center"/>
              <w:rPr>
                <w:rFonts w:eastAsia="Calibri" w:cstheme="minorHAnsi"/>
                <w:bCs/>
                <w:color w:val="002060"/>
                <w:sz w:val="18"/>
                <w:szCs w:val="18"/>
                <w:lang w:val="sr-Cyrl-CS"/>
              </w:rPr>
            </w:pPr>
          </w:p>
        </w:tc>
        <w:tc>
          <w:tcPr>
            <w:tcW w:w="600" w:type="pct"/>
            <w:shd w:val="clear" w:color="auto" w:fill="E7E6E6" w:themeFill="background2"/>
            <w:vAlign w:val="center"/>
          </w:tcPr>
          <w:p w14:paraId="5A8A59A4" w14:textId="77777777" w:rsidR="002A6CF0" w:rsidRPr="00646254" w:rsidRDefault="002A6CF0" w:rsidP="00426178">
            <w:pPr>
              <w:jc w:val="center"/>
              <w:rPr>
                <w:rFonts w:eastAsia="Calibri" w:cstheme="minorHAnsi"/>
                <w:bCs/>
                <w:color w:val="002060"/>
                <w:sz w:val="18"/>
                <w:szCs w:val="18"/>
                <w:lang w:val="sr-Cyrl-CS"/>
              </w:rPr>
            </w:pPr>
          </w:p>
        </w:tc>
      </w:tr>
      <w:tr w:rsidR="002A6CF0" w:rsidRPr="00646254" w14:paraId="2CF36E02" w14:textId="77777777" w:rsidTr="00426178">
        <w:trPr>
          <w:trHeight w:val="281"/>
          <w:jc w:val="center"/>
        </w:trPr>
        <w:tc>
          <w:tcPr>
            <w:tcW w:w="2590" w:type="pct"/>
            <w:noWrap/>
            <w:vAlign w:val="center"/>
            <w:hideMark/>
          </w:tcPr>
          <w:p w14:paraId="29EFF53F" w14:textId="77777777" w:rsidR="002A6CF0" w:rsidRPr="00646254" w:rsidRDefault="002A6CF0" w:rsidP="00426178">
            <w:pPr>
              <w:ind w:left="113"/>
              <w:jc w:val="left"/>
              <w:rPr>
                <w:rFonts w:eastAsia="Calibri" w:cstheme="minorHAnsi"/>
                <w:color w:val="002060"/>
                <w:sz w:val="18"/>
                <w:szCs w:val="18"/>
                <w:lang w:val="sr-Cyrl-CS"/>
              </w:rPr>
            </w:pPr>
            <w:r w:rsidRPr="00646254">
              <w:rPr>
                <w:rFonts w:eastAsia="Calibri" w:cstheme="minorHAnsi"/>
                <w:color w:val="002060"/>
                <w:sz w:val="18"/>
                <w:szCs w:val="18"/>
                <w:lang w:val="sr-Cyrl-CS"/>
              </w:rPr>
              <w:t>Лична потрошња</w:t>
            </w:r>
          </w:p>
        </w:tc>
        <w:tc>
          <w:tcPr>
            <w:tcW w:w="603" w:type="pct"/>
            <w:tcBorders>
              <w:top w:val="nil"/>
              <w:left w:val="nil"/>
              <w:bottom w:val="nil"/>
              <w:right w:val="nil"/>
            </w:tcBorders>
            <w:shd w:val="clear" w:color="auto" w:fill="auto"/>
            <w:noWrap/>
            <w:vAlign w:val="center"/>
          </w:tcPr>
          <w:p w14:paraId="75A04B6C" w14:textId="77777777" w:rsidR="002A6CF0" w:rsidRPr="00646254" w:rsidRDefault="002A6CF0" w:rsidP="00426178">
            <w:pPr>
              <w:jc w:val="center"/>
              <w:rPr>
                <w:color w:val="002060"/>
                <w:sz w:val="18"/>
                <w:lang w:val="sr-Cyrl-CS"/>
              </w:rPr>
            </w:pPr>
            <w:r w:rsidRPr="00646254">
              <w:rPr>
                <w:color w:val="002060"/>
                <w:sz w:val="18"/>
                <w:lang w:val="sr-Cyrl-CS"/>
              </w:rPr>
              <w:t>6,4</w:t>
            </w:r>
          </w:p>
        </w:tc>
        <w:tc>
          <w:tcPr>
            <w:tcW w:w="604" w:type="pct"/>
            <w:tcBorders>
              <w:top w:val="nil"/>
              <w:left w:val="nil"/>
              <w:bottom w:val="nil"/>
              <w:right w:val="nil"/>
            </w:tcBorders>
            <w:shd w:val="clear" w:color="auto" w:fill="auto"/>
            <w:noWrap/>
            <w:vAlign w:val="center"/>
          </w:tcPr>
          <w:p w14:paraId="217A70C3" w14:textId="77777777" w:rsidR="002A6CF0" w:rsidRPr="00646254" w:rsidRDefault="002A6CF0" w:rsidP="00426178">
            <w:pPr>
              <w:jc w:val="center"/>
              <w:rPr>
                <w:color w:val="002060"/>
                <w:sz w:val="18"/>
                <w:lang w:val="sr-Cyrl-CS"/>
              </w:rPr>
            </w:pPr>
            <w:r w:rsidRPr="00646254">
              <w:rPr>
                <w:color w:val="002060"/>
                <w:sz w:val="18"/>
                <w:lang w:val="sr-Cyrl-CS"/>
              </w:rPr>
              <w:t>3,7</w:t>
            </w:r>
          </w:p>
        </w:tc>
        <w:tc>
          <w:tcPr>
            <w:tcW w:w="603" w:type="pct"/>
            <w:tcBorders>
              <w:top w:val="nil"/>
              <w:left w:val="nil"/>
              <w:bottom w:val="nil"/>
              <w:right w:val="nil"/>
            </w:tcBorders>
            <w:shd w:val="clear" w:color="auto" w:fill="auto"/>
            <w:noWrap/>
            <w:vAlign w:val="center"/>
          </w:tcPr>
          <w:p w14:paraId="7144AC7F" w14:textId="77777777" w:rsidR="002A6CF0" w:rsidRPr="00646254" w:rsidRDefault="002A6CF0" w:rsidP="00426178">
            <w:pPr>
              <w:jc w:val="center"/>
              <w:rPr>
                <w:color w:val="002060"/>
                <w:sz w:val="18"/>
                <w:lang w:val="sr-Cyrl-CS"/>
              </w:rPr>
            </w:pPr>
            <w:r w:rsidRPr="00646254">
              <w:rPr>
                <w:color w:val="002060"/>
                <w:sz w:val="18"/>
                <w:lang w:val="sr-Cyrl-CS"/>
              </w:rPr>
              <w:t>3,6</w:t>
            </w:r>
          </w:p>
        </w:tc>
        <w:tc>
          <w:tcPr>
            <w:tcW w:w="600" w:type="pct"/>
            <w:tcBorders>
              <w:top w:val="nil"/>
              <w:left w:val="nil"/>
              <w:bottom w:val="nil"/>
              <w:right w:val="nil"/>
            </w:tcBorders>
            <w:shd w:val="clear" w:color="auto" w:fill="auto"/>
            <w:noWrap/>
            <w:vAlign w:val="center"/>
          </w:tcPr>
          <w:p w14:paraId="729A8529" w14:textId="77777777" w:rsidR="002A6CF0" w:rsidRPr="00646254" w:rsidRDefault="002A6CF0" w:rsidP="00426178">
            <w:pPr>
              <w:jc w:val="center"/>
              <w:rPr>
                <w:color w:val="002060"/>
                <w:sz w:val="18"/>
                <w:lang w:val="sr-Cyrl-CS"/>
              </w:rPr>
            </w:pPr>
            <w:r w:rsidRPr="00646254">
              <w:rPr>
                <w:color w:val="002060"/>
                <w:sz w:val="18"/>
                <w:lang w:val="sr-Cyrl-CS"/>
              </w:rPr>
              <w:t>3,3</w:t>
            </w:r>
          </w:p>
        </w:tc>
      </w:tr>
      <w:tr w:rsidR="002A6CF0" w:rsidRPr="00646254" w14:paraId="70795CAC" w14:textId="77777777" w:rsidTr="00426178">
        <w:trPr>
          <w:trHeight w:val="281"/>
          <w:jc w:val="center"/>
        </w:trPr>
        <w:tc>
          <w:tcPr>
            <w:tcW w:w="2590" w:type="pct"/>
            <w:noWrap/>
            <w:vAlign w:val="center"/>
            <w:hideMark/>
          </w:tcPr>
          <w:p w14:paraId="11CFFCCD" w14:textId="77777777" w:rsidR="002A6CF0" w:rsidRPr="00646254" w:rsidRDefault="002A6CF0" w:rsidP="00426178">
            <w:pPr>
              <w:ind w:left="113"/>
              <w:jc w:val="left"/>
              <w:rPr>
                <w:rFonts w:eastAsia="Calibri" w:cstheme="minorHAnsi"/>
                <w:color w:val="002060"/>
                <w:sz w:val="18"/>
                <w:szCs w:val="18"/>
                <w:lang w:val="sr-Cyrl-CS"/>
              </w:rPr>
            </w:pPr>
            <w:r w:rsidRPr="00646254">
              <w:rPr>
                <w:rFonts w:eastAsia="Calibri" w:cstheme="minorHAnsi"/>
                <w:color w:val="002060"/>
                <w:sz w:val="18"/>
                <w:szCs w:val="18"/>
                <w:lang w:val="sr-Cyrl-CS"/>
              </w:rPr>
              <w:t>Државна потрошња</w:t>
            </w:r>
          </w:p>
        </w:tc>
        <w:tc>
          <w:tcPr>
            <w:tcW w:w="603" w:type="pct"/>
            <w:tcBorders>
              <w:top w:val="nil"/>
              <w:left w:val="nil"/>
              <w:bottom w:val="nil"/>
              <w:right w:val="nil"/>
            </w:tcBorders>
            <w:shd w:val="clear" w:color="auto" w:fill="auto"/>
            <w:noWrap/>
            <w:vAlign w:val="center"/>
          </w:tcPr>
          <w:p w14:paraId="7321EF2E" w14:textId="77777777" w:rsidR="002A6CF0" w:rsidRPr="00646254" w:rsidRDefault="002A6CF0" w:rsidP="00426178">
            <w:pPr>
              <w:jc w:val="center"/>
              <w:rPr>
                <w:color w:val="002060"/>
                <w:sz w:val="18"/>
                <w:lang w:val="sr-Cyrl-CS"/>
              </w:rPr>
            </w:pPr>
            <w:r w:rsidRPr="00646254">
              <w:rPr>
                <w:color w:val="002060"/>
                <w:sz w:val="18"/>
                <w:lang w:val="sr-Cyrl-CS"/>
              </w:rPr>
              <w:t>2,8</w:t>
            </w:r>
          </w:p>
        </w:tc>
        <w:tc>
          <w:tcPr>
            <w:tcW w:w="604" w:type="pct"/>
            <w:tcBorders>
              <w:top w:val="nil"/>
              <w:left w:val="nil"/>
              <w:bottom w:val="nil"/>
              <w:right w:val="nil"/>
            </w:tcBorders>
            <w:shd w:val="clear" w:color="auto" w:fill="auto"/>
            <w:noWrap/>
            <w:vAlign w:val="center"/>
          </w:tcPr>
          <w:p w14:paraId="77E1A614" w14:textId="77777777" w:rsidR="002A6CF0" w:rsidRPr="00646254" w:rsidRDefault="002A6CF0" w:rsidP="00426178">
            <w:pPr>
              <w:jc w:val="center"/>
              <w:rPr>
                <w:color w:val="002060"/>
                <w:sz w:val="18"/>
                <w:lang w:val="sr-Cyrl-CS"/>
              </w:rPr>
            </w:pPr>
            <w:r w:rsidRPr="00646254">
              <w:rPr>
                <w:color w:val="002060"/>
                <w:sz w:val="18"/>
                <w:lang w:val="sr-Cyrl-CS"/>
              </w:rPr>
              <w:t>2,3</w:t>
            </w:r>
          </w:p>
        </w:tc>
        <w:tc>
          <w:tcPr>
            <w:tcW w:w="603" w:type="pct"/>
            <w:tcBorders>
              <w:top w:val="nil"/>
              <w:left w:val="nil"/>
              <w:bottom w:val="nil"/>
              <w:right w:val="nil"/>
            </w:tcBorders>
            <w:shd w:val="clear" w:color="auto" w:fill="auto"/>
            <w:noWrap/>
            <w:vAlign w:val="center"/>
          </w:tcPr>
          <w:p w14:paraId="26AD3C89" w14:textId="77777777" w:rsidR="002A6CF0" w:rsidRPr="00646254" w:rsidRDefault="002A6CF0" w:rsidP="00426178">
            <w:pPr>
              <w:jc w:val="center"/>
              <w:rPr>
                <w:color w:val="002060"/>
                <w:sz w:val="18"/>
                <w:lang w:val="sr-Cyrl-CS"/>
              </w:rPr>
            </w:pPr>
            <w:r w:rsidRPr="00646254">
              <w:rPr>
                <w:color w:val="002060"/>
                <w:sz w:val="18"/>
                <w:lang w:val="sr-Cyrl-CS"/>
              </w:rPr>
              <w:t>1,2</w:t>
            </w:r>
          </w:p>
        </w:tc>
        <w:tc>
          <w:tcPr>
            <w:tcW w:w="600" w:type="pct"/>
            <w:tcBorders>
              <w:top w:val="nil"/>
              <w:left w:val="nil"/>
              <w:bottom w:val="nil"/>
              <w:right w:val="nil"/>
            </w:tcBorders>
            <w:shd w:val="clear" w:color="auto" w:fill="auto"/>
            <w:noWrap/>
            <w:vAlign w:val="center"/>
          </w:tcPr>
          <w:p w14:paraId="5EF82391" w14:textId="77777777" w:rsidR="002A6CF0" w:rsidRPr="00646254" w:rsidRDefault="002A6CF0" w:rsidP="00426178">
            <w:pPr>
              <w:jc w:val="center"/>
              <w:rPr>
                <w:color w:val="002060"/>
                <w:sz w:val="18"/>
                <w:lang w:val="sr-Cyrl-CS"/>
              </w:rPr>
            </w:pPr>
            <w:r w:rsidRPr="00646254">
              <w:rPr>
                <w:color w:val="002060"/>
                <w:sz w:val="18"/>
                <w:lang w:val="sr-Cyrl-CS"/>
              </w:rPr>
              <w:t>1,2</w:t>
            </w:r>
          </w:p>
        </w:tc>
      </w:tr>
      <w:tr w:rsidR="002A6CF0" w:rsidRPr="00646254" w14:paraId="4417B314" w14:textId="77777777" w:rsidTr="00426178">
        <w:trPr>
          <w:trHeight w:val="281"/>
          <w:jc w:val="center"/>
        </w:trPr>
        <w:tc>
          <w:tcPr>
            <w:tcW w:w="2590" w:type="pct"/>
            <w:noWrap/>
            <w:vAlign w:val="center"/>
            <w:hideMark/>
          </w:tcPr>
          <w:p w14:paraId="7AE51B02" w14:textId="77777777" w:rsidR="002A6CF0" w:rsidRPr="00646254" w:rsidRDefault="002A6CF0" w:rsidP="00426178">
            <w:pPr>
              <w:ind w:left="113"/>
              <w:jc w:val="left"/>
              <w:rPr>
                <w:rFonts w:eastAsia="Calibri" w:cstheme="minorHAnsi"/>
                <w:color w:val="002060"/>
                <w:sz w:val="18"/>
                <w:szCs w:val="18"/>
                <w:lang w:val="sr-Cyrl-CS"/>
              </w:rPr>
            </w:pPr>
            <w:r w:rsidRPr="00646254">
              <w:rPr>
                <w:rFonts w:eastAsia="Calibri" w:cstheme="minorHAnsi"/>
                <w:color w:val="002060"/>
                <w:sz w:val="18"/>
                <w:szCs w:val="18"/>
                <w:lang w:val="sr-Cyrl-CS"/>
              </w:rPr>
              <w:t>Инвестиције у основна средства</w:t>
            </w:r>
          </w:p>
        </w:tc>
        <w:tc>
          <w:tcPr>
            <w:tcW w:w="603" w:type="pct"/>
            <w:tcBorders>
              <w:top w:val="nil"/>
              <w:left w:val="nil"/>
              <w:bottom w:val="nil"/>
              <w:right w:val="nil"/>
            </w:tcBorders>
            <w:shd w:val="clear" w:color="auto" w:fill="auto"/>
            <w:noWrap/>
            <w:vAlign w:val="center"/>
          </w:tcPr>
          <w:p w14:paraId="424A048D" w14:textId="77777777" w:rsidR="002A6CF0" w:rsidRPr="00646254" w:rsidRDefault="002A6CF0" w:rsidP="00426178">
            <w:pPr>
              <w:jc w:val="center"/>
              <w:rPr>
                <w:color w:val="002060"/>
                <w:sz w:val="18"/>
                <w:lang w:val="sr-Cyrl-CS"/>
              </w:rPr>
            </w:pPr>
            <w:r w:rsidRPr="00646254">
              <w:rPr>
                <w:color w:val="002060"/>
                <w:sz w:val="18"/>
                <w:lang w:val="sr-Cyrl-CS"/>
              </w:rPr>
              <w:t>15,2</w:t>
            </w:r>
          </w:p>
        </w:tc>
        <w:tc>
          <w:tcPr>
            <w:tcW w:w="604" w:type="pct"/>
            <w:tcBorders>
              <w:top w:val="nil"/>
              <w:left w:val="nil"/>
              <w:bottom w:val="nil"/>
              <w:right w:val="nil"/>
            </w:tcBorders>
            <w:shd w:val="clear" w:color="auto" w:fill="auto"/>
            <w:noWrap/>
            <w:vAlign w:val="center"/>
          </w:tcPr>
          <w:p w14:paraId="2C9D738F" w14:textId="77777777" w:rsidR="002A6CF0" w:rsidRPr="00646254" w:rsidRDefault="002A6CF0" w:rsidP="00426178">
            <w:pPr>
              <w:jc w:val="center"/>
              <w:rPr>
                <w:color w:val="002060"/>
                <w:sz w:val="18"/>
                <w:lang w:val="sr-Cyrl-CS"/>
              </w:rPr>
            </w:pPr>
            <w:r w:rsidRPr="00646254">
              <w:rPr>
                <w:color w:val="002060"/>
                <w:sz w:val="18"/>
                <w:lang w:val="sr-Cyrl-CS"/>
              </w:rPr>
              <w:t>6,4</w:t>
            </w:r>
          </w:p>
        </w:tc>
        <w:tc>
          <w:tcPr>
            <w:tcW w:w="603" w:type="pct"/>
            <w:tcBorders>
              <w:top w:val="nil"/>
              <w:left w:val="nil"/>
              <w:bottom w:val="nil"/>
              <w:right w:val="nil"/>
            </w:tcBorders>
            <w:shd w:val="clear" w:color="auto" w:fill="auto"/>
            <w:noWrap/>
            <w:vAlign w:val="center"/>
          </w:tcPr>
          <w:p w14:paraId="2F6702BA" w14:textId="77777777" w:rsidR="002A6CF0" w:rsidRPr="00646254" w:rsidRDefault="002A6CF0" w:rsidP="00426178">
            <w:pPr>
              <w:jc w:val="center"/>
              <w:rPr>
                <w:color w:val="002060"/>
                <w:sz w:val="18"/>
                <w:lang w:val="sr-Cyrl-CS"/>
              </w:rPr>
            </w:pPr>
            <w:r w:rsidRPr="00646254">
              <w:rPr>
                <w:color w:val="002060"/>
                <w:sz w:val="18"/>
                <w:lang w:val="sr-Cyrl-CS"/>
              </w:rPr>
              <w:t>8,1</w:t>
            </w:r>
          </w:p>
        </w:tc>
        <w:tc>
          <w:tcPr>
            <w:tcW w:w="600" w:type="pct"/>
            <w:tcBorders>
              <w:top w:val="nil"/>
              <w:left w:val="nil"/>
              <w:bottom w:val="nil"/>
              <w:right w:val="nil"/>
            </w:tcBorders>
            <w:shd w:val="clear" w:color="auto" w:fill="auto"/>
            <w:noWrap/>
            <w:vAlign w:val="center"/>
          </w:tcPr>
          <w:p w14:paraId="1DE061E1" w14:textId="77777777" w:rsidR="002A6CF0" w:rsidRPr="00646254" w:rsidRDefault="002A6CF0" w:rsidP="00426178">
            <w:pPr>
              <w:jc w:val="center"/>
              <w:rPr>
                <w:color w:val="002060"/>
                <w:sz w:val="18"/>
                <w:lang w:val="sr-Cyrl-CS"/>
              </w:rPr>
            </w:pPr>
            <w:r w:rsidRPr="00646254">
              <w:rPr>
                <w:color w:val="002060"/>
                <w:sz w:val="18"/>
                <w:lang w:val="sr-Cyrl-CS"/>
              </w:rPr>
              <w:t>8,9</w:t>
            </w:r>
          </w:p>
        </w:tc>
      </w:tr>
      <w:tr w:rsidR="002A6CF0" w:rsidRPr="00646254" w14:paraId="7A22FC02" w14:textId="77777777" w:rsidTr="00426178">
        <w:trPr>
          <w:trHeight w:val="281"/>
          <w:jc w:val="center"/>
        </w:trPr>
        <w:tc>
          <w:tcPr>
            <w:tcW w:w="2590" w:type="pct"/>
            <w:noWrap/>
            <w:vAlign w:val="center"/>
            <w:hideMark/>
          </w:tcPr>
          <w:p w14:paraId="5C3DE4E6" w14:textId="77777777" w:rsidR="002A6CF0" w:rsidRPr="00646254" w:rsidRDefault="002A6CF0" w:rsidP="00426178">
            <w:pPr>
              <w:ind w:left="113"/>
              <w:jc w:val="left"/>
              <w:rPr>
                <w:rFonts w:eastAsia="Calibri" w:cstheme="minorHAnsi"/>
                <w:color w:val="002060"/>
                <w:sz w:val="18"/>
                <w:szCs w:val="18"/>
                <w:lang w:val="sr-Cyrl-CS"/>
              </w:rPr>
            </w:pPr>
            <w:r w:rsidRPr="00646254">
              <w:rPr>
                <w:rFonts w:eastAsia="Calibri" w:cstheme="minorHAnsi"/>
                <w:color w:val="002060"/>
                <w:sz w:val="18"/>
                <w:szCs w:val="18"/>
                <w:lang w:val="sr-Cyrl-CS"/>
              </w:rPr>
              <w:t>Извоз робе и услуга</w:t>
            </w:r>
          </w:p>
        </w:tc>
        <w:tc>
          <w:tcPr>
            <w:tcW w:w="603" w:type="pct"/>
            <w:tcBorders>
              <w:top w:val="nil"/>
              <w:left w:val="nil"/>
              <w:bottom w:val="nil"/>
              <w:right w:val="nil"/>
            </w:tcBorders>
            <w:shd w:val="clear" w:color="auto" w:fill="auto"/>
            <w:noWrap/>
            <w:vAlign w:val="center"/>
          </w:tcPr>
          <w:p w14:paraId="4D833534" w14:textId="77777777" w:rsidR="002A6CF0" w:rsidRPr="00646254" w:rsidRDefault="002A6CF0" w:rsidP="00426178">
            <w:pPr>
              <w:jc w:val="center"/>
              <w:rPr>
                <w:color w:val="002060"/>
                <w:sz w:val="18"/>
                <w:lang w:val="sr-Cyrl-CS"/>
              </w:rPr>
            </w:pPr>
            <w:r w:rsidRPr="00646254">
              <w:rPr>
                <w:color w:val="002060"/>
                <w:sz w:val="18"/>
                <w:lang w:val="sr-Cyrl-CS"/>
              </w:rPr>
              <w:t>15,9</w:t>
            </w:r>
          </w:p>
        </w:tc>
        <w:tc>
          <w:tcPr>
            <w:tcW w:w="604" w:type="pct"/>
            <w:tcBorders>
              <w:top w:val="nil"/>
              <w:left w:val="nil"/>
              <w:bottom w:val="nil"/>
              <w:right w:val="nil"/>
            </w:tcBorders>
            <w:shd w:val="clear" w:color="auto" w:fill="auto"/>
            <w:noWrap/>
            <w:vAlign w:val="center"/>
          </w:tcPr>
          <w:p w14:paraId="3D9CEA13" w14:textId="77777777" w:rsidR="002A6CF0" w:rsidRPr="00646254" w:rsidRDefault="002A6CF0" w:rsidP="00426178">
            <w:pPr>
              <w:jc w:val="center"/>
              <w:rPr>
                <w:color w:val="002060"/>
                <w:sz w:val="18"/>
                <w:lang w:val="sr-Cyrl-CS"/>
              </w:rPr>
            </w:pPr>
            <w:r w:rsidRPr="00646254">
              <w:rPr>
                <w:color w:val="002060"/>
                <w:sz w:val="18"/>
                <w:lang w:val="sr-Cyrl-CS"/>
              </w:rPr>
              <w:t>9,4</w:t>
            </w:r>
          </w:p>
        </w:tc>
        <w:tc>
          <w:tcPr>
            <w:tcW w:w="603" w:type="pct"/>
            <w:tcBorders>
              <w:top w:val="nil"/>
              <w:left w:val="nil"/>
              <w:bottom w:val="nil"/>
              <w:right w:val="nil"/>
            </w:tcBorders>
            <w:shd w:val="clear" w:color="auto" w:fill="auto"/>
            <w:noWrap/>
            <w:vAlign w:val="center"/>
          </w:tcPr>
          <w:p w14:paraId="47CCC11B" w14:textId="77777777" w:rsidR="002A6CF0" w:rsidRPr="00646254" w:rsidRDefault="002A6CF0" w:rsidP="00426178">
            <w:pPr>
              <w:jc w:val="center"/>
              <w:rPr>
                <w:color w:val="002060"/>
                <w:sz w:val="18"/>
                <w:lang w:val="sr-Cyrl-CS"/>
              </w:rPr>
            </w:pPr>
            <w:r w:rsidRPr="00646254">
              <w:rPr>
                <w:color w:val="002060"/>
                <w:sz w:val="18"/>
                <w:lang w:val="sr-Cyrl-CS"/>
              </w:rPr>
              <w:t>9,9</w:t>
            </w:r>
          </w:p>
        </w:tc>
        <w:tc>
          <w:tcPr>
            <w:tcW w:w="600" w:type="pct"/>
            <w:tcBorders>
              <w:top w:val="nil"/>
              <w:left w:val="nil"/>
              <w:bottom w:val="nil"/>
              <w:right w:val="nil"/>
            </w:tcBorders>
            <w:shd w:val="clear" w:color="auto" w:fill="auto"/>
            <w:noWrap/>
            <w:vAlign w:val="center"/>
          </w:tcPr>
          <w:p w14:paraId="1518F95C" w14:textId="77777777" w:rsidR="002A6CF0" w:rsidRPr="00646254" w:rsidRDefault="002A6CF0" w:rsidP="00426178">
            <w:pPr>
              <w:jc w:val="center"/>
              <w:rPr>
                <w:color w:val="002060"/>
                <w:sz w:val="18"/>
                <w:lang w:val="sr-Cyrl-CS"/>
              </w:rPr>
            </w:pPr>
            <w:r w:rsidRPr="00646254">
              <w:rPr>
                <w:color w:val="002060"/>
                <w:sz w:val="18"/>
                <w:lang w:val="sr-Cyrl-CS"/>
              </w:rPr>
              <w:t>10,4</w:t>
            </w:r>
          </w:p>
        </w:tc>
      </w:tr>
      <w:tr w:rsidR="002A6CF0" w:rsidRPr="00646254" w14:paraId="60DA93CC" w14:textId="77777777" w:rsidTr="00426178">
        <w:trPr>
          <w:trHeight w:val="281"/>
          <w:jc w:val="center"/>
        </w:trPr>
        <w:tc>
          <w:tcPr>
            <w:tcW w:w="2590" w:type="pct"/>
            <w:noWrap/>
            <w:vAlign w:val="center"/>
          </w:tcPr>
          <w:p w14:paraId="2B2AE4C5" w14:textId="77777777" w:rsidR="002A6CF0" w:rsidRPr="00646254" w:rsidRDefault="002A6CF0" w:rsidP="00426178">
            <w:pPr>
              <w:ind w:left="113"/>
              <w:jc w:val="left"/>
              <w:rPr>
                <w:rFonts w:eastAsia="Calibri" w:cstheme="minorHAnsi"/>
                <w:color w:val="002060"/>
                <w:sz w:val="18"/>
                <w:szCs w:val="18"/>
                <w:lang w:val="sr-Cyrl-CS"/>
              </w:rPr>
            </w:pPr>
            <w:r w:rsidRPr="00646254">
              <w:rPr>
                <w:rFonts w:eastAsia="Calibri" w:cstheme="minorHAnsi"/>
                <w:bCs/>
                <w:color w:val="002060"/>
                <w:sz w:val="18"/>
                <w:szCs w:val="18"/>
                <w:lang w:val="sr-Cyrl-CS"/>
              </w:rPr>
              <w:t>Увоз робе и услуга</w:t>
            </w:r>
          </w:p>
        </w:tc>
        <w:tc>
          <w:tcPr>
            <w:tcW w:w="603" w:type="pct"/>
            <w:tcBorders>
              <w:top w:val="nil"/>
              <w:left w:val="nil"/>
              <w:bottom w:val="nil"/>
              <w:right w:val="nil"/>
            </w:tcBorders>
            <w:shd w:val="clear" w:color="auto" w:fill="auto"/>
            <w:noWrap/>
            <w:vAlign w:val="center"/>
          </w:tcPr>
          <w:p w14:paraId="27971FC7" w14:textId="77777777" w:rsidR="002A6CF0" w:rsidRPr="00646254" w:rsidRDefault="002A6CF0" w:rsidP="00426178">
            <w:pPr>
              <w:jc w:val="center"/>
              <w:rPr>
                <w:color w:val="002060"/>
                <w:sz w:val="18"/>
                <w:lang w:val="sr-Cyrl-CS"/>
              </w:rPr>
            </w:pPr>
            <w:r w:rsidRPr="00646254">
              <w:rPr>
                <w:color w:val="002060"/>
                <w:sz w:val="18"/>
                <w:lang w:val="sr-Cyrl-CS"/>
              </w:rPr>
              <w:t>14,2</w:t>
            </w:r>
          </w:p>
        </w:tc>
        <w:tc>
          <w:tcPr>
            <w:tcW w:w="604" w:type="pct"/>
            <w:tcBorders>
              <w:top w:val="nil"/>
              <w:left w:val="nil"/>
              <w:bottom w:val="nil"/>
              <w:right w:val="nil"/>
            </w:tcBorders>
            <w:shd w:val="clear" w:color="auto" w:fill="auto"/>
            <w:noWrap/>
            <w:vAlign w:val="center"/>
          </w:tcPr>
          <w:p w14:paraId="6BAAD056" w14:textId="77777777" w:rsidR="002A6CF0" w:rsidRPr="00646254" w:rsidRDefault="002A6CF0" w:rsidP="00426178">
            <w:pPr>
              <w:jc w:val="center"/>
              <w:rPr>
                <w:color w:val="002060"/>
                <w:sz w:val="18"/>
                <w:lang w:val="sr-Cyrl-CS"/>
              </w:rPr>
            </w:pPr>
            <w:r w:rsidRPr="00646254">
              <w:rPr>
                <w:color w:val="002060"/>
                <w:sz w:val="18"/>
                <w:lang w:val="sr-Cyrl-CS"/>
              </w:rPr>
              <w:t>7,6</w:t>
            </w:r>
          </w:p>
        </w:tc>
        <w:tc>
          <w:tcPr>
            <w:tcW w:w="603" w:type="pct"/>
            <w:tcBorders>
              <w:top w:val="nil"/>
              <w:left w:val="nil"/>
              <w:bottom w:val="nil"/>
              <w:right w:val="nil"/>
            </w:tcBorders>
            <w:shd w:val="clear" w:color="auto" w:fill="auto"/>
            <w:noWrap/>
            <w:vAlign w:val="center"/>
          </w:tcPr>
          <w:p w14:paraId="1307522E" w14:textId="77777777" w:rsidR="002A6CF0" w:rsidRPr="00646254" w:rsidRDefault="002A6CF0" w:rsidP="00426178">
            <w:pPr>
              <w:jc w:val="center"/>
              <w:rPr>
                <w:color w:val="002060"/>
                <w:sz w:val="18"/>
                <w:lang w:val="sr-Cyrl-CS"/>
              </w:rPr>
            </w:pPr>
            <w:r w:rsidRPr="00646254">
              <w:rPr>
                <w:color w:val="002060"/>
                <w:sz w:val="18"/>
                <w:lang w:val="sr-Cyrl-CS"/>
              </w:rPr>
              <w:t>7,9</w:t>
            </w:r>
          </w:p>
        </w:tc>
        <w:tc>
          <w:tcPr>
            <w:tcW w:w="600" w:type="pct"/>
            <w:tcBorders>
              <w:top w:val="nil"/>
              <w:left w:val="nil"/>
              <w:bottom w:val="nil"/>
              <w:right w:val="nil"/>
            </w:tcBorders>
            <w:shd w:val="clear" w:color="auto" w:fill="auto"/>
            <w:noWrap/>
            <w:vAlign w:val="center"/>
          </w:tcPr>
          <w:p w14:paraId="1AE86796" w14:textId="77777777" w:rsidR="002A6CF0" w:rsidRPr="00646254" w:rsidRDefault="002A6CF0" w:rsidP="00426178">
            <w:pPr>
              <w:jc w:val="center"/>
              <w:rPr>
                <w:color w:val="002060"/>
                <w:sz w:val="18"/>
                <w:lang w:val="sr-Cyrl-CS"/>
              </w:rPr>
            </w:pPr>
            <w:r w:rsidRPr="00646254">
              <w:rPr>
                <w:color w:val="002060"/>
                <w:sz w:val="18"/>
                <w:lang w:val="sr-Cyrl-CS"/>
              </w:rPr>
              <w:t>8,5</w:t>
            </w:r>
          </w:p>
        </w:tc>
      </w:tr>
      <w:tr w:rsidR="002A6CF0" w:rsidRPr="00646254" w14:paraId="29B5ADCF" w14:textId="77777777" w:rsidTr="00426178">
        <w:trPr>
          <w:trHeight w:val="281"/>
          <w:jc w:val="center"/>
        </w:trPr>
        <w:tc>
          <w:tcPr>
            <w:tcW w:w="2590" w:type="pct"/>
            <w:shd w:val="clear" w:color="auto" w:fill="E7E6E6" w:themeFill="background2"/>
            <w:noWrap/>
            <w:vAlign w:val="center"/>
            <w:hideMark/>
          </w:tcPr>
          <w:p w14:paraId="3C64DCB1" w14:textId="77777777" w:rsidR="002A6CF0" w:rsidRPr="00646254" w:rsidRDefault="002A6CF0" w:rsidP="00426178">
            <w:pPr>
              <w:jc w:val="left"/>
              <w:rPr>
                <w:rFonts w:eastAsia="Calibri" w:cstheme="minorHAnsi"/>
                <w:bCs/>
                <w:iCs/>
                <w:color w:val="002060"/>
                <w:sz w:val="18"/>
                <w:szCs w:val="18"/>
                <w:lang w:val="sr-Cyrl-CS"/>
              </w:rPr>
            </w:pPr>
            <w:r w:rsidRPr="00646254">
              <w:rPr>
                <w:rFonts w:eastAsia="Calibri" w:cstheme="minorHAnsi"/>
                <w:iCs/>
                <w:color w:val="002060"/>
                <w:sz w:val="18"/>
                <w:szCs w:val="18"/>
                <w:lang w:val="sr-Cyrl-CS"/>
              </w:rPr>
              <w:t>Допринос расту БДП</w:t>
            </w:r>
            <w:r w:rsidRPr="00646254">
              <w:rPr>
                <w:rFonts w:eastAsia="Calibri" w:cstheme="minorHAnsi"/>
                <w:bCs/>
                <w:iCs/>
                <w:color w:val="002060"/>
                <w:sz w:val="18"/>
                <w:szCs w:val="18"/>
                <w:lang w:val="sr-Cyrl-CS"/>
              </w:rPr>
              <w:t>, процентни поени</w:t>
            </w:r>
          </w:p>
        </w:tc>
        <w:tc>
          <w:tcPr>
            <w:tcW w:w="603" w:type="pct"/>
            <w:shd w:val="clear" w:color="auto" w:fill="E7E6E6" w:themeFill="background2"/>
            <w:noWrap/>
            <w:vAlign w:val="center"/>
          </w:tcPr>
          <w:p w14:paraId="04733524" w14:textId="77777777" w:rsidR="002A6CF0" w:rsidRPr="00646254" w:rsidRDefault="002A6CF0" w:rsidP="00426178">
            <w:pPr>
              <w:jc w:val="center"/>
              <w:rPr>
                <w:rFonts w:eastAsia="Calibri" w:cstheme="minorHAnsi"/>
                <w:iCs/>
                <w:color w:val="002060"/>
                <w:sz w:val="18"/>
                <w:szCs w:val="18"/>
                <w:lang w:val="sr-Cyrl-CS"/>
              </w:rPr>
            </w:pPr>
          </w:p>
        </w:tc>
        <w:tc>
          <w:tcPr>
            <w:tcW w:w="604" w:type="pct"/>
            <w:shd w:val="clear" w:color="auto" w:fill="E7E6E6" w:themeFill="background2"/>
            <w:noWrap/>
            <w:vAlign w:val="center"/>
          </w:tcPr>
          <w:p w14:paraId="52CA5A74" w14:textId="77777777" w:rsidR="002A6CF0" w:rsidRPr="00646254" w:rsidRDefault="002A6CF0" w:rsidP="00426178">
            <w:pPr>
              <w:jc w:val="center"/>
              <w:rPr>
                <w:rFonts w:eastAsia="Calibri" w:cstheme="minorHAnsi"/>
                <w:color w:val="002060"/>
                <w:sz w:val="18"/>
                <w:szCs w:val="18"/>
                <w:lang w:val="sr-Cyrl-CS"/>
              </w:rPr>
            </w:pPr>
          </w:p>
        </w:tc>
        <w:tc>
          <w:tcPr>
            <w:tcW w:w="603" w:type="pct"/>
            <w:shd w:val="clear" w:color="auto" w:fill="E7E6E6" w:themeFill="background2"/>
            <w:noWrap/>
            <w:vAlign w:val="center"/>
          </w:tcPr>
          <w:p w14:paraId="37FCECB5" w14:textId="77777777" w:rsidR="002A6CF0" w:rsidRPr="00646254" w:rsidRDefault="002A6CF0" w:rsidP="00426178">
            <w:pPr>
              <w:jc w:val="center"/>
              <w:rPr>
                <w:rFonts w:eastAsia="Calibri" w:cstheme="minorHAnsi"/>
                <w:color w:val="002060"/>
                <w:sz w:val="18"/>
                <w:szCs w:val="18"/>
                <w:lang w:val="sr-Cyrl-CS"/>
              </w:rPr>
            </w:pPr>
          </w:p>
        </w:tc>
        <w:tc>
          <w:tcPr>
            <w:tcW w:w="600" w:type="pct"/>
            <w:shd w:val="clear" w:color="auto" w:fill="E7E6E6" w:themeFill="background2"/>
            <w:noWrap/>
            <w:vAlign w:val="center"/>
          </w:tcPr>
          <w:p w14:paraId="7D11AA0D" w14:textId="77777777" w:rsidR="002A6CF0" w:rsidRPr="00646254" w:rsidRDefault="002A6CF0" w:rsidP="00426178">
            <w:pPr>
              <w:jc w:val="center"/>
              <w:rPr>
                <w:rFonts w:eastAsia="Calibri" w:cstheme="minorHAnsi"/>
                <w:color w:val="002060"/>
                <w:sz w:val="18"/>
                <w:szCs w:val="18"/>
                <w:lang w:val="sr-Cyrl-CS"/>
              </w:rPr>
            </w:pPr>
          </w:p>
        </w:tc>
      </w:tr>
      <w:tr w:rsidR="002A6CF0" w:rsidRPr="00646254" w14:paraId="7E465E9B" w14:textId="77777777" w:rsidTr="00426178">
        <w:trPr>
          <w:trHeight w:val="281"/>
          <w:jc w:val="center"/>
        </w:trPr>
        <w:tc>
          <w:tcPr>
            <w:tcW w:w="2590" w:type="pct"/>
            <w:noWrap/>
            <w:vAlign w:val="center"/>
            <w:hideMark/>
          </w:tcPr>
          <w:p w14:paraId="39D9A60E" w14:textId="77777777" w:rsidR="002A6CF0" w:rsidRPr="00646254" w:rsidRDefault="002A6CF0" w:rsidP="00426178">
            <w:pPr>
              <w:ind w:left="113"/>
              <w:jc w:val="left"/>
              <w:rPr>
                <w:rFonts w:eastAsia="Calibri" w:cstheme="minorHAnsi"/>
                <w:color w:val="002060"/>
                <w:sz w:val="18"/>
                <w:szCs w:val="18"/>
                <w:lang w:val="sr-Cyrl-CS"/>
              </w:rPr>
            </w:pPr>
            <w:r w:rsidRPr="00646254">
              <w:rPr>
                <w:rFonts w:eastAsia="Calibri" w:cstheme="minorHAnsi"/>
                <w:color w:val="002060"/>
                <w:sz w:val="18"/>
                <w:szCs w:val="18"/>
                <w:lang w:val="sr-Cyrl-CS"/>
              </w:rPr>
              <w:t>Домаћа тражња</w:t>
            </w:r>
          </w:p>
        </w:tc>
        <w:tc>
          <w:tcPr>
            <w:tcW w:w="603" w:type="pct"/>
            <w:tcBorders>
              <w:top w:val="nil"/>
              <w:left w:val="nil"/>
              <w:bottom w:val="nil"/>
              <w:right w:val="nil"/>
            </w:tcBorders>
            <w:shd w:val="clear" w:color="auto" w:fill="auto"/>
            <w:noWrap/>
            <w:vAlign w:val="center"/>
          </w:tcPr>
          <w:p w14:paraId="6DC44857" w14:textId="77777777" w:rsidR="002A6CF0" w:rsidRPr="00646254" w:rsidRDefault="002A6CF0" w:rsidP="00426178">
            <w:pPr>
              <w:jc w:val="center"/>
              <w:rPr>
                <w:color w:val="002060"/>
                <w:sz w:val="18"/>
                <w:lang w:val="sr-Cyrl-CS"/>
              </w:rPr>
            </w:pPr>
            <w:r w:rsidRPr="00646254">
              <w:rPr>
                <w:color w:val="002060"/>
                <w:sz w:val="18"/>
                <w:lang w:val="sr-Cyrl-CS"/>
              </w:rPr>
              <w:t>7,7</w:t>
            </w:r>
          </w:p>
        </w:tc>
        <w:tc>
          <w:tcPr>
            <w:tcW w:w="604" w:type="pct"/>
            <w:tcBorders>
              <w:top w:val="nil"/>
              <w:left w:val="nil"/>
              <w:bottom w:val="nil"/>
              <w:right w:val="nil"/>
            </w:tcBorders>
            <w:shd w:val="clear" w:color="auto" w:fill="auto"/>
            <w:noWrap/>
            <w:vAlign w:val="center"/>
          </w:tcPr>
          <w:p w14:paraId="1E1828F8" w14:textId="77777777" w:rsidR="002A6CF0" w:rsidRPr="00646254" w:rsidRDefault="002A6CF0" w:rsidP="00426178">
            <w:pPr>
              <w:jc w:val="center"/>
              <w:rPr>
                <w:color w:val="002060"/>
                <w:sz w:val="18"/>
                <w:lang w:val="sr-Cyrl-CS"/>
              </w:rPr>
            </w:pPr>
            <w:r w:rsidRPr="00646254">
              <w:rPr>
                <w:color w:val="002060"/>
                <w:sz w:val="18"/>
                <w:lang w:val="sr-Cyrl-CS"/>
              </w:rPr>
              <w:t>4,3</w:t>
            </w:r>
          </w:p>
        </w:tc>
        <w:tc>
          <w:tcPr>
            <w:tcW w:w="603" w:type="pct"/>
            <w:tcBorders>
              <w:top w:val="nil"/>
              <w:left w:val="nil"/>
              <w:bottom w:val="nil"/>
              <w:right w:val="nil"/>
            </w:tcBorders>
            <w:shd w:val="clear" w:color="auto" w:fill="auto"/>
            <w:noWrap/>
            <w:vAlign w:val="center"/>
          </w:tcPr>
          <w:p w14:paraId="1FE87335" w14:textId="77777777" w:rsidR="002A6CF0" w:rsidRPr="00646254" w:rsidRDefault="002A6CF0" w:rsidP="00426178">
            <w:pPr>
              <w:jc w:val="center"/>
              <w:rPr>
                <w:color w:val="002060"/>
                <w:sz w:val="18"/>
                <w:lang w:val="sr-Cyrl-CS"/>
              </w:rPr>
            </w:pPr>
            <w:r w:rsidRPr="00646254">
              <w:rPr>
                <w:color w:val="002060"/>
                <w:sz w:val="18"/>
                <w:lang w:val="sr-Cyrl-CS"/>
              </w:rPr>
              <w:t>4,6</w:t>
            </w:r>
          </w:p>
        </w:tc>
        <w:tc>
          <w:tcPr>
            <w:tcW w:w="600" w:type="pct"/>
            <w:tcBorders>
              <w:top w:val="nil"/>
              <w:left w:val="nil"/>
              <w:bottom w:val="nil"/>
              <w:right w:val="nil"/>
            </w:tcBorders>
            <w:shd w:val="clear" w:color="auto" w:fill="auto"/>
            <w:noWrap/>
            <w:vAlign w:val="center"/>
          </w:tcPr>
          <w:p w14:paraId="33988C2D" w14:textId="77777777" w:rsidR="002A6CF0" w:rsidRPr="00646254" w:rsidRDefault="002A6CF0" w:rsidP="00426178">
            <w:pPr>
              <w:jc w:val="center"/>
              <w:rPr>
                <w:color w:val="002060"/>
                <w:sz w:val="18"/>
                <w:lang w:val="sr-Cyrl-CS"/>
              </w:rPr>
            </w:pPr>
            <w:r w:rsidRPr="00646254">
              <w:rPr>
                <w:color w:val="002060"/>
                <w:sz w:val="18"/>
                <w:lang w:val="sr-Cyrl-CS"/>
              </w:rPr>
              <w:t>4,6</w:t>
            </w:r>
          </w:p>
        </w:tc>
      </w:tr>
      <w:tr w:rsidR="002A6CF0" w:rsidRPr="00646254" w14:paraId="75413363" w14:textId="77777777" w:rsidTr="00426178">
        <w:trPr>
          <w:trHeight w:val="281"/>
          <w:jc w:val="center"/>
        </w:trPr>
        <w:tc>
          <w:tcPr>
            <w:tcW w:w="2590" w:type="pct"/>
            <w:noWrap/>
            <w:vAlign w:val="center"/>
            <w:hideMark/>
          </w:tcPr>
          <w:p w14:paraId="6CA84C5A" w14:textId="77777777" w:rsidR="002A6CF0" w:rsidRPr="00646254" w:rsidRDefault="002A6CF0" w:rsidP="00426178">
            <w:pPr>
              <w:ind w:left="113"/>
              <w:jc w:val="left"/>
              <w:rPr>
                <w:rFonts w:eastAsia="Calibri" w:cstheme="minorHAnsi"/>
                <w:color w:val="002060"/>
                <w:sz w:val="18"/>
                <w:szCs w:val="18"/>
                <w:lang w:val="sr-Cyrl-CS"/>
              </w:rPr>
            </w:pPr>
            <w:r w:rsidRPr="00646254">
              <w:rPr>
                <w:rFonts w:eastAsia="Calibri" w:cstheme="minorHAnsi"/>
                <w:color w:val="002060"/>
                <w:sz w:val="18"/>
                <w:szCs w:val="18"/>
                <w:lang w:val="sr-Cyrl-CS"/>
              </w:rPr>
              <w:t>Лична потрошња</w:t>
            </w:r>
          </w:p>
        </w:tc>
        <w:tc>
          <w:tcPr>
            <w:tcW w:w="603" w:type="pct"/>
            <w:tcBorders>
              <w:top w:val="nil"/>
              <w:left w:val="nil"/>
              <w:bottom w:val="nil"/>
              <w:right w:val="nil"/>
            </w:tcBorders>
            <w:shd w:val="clear" w:color="auto" w:fill="auto"/>
            <w:noWrap/>
            <w:vAlign w:val="center"/>
          </w:tcPr>
          <w:p w14:paraId="0F861634" w14:textId="77777777" w:rsidR="002A6CF0" w:rsidRPr="00646254" w:rsidRDefault="002A6CF0" w:rsidP="00426178">
            <w:pPr>
              <w:jc w:val="center"/>
              <w:rPr>
                <w:color w:val="002060"/>
                <w:sz w:val="18"/>
                <w:lang w:val="sr-Cyrl-CS"/>
              </w:rPr>
            </w:pPr>
            <w:r w:rsidRPr="00646254">
              <w:rPr>
                <w:color w:val="002060"/>
                <w:sz w:val="18"/>
                <w:lang w:val="sr-Cyrl-CS"/>
              </w:rPr>
              <w:t>4,4</w:t>
            </w:r>
          </w:p>
        </w:tc>
        <w:tc>
          <w:tcPr>
            <w:tcW w:w="604" w:type="pct"/>
            <w:tcBorders>
              <w:top w:val="nil"/>
              <w:left w:val="nil"/>
              <w:bottom w:val="nil"/>
              <w:right w:val="nil"/>
            </w:tcBorders>
            <w:shd w:val="clear" w:color="auto" w:fill="auto"/>
            <w:noWrap/>
            <w:vAlign w:val="center"/>
          </w:tcPr>
          <w:p w14:paraId="260E85F6" w14:textId="77777777" w:rsidR="002A6CF0" w:rsidRPr="00646254" w:rsidRDefault="002A6CF0" w:rsidP="00426178">
            <w:pPr>
              <w:jc w:val="center"/>
              <w:rPr>
                <w:color w:val="002060"/>
                <w:sz w:val="18"/>
                <w:lang w:val="sr-Cyrl-CS"/>
              </w:rPr>
            </w:pPr>
            <w:r w:rsidRPr="00646254">
              <w:rPr>
                <w:color w:val="002060"/>
                <w:sz w:val="18"/>
                <w:lang w:val="sr-Cyrl-CS"/>
              </w:rPr>
              <w:t>2,5</w:t>
            </w:r>
          </w:p>
        </w:tc>
        <w:tc>
          <w:tcPr>
            <w:tcW w:w="603" w:type="pct"/>
            <w:tcBorders>
              <w:top w:val="nil"/>
              <w:left w:val="nil"/>
              <w:bottom w:val="nil"/>
              <w:right w:val="nil"/>
            </w:tcBorders>
            <w:shd w:val="clear" w:color="auto" w:fill="auto"/>
            <w:noWrap/>
            <w:vAlign w:val="center"/>
          </w:tcPr>
          <w:p w14:paraId="1635E345" w14:textId="77777777" w:rsidR="002A6CF0" w:rsidRPr="00646254" w:rsidRDefault="002A6CF0" w:rsidP="00426178">
            <w:pPr>
              <w:jc w:val="center"/>
              <w:rPr>
                <w:color w:val="002060"/>
                <w:sz w:val="18"/>
                <w:lang w:val="sr-Cyrl-CS"/>
              </w:rPr>
            </w:pPr>
            <w:r w:rsidRPr="00646254">
              <w:rPr>
                <w:color w:val="002060"/>
                <w:sz w:val="18"/>
                <w:lang w:val="sr-Cyrl-CS"/>
              </w:rPr>
              <w:t>2,4</w:t>
            </w:r>
          </w:p>
        </w:tc>
        <w:tc>
          <w:tcPr>
            <w:tcW w:w="600" w:type="pct"/>
            <w:tcBorders>
              <w:top w:val="nil"/>
              <w:left w:val="nil"/>
              <w:bottom w:val="nil"/>
              <w:right w:val="nil"/>
            </w:tcBorders>
            <w:shd w:val="clear" w:color="auto" w:fill="auto"/>
            <w:noWrap/>
            <w:vAlign w:val="center"/>
          </w:tcPr>
          <w:p w14:paraId="2C5C8AAF" w14:textId="77777777" w:rsidR="002A6CF0" w:rsidRPr="00646254" w:rsidRDefault="002A6CF0" w:rsidP="00426178">
            <w:pPr>
              <w:jc w:val="center"/>
              <w:rPr>
                <w:color w:val="002060"/>
                <w:sz w:val="18"/>
                <w:lang w:val="sr-Cyrl-CS"/>
              </w:rPr>
            </w:pPr>
            <w:r w:rsidRPr="00646254">
              <w:rPr>
                <w:color w:val="002060"/>
                <w:sz w:val="18"/>
                <w:lang w:val="sr-Cyrl-CS"/>
              </w:rPr>
              <w:t>2,2</w:t>
            </w:r>
          </w:p>
        </w:tc>
      </w:tr>
      <w:tr w:rsidR="002A6CF0" w:rsidRPr="00646254" w14:paraId="5E19F2CB" w14:textId="77777777" w:rsidTr="00426178">
        <w:trPr>
          <w:trHeight w:val="281"/>
          <w:jc w:val="center"/>
        </w:trPr>
        <w:tc>
          <w:tcPr>
            <w:tcW w:w="2590" w:type="pct"/>
            <w:noWrap/>
            <w:vAlign w:val="center"/>
            <w:hideMark/>
          </w:tcPr>
          <w:p w14:paraId="615D58AB" w14:textId="77777777" w:rsidR="002A6CF0" w:rsidRPr="00646254" w:rsidRDefault="002A6CF0" w:rsidP="00426178">
            <w:pPr>
              <w:ind w:left="113"/>
              <w:jc w:val="left"/>
              <w:rPr>
                <w:rFonts w:eastAsia="Calibri" w:cstheme="minorHAnsi"/>
                <w:color w:val="002060"/>
                <w:sz w:val="18"/>
                <w:szCs w:val="18"/>
                <w:lang w:val="sr-Cyrl-CS"/>
              </w:rPr>
            </w:pPr>
            <w:r w:rsidRPr="00646254">
              <w:rPr>
                <w:rFonts w:eastAsia="Calibri" w:cstheme="minorHAnsi"/>
                <w:color w:val="002060"/>
                <w:sz w:val="18"/>
                <w:szCs w:val="18"/>
                <w:lang w:val="sr-Cyrl-CS"/>
              </w:rPr>
              <w:t>Државна потрошња</w:t>
            </w:r>
          </w:p>
        </w:tc>
        <w:tc>
          <w:tcPr>
            <w:tcW w:w="603" w:type="pct"/>
            <w:tcBorders>
              <w:top w:val="nil"/>
              <w:left w:val="nil"/>
              <w:bottom w:val="nil"/>
              <w:right w:val="nil"/>
            </w:tcBorders>
            <w:shd w:val="clear" w:color="auto" w:fill="auto"/>
            <w:noWrap/>
            <w:vAlign w:val="center"/>
          </w:tcPr>
          <w:p w14:paraId="551F9420" w14:textId="77777777" w:rsidR="002A6CF0" w:rsidRPr="00646254" w:rsidRDefault="002A6CF0" w:rsidP="00426178">
            <w:pPr>
              <w:jc w:val="center"/>
              <w:rPr>
                <w:color w:val="002060"/>
                <w:sz w:val="18"/>
                <w:lang w:val="sr-Cyrl-CS"/>
              </w:rPr>
            </w:pPr>
            <w:r w:rsidRPr="00646254">
              <w:rPr>
                <w:color w:val="002060"/>
                <w:sz w:val="18"/>
                <w:lang w:val="sr-Cyrl-CS"/>
              </w:rPr>
              <w:t>0,4</w:t>
            </w:r>
          </w:p>
        </w:tc>
        <w:tc>
          <w:tcPr>
            <w:tcW w:w="604" w:type="pct"/>
            <w:tcBorders>
              <w:top w:val="nil"/>
              <w:left w:val="nil"/>
              <w:bottom w:val="nil"/>
              <w:right w:val="nil"/>
            </w:tcBorders>
            <w:shd w:val="clear" w:color="auto" w:fill="auto"/>
            <w:noWrap/>
            <w:vAlign w:val="center"/>
          </w:tcPr>
          <w:p w14:paraId="37828111" w14:textId="77777777" w:rsidR="002A6CF0" w:rsidRPr="00646254" w:rsidRDefault="002A6CF0" w:rsidP="00426178">
            <w:pPr>
              <w:jc w:val="center"/>
              <w:rPr>
                <w:color w:val="002060"/>
                <w:sz w:val="18"/>
                <w:lang w:val="sr-Cyrl-CS"/>
              </w:rPr>
            </w:pPr>
            <w:r w:rsidRPr="00646254">
              <w:rPr>
                <w:color w:val="002060"/>
                <w:sz w:val="18"/>
                <w:lang w:val="sr-Cyrl-CS"/>
              </w:rPr>
              <w:t>0,4</w:t>
            </w:r>
          </w:p>
        </w:tc>
        <w:tc>
          <w:tcPr>
            <w:tcW w:w="603" w:type="pct"/>
            <w:tcBorders>
              <w:top w:val="nil"/>
              <w:left w:val="nil"/>
              <w:bottom w:val="nil"/>
              <w:right w:val="nil"/>
            </w:tcBorders>
            <w:shd w:val="clear" w:color="auto" w:fill="auto"/>
            <w:noWrap/>
            <w:vAlign w:val="center"/>
          </w:tcPr>
          <w:p w14:paraId="249E432B" w14:textId="77777777" w:rsidR="002A6CF0" w:rsidRPr="00646254" w:rsidRDefault="002A6CF0" w:rsidP="00426178">
            <w:pPr>
              <w:jc w:val="center"/>
              <w:rPr>
                <w:color w:val="002060"/>
                <w:sz w:val="18"/>
                <w:lang w:val="sr-Cyrl-CS"/>
              </w:rPr>
            </w:pPr>
            <w:r w:rsidRPr="00646254">
              <w:rPr>
                <w:color w:val="002060"/>
                <w:sz w:val="18"/>
                <w:lang w:val="sr-Cyrl-CS"/>
              </w:rPr>
              <w:t>0,2</w:t>
            </w:r>
          </w:p>
        </w:tc>
        <w:tc>
          <w:tcPr>
            <w:tcW w:w="600" w:type="pct"/>
            <w:tcBorders>
              <w:top w:val="nil"/>
              <w:left w:val="nil"/>
              <w:bottom w:val="nil"/>
              <w:right w:val="nil"/>
            </w:tcBorders>
            <w:shd w:val="clear" w:color="auto" w:fill="auto"/>
            <w:noWrap/>
            <w:vAlign w:val="center"/>
          </w:tcPr>
          <w:p w14:paraId="668381DD" w14:textId="77777777" w:rsidR="002A6CF0" w:rsidRPr="00646254" w:rsidRDefault="002A6CF0" w:rsidP="00426178">
            <w:pPr>
              <w:jc w:val="center"/>
              <w:rPr>
                <w:color w:val="002060"/>
                <w:sz w:val="18"/>
                <w:lang w:val="sr-Cyrl-CS"/>
              </w:rPr>
            </w:pPr>
            <w:r w:rsidRPr="00646254">
              <w:rPr>
                <w:color w:val="002060"/>
                <w:sz w:val="18"/>
                <w:lang w:val="sr-Cyrl-CS"/>
              </w:rPr>
              <w:t>0,2</w:t>
            </w:r>
          </w:p>
        </w:tc>
      </w:tr>
      <w:tr w:rsidR="002A6CF0" w:rsidRPr="00646254" w14:paraId="7AAE8DD4" w14:textId="77777777" w:rsidTr="00426178">
        <w:trPr>
          <w:trHeight w:val="281"/>
          <w:jc w:val="center"/>
        </w:trPr>
        <w:tc>
          <w:tcPr>
            <w:tcW w:w="2590" w:type="pct"/>
            <w:vAlign w:val="center"/>
          </w:tcPr>
          <w:p w14:paraId="24844B16" w14:textId="77777777" w:rsidR="002A6CF0" w:rsidRPr="00646254" w:rsidRDefault="002A6CF0" w:rsidP="00426178">
            <w:pPr>
              <w:ind w:left="113"/>
              <w:jc w:val="left"/>
              <w:rPr>
                <w:rFonts w:eastAsia="Calibri" w:cstheme="minorHAnsi"/>
                <w:color w:val="002060"/>
                <w:sz w:val="18"/>
                <w:szCs w:val="18"/>
                <w:lang w:val="sr-Cyrl-CS"/>
              </w:rPr>
            </w:pPr>
            <w:r w:rsidRPr="00646254">
              <w:rPr>
                <w:rFonts w:eastAsia="Calibri" w:cstheme="minorHAnsi"/>
                <w:color w:val="002060"/>
                <w:sz w:val="18"/>
                <w:szCs w:val="18"/>
                <w:lang w:val="sr-Cyrl-CS"/>
              </w:rPr>
              <w:t>Инвестициона потрошња</w:t>
            </w:r>
          </w:p>
        </w:tc>
        <w:tc>
          <w:tcPr>
            <w:tcW w:w="603" w:type="pct"/>
            <w:tcBorders>
              <w:top w:val="nil"/>
              <w:left w:val="nil"/>
              <w:bottom w:val="nil"/>
              <w:right w:val="nil"/>
            </w:tcBorders>
            <w:shd w:val="clear" w:color="auto" w:fill="auto"/>
            <w:noWrap/>
            <w:vAlign w:val="center"/>
          </w:tcPr>
          <w:p w14:paraId="02414FB5" w14:textId="77777777" w:rsidR="002A6CF0" w:rsidRPr="00646254" w:rsidRDefault="002A6CF0" w:rsidP="00426178">
            <w:pPr>
              <w:jc w:val="center"/>
              <w:rPr>
                <w:color w:val="002060"/>
                <w:sz w:val="18"/>
                <w:lang w:val="sr-Cyrl-CS"/>
              </w:rPr>
            </w:pPr>
            <w:r w:rsidRPr="00646254">
              <w:rPr>
                <w:color w:val="002060"/>
                <w:sz w:val="18"/>
                <w:lang w:val="sr-Cyrl-CS"/>
              </w:rPr>
              <w:t>3,4</w:t>
            </w:r>
          </w:p>
        </w:tc>
        <w:tc>
          <w:tcPr>
            <w:tcW w:w="604" w:type="pct"/>
            <w:tcBorders>
              <w:top w:val="nil"/>
              <w:left w:val="nil"/>
              <w:bottom w:val="nil"/>
              <w:right w:val="nil"/>
            </w:tcBorders>
            <w:shd w:val="clear" w:color="auto" w:fill="auto"/>
            <w:noWrap/>
            <w:vAlign w:val="center"/>
          </w:tcPr>
          <w:p w14:paraId="1E9B7586" w14:textId="77777777" w:rsidR="002A6CF0" w:rsidRPr="00646254" w:rsidRDefault="002A6CF0" w:rsidP="00426178">
            <w:pPr>
              <w:jc w:val="center"/>
              <w:rPr>
                <w:color w:val="002060"/>
                <w:sz w:val="18"/>
                <w:lang w:val="sr-Cyrl-CS"/>
              </w:rPr>
            </w:pPr>
            <w:r w:rsidRPr="00646254">
              <w:rPr>
                <w:color w:val="002060"/>
                <w:sz w:val="18"/>
                <w:lang w:val="sr-Cyrl-CS"/>
              </w:rPr>
              <w:t>1,5</w:t>
            </w:r>
          </w:p>
        </w:tc>
        <w:tc>
          <w:tcPr>
            <w:tcW w:w="603" w:type="pct"/>
            <w:tcBorders>
              <w:top w:val="nil"/>
              <w:left w:val="nil"/>
              <w:bottom w:val="nil"/>
              <w:right w:val="nil"/>
            </w:tcBorders>
            <w:shd w:val="clear" w:color="auto" w:fill="auto"/>
            <w:noWrap/>
            <w:vAlign w:val="center"/>
          </w:tcPr>
          <w:p w14:paraId="4CF853F2" w14:textId="77777777" w:rsidR="002A6CF0" w:rsidRPr="00646254" w:rsidRDefault="002A6CF0" w:rsidP="00426178">
            <w:pPr>
              <w:jc w:val="center"/>
              <w:rPr>
                <w:color w:val="002060"/>
                <w:sz w:val="18"/>
                <w:lang w:val="sr-Cyrl-CS"/>
              </w:rPr>
            </w:pPr>
            <w:r w:rsidRPr="00646254">
              <w:rPr>
                <w:color w:val="002060"/>
                <w:sz w:val="18"/>
                <w:lang w:val="sr-Cyrl-CS"/>
              </w:rPr>
              <w:t>2,0</w:t>
            </w:r>
          </w:p>
        </w:tc>
        <w:tc>
          <w:tcPr>
            <w:tcW w:w="600" w:type="pct"/>
            <w:tcBorders>
              <w:top w:val="nil"/>
              <w:left w:val="nil"/>
              <w:bottom w:val="nil"/>
              <w:right w:val="nil"/>
            </w:tcBorders>
            <w:shd w:val="clear" w:color="auto" w:fill="auto"/>
            <w:noWrap/>
            <w:vAlign w:val="center"/>
          </w:tcPr>
          <w:p w14:paraId="6DB95995" w14:textId="77777777" w:rsidR="002A6CF0" w:rsidRPr="00646254" w:rsidRDefault="002A6CF0" w:rsidP="00426178">
            <w:pPr>
              <w:jc w:val="center"/>
              <w:rPr>
                <w:color w:val="002060"/>
                <w:sz w:val="18"/>
                <w:lang w:val="sr-Cyrl-CS"/>
              </w:rPr>
            </w:pPr>
            <w:r w:rsidRPr="00646254">
              <w:rPr>
                <w:color w:val="002060"/>
                <w:sz w:val="18"/>
                <w:lang w:val="sr-Cyrl-CS"/>
              </w:rPr>
              <w:t>2,3</w:t>
            </w:r>
          </w:p>
        </w:tc>
      </w:tr>
      <w:tr w:rsidR="002A6CF0" w:rsidRPr="00646254" w14:paraId="5981173B" w14:textId="77777777" w:rsidTr="00426178">
        <w:trPr>
          <w:trHeight w:val="281"/>
          <w:jc w:val="center"/>
        </w:trPr>
        <w:tc>
          <w:tcPr>
            <w:tcW w:w="2590" w:type="pct"/>
            <w:vAlign w:val="center"/>
            <w:hideMark/>
          </w:tcPr>
          <w:p w14:paraId="15840304" w14:textId="77777777" w:rsidR="002A6CF0" w:rsidRPr="00646254" w:rsidRDefault="002A6CF0" w:rsidP="00426178">
            <w:pPr>
              <w:ind w:left="113"/>
              <w:jc w:val="left"/>
              <w:rPr>
                <w:rFonts w:eastAsia="Calibri" w:cstheme="minorHAnsi"/>
                <w:color w:val="002060"/>
                <w:sz w:val="18"/>
                <w:szCs w:val="18"/>
                <w:lang w:val="sr-Cyrl-CS"/>
              </w:rPr>
            </w:pPr>
            <w:r w:rsidRPr="00646254">
              <w:rPr>
                <w:rFonts w:eastAsia="Calibri" w:cstheme="minorHAnsi"/>
                <w:color w:val="002060"/>
                <w:sz w:val="18"/>
                <w:szCs w:val="18"/>
                <w:lang w:val="sr-Cyrl-CS"/>
              </w:rPr>
              <w:t>Промена у залихама</w:t>
            </w:r>
          </w:p>
        </w:tc>
        <w:tc>
          <w:tcPr>
            <w:tcW w:w="603" w:type="pct"/>
            <w:tcBorders>
              <w:top w:val="nil"/>
              <w:left w:val="nil"/>
              <w:bottom w:val="nil"/>
              <w:right w:val="nil"/>
            </w:tcBorders>
            <w:shd w:val="clear" w:color="auto" w:fill="auto"/>
            <w:noWrap/>
            <w:vAlign w:val="center"/>
          </w:tcPr>
          <w:p w14:paraId="047473D1" w14:textId="77777777" w:rsidR="002A6CF0" w:rsidRPr="00646254" w:rsidRDefault="002A6CF0" w:rsidP="00426178">
            <w:pPr>
              <w:jc w:val="center"/>
              <w:rPr>
                <w:color w:val="002060"/>
                <w:sz w:val="18"/>
                <w:lang w:val="sr-Cyrl-CS"/>
              </w:rPr>
            </w:pPr>
            <w:r w:rsidRPr="00646254">
              <w:rPr>
                <w:color w:val="002060"/>
                <w:sz w:val="18"/>
                <w:lang w:val="sr-Cyrl-CS"/>
              </w:rPr>
              <w:t>-0,5</w:t>
            </w:r>
          </w:p>
        </w:tc>
        <w:tc>
          <w:tcPr>
            <w:tcW w:w="604" w:type="pct"/>
            <w:tcBorders>
              <w:top w:val="nil"/>
              <w:left w:val="nil"/>
              <w:bottom w:val="nil"/>
              <w:right w:val="nil"/>
            </w:tcBorders>
            <w:shd w:val="clear" w:color="auto" w:fill="auto"/>
            <w:noWrap/>
            <w:vAlign w:val="center"/>
          </w:tcPr>
          <w:p w14:paraId="028BD7B8" w14:textId="77777777" w:rsidR="002A6CF0" w:rsidRPr="00646254" w:rsidRDefault="002A6CF0" w:rsidP="00426178">
            <w:pPr>
              <w:jc w:val="center"/>
              <w:rPr>
                <w:color w:val="002060"/>
                <w:sz w:val="18"/>
                <w:lang w:val="sr-Cyrl-CS"/>
              </w:rPr>
            </w:pPr>
            <w:r w:rsidRPr="00646254">
              <w:rPr>
                <w:color w:val="002060"/>
                <w:sz w:val="18"/>
                <w:lang w:val="sr-Cyrl-CS"/>
              </w:rPr>
              <w:t>0,0</w:t>
            </w:r>
          </w:p>
        </w:tc>
        <w:tc>
          <w:tcPr>
            <w:tcW w:w="603" w:type="pct"/>
            <w:tcBorders>
              <w:top w:val="nil"/>
              <w:left w:val="nil"/>
              <w:bottom w:val="nil"/>
              <w:right w:val="nil"/>
            </w:tcBorders>
            <w:shd w:val="clear" w:color="auto" w:fill="auto"/>
            <w:noWrap/>
            <w:vAlign w:val="center"/>
          </w:tcPr>
          <w:p w14:paraId="49DF6990" w14:textId="77777777" w:rsidR="002A6CF0" w:rsidRPr="00646254" w:rsidRDefault="002A6CF0" w:rsidP="00426178">
            <w:pPr>
              <w:jc w:val="center"/>
              <w:rPr>
                <w:color w:val="002060"/>
                <w:sz w:val="18"/>
                <w:lang w:val="sr-Cyrl-CS"/>
              </w:rPr>
            </w:pPr>
            <w:r w:rsidRPr="00646254">
              <w:rPr>
                <w:color w:val="002060"/>
                <w:sz w:val="18"/>
                <w:lang w:val="sr-Cyrl-CS"/>
              </w:rPr>
              <w:t>0,0</w:t>
            </w:r>
          </w:p>
        </w:tc>
        <w:tc>
          <w:tcPr>
            <w:tcW w:w="600" w:type="pct"/>
            <w:tcBorders>
              <w:top w:val="nil"/>
              <w:left w:val="nil"/>
              <w:bottom w:val="nil"/>
              <w:right w:val="nil"/>
            </w:tcBorders>
            <w:shd w:val="clear" w:color="auto" w:fill="auto"/>
            <w:noWrap/>
            <w:vAlign w:val="center"/>
          </w:tcPr>
          <w:p w14:paraId="1AE18A3D" w14:textId="77777777" w:rsidR="002A6CF0" w:rsidRPr="00646254" w:rsidRDefault="002A6CF0" w:rsidP="00426178">
            <w:pPr>
              <w:jc w:val="center"/>
              <w:rPr>
                <w:color w:val="002060"/>
                <w:sz w:val="18"/>
                <w:lang w:val="sr-Cyrl-CS"/>
              </w:rPr>
            </w:pPr>
            <w:r w:rsidRPr="00646254">
              <w:rPr>
                <w:color w:val="002060"/>
                <w:sz w:val="18"/>
                <w:lang w:val="sr-Cyrl-CS"/>
              </w:rPr>
              <w:t>0,0</w:t>
            </w:r>
          </w:p>
        </w:tc>
      </w:tr>
      <w:tr w:rsidR="002A6CF0" w:rsidRPr="00646254" w14:paraId="32F3562D" w14:textId="77777777" w:rsidTr="00426178">
        <w:trPr>
          <w:trHeight w:val="281"/>
          <w:jc w:val="center"/>
        </w:trPr>
        <w:tc>
          <w:tcPr>
            <w:tcW w:w="2590" w:type="pct"/>
            <w:noWrap/>
            <w:vAlign w:val="center"/>
            <w:hideMark/>
          </w:tcPr>
          <w:p w14:paraId="486520CE" w14:textId="77777777" w:rsidR="002A6CF0" w:rsidRPr="00646254" w:rsidRDefault="002A6CF0" w:rsidP="00426178">
            <w:pPr>
              <w:ind w:left="113"/>
              <w:jc w:val="left"/>
              <w:rPr>
                <w:rFonts w:eastAsia="Calibri" w:cstheme="minorHAnsi"/>
                <w:color w:val="002060"/>
                <w:sz w:val="18"/>
                <w:szCs w:val="18"/>
                <w:lang w:val="sr-Cyrl-CS"/>
              </w:rPr>
            </w:pPr>
            <w:r w:rsidRPr="00646254">
              <w:rPr>
                <w:rFonts w:eastAsia="Calibri" w:cstheme="minorHAnsi"/>
                <w:color w:val="002060"/>
                <w:sz w:val="18"/>
                <w:szCs w:val="18"/>
                <w:lang w:val="sr-Cyrl-CS"/>
              </w:rPr>
              <w:t>Нето извоз робе и услуга</w:t>
            </w:r>
          </w:p>
        </w:tc>
        <w:tc>
          <w:tcPr>
            <w:tcW w:w="603" w:type="pct"/>
            <w:tcBorders>
              <w:top w:val="nil"/>
              <w:left w:val="nil"/>
              <w:bottom w:val="nil"/>
              <w:right w:val="nil"/>
            </w:tcBorders>
            <w:shd w:val="clear" w:color="auto" w:fill="auto"/>
            <w:noWrap/>
            <w:vAlign w:val="center"/>
          </w:tcPr>
          <w:p w14:paraId="6AA847AA" w14:textId="77777777" w:rsidR="002A6CF0" w:rsidRPr="00646254" w:rsidRDefault="002A6CF0" w:rsidP="00426178">
            <w:pPr>
              <w:jc w:val="center"/>
              <w:rPr>
                <w:color w:val="002060"/>
                <w:sz w:val="18"/>
                <w:lang w:val="sr-Cyrl-CS"/>
              </w:rPr>
            </w:pPr>
            <w:r w:rsidRPr="00646254">
              <w:rPr>
                <w:color w:val="002060"/>
                <w:sz w:val="18"/>
                <w:lang w:val="sr-Cyrl-CS"/>
              </w:rPr>
              <w:t>-0,7</w:t>
            </w:r>
          </w:p>
        </w:tc>
        <w:tc>
          <w:tcPr>
            <w:tcW w:w="604" w:type="pct"/>
            <w:tcBorders>
              <w:top w:val="nil"/>
              <w:left w:val="nil"/>
              <w:bottom w:val="nil"/>
              <w:right w:val="nil"/>
            </w:tcBorders>
            <w:shd w:val="clear" w:color="auto" w:fill="auto"/>
            <w:noWrap/>
            <w:vAlign w:val="center"/>
          </w:tcPr>
          <w:p w14:paraId="54D233E0" w14:textId="77777777" w:rsidR="002A6CF0" w:rsidRPr="00646254" w:rsidRDefault="002A6CF0" w:rsidP="00426178">
            <w:pPr>
              <w:jc w:val="center"/>
              <w:rPr>
                <w:color w:val="002060"/>
                <w:sz w:val="18"/>
                <w:lang w:val="sr-Cyrl-CS"/>
              </w:rPr>
            </w:pPr>
            <w:r w:rsidRPr="00646254">
              <w:rPr>
                <w:color w:val="002060"/>
                <w:sz w:val="18"/>
                <w:lang w:val="sr-Cyrl-CS"/>
              </w:rPr>
              <w:t>0,2</w:t>
            </w:r>
          </w:p>
        </w:tc>
        <w:tc>
          <w:tcPr>
            <w:tcW w:w="603" w:type="pct"/>
            <w:tcBorders>
              <w:top w:val="nil"/>
              <w:left w:val="nil"/>
              <w:bottom w:val="nil"/>
              <w:right w:val="nil"/>
            </w:tcBorders>
            <w:shd w:val="clear" w:color="auto" w:fill="auto"/>
            <w:noWrap/>
            <w:vAlign w:val="center"/>
          </w:tcPr>
          <w:p w14:paraId="1F1D0087" w14:textId="77777777" w:rsidR="002A6CF0" w:rsidRPr="00646254" w:rsidRDefault="002A6CF0" w:rsidP="00426178">
            <w:pPr>
              <w:jc w:val="center"/>
              <w:rPr>
                <w:color w:val="002060"/>
                <w:sz w:val="18"/>
                <w:lang w:val="sr-Cyrl-CS"/>
              </w:rPr>
            </w:pPr>
            <w:r w:rsidRPr="00646254">
              <w:rPr>
                <w:color w:val="002060"/>
                <w:sz w:val="18"/>
                <w:lang w:val="sr-Cyrl-CS"/>
              </w:rPr>
              <w:t>0,4</w:t>
            </w:r>
          </w:p>
        </w:tc>
        <w:tc>
          <w:tcPr>
            <w:tcW w:w="600" w:type="pct"/>
            <w:tcBorders>
              <w:top w:val="nil"/>
              <w:left w:val="nil"/>
              <w:bottom w:val="nil"/>
              <w:right w:val="nil"/>
            </w:tcBorders>
            <w:shd w:val="clear" w:color="auto" w:fill="auto"/>
            <w:noWrap/>
            <w:vAlign w:val="center"/>
          </w:tcPr>
          <w:p w14:paraId="36AA00F4" w14:textId="77777777" w:rsidR="002A6CF0" w:rsidRPr="00646254" w:rsidRDefault="002A6CF0" w:rsidP="00426178">
            <w:pPr>
              <w:jc w:val="center"/>
              <w:rPr>
                <w:color w:val="002060"/>
                <w:sz w:val="18"/>
                <w:lang w:val="sr-Cyrl-CS"/>
              </w:rPr>
            </w:pPr>
            <w:r w:rsidRPr="00646254">
              <w:rPr>
                <w:color w:val="002060"/>
                <w:sz w:val="18"/>
                <w:lang w:val="sr-Cyrl-CS"/>
              </w:rPr>
              <w:t>0,4</w:t>
            </w:r>
          </w:p>
        </w:tc>
      </w:tr>
      <w:tr w:rsidR="002A6CF0" w:rsidRPr="00646254" w14:paraId="770BF465" w14:textId="77777777" w:rsidTr="00426178">
        <w:trPr>
          <w:trHeight w:val="281"/>
          <w:jc w:val="center"/>
        </w:trPr>
        <w:tc>
          <w:tcPr>
            <w:tcW w:w="2590" w:type="pct"/>
            <w:shd w:val="clear" w:color="auto" w:fill="E7E6E6" w:themeFill="background2"/>
            <w:noWrap/>
            <w:vAlign w:val="center"/>
            <w:hideMark/>
          </w:tcPr>
          <w:p w14:paraId="3C3DC567" w14:textId="77777777" w:rsidR="002A6CF0" w:rsidRPr="00646254" w:rsidRDefault="002A6CF0" w:rsidP="00426178">
            <w:pPr>
              <w:jc w:val="left"/>
              <w:rPr>
                <w:rFonts w:eastAsia="Calibri" w:cstheme="minorHAnsi"/>
                <w:bCs/>
                <w:color w:val="002060"/>
                <w:sz w:val="18"/>
                <w:szCs w:val="18"/>
                <w:lang w:val="sr-Cyrl-CS"/>
              </w:rPr>
            </w:pPr>
            <w:r w:rsidRPr="00646254">
              <w:rPr>
                <w:rFonts w:eastAsia="Calibri" w:cstheme="minorHAnsi"/>
                <w:iCs/>
                <w:color w:val="002060"/>
                <w:sz w:val="18"/>
                <w:szCs w:val="18"/>
                <w:lang w:val="sr-Cyrl-CS"/>
              </w:rPr>
              <w:t>Раст БДВ по секторима и нето пореза, %</w:t>
            </w:r>
          </w:p>
        </w:tc>
        <w:tc>
          <w:tcPr>
            <w:tcW w:w="603" w:type="pct"/>
            <w:shd w:val="clear" w:color="auto" w:fill="E7E6E6" w:themeFill="background2"/>
            <w:vAlign w:val="center"/>
          </w:tcPr>
          <w:p w14:paraId="28CADE14" w14:textId="77777777" w:rsidR="002A6CF0" w:rsidRPr="00646254" w:rsidRDefault="002A6CF0" w:rsidP="00426178">
            <w:pPr>
              <w:jc w:val="center"/>
              <w:rPr>
                <w:rFonts w:eastAsia="Calibri" w:cstheme="minorHAnsi"/>
                <w:bCs/>
                <w:color w:val="002060"/>
                <w:sz w:val="18"/>
                <w:szCs w:val="18"/>
                <w:lang w:val="sr-Cyrl-CS"/>
              </w:rPr>
            </w:pPr>
          </w:p>
        </w:tc>
        <w:tc>
          <w:tcPr>
            <w:tcW w:w="604" w:type="pct"/>
            <w:shd w:val="clear" w:color="auto" w:fill="E7E6E6" w:themeFill="background2"/>
            <w:vAlign w:val="center"/>
          </w:tcPr>
          <w:p w14:paraId="09B6810E" w14:textId="77777777" w:rsidR="002A6CF0" w:rsidRPr="00646254" w:rsidRDefault="002A6CF0" w:rsidP="00426178">
            <w:pPr>
              <w:jc w:val="center"/>
              <w:rPr>
                <w:rFonts w:eastAsia="Calibri" w:cstheme="minorHAnsi"/>
                <w:bCs/>
                <w:color w:val="002060"/>
                <w:sz w:val="18"/>
                <w:szCs w:val="18"/>
                <w:lang w:val="sr-Cyrl-CS"/>
              </w:rPr>
            </w:pPr>
          </w:p>
        </w:tc>
        <w:tc>
          <w:tcPr>
            <w:tcW w:w="603" w:type="pct"/>
            <w:shd w:val="clear" w:color="auto" w:fill="E7E6E6" w:themeFill="background2"/>
            <w:vAlign w:val="center"/>
          </w:tcPr>
          <w:p w14:paraId="3981BD1E" w14:textId="77777777" w:rsidR="002A6CF0" w:rsidRPr="00646254" w:rsidRDefault="002A6CF0" w:rsidP="00426178">
            <w:pPr>
              <w:jc w:val="center"/>
              <w:rPr>
                <w:rFonts w:eastAsia="Calibri" w:cstheme="minorHAnsi"/>
                <w:bCs/>
                <w:color w:val="002060"/>
                <w:sz w:val="18"/>
                <w:szCs w:val="18"/>
                <w:lang w:val="sr-Cyrl-CS"/>
              </w:rPr>
            </w:pPr>
          </w:p>
        </w:tc>
        <w:tc>
          <w:tcPr>
            <w:tcW w:w="600" w:type="pct"/>
            <w:shd w:val="clear" w:color="auto" w:fill="E7E6E6" w:themeFill="background2"/>
            <w:vAlign w:val="center"/>
          </w:tcPr>
          <w:p w14:paraId="4141093B" w14:textId="77777777" w:rsidR="002A6CF0" w:rsidRPr="00646254" w:rsidRDefault="002A6CF0" w:rsidP="00426178">
            <w:pPr>
              <w:jc w:val="center"/>
              <w:rPr>
                <w:rFonts w:eastAsia="Calibri" w:cstheme="minorHAnsi"/>
                <w:bCs/>
                <w:color w:val="002060"/>
                <w:sz w:val="18"/>
                <w:szCs w:val="18"/>
                <w:lang w:val="sr-Cyrl-CS"/>
              </w:rPr>
            </w:pPr>
          </w:p>
        </w:tc>
      </w:tr>
      <w:tr w:rsidR="002A6CF0" w:rsidRPr="00646254" w14:paraId="4011E876" w14:textId="77777777" w:rsidTr="00426178">
        <w:trPr>
          <w:trHeight w:val="281"/>
          <w:jc w:val="center"/>
        </w:trPr>
        <w:tc>
          <w:tcPr>
            <w:tcW w:w="2590" w:type="pct"/>
            <w:noWrap/>
            <w:vAlign w:val="center"/>
            <w:hideMark/>
          </w:tcPr>
          <w:p w14:paraId="20ABD056" w14:textId="77777777" w:rsidR="002A6CF0" w:rsidRPr="00646254" w:rsidRDefault="002A6CF0" w:rsidP="00426178">
            <w:pPr>
              <w:ind w:left="113"/>
              <w:jc w:val="left"/>
              <w:rPr>
                <w:rFonts w:eastAsia="Calibri" w:cstheme="minorHAnsi"/>
                <w:color w:val="002060"/>
                <w:sz w:val="18"/>
                <w:szCs w:val="18"/>
                <w:lang w:val="sr-Cyrl-CS"/>
              </w:rPr>
            </w:pPr>
            <w:r w:rsidRPr="00646254">
              <w:rPr>
                <w:rFonts w:eastAsia="Calibri" w:cstheme="minorHAnsi"/>
                <w:color w:val="002060"/>
                <w:sz w:val="18"/>
                <w:szCs w:val="18"/>
                <w:lang w:val="sr-Cyrl-CS"/>
              </w:rPr>
              <w:t>Пољопривреда</w:t>
            </w:r>
          </w:p>
        </w:tc>
        <w:tc>
          <w:tcPr>
            <w:tcW w:w="603" w:type="pct"/>
            <w:tcBorders>
              <w:top w:val="nil"/>
              <w:left w:val="nil"/>
              <w:bottom w:val="nil"/>
              <w:right w:val="nil"/>
            </w:tcBorders>
            <w:shd w:val="clear" w:color="auto" w:fill="auto"/>
            <w:noWrap/>
            <w:vAlign w:val="center"/>
          </w:tcPr>
          <w:p w14:paraId="7A6440A4" w14:textId="77777777" w:rsidR="002A6CF0" w:rsidRPr="00646254" w:rsidRDefault="002A6CF0" w:rsidP="00426178">
            <w:pPr>
              <w:jc w:val="center"/>
              <w:rPr>
                <w:color w:val="002060"/>
                <w:sz w:val="18"/>
                <w:lang w:val="sr-Cyrl-CS"/>
              </w:rPr>
            </w:pPr>
            <w:r w:rsidRPr="00646254">
              <w:rPr>
                <w:color w:val="002060"/>
                <w:sz w:val="18"/>
                <w:lang w:val="sr-Cyrl-CS"/>
              </w:rPr>
              <w:t>-3,5</w:t>
            </w:r>
          </w:p>
        </w:tc>
        <w:tc>
          <w:tcPr>
            <w:tcW w:w="604" w:type="pct"/>
            <w:tcBorders>
              <w:top w:val="nil"/>
              <w:left w:val="nil"/>
              <w:bottom w:val="nil"/>
              <w:right w:val="nil"/>
            </w:tcBorders>
            <w:shd w:val="clear" w:color="auto" w:fill="auto"/>
            <w:noWrap/>
            <w:vAlign w:val="center"/>
          </w:tcPr>
          <w:p w14:paraId="7310C5C4" w14:textId="77777777" w:rsidR="002A6CF0" w:rsidRPr="00646254" w:rsidRDefault="002A6CF0" w:rsidP="00426178">
            <w:pPr>
              <w:jc w:val="center"/>
              <w:rPr>
                <w:color w:val="002060"/>
                <w:sz w:val="18"/>
                <w:lang w:val="sr-Cyrl-CS"/>
              </w:rPr>
            </w:pPr>
            <w:r w:rsidRPr="00646254">
              <w:rPr>
                <w:color w:val="002060"/>
                <w:sz w:val="18"/>
                <w:lang w:val="sr-Cyrl-CS"/>
              </w:rPr>
              <w:t>0,5</w:t>
            </w:r>
          </w:p>
        </w:tc>
        <w:tc>
          <w:tcPr>
            <w:tcW w:w="603" w:type="pct"/>
            <w:tcBorders>
              <w:top w:val="nil"/>
              <w:left w:val="nil"/>
              <w:bottom w:val="nil"/>
            </w:tcBorders>
            <w:shd w:val="clear" w:color="auto" w:fill="auto"/>
            <w:noWrap/>
            <w:vAlign w:val="center"/>
          </w:tcPr>
          <w:p w14:paraId="657FE983" w14:textId="77777777" w:rsidR="002A6CF0" w:rsidRPr="00646254" w:rsidRDefault="002A6CF0" w:rsidP="00426178">
            <w:pPr>
              <w:jc w:val="center"/>
              <w:rPr>
                <w:color w:val="002060"/>
                <w:sz w:val="18"/>
                <w:lang w:val="sr-Cyrl-CS"/>
              </w:rPr>
            </w:pPr>
            <w:r w:rsidRPr="00646254">
              <w:rPr>
                <w:color w:val="002060"/>
                <w:sz w:val="18"/>
                <w:lang w:val="sr-Cyrl-CS"/>
              </w:rPr>
              <w:t>0,0</w:t>
            </w:r>
          </w:p>
        </w:tc>
        <w:tc>
          <w:tcPr>
            <w:tcW w:w="600" w:type="pct"/>
            <w:tcBorders>
              <w:top w:val="nil"/>
              <w:bottom w:val="nil"/>
            </w:tcBorders>
            <w:shd w:val="clear" w:color="auto" w:fill="auto"/>
            <w:noWrap/>
            <w:vAlign w:val="center"/>
          </w:tcPr>
          <w:p w14:paraId="772E236C" w14:textId="77777777" w:rsidR="002A6CF0" w:rsidRPr="00646254" w:rsidRDefault="002A6CF0" w:rsidP="00426178">
            <w:pPr>
              <w:jc w:val="center"/>
              <w:rPr>
                <w:color w:val="002060"/>
                <w:sz w:val="18"/>
                <w:lang w:val="sr-Cyrl-CS"/>
              </w:rPr>
            </w:pPr>
            <w:r w:rsidRPr="00646254">
              <w:rPr>
                <w:color w:val="002060"/>
                <w:sz w:val="18"/>
                <w:lang w:val="sr-Cyrl-CS"/>
              </w:rPr>
              <w:t>0,0</w:t>
            </w:r>
          </w:p>
        </w:tc>
      </w:tr>
      <w:tr w:rsidR="002A6CF0" w:rsidRPr="00646254" w14:paraId="7CFA532A" w14:textId="77777777" w:rsidTr="00426178">
        <w:trPr>
          <w:trHeight w:val="281"/>
          <w:jc w:val="center"/>
        </w:trPr>
        <w:tc>
          <w:tcPr>
            <w:tcW w:w="2590" w:type="pct"/>
            <w:noWrap/>
            <w:vAlign w:val="center"/>
            <w:hideMark/>
          </w:tcPr>
          <w:p w14:paraId="0A0FC505" w14:textId="77777777" w:rsidR="002A6CF0" w:rsidRPr="00646254" w:rsidRDefault="002A6CF0" w:rsidP="00426178">
            <w:pPr>
              <w:ind w:left="113"/>
              <w:jc w:val="left"/>
              <w:rPr>
                <w:rFonts w:eastAsia="Calibri" w:cstheme="minorHAnsi"/>
                <w:color w:val="002060"/>
                <w:sz w:val="18"/>
                <w:szCs w:val="18"/>
                <w:lang w:val="sr-Cyrl-CS"/>
              </w:rPr>
            </w:pPr>
            <w:r w:rsidRPr="00646254">
              <w:rPr>
                <w:rFonts w:eastAsia="Calibri" w:cstheme="minorHAnsi"/>
                <w:color w:val="002060"/>
                <w:sz w:val="18"/>
                <w:szCs w:val="18"/>
                <w:lang w:val="sr-Cyrl-CS"/>
              </w:rPr>
              <w:t>Индустрија</w:t>
            </w:r>
          </w:p>
        </w:tc>
        <w:tc>
          <w:tcPr>
            <w:tcW w:w="603" w:type="pct"/>
            <w:tcBorders>
              <w:top w:val="nil"/>
              <w:left w:val="nil"/>
              <w:bottom w:val="nil"/>
              <w:right w:val="nil"/>
            </w:tcBorders>
            <w:shd w:val="clear" w:color="auto" w:fill="auto"/>
            <w:noWrap/>
            <w:vAlign w:val="center"/>
          </w:tcPr>
          <w:p w14:paraId="1A06159A" w14:textId="77777777" w:rsidR="002A6CF0" w:rsidRPr="00646254" w:rsidRDefault="002A6CF0" w:rsidP="00426178">
            <w:pPr>
              <w:jc w:val="center"/>
              <w:rPr>
                <w:color w:val="002060"/>
                <w:sz w:val="18"/>
                <w:lang w:val="sr-Cyrl-CS"/>
              </w:rPr>
            </w:pPr>
            <w:r w:rsidRPr="00646254">
              <w:rPr>
                <w:color w:val="002060"/>
                <w:sz w:val="18"/>
                <w:lang w:val="sr-Cyrl-CS"/>
              </w:rPr>
              <w:t>4,5</w:t>
            </w:r>
          </w:p>
        </w:tc>
        <w:tc>
          <w:tcPr>
            <w:tcW w:w="604" w:type="pct"/>
            <w:tcBorders>
              <w:top w:val="nil"/>
              <w:left w:val="nil"/>
              <w:bottom w:val="nil"/>
              <w:right w:val="nil"/>
            </w:tcBorders>
            <w:shd w:val="clear" w:color="auto" w:fill="auto"/>
            <w:noWrap/>
            <w:vAlign w:val="center"/>
          </w:tcPr>
          <w:p w14:paraId="7677850A" w14:textId="77777777" w:rsidR="002A6CF0" w:rsidRPr="00646254" w:rsidRDefault="002A6CF0" w:rsidP="00426178">
            <w:pPr>
              <w:jc w:val="center"/>
              <w:rPr>
                <w:color w:val="002060"/>
                <w:sz w:val="18"/>
                <w:lang w:val="sr-Cyrl-CS"/>
              </w:rPr>
            </w:pPr>
            <w:r w:rsidRPr="00646254">
              <w:rPr>
                <w:color w:val="002060"/>
                <w:sz w:val="18"/>
                <w:lang w:val="sr-Cyrl-CS"/>
              </w:rPr>
              <w:t>6,5</w:t>
            </w:r>
          </w:p>
        </w:tc>
        <w:tc>
          <w:tcPr>
            <w:tcW w:w="603" w:type="pct"/>
            <w:tcBorders>
              <w:top w:val="nil"/>
              <w:left w:val="nil"/>
              <w:bottom w:val="nil"/>
            </w:tcBorders>
            <w:shd w:val="clear" w:color="auto" w:fill="auto"/>
            <w:noWrap/>
            <w:vAlign w:val="center"/>
          </w:tcPr>
          <w:p w14:paraId="6237D781" w14:textId="77777777" w:rsidR="002A6CF0" w:rsidRPr="00646254" w:rsidRDefault="002A6CF0" w:rsidP="00426178">
            <w:pPr>
              <w:jc w:val="center"/>
              <w:rPr>
                <w:color w:val="002060"/>
                <w:sz w:val="18"/>
                <w:lang w:val="sr-Cyrl-CS"/>
              </w:rPr>
            </w:pPr>
            <w:r w:rsidRPr="00646254">
              <w:rPr>
                <w:color w:val="002060"/>
                <w:sz w:val="18"/>
                <w:lang w:val="sr-Cyrl-CS"/>
              </w:rPr>
              <w:t>6,9</w:t>
            </w:r>
          </w:p>
        </w:tc>
        <w:tc>
          <w:tcPr>
            <w:tcW w:w="600" w:type="pct"/>
            <w:tcBorders>
              <w:top w:val="nil"/>
              <w:bottom w:val="nil"/>
            </w:tcBorders>
            <w:shd w:val="clear" w:color="auto" w:fill="auto"/>
            <w:noWrap/>
            <w:vAlign w:val="center"/>
          </w:tcPr>
          <w:p w14:paraId="135347E8" w14:textId="77777777" w:rsidR="002A6CF0" w:rsidRPr="00646254" w:rsidRDefault="002A6CF0" w:rsidP="00426178">
            <w:pPr>
              <w:jc w:val="center"/>
              <w:rPr>
                <w:color w:val="002060"/>
                <w:sz w:val="18"/>
                <w:lang w:val="sr-Cyrl-CS"/>
              </w:rPr>
            </w:pPr>
            <w:r w:rsidRPr="00646254">
              <w:rPr>
                <w:color w:val="002060"/>
                <w:sz w:val="18"/>
                <w:lang w:val="sr-Cyrl-CS"/>
              </w:rPr>
              <w:t>7,3</w:t>
            </w:r>
          </w:p>
        </w:tc>
      </w:tr>
      <w:tr w:rsidR="002A6CF0" w:rsidRPr="00646254" w14:paraId="4EAC6663" w14:textId="77777777" w:rsidTr="00426178">
        <w:trPr>
          <w:trHeight w:val="281"/>
          <w:jc w:val="center"/>
        </w:trPr>
        <w:tc>
          <w:tcPr>
            <w:tcW w:w="2590" w:type="pct"/>
            <w:noWrap/>
            <w:vAlign w:val="center"/>
            <w:hideMark/>
          </w:tcPr>
          <w:p w14:paraId="2A5561D4" w14:textId="77777777" w:rsidR="002A6CF0" w:rsidRPr="00646254" w:rsidRDefault="002A6CF0" w:rsidP="00426178">
            <w:pPr>
              <w:ind w:left="113"/>
              <w:jc w:val="left"/>
              <w:rPr>
                <w:rFonts w:eastAsia="Calibri" w:cstheme="minorHAnsi"/>
                <w:color w:val="002060"/>
                <w:sz w:val="18"/>
                <w:szCs w:val="18"/>
                <w:lang w:val="sr-Cyrl-CS"/>
              </w:rPr>
            </w:pPr>
            <w:r w:rsidRPr="00646254">
              <w:rPr>
                <w:rFonts w:eastAsia="Calibri" w:cstheme="minorHAnsi"/>
                <w:color w:val="002060"/>
                <w:sz w:val="18"/>
                <w:szCs w:val="18"/>
                <w:lang w:val="sr-Cyrl-CS"/>
              </w:rPr>
              <w:t>Грађевинарство</w:t>
            </w:r>
          </w:p>
        </w:tc>
        <w:tc>
          <w:tcPr>
            <w:tcW w:w="603" w:type="pct"/>
            <w:tcBorders>
              <w:top w:val="nil"/>
              <w:left w:val="nil"/>
              <w:bottom w:val="nil"/>
              <w:right w:val="nil"/>
            </w:tcBorders>
            <w:shd w:val="clear" w:color="auto" w:fill="auto"/>
            <w:noWrap/>
            <w:vAlign w:val="center"/>
          </w:tcPr>
          <w:p w14:paraId="2896C753" w14:textId="77777777" w:rsidR="002A6CF0" w:rsidRPr="00646254" w:rsidRDefault="002A6CF0" w:rsidP="00426178">
            <w:pPr>
              <w:jc w:val="center"/>
              <w:rPr>
                <w:color w:val="002060"/>
                <w:sz w:val="18"/>
                <w:lang w:val="sr-Cyrl-CS"/>
              </w:rPr>
            </w:pPr>
            <w:r w:rsidRPr="00646254">
              <w:rPr>
                <w:color w:val="002060"/>
                <w:sz w:val="18"/>
                <w:lang w:val="sr-Cyrl-CS"/>
              </w:rPr>
              <w:t>18,5</w:t>
            </w:r>
          </w:p>
        </w:tc>
        <w:tc>
          <w:tcPr>
            <w:tcW w:w="604" w:type="pct"/>
            <w:tcBorders>
              <w:top w:val="nil"/>
              <w:left w:val="nil"/>
              <w:bottom w:val="nil"/>
              <w:right w:val="nil"/>
            </w:tcBorders>
            <w:shd w:val="clear" w:color="auto" w:fill="auto"/>
            <w:noWrap/>
            <w:vAlign w:val="center"/>
          </w:tcPr>
          <w:p w14:paraId="3B6995AB" w14:textId="77777777" w:rsidR="002A6CF0" w:rsidRPr="00646254" w:rsidRDefault="002A6CF0" w:rsidP="00426178">
            <w:pPr>
              <w:jc w:val="center"/>
              <w:rPr>
                <w:color w:val="002060"/>
                <w:sz w:val="18"/>
                <w:lang w:val="sr-Cyrl-CS"/>
              </w:rPr>
            </w:pPr>
            <w:r w:rsidRPr="00646254">
              <w:rPr>
                <w:color w:val="002060"/>
                <w:sz w:val="18"/>
                <w:lang w:val="sr-Cyrl-CS"/>
              </w:rPr>
              <w:t>7,4</w:t>
            </w:r>
          </w:p>
        </w:tc>
        <w:tc>
          <w:tcPr>
            <w:tcW w:w="603" w:type="pct"/>
            <w:tcBorders>
              <w:top w:val="nil"/>
              <w:left w:val="nil"/>
              <w:bottom w:val="nil"/>
            </w:tcBorders>
            <w:shd w:val="clear" w:color="auto" w:fill="auto"/>
            <w:noWrap/>
            <w:vAlign w:val="center"/>
          </w:tcPr>
          <w:p w14:paraId="5C9F84C8" w14:textId="77777777" w:rsidR="002A6CF0" w:rsidRPr="00646254" w:rsidRDefault="002A6CF0" w:rsidP="00426178">
            <w:pPr>
              <w:jc w:val="center"/>
              <w:rPr>
                <w:color w:val="002060"/>
                <w:sz w:val="18"/>
                <w:lang w:val="sr-Cyrl-CS"/>
              </w:rPr>
            </w:pPr>
            <w:r w:rsidRPr="00646254">
              <w:rPr>
                <w:color w:val="002060"/>
                <w:sz w:val="18"/>
                <w:lang w:val="sr-Cyrl-CS"/>
              </w:rPr>
              <w:t>9,9</w:t>
            </w:r>
          </w:p>
        </w:tc>
        <w:tc>
          <w:tcPr>
            <w:tcW w:w="600" w:type="pct"/>
            <w:tcBorders>
              <w:top w:val="nil"/>
              <w:bottom w:val="nil"/>
            </w:tcBorders>
            <w:shd w:val="clear" w:color="auto" w:fill="auto"/>
            <w:noWrap/>
            <w:vAlign w:val="center"/>
          </w:tcPr>
          <w:p w14:paraId="6EB5C751" w14:textId="77777777" w:rsidR="002A6CF0" w:rsidRPr="00646254" w:rsidRDefault="002A6CF0" w:rsidP="00426178">
            <w:pPr>
              <w:jc w:val="center"/>
              <w:rPr>
                <w:color w:val="002060"/>
                <w:sz w:val="18"/>
                <w:lang w:val="sr-Cyrl-CS"/>
              </w:rPr>
            </w:pPr>
            <w:r w:rsidRPr="00646254">
              <w:rPr>
                <w:color w:val="002060"/>
                <w:sz w:val="18"/>
                <w:lang w:val="sr-Cyrl-CS"/>
              </w:rPr>
              <w:t>10,9</w:t>
            </w:r>
          </w:p>
        </w:tc>
      </w:tr>
      <w:tr w:rsidR="002A6CF0" w:rsidRPr="00646254" w14:paraId="1FAD57E3" w14:textId="77777777" w:rsidTr="00426178">
        <w:trPr>
          <w:trHeight w:val="281"/>
          <w:jc w:val="center"/>
        </w:trPr>
        <w:tc>
          <w:tcPr>
            <w:tcW w:w="2590" w:type="pct"/>
            <w:noWrap/>
            <w:vAlign w:val="center"/>
            <w:hideMark/>
          </w:tcPr>
          <w:p w14:paraId="46E0B676" w14:textId="77777777" w:rsidR="002A6CF0" w:rsidRPr="00646254" w:rsidRDefault="002A6CF0" w:rsidP="00426178">
            <w:pPr>
              <w:ind w:left="113"/>
              <w:jc w:val="left"/>
              <w:rPr>
                <w:rFonts w:eastAsia="Calibri" w:cstheme="minorHAnsi"/>
                <w:color w:val="002060"/>
                <w:sz w:val="18"/>
                <w:szCs w:val="18"/>
                <w:lang w:val="sr-Cyrl-CS"/>
              </w:rPr>
            </w:pPr>
            <w:r w:rsidRPr="00646254">
              <w:rPr>
                <w:rFonts w:eastAsia="Calibri" w:cstheme="minorHAnsi"/>
                <w:color w:val="002060"/>
                <w:sz w:val="18"/>
                <w:szCs w:val="18"/>
                <w:lang w:val="sr-Cyrl-CS"/>
              </w:rPr>
              <w:t>Услуге</w:t>
            </w:r>
          </w:p>
        </w:tc>
        <w:tc>
          <w:tcPr>
            <w:tcW w:w="603" w:type="pct"/>
            <w:tcBorders>
              <w:top w:val="nil"/>
              <w:left w:val="nil"/>
              <w:bottom w:val="nil"/>
              <w:right w:val="nil"/>
            </w:tcBorders>
            <w:shd w:val="clear" w:color="auto" w:fill="auto"/>
            <w:noWrap/>
            <w:vAlign w:val="center"/>
          </w:tcPr>
          <w:p w14:paraId="35C4A62F" w14:textId="77777777" w:rsidR="002A6CF0" w:rsidRPr="00646254" w:rsidRDefault="002A6CF0" w:rsidP="00426178">
            <w:pPr>
              <w:jc w:val="center"/>
              <w:rPr>
                <w:color w:val="002060"/>
                <w:sz w:val="18"/>
                <w:lang w:val="sr-Cyrl-CS"/>
              </w:rPr>
            </w:pPr>
            <w:r w:rsidRPr="00646254">
              <w:rPr>
                <w:color w:val="002060"/>
                <w:sz w:val="18"/>
                <w:lang w:val="sr-Cyrl-CS"/>
              </w:rPr>
              <w:t>8,4</w:t>
            </w:r>
          </w:p>
        </w:tc>
        <w:tc>
          <w:tcPr>
            <w:tcW w:w="604" w:type="pct"/>
            <w:tcBorders>
              <w:top w:val="nil"/>
              <w:left w:val="nil"/>
              <w:bottom w:val="nil"/>
              <w:right w:val="nil"/>
            </w:tcBorders>
            <w:shd w:val="clear" w:color="auto" w:fill="auto"/>
            <w:noWrap/>
            <w:vAlign w:val="center"/>
          </w:tcPr>
          <w:p w14:paraId="54282055" w14:textId="77777777" w:rsidR="002A6CF0" w:rsidRPr="00646254" w:rsidRDefault="002A6CF0" w:rsidP="00426178">
            <w:pPr>
              <w:jc w:val="center"/>
              <w:rPr>
                <w:color w:val="002060"/>
                <w:sz w:val="18"/>
                <w:lang w:val="sr-Cyrl-CS"/>
              </w:rPr>
            </w:pPr>
            <w:r w:rsidRPr="00646254">
              <w:rPr>
                <w:color w:val="002060"/>
                <w:sz w:val="18"/>
                <w:lang w:val="sr-Cyrl-CS"/>
              </w:rPr>
              <w:t>4,0</w:t>
            </w:r>
          </w:p>
        </w:tc>
        <w:tc>
          <w:tcPr>
            <w:tcW w:w="603" w:type="pct"/>
            <w:tcBorders>
              <w:top w:val="nil"/>
              <w:left w:val="nil"/>
              <w:bottom w:val="nil"/>
            </w:tcBorders>
            <w:shd w:val="clear" w:color="auto" w:fill="auto"/>
            <w:noWrap/>
            <w:vAlign w:val="center"/>
          </w:tcPr>
          <w:p w14:paraId="226D2CC1" w14:textId="77777777" w:rsidR="002A6CF0" w:rsidRPr="00646254" w:rsidRDefault="002A6CF0" w:rsidP="00426178">
            <w:pPr>
              <w:jc w:val="center"/>
              <w:rPr>
                <w:color w:val="002060"/>
                <w:sz w:val="18"/>
                <w:lang w:val="sr-Cyrl-CS"/>
              </w:rPr>
            </w:pPr>
            <w:r w:rsidRPr="00646254">
              <w:rPr>
                <w:color w:val="002060"/>
                <w:sz w:val="18"/>
                <w:lang w:val="sr-Cyrl-CS"/>
              </w:rPr>
              <w:t>4,6</w:t>
            </w:r>
          </w:p>
        </w:tc>
        <w:tc>
          <w:tcPr>
            <w:tcW w:w="600" w:type="pct"/>
            <w:tcBorders>
              <w:top w:val="nil"/>
              <w:bottom w:val="nil"/>
            </w:tcBorders>
            <w:shd w:val="clear" w:color="auto" w:fill="auto"/>
            <w:noWrap/>
            <w:vAlign w:val="center"/>
          </w:tcPr>
          <w:p w14:paraId="515AB3B7" w14:textId="77777777" w:rsidR="002A6CF0" w:rsidRPr="00646254" w:rsidRDefault="002A6CF0" w:rsidP="00426178">
            <w:pPr>
              <w:jc w:val="center"/>
              <w:rPr>
                <w:color w:val="002060"/>
                <w:sz w:val="18"/>
                <w:lang w:val="sr-Cyrl-CS"/>
              </w:rPr>
            </w:pPr>
            <w:r w:rsidRPr="00646254">
              <w:rPr>
                <w:color w:val="002060"/>
                <w:sz w:val="18"/>
                <w:lang w:val="sr-Cyrl-CS"/>
              </w:rPr>
              <w:t>4,6</w:t>
            </w:r>
          </w:p>
        </w:tc>
      </w:tr>
      <w:tr w:rsidR="002A6CF0" w:rsidRPr="00646254" w14:paraId="609A0B08" w14:textId="77777777" w:rsidTr="00426178">
        <w:trPr>
          <w:trHeight w:val="281"/>
          <w:jc w:val="center"/>
        </w:trPr>
        <w:tc>
          <w:tcPr>
            <w:tcW w:w="2590" w:type="pct"/>
            <w:noWrap/>
            <w:vAlign w:val="center"/>
          </w:tcPr>
          <w:p w14:paraId="5811623A" w14:textId="77777777" w:rsidR="002A6CF0" w:rsidRPr="00646254" w:rsidRDefault="002A6CF0" w:rsidP="00426178">
            <w:pPr>
              <w:ind w:left="113"/>
              <w:jc w:val="left"/>
              <w:rPr>
                <w:rFonts w:eastAsia="Calibri" w:cstheme="minorHAnsi"/>
                <w:color w:val="002060"/>
                <w:sz w:val="18"/>
                <w:szCs w:val="18"/>
                <w:lang w:val="sr-Cyrl-CS"/>
              </w:rPr>
            </w:pPr>
            <w:r w:rsidRPr="00646254">
              <w:rPr>
                <w:rFonts w:eastAsia="Calibri" w:cstheme="minorHAnsi"/>
                <w:color w:val="002060"/>
                <w:sz w:val="18"/>
                <w:szCs w:val="18"/>
                <w:lang w:val="sr-Cyrl-CS"/>
              </w:rPr>
              <w:t>Нето порези</w:t>
            </w:r>
          </w:p>
        </w:tc>
        <w:tc>
          <w:tcPr>
            <w:tcW w:w="603" w:type="pct"/>
            <w:tcBorders>
              <w:top w:val="nil"/>
              <w:left w:val="nil"/>
              <w:bottom w:val="nil"/>
              <w:right w:val="nil"/>
            </w:tcBorders>
            <w:shd w:val="clear" w:color="auto" w:fill="auto"/>
            <w:noWrap/>
            <w:vAlign w:val="center"/>
          </w:tcPr>
          <w:p w14:paraId="2DF21ED7" w14:textId="77777777" w:rsidR="002A6CF0" w:rsidRPr="00646254" w:rsidRDefault="002A6CF0" w:rsidP="00426178">
            <w:pPr>
              <w:jc w:val="center"/>
              <w:rPr>
                <w:color w:val="002060"/>
                <w:sz w:val="18"/>
                <w:lang w:val="sr-Cyrl-CS"/>
              </w:rPr>
            </w:pPr>
            <w:r w:rsidRPr="00646254">
              <w:rPr>
                <w:color w:val="002060"/>
                <w:sz w:val="18"/>
                <w:lang w:val="sr-Cyrl-CS"/>
              </w:rPr>
              <w:t>7,1</w:t>
            </w:r>
          </w:p>
        </w:tc>
        <w:tc>
          <w:tcPr>
            <w:tcW w:w="604" w:type="pct"/>
            <w:tcBorders>
              <w:top w:val="nil"/>
              <w:left w:val="nil"/>
              <w:bottom w:val="nil"/>
              <w:right w:val="nil"/>
            </w:tcBorders>
            <w:shd w:val="clear" w:color="auto" w:fill="auto"/>
            <w:noWrap/>
            <w:vAlign w:val="center"/>
          </w:tcPr>
          <w:p w14:paraId="3C95FACB" w14:textId="77777777" w:rsidR="002A6CF0" w:rsidRPr="00646254" w:rsidRDefault="002A6CF0" w:rsidP="00426178">
            <w:pPr>
              <w:jc w:val="center"/>
              <w:rPr>
                <w:color w:val="002060"/>
                <w:sz w:val="18"/>
                <w:lang w:val="sr-Cyrl-CS"/>
              </w:rPr>
            </w:pPr>
            <w:r w:rsidRPr="00646254">
              <w:rPr>
                <w:color w:val="002060"/>
                <w:sz w:val="18"/>
                <w:lang w:val="sr-Cyrl-CS"/>
              </w:rPr>
              <w:t>4,0</w:t>
            </w:r>
          </w:p>
        </w:tc>
        <w:tc>
          <w:tcPr>
            <w:tcW w:w="603" w:type="pct"/>
            <w:tcBorders>
              <w:top w:val="nil"/>
              <w:left w:val="nil"/>
              <w:bottom w:val="nil"/>
            </w:tcBorders>
            <w:shd w:val="clear" w:color="auto" w:fill="auto"/>
            <w:noWrap/>
            <w:vAlign w:val="center"/>
          </w:tcPr>
          <w:p w14:paraId="60C30BAB" w14:textId="77777777" w:rsidR="002A6CF0" w:rsidRPr="00646254" w:rsidRDefault="002A6CF0" w:rsidP="00426178">
            <w:pPr>
              <w:jc w:val="center"/>
              <w:rPr>
                <w:color w:val="002060"/>
                <w:sz w:val="18"/>
                <w:lang w:val="sr-Cyrl-CS"/>
              </w:rPr>
            </w:pPr>
            <w:r w:rsidRPr="00646254">
              <w:rPr>
                <w:color w:val="002060"/>
                <w:sz w:val="18"/>
                <w:lang w:val="sr-Cyrl-CS"/>
              </w:rPr>
              <w:t>3,9</w:t>
            </w:r>
          </w:p>
        </w:tc>
        <w:tc>
          <w:tcPr>
            <w:tcW w:w="600" w:type="pct"/>
            <w:tcBorders>
              <w:top w:val="nil"/>
              <w:bottom w:val="nil"/>
            </w:tcBorders>
            <w:shd w:val="clear" w:color="auto" w:fill="auto"/>
            <w:noWrap/>
            <w:vAlign w:val="center"/>
          </w:tcPr>
          <w:p w14:paraId="35A39BBA" w14:textId="77777777" w:rsidR="002A6CF0" w:rsidRPr="00646254" w:rsidRDefault="002A6CF0" w:rsidP="00426178">
            <w:pPr>
              <w:jc w:val="center"/>
              <w:rPr>
                <w:color w:val="002060"/>
                <w:sz w:val="18"/>
                <w:lang w:val="sr-Cyrl-CS"/>
              </w:rPr>
            </w:pPr>
            <w:r w:rsidRPr="00646254">
              <w:rPr>
                <w:color w:val="002060"/>
                <w:sz w:val="18"/>
                <w:lang w:val="sr-Cyrl-CS"/>
              </w:rPr>
              <w:t>3,7</w:t>
            </w:r>
          </w:p>
        </w:tc>
      </w:tr>
      <w:tr w:rsidR="002A6CF0" w:rsidRPr="00646254" w14:paraId="20166FFC" w14:textId="77777777" w:rsidTr="00426178">
        <w:trPr>
          <w:trHeight w:val="281"/>
          <w:jc w:val="center"/>
        </w:trPr>
        <w:tc>
          <w:tcPr>
            <w:tcW w:w="2590" w:type="pct"/>
            <w:shd w:val="clear" w:color="auto" w:fill="E7E6E6" w:themeFill="background2"/>
            <w:noWrap/>
            <w:vAlign w:val="center"/>
            <w:hideMark/>
          </w:tcPr>
          <w:p w14:paraId="10A6114B" w14:textId="77777777" w:rsidR="002A6CF0" w:rsidRPr="00646254" w:rsidRDefault="002A6CF0" w:rsidP="00426178">
            <w:pPr>
              <w:jc w:val="left"/>
              <w:rPr>
                <w:rFonts w:eastAsia="Calibri" w:cstheme="minorHAnsi"/>
                <w:bCs/>
                <w:color w:val="002060"/>
                <w:sz w:val="18"/>
                <w:szCs w:val="18"/>
                <w:lang w:val="sr-Cyrl-CS"/>
              </w:rPr>
            </w:pPr>
            <w:r w:rsidRPr="00646254">
              <w:rPr>
                <w:rFonts w:eastAsia="Calibri" w:cstheme="minorHAnsi"/>
                <w:iCs/>
                <w:color w:val="002060"/>
                <w:sz w:val="18"/>
                <w:szCs w:val="18"/>
                <w:lang w:val="sr-Cyrl-CS"/>
              </w:rPr>
              <w:t>Допринос расту БДП, процентни поени</w:t>
            </w:r>
          </w:p>
        </w:tc>
        <w:tc>
          <w:tcPr>
            <w:tcW w:w="603" w:type="pct"/>
            <w:shd w:val="clear" w:color="auto" w:fill="E7E6E6" w:themeFill="background2"/>
            <w:vAlign w:val="center"/>
          </w:tcPr>
          <w:p w14:paraId="4DF2267D" w14:textId="77777777" w:rsidR="002A6CF0" w:rsidRPr="00646254" w:rsidRDefault="002A6CF0" w:rsidP="00426178">
            <w:pPr>
              <w:jc w:val="center"/>
              <w:rPr>
                <w:rFonts w:eastAsia="Calibri" w:cstheme="minorHAnsi"/>
                <w:bCs/>
                <w:color w:val="002060"/>
                <w:sz w:val="18"/>
                <w:szCs w:val="18"/>
                <w:lang w:val="sr-Cyrl-CS"/>
              </w:rPr>
            </w:pPr>
          </w:p>
        </w:tc>
        <w:tc>
          <w:tcPr>
            <w:tcW w:w="604" w:type="pct"/>
            <w:shd w:val="clear" w:color="auto" w:fill="E7E6E6" w:themeFill="background2"/>
            <w:vAlign w:val="center"/>
          </w:tcPr>
          <w:p w14:paraId="5DBB64BF" w14:textId="77777777" w:rsidR="002A6CF0" w:rsidRPr="00646254" w:rsidRDefault="002A6CF0" w:rsidP="00426178">
            <w:pPr>
              <w:jc w:val="center"/>
              <w:rPr>
                <w:rFonts w:eastAsia="Calibri" w:cstheme="minorHAnsi"/>
                <w:bCs/>
                <w:color w:val="002060"/>
                <w:sz w:val="18"/>
                <w:szCs w:val="18"/>
                <w:lang w:val="sr-Cyrl-CS"/>
              </w:rPr>
            </w:pPr>
          </w:p>
        </w:tc>
        <w:tc>
          <w:tcPr>
            <w:tcW w:w="603" w:type="pct"/>
            <w:shd w:val="clear" w:color="auto" w:fill="E7E6E6" w:themeFill="background2"/>
            <w:vAlign w:val="center"/>
          </w:tcPr>
          <w:p w14:paraId="7914DD55" w14:textId="77777777" w:rsidR="002A6CF0" w:rsidRPr="00646254" w:rsidRDefault="002A6CF0" w:rsidP="00426178">
            <w:pPr>
              <w:jc w:val="center"/>
              <w:rPr>
                <w:rFonts w:eastAsia="Calibri" w:cstheme="minorHAnsi"/>
                <w:bCs/>
                <w:color w:val="002060"/>
                <w:sz w:val="18"/>
                <w:szCs w:val="18"/>
                <w:lang w:val="sr-Cyrl-CS"/>
              </w:rPr>
            </w:pPr>
          </w:p>
        </w:tc>
        <w:tc>
          <w:tcPr>
            <w:tcW w:w="600" w:type="pct"/>
            <w:shd w:val="clear" w:color="auto" w:fill="E7E6E6" w:themeFill="background2"/>
            <w:vAlign w:val="center"/>
          </w:tcPr>
          <w:p w14:paraId="307BFFF0" w14:textId="77777777" w:rsidR="002A6CF0" w:rsidRPr="00646254" w:rsidRDefault="002A6CF0" w:rsidP="00426178">
            <w:pPr>
              <w:jc w:val="center"/>
              <w:rPr>
                <w:rFonts w:eastAsia="Calibri" w:cstheme="minorHAnsi"/>
                <w:bCs/>
                <w:color w:val="002060"/>
                <w:sz w:val="18"/>
                <w:szCs w:val="18"/>
                <w:lang w:val="sr-Cyrl-CS"/>
              </w:rPr>
            </w:pPr>
          </w:p>
        </w:tc>
      </w:tr>
      <w:tr w:rsidR="002A6CF0" w:rsidRPr="00646254" w14:paraId="718C8496" w14:textId="77777777" w:rsidTr="00426178">
        <w:trPr>
          <w:trHeight w:val="281"/>
          <w:jc w:val="center"/>
        </w:trPr>
        <w:tc>
          <w:tcPr>
            <w:tcW w:w="2590" w:type="pct"/>
            <w:noWrap/>
            <w:vAlign w:val="center"/>
            <w:hideMark/>
          </w:tcPr>
          <w:p w14:paraId="17D2C934" w14:textId="77777777" w:rsidR="002A6CF0" w:rsidRPr="00646254" w:rsidRDefault="002A6CF0" w:rsidP="00426178">
            <w:pPr>
              <w:ind w:left="113"/>
              <w:jc w:val="left"/>
              <w:rPr>
                <w:rFonts w:eastAsia="Calibri" w:cstheme="minorHAnsi"/>
                <w:color w:val="002060"/>
                <w:sz w:val="18"/>
                <w:szCs w:val="18"/>
                <w:lang w:val="sr-Cyrl-CS"/>
              </w:rPr>
            </w:pPr>
            <w:r w:rsidRPr="00646254">
              <w:rPr>
                <w:rFonts w:eastAsia="Calibri" w:cstheme="minorHAnsi"/>
                <w:color w:val="002060"/>
                <w:sz w:val="18"/>
                <w:szCs w:val="18"/>
                <w:lang w:val="sr-Cyrl-CS"/>
              </w:rPr>
              <w:t>Пољопривреда</w:t>
            </w:r>
          </w:p>
        </w:tc>
        <w:tc>
          <w:tcPr>
            <w:tcW w:w="603" w:type="pct"/>
            <w:tcBorders>
              <w:top w:val="nil"/>
              <w:left w:val="nil"/>
              <w:bottom w:val="nil"/>
              <w:right w:val="nil"/>
            </w:tcBorders>
            <w:shd w:val="clear" w:color="auto" w:fill="auto"/>
            <w:noWrap/>
            <w:vAlign w:val="center"/>
          </w:tcPr>
          <w:p w14:paraId="0C7D7B47" w14:textId="77777777" w:rsidR="002A6CF0" w:rsidRPr="00646254" w:rsidRDefault="002A6CF0" w:rsidP="00426178">
            <w:pPr>
              <w:jc w:val="center"/>
              <w:rPr>
                <w:color w:val="002060"/>
                <w:sz w:val="18"/>
                <w:lang w:val="sr-Cyrl-CS"/>
              </w:rPr>
            </w:pPr>
            <w:r w:rsidRPr="00646254">
              <w:rPr>
                <w:color w:val="002060"/>
                <w:sz w:val="18"/>
                <w:lang w:val="sr-Cyrl-CS"/>
              </w:rPr>
              <w:t>-0,2</w:t>
            </w:r>
          </w:p>
        </w:tc>
        <w:tc>
          <w:tcPr>
            <w:tcW w:w="604" w:type="pct"/>
            <w:tcBorders>
              <w:top w:val="nil"/>
              <w:left w:val="nil"/>
              <w:bottom w:val="nil"/>
              <w:right w:val="nil"/>
            </w:tcBorders>
            <w:shd w:val="clear" w:color="auto" w:fill="auto"/>
            <w:noWrap/>
            <w:vAlign w:val="center"/>
          </w:tcPr>
          <w:p w14:paraId="44EF0CCA" w14:textId="77777777" w:rsidR="002A6CF0" w:rsidRPr="00646254" w:rsidRDefault="002A6CF0" w:rsidP="00426178">
            <w:pPr>
              <w:jc w:val="center"/>
              <w:rPr>
                <w:color w:val="002060"/>
                <w:sz w:val="18"/>
                <w:lang w:val="sr-Cyrl-CS"/>
              </w:rPr>
            </w:pPr>
            <w:r w:rsidRPr="00646254">
              <w:rPr>
                <w:color w:val="002060"/>
                <w:sz w:val="18"/>
                <w:lang w:val="sr-Cyrl-CS"/>
              </w:rPr>
              <w:t>0,0</w:t>
            </w:r>
          </w:p>
        </w:tc>
        <w:tc>
          <w:tcPr>
            <w:tcW w:w="603" w:type="pct"/>
            <w:tcBorders>
              <w:top w:val="nil"/>
              <w:left w:val="nil"/>
              <w:bottom w:val="nil"/>
              <w:right w:val="nil"/>
            </w:tcBorders>
            <w:shd w:val="clear" w:color="auto" w:fill="auto"/>
            <w:noWrap/>
            <w:vAlign w:val="center"/>
          </w:tcPr>
          <w:p w14:paraId="21CA6B7D" w14:textId="77777777" w:rsidR="002A6CF0" w:rsidRPr="00646254" w:rsidRDefault="002A6CF0" w:rsidP="00426178">
            <w:pPr>
              <w:jc w:val="center"/>
              <w:rPr>
                <w:color w:val="002060"/>
                <w:sz w:val="18"/>
                <w:lang w:val="sr-Cyrl-CS"/>
              </w:rPr>
            </w:pPr>
            <w:r w:rsidRPr="00646254">
              <w:rPr>
                <w:color w:val="002060"/>
                <w:sz w:val="18"/>
                <w:lang w:val="sr-Cyrl-CS"/>
              </w:rPr>
              <w:t>0,0</w:t>
            </w:r>
          </w:p>
        </w:tc>
        <w:tc>
          <w:tcPr>
            <w:tcW w:w="600" w:type="pct"/>
            <w:tcBorders>
              <w:top w:val="nil"/>
              <w:left w:val="nil"/>
              <w:bottom w:val="nil"/>
              <w:right w:val="nil"/>
            </w:tcBorders>
            <w:shd w:val="clear" w:color="auto" w:fill="auto"/>
            <w:noWrap/>
            <w:vAlign w:val="center"/>
          </w:tcPr>
          <w:p w14:paraId="6D8A6689" w14:textId="77777777" w:rsidR="002A6CF0" w:rsidRPr="00646254" w:rsidRDefault="002A6CF0" w:rsidP="00426178">
            <w:pPr>
              <w:jc w:val="center"/>
              <w:rPr>
                <w:color w:val="002060"/>
                <w:sz w:val="18"/>
                <w:lang w:val="sr-Cyrl-CS"/>
              </w:rPr>
            </w:pPr>
            <w:r w:rsidRPr="00646254">
              <w:rPr>
                <w:color w:val="002060"/>
                <w:sz w:val="18"/>
                <w:lang w:val="sr-Cyrl-CS"/>
              </w:rPr>
              <w:t>0,0</w:t>
            </w:r>
          </w:p>
        </w:tc>
      </w:tr>
      <w:tr w:rsidR="002A6CF0" w:rsidRPr="00646254" w14:paraId="16FDF402" w14:textId="77777777" w:rsidTr="00426178">
        <w:trPr>
          <w:trHeight w:val="281"/>
          <w:jc w:val="center"/>
        </w:trPr>
        <w:tc>
          <w:tcPr>
            <w:tcW w:w="2590" w:type="pct"/>
            <w:noWrap/>
            <w:vAlign w:val="center"/>
            <w:hideMark/>
          </w:tcPr>
          <w:p w14:paraId="36C76135" w14:textId="77777777" w:rsidR="002A6CF0" w:rsidRPr="00646254" w:rsidRDefault="002A6CF0" w:rsidP="00426178">
            <w:pPr>
              <w:ind w:left="113"/>
              <w:jc w:val="left"/>
              <w:rPr>
                <w:rFonts w:eastAsia="Calibri" w:cstheme="minorHAnsi"/>
                <w:color w:val="002060"/>
                <w:sz w:val="18"/>
                <w:szCs w:val="18"/>
                <w:lang w:val="sr-Cyrl-CS"/>
              </w:rPr>
            </w:pPr>
            <w:r w:rsidRPr="00646254">
              <w:rPr>
                <w:rFonts w:eastAsia="Calibri" w:cstheme="minorHAnsi"/>
                <w:color w:val="002060"/>
                <w:sz w:val="18"/>
                <w:szCs w:val="18"/>
                <w:lang w:val="sr-Cyrl-CS"/>
              </w:rPr>
              <w:t>Индустрија</w:t>
            </w:r>
          </w:p>
        </w:tc>
        <w:tc>
          <w:tcPr>
            <w:tcW w:w="603" w:type="pct"/>
            <w:tcBorders>
              <w:top w:val="nil"/>
              <w:left w:val="nil"/>
              <w:bottom w:val="nil"/>
              <w:right w:val="nil"/>
            </w:tcBorders>
            <w:shd w:val="clear" w:color="auto" w:fill="auto"/>
            <w:noWrap/>
            <w:vAlign w:val="center"/>
          </w:tcPr>
          <w:p w14:paraId="19E90BB1" w14:textId="77777777" w:rsidR="002A6CF0" w:rsidRPr="00646254" w:rsidRDefault="002A6CF0" w:rsidP="00426178">
            <w:pPr>
              <w:jc w:val="center"/>
              <w:rPr>
                <w:color w:val="002060"/>
                <w:sz w:val="18"/>
                <w:lang w:val="sr-Cyrl-CS"/>
              </w:rPr>
            </w:pPr>
            <w:r w:rsidRPr="00646254">
              <w:rPr>
                <w:color w:val="002060"/>
                <w:sz w:val="18"/>
                <w:lang w:val="sr-Cyrl-CS"/>
              </w:rPr>
              <w:t>0,9</w:t>
            </w:r>
          </w:p>
        </w:tc>
        <w:tc>
          <w:tcPr>
            <w:tcW w:w="604" w:type="pct"/>
            <w:tcBorders>
              <w:top w:val="nil"/>
              <w:left w:val="nil"/>
              <w:bottom w:val="nil"/>
              <w:right w:val="nil"/>
            </w:tcBorders>
            <w:shd w:val="clear" w:color="auto" w:fill="auto"/>
            <w:noWrap/>
            <w:vAlign w:val="center"/>
          </w:tcPr>
          <w:p w14:paraId="1C724C2F" w14:textId="77777777" w:rsidR="002A6CF0" w:rsidRPr="00646254" w:rsidRDefault="002A6CF0" w:rsidP="00426178">
            <w:pPr>
              <w:jc w:val="center"/>
              <w:rPr>
                <w:color w:val="002060"/>
                <w:sz w:val="18"/>
                <w:lang w:val="sr-Cyrl-CS"/>
              </w:rPr>
            </w:pPr>
            <w:r w:rsidRPr="00646254">
              <w:rPr>
                <w:color w:val="002060"/>
                <w:sz w:val="18"/>
                <w:lang w:val="sr-Cyrl-CS"/>
              </w:rPr>
              <w:t>1,3</w:t>
            </w:r>
          </w:p>
        </w:tc>
        <w:tc>
          <w:tcPr>
            <w:tcW w:w="603" w:type="pct"/>
            <w:tcBorders>
              <w:top w:val="nil"/>
              <w:left w:val="nil"/>
              <w:bottom w:val="nil"/>
              <w:right w:val="nil"/>
            </w:tcBorders>
            <w:shd w:val="clear" w:color="auto" w:fill="auto"/>
            <w:noWrap/>
            <w:vAlign w:val="center"/>
          </w:tcPr>
          <w:p w14:paraId="67E17A78" w14:textId="77777777" w:rsidR="002A6CF0" w:rsidRPr="00646254" w:rsidRDefault="002A6CF0" w:rsidP="00426178">
            <w:pPr>
              <w:jc w:val="center"/>
              <w:rPr>
                <w:color w:val="002060"/>
                <w:sz w:val="18"/>
                <w:lang w:val="sr-Cyrl-CS"/>
              </w:rPr>
            </w:pPr>
            <w:r w:rsidRPr="00646254">
              <w:rPr>
                <w:color w:val="002060"/>
                <w:sz w:val="18"/>
                <w:lang w:val="sr-Cyrl-CS"/>
              </w:rPr>
              <w:t>1,4</w:t>
            </w:r>
          </w:p>
        </w:tc>
        <w:tc>
          <w:tcPr>
            <w:tcW w:w="600" w:type="pct"/>
            <w:tcBorders>
              <w:top w:val="nil"/>
              <w:left w:val="nil"/>
              <w:bottom w:val="nil"/>
              <w:right w:val="nil"/>
            </w:tcBorders>
            <w:shd w:val="clear" w:color="auto" w:fill="auto"/>
            <w:noWrap/>
            <w:vAlign w:val="center"/>
          </w:tcPr>
          <w:p w14:paraId="50242DCD" w14:textId="77777777" w:rsidR="002A6CF0" w:rsidRPr="00646254" w:rsidRDefault="002A6CF0" w:rsidP="00426178">
            <w:pPr>
              <w:jc w:val="center"/>
              <w:rPr>
                <w:color w:val="002060"/>
                <w:sz w:val="18"/>
                <w:lang w:val="sr-Cyrl-CS"/>
              </w:rPr>
            </w:pPr>
            <w:r w:rsidRPr="00646254">
              <w:rPr>
                <w:color w:val="002060"/>
                <w:sz w:val="18"/>
                <w:lang w:val="sr-Cyrl-CS"/>
              </w:rPr>
              <w:t>1,5</w:t>
            </w:r>
          </w:p>
        </w:tc>
      </w:tr>
      <w:tr w:rsidR="002A6CF0" w:rsidRPr="00646254" w14:paraId="7FC714F9" w14:textId="77777777" w:rsidTr="00426178">
        <w:trPr>
          <w:trHeight w:val="281"/>
          <w:jc w:val="center"/>
        </w:trPr>
        <w:tc>
          <w:tcPr>
            <w:tcW w:w="2590" w:type="pct"/>
            <w:noWrap/>
            <w:vAlign w:val="center"/>
            <w:hideMark/>
          </w:tcPr>
          <w:p w14:paraId="27869EBC" w14:textId="77777777" w:rsidR="002A6CF0" w:rsidRPr="00646254" w:rsidRDefault="002A6CF0" w:rsidP="00426178">
            <w:pPr>
              <w:ind w:left="113"/>
              <w:jc w:val="left"/>
              <w:rPr>
                <w:rFonts w:eastAsia="Calibri" w:cstheme="minorHAnsi"/>
                <w:color w:val="002060"/>
                <w:sz w:val="18"/>
                <w:szCs w:val="18"/>
                <w:lang w:val="sr-Cyrl-CS"/>
              </w:rPr>
            </w:pPr>
            <w:r w:rsidRPr="00646254">
              <w:rPr>
                <w:rFonts w:eastAsia="Calibri" w:cstheme="minorHAnsi"/>
                <w:color w:val="002060"/>
                <w:sz w:val="18"/>
                <w:szCs w:val="18"/>
                <w:lang w:val="sr-Cyrl-CS"/>
              </w:rPr>
              <w:t>Грађевинарство</w:t>
            </w:r>
          </w:p>
        </w:tc>
        <w:tc>
          <w:tcPr>
            <w:tcW w:w="603" w:type="pct"/>
            <w:tcBorders>
              <w:top w:val="nil"/>
              <w:left w:val="nil"/>
              <w:bottom w:val="nil"/>
              <w:right w:val="nil"/>
            </w:tcBorders>
            <w:shd w:val="clear" w:color="auto" w:fill="auto"/>
            <w:noWrap/>
            <w:vAlign w:val="center"/>
          </w:tcPr>
          <w:p w14:paraId="72845A00" w14:textId="77777777" w:rsidR="002A6CF0" w:rsidRPr="00646254" w:rsidRDefault="002A6CF0" w:rsidP="00426178">
            <w:pPr>
              <w:jc w:val="center"/>
              <w:rPr>
                <w:color w:val="002060"/>
                <w:sz w:val="18"/>
                <w:lang w:val="sr-Cyrl-CS"/>
              </w:rPr>
            </w:pPr>
            <w:r w:rsidRPr="00646254">
              <w:rPr>
                <w:color w:val="002060"/>
                <w:sz w:val="18"/>
                <w:lang w:val="sr-Cyrl-CS"/>
              </w:rPr>
              <w:t>1,0</w:t>
            </w:r>
          </w:p>
        </w:tc>
        <w:tc>
          <w:tcPr>
            <w:tcW w:w="604" w:type="pct"/>
            <w:tcBorders>
              <w:top w:val="nil"/>
              <w:left w:val="nil"/>
              <w:bottom w:val="nil"/>
              <w:right w:val="nil"/>
            </w:tcBorders>
            <w:shd w:val="clear" w:color="auto" w:fill="auto"/>
            <w:noWrap/>
            <w:vAlign w:val="center"/>
          </w:tcPr>
          <w:p w14:paraId="5A7DABAF" w14:textId="77777777" w:rsidR="002A6CF0" w:rsidRPr="00646254" w:rsidRDefault="002A6CF0" w:rsidP="00426178">
            <w:pPr>
              <w:jc w:val="center"/>
              <w:rPr>
                <w:color w:val="002060"/>
                <w:sz w:val="18"/>
                <w:lang w:val="sr-Cyrl-CS"/>
              </w:rPr>
            </w:pPr>
            <w:r w:rsidRPr="00646254">
              <w:rPr>
                <w:color w:val="002060"/>
                <w:sz w:val="18"/>
                <w:lang w:val="sr-Cyrl-CS"/>
              </w:rPr>
              <w:t>0,4</w:t>
            </w:r>
          </w:p>
        </w:tc>
        <w:tc>
          <w:tcPr>
            <w:tcW w:w="603" w:type="pct"/>
            <w:tcBorders>
              <w:top w:val="nil"/>
              <w:left w:val="nil"/>
              <w:bottom w:val="nil"/>
              <w:right w:val="nil"/>
            </w:tcBorders>
            <w:shd w:val="clear" w:color="auto" w:fill="auto"/>
            <w:noWrap/>
            <w:vAlign w:val="center"/>
          </w:tcPr>
          <w:p w14:paraId="223031D1" w14:textId="77777777" w:rsidR="002A6CF0" w:rsidRPr="00646254" w:rsidRDefault="002A6CF0" w:rsidP="00426178">
            <w:pPr>
              <w:jc w:val="center"/>
              <w:rPr>
                <w:color w:val="002060"/>
                <w:sz w:val="18"/>
                <w:lang w:val="sr-Cyrl-CS"/>
              </w:rPr>
            </w:pPr>
            <w:r w:rsidRPr="00646254">
              <w:rPr>
                <w:color w:val="002060"/>
                <w:sz w:val="18"/>
                <w:lang w:val="sr-Cyrl-CS"/>
              </w:rPr>
              <w:t>0,5</w:t>
            </w:r>
          </w:p>
        </w:tc>
        <w:tc>
          <w:tcPr>
            <w:tcW w:w="600" w:type="pct"/>
            <w:tcBorders>
              <w:top w:val="nil"/>
              <w:left w:val="nil"/>
              <w:bottom w:val="nil"/>
              <w:right w:val="nil"/>
            </w:tcBorders>
            <w:shd w:val="clear" w:color="auto" w:fill="auto"/>
            <w:noWrap/>
            <w:vAlign w:val="center"/>
          </w:tcPr>
          <w:p w14:paraId="2DF3DF37" w14:textId="77777777" w:rsidR="002A6CF0" w:rsidRPr="00646254" w:rsidRDefault="002A6CF0" w:rsidP="00426178">
            <w:pPr>
              <w:jc w:val="center"/>
              <w:rPr>
                <w:color w:val="002060"/>
                <w:sz w:val="18"/>
                <w:lang w:val="sr-Cyrl-CS"/>
              </w:rPr>
            </w:pPr>
            <w:r w:rsidRPr="00646254">
              <w:rPr>
                <w:color w:val="002060"/>
                <w:sz w:val="18"/>
                <w:lang w:val="sr-Cyrl-CS"/>
              </w:rPr>
              <w:t>0,6</w:t>
            </w:r>
          </w:p>
        </w:tc>
      </w:tr>
      <w:tr w:rsidR="002A6CF0" w:rsidRPr="00646254" w14:paraId="32D6BAB5" w14:textId="77777777" w:rsidTr="00426178">
        <w:trPr>
          <w:trHeight w:val="281"/>
          <w:jc w:val="center"/>
        </w:trPr>
        <w:tc>
          <w:tcPr>
            <w:tcW w:w="2590" w:type="pct"/>
            <w:noWrap/>
            <w:vAlign w:val="center"/>
            <w:hideMark/>
          </w:tcPr>
          <w:p w14:paraId="137C860D" w14:textId="77777777" w:rsidR="002A6CF0" w:rsidRPr="00646254" w:rsidRDefault="002A6CF0" w:rsidP="00426178">
            <w:pPr>
              <w:ind w:left="113"/>
              <w:jc w:val="left"/>
              <w:rPr>
                <w:rFonts w:eastAsia="Calibri" w:cstheme="minorHAnsi"/>
                <w:color w:val="002060"/>
                <w:sz w:val="18"/>
                <w:szCs w:val="18"/>
                <w:lang w:val="sr-Cyrl-CS"/>
              </w:rPr>
            </w:pPr>
            <w:r w:rsidRPr="00646254">
              <w:rPr>
                <w:rFonts w:eastAsia="Calibri" w:cstheme="minorHAnsi"/>
                <w:color w:val="002060"/>
                <w:sz w:val="18"/>
                <w:szCs w:val="18"/>
                <w:lang w:val="sr-Cyrl-CS"/>
              </w:rPr>
              <w:t>Услуге</w:t>
            </w:r>
          </w:p>
        </w:tc>
        <w:tc>
          <w:tcPr>
            <w:tcW w:w="603" w:type="pct"/>
            <w:tcBorders>
              <w:top w:val="nil"/>
              <w:left w:val="nil"/>
              <w:bottom w:val="nil"/>
              <w:right w:val="nil"/>
            </w:tcBorders>
            <w:shd w:val="clear" w:color="auto" w:fill="auto"/>
            <w:noWrap/>
            <w:vAlign w:val="center"/>
          </w:tcPr>
          <w:p w14:paraId="2B2F6249" w14:textId="77777777" w:rsidR="002A6CF0" w:rsidRPr="00646254" w:rsidRDefault="002A6CF0" w:rsidP="00426178">
            <w:pPr>
              <w:jc w:val="center"/>
              <w:rPr>
                <w:color w:val="002060"/>
                <w:sz w:val="18"/>
                <w:lang w:val="sr-Cyrl-CS"/>
              </w:rPr>
            </w:pPr>
            <w:r w:rsidRPr="00646254">
              <w:rPr>
                <w:color w:val="002060"/>
                <w:sz w:val="18"/>
                <w:lang w:val="sr-Cyrl-CS"/>
              </w:rPr>
              <w:t>4,3</w:t>
            </w:r>
          </w:p>
        </w:tc>
        <w:tc>
          <w:tcPr>
            <w:tcW w:w="604" w:type="pct"/>
            <w:tcBorders>
              <w:top w:val="nil"/>
              <w:left w:val="nil"/>
              <w:bottom w:val="nil"/>
              <w:right w:val="nil"/>
            </w:tcBorders>
            <w:shd w:val="clear" w:color="auto" w:fill="auto"/>
            <w:noWrap/>
            <w:vAlign w:val="center"/>
          </w:tcPr>
          <w:p w14:paraId="53DA61E3" w14:textId="77777777" w:rsidR="002A6CF0" w:rsidRPr="00646254" w:rsidRDefault="002A6CF0" w:rsidP="00426178">
            <w:pPr>
              <w:jc w:val="center"/>
              <w:rPr>
                <w:color w:val="002060"/>
                <w:sz w:val="18"/>
                <w:lang w:val="sr-Cyrl-CS"/>
              </w:rPr>
            </w:pPr>
            <w:r w:rsidRPr="00646254">
              <w:rPr>
                <w:color w:val="002060"/>
                <w:sz w:val="18"/>
                <w:lang w:val="sr-Cyrl-CS"/>
              </w:rPr>
              <w:t>2,1</w:t>
            </w:r>
          </w:p>
        </w:tc>
        <w:tc>
          <w:tcPr>
            <w:tcW w:w="603" w:type="pct"/>
            <w:tcBorders>
              <w:top w:val="nil"/>
              <w:left w:val="nil"/>
              <w:bottom w:val="nil"/>
              <w:right w:val="nil"/>
            </w:tcBorders>
            <w:shd w:val="clear" w:color="auto" w:fill="auto"/>
            <w:noWrap/>
            <w:vAlign w:val="center"/>
          </w:tcPr>
          <w:p w14:paraId="7BEA135C" w14:textId="77777777" w:rsidR="002A6CF0" w:rsidRPr="00646254" w:rsidRDefault="002A6CF0" w:rsidP="00426178">
            <w:pPr>
              <w:jc w:val="center"/>
              <w:rPr>
                <w:color w:val="002060"/>
                <w:sz w:val="18"/>
                <w:lang w:val="sr-Cyrl-CS"/>
              </w:rPr>
            </w:pPr>
            <w:r w:rsidRPr="00646254">
              <w:rPr>
                <w:color w:val="002060"/>
                <w:sz w:val="18"/>
                <w:lang w:val="sr-Cyrl-CS"/>
              </w:rPr>
              <w:t>2,3</w:t>
            </w:r>
          </w:p>
        </w:tc>
        <w:tc>
          <w:tcPr>
            <w:tcW w:w="600" w:type="pct"/>
            <w:tcBorders>
              <w:top w:val="nil"/>
              <w:left w:val="nil"/>
              <w:bottom w:val="nil"/>
              <w:right w:val="nil"/>
            </w:tcBorders>
            <w:shd w:val="clear" w:color="auto" w:fill="auto"/>
            <w:noWrap/>
            <w:vAlign w:val="center"/>
          </w:tcPr>
          <w:p w14:paraId="5DF59EB7" w14:textId="77777777" w:rsidR="002A6CF0" w:rsidRPr="00646254" w:rsidRDefault="002A6CF0" w:rsidP="00426178">
            <w:pPr>
              <w:jc w:val="center"/>
              <w:rPr>
                <w:color w:val="002060"/>
                <w:sz w:val="18"/>
                <w:lang w:val="sr-Cyrl-CS"/>
              </w:rPr>
            </w:pPr>
            <w:r w:rsidRPr="00646254">
              <w:rPr>
                <w:color w:val="002060"/>
                <w:sz w:val="18"/>
                <w:lang w:val="sr-Cyrl-CS"/>
              </w:rPr>
              <w:t>2,3</w:t>
            </w:r>
          </w:p>
        </w:tc>
      </w:tr>
      <w:tr w:rsidR="002A6CF0" w:rsidRPr="00646254" w14:paraId="4042EA1D" w14:textId="77777777" w:rsidTr="00426178">
        <w:trPr>
          <w:trHeight w:val="281"/>
          <w:jc w:val="center"/>
        </w:trPr>
        <w:tc>
          <w:tcPr>
            <w:tcW w:w="2590" w:type="pct"/>
            <w:noWrap/>
            <w:vAlign w:val="center"/>
          </w:tcPr>
          <w:p w14:paraId="72C57EA1" w14:textId="77777777" w:rsidR="002A6CF0" w:rsidRPr="00646254" w:rsidRDefault="002A6CF0" w:rsidP="00426178">
            <w:pPr>
              <w:ind w:left="113"/>
              <w:jc w:val="left"/>
              <w:rPr>
                <w:rFonts w:eastAsia="Calibri" w:cstheme="minorHAnsi"/>
                <w:color w:val="002060"/>
                <w:sz w:val="18"/>
                <w:szCs w:val="18"/>
                <w:lang w:val="sr-Cyrl-CS"/>
              </w:rPr>
            </w:pPr>
            <w:r w:rsidRPr="00646254">
              <w:rPr>
                <w:rFonts w:eastAsia="Calibri" w:cstheme="minorHAnsi"/>
                <w:color w:val="002060"/>
                <w:sz w:val="18"/>
                <w:szCs w:val="18"/>
                <w:lang w:val="sr-Cyrl-CS"/>
              </w:rPr>
              <w:t>Нето порези</w:t>
            </w:r>
          </w:p>
        </w:tc>
        <w:tc>
          <w:tcPr>
            <w:tcW w:w="603" w:type="pct"/>
            <w:tcBorders>
              <w:top w:val="nil"/>
              <w:left w:val="nil"/>
              <w:bottom w:val="nil"/>
              <w:right w:val="nil"/>
            </w:tcBorders>
            <w:shd w:val="clear" w:color="auto" w:fill="auto"/>
            <w:noWrap/>
            <w:vAlign w:val="center"/>
          </w:tcPr>
          <w:p w14:paraId="1D97CE44" w14:textId="77777777" w:rsidR="002A6CF0" w:rsidRPr="00646254" w:rsidRDefault="002A6CF0" w:rsidP="00426178">
            <w:pPr>
              <w:jc w:val="center"/>
              <w:rPr>
                <w:color w:val="002060"/>
                <w:sz w:val="18"/>
                <w:lang w:val="sr-Cyrl-CS"/>
              </w:rPr>
            </w:pPr>
            <w:r w:rsidRPr="00646254">
              <w:rPr>
                <w:color w:val="002060"/>
                <w:sz w:val="18"/>
                <w:lang w:val="sr-Cyrl-CS"/>
              </w:rPr>
              <w:t>1,2</w:t>
            </w:r>
          </w:p>
        </w:tc>
        <w:tc>
          <w:tcPr>
            <w:tcW w:w="604" w:type="pct"/>
            <w:tcBorders>
              <w:top w:val="nil"/>
              <w:left w:val="nil"/>
              <w:bottom w:val="nil"/>
              <w:right w:val="nil"/>
            </w:tcBorders>
            <w:shd w:val="clear" w:color="auto" w:fill="auto"/>
            <w:noWrap/>
            <w:vAlign w:val="center"/>
          </w:tcPr>
          <w:p w14:paraId="63D0D035" w14:textId="77777777" w:rsidR="002A6CF0" w:rsidRPr="00646254" w:rsidRDefault="002A6CF0" w:rsidP="00426178">
            <w:pPr>
              <w:jc w:val="center"/>
              <w:rPr>
                <w:color w:val="002060"/>
                <w:sz w:val="18"/>
                <w:lang w:val="sr-Cyrl-CS"/>
              </w:rPr>
            </w:pPr>
            <w:r w:rsidRPr="00646254">
              <w:rPr>
                <w:color w:val="002060"/>
                <w:sz w:val="18"/>
                <w:lang w:val="sr-Cyrl-CS"/>
              </w:rPr>
              <w:t>0,7</w:t>
            </w:r>
          </w:p>
        </w:tc>
        <w:tc>
          <w:tcPr>
            <w:tcW w:w="603" w:type="pct"/>
            <w:tcBorders>
              <w:top w:val="nil"/>
              <w:left w:val="nil"/>
              <w:bottom w:val="nil"/>
              <w:right w:val="nil"/>
            </w:tcBorders>
            <w:shd w:val="clear" w:color="auto" w:fill="auto"/>
            <w:noWrap/>
            <w:vAlign w:val="center"/>
          </w:tcPr>
          <w:p w14:paraId="5CD0625C" w14:textId="77777777" w:rsidR="002A6CF0" w:rsidRPr="00646254" w:rsidRDefault="002A6CF0" w:rsidP="00426178">
            <w:pPr>
              <w:jc w:val="center"/>
              <w:rPr>
                <w:color w:val="002060"/>
                <w:sz w:val="18"/>
                <w:lang w:val="sr-Cyrl-CS"/>
              </w:rPr>
            </w:pPr>
            <w:r w:rsidRPr="00646254">
              <w:rPr>
                <w:color w:val="002060"/>
                <w:sz w:val="18"/>
                <w:lang w:val="sr-Cyrl-CS"/>
              </w:rPr>
              <w:t>0,7</w:t>
            </w:r>
          </w:p>
        </w:tc>
        <w:tc>
          <w:tcPr>
            <w:tcW w:w="600" w:type="pct"/>
            <w:tcBorders>
              <w:top w:val="nil"/>
              <w:left w:val="nil"/>
              <w:bottom w:val="nil"/>
              <w:right w:val="nil"/>
            </w:tcBorders>
            <w:shd w:val="clear" w:color="auto" w:fill="auto"/>
            <w:noWrap/>
            <w:vAlign w:val="center"/>
          </w:tcPr>
          <w:p w14:paraId="415A4CD9" w14:textId="77777777" w:rsidR="002A6CF0" w:rsidRPr="00646254" w:rsidRDefault="002A6CF0" w:rsidP="00426178">
            <w:pPr>
              <w:jc w:val="center"/>
              <w:rPr>
                <w:color w:val="002060"/>
                <w:sz w:val="18"/>
                <w:lang w:val="sr-Cyrl-CS"/>
              </w:rPr>
            </w:pPr>
            <w:r w:rsidRPr="00646254">
              <w:rPr>
                <w:color w:val="002060"/>
                <w:sz w:val="18"/>
                <w:lang w:val="sr-Cyrl-CS"/>
              </w:rPr>
              <w:t>0,6</w:t>
            </w:r>
          </w:p>
        </w:tc>
      </w:tr>
      <w:tr w:rsidR="002A6CF0" w:rsidRPr="00646254" w14:paraId="56C1CACC" w14:textId="77777777" w:rsidTr="00426178">
        <w:trPr>
          <w:trHeight w:val="281"/>
          <w:jc w:val="center"/>
        </w:trPr>
        <w:tc>
          <w:tcPr>
            <w:tcW w:w="2590" w:type="pct"/>
            <w:shd w:val="clear" w:color="auto" w:fill="E7E6E6" w:themeFill="background2"/>
            <w:noWrap/>
            <w:vAlign w:val="center"/>
            <w:hideMark/>
          </w:tcPr>
          <w:p w14:paraId="621C26BC" w14:textId="77777777" w:rsidR="002A6CF0" w:rsidRPr="00646254" w:rsidRDefault="002A6CF0" w:rsidP="00426178">
            <w:pPr>
              <w:jc w:val="left"/>
              <w:rPr>
                <w:rFonts w:eastAsia="Calibri" w:cstheme="minorHAnsi"/>
                <w:bCs/>
                <w:iCs/>
                <w:color w:val="002060"/>
                <w:sz w:val="18"/>
                <w:szCs w:val="18"/>
                <w:lang w:val="sr-Cyrl-CS"/>
              </w:rPr>
            </w:pPr>
            <w:r w:rsidRPr="00646254">
              <w:rPr>
                <w:rFonts w:eastAsia="Calibri" w:cstheme="minorHAnsi"/>
                <w:iCs/>
                <w:color w:val="002060"/>
                <w:sz w:val="18"/>
                <w:szCs w:val="18"/>
                <w:lang w:val="sr-Cyrl-CS"/>
              </w:rPr>
              <w:t>Кретање цена, %</w:t>
            </w:r>
          </w:p>
        </w:tc>
        <w:tc>
          <w:tcPr>
            <w:tcW w:w="603" w:type="pct"/>
            <w:shd w:val="clear" w:color="auto" w:fill="E7E6E6" w:themeFill="background2"/>
            <w:noWrap/>
            <w:vAlign w:val="center"/>
          </w:tcPr>
          <w:p w14:paraId="6D06F015" w14:textId="77777777" w:rsidR="002A6CF0" w:rsidRPr="00646254" w:rsidRDefault="002A6CF0" w:rsidP="00426178">
            <w:pPr>
              <w:jc w:val="center"/>
              <w:rPr>
                <w:rFonts w:eastAsia="Calibri" w:cstheme="minorHAnsi"/>
                <w:iCs/>
                <w:color w:val="002060"/>
                <w:sz w:val="18"/>
                <w:szCs w:val="18"/>
                <w:lang w:val="sr-Cyrl-CS"/>
              </w:rPr>
            </w:pPr>
          </w:p>
        </w:tc>
        <w:tc>
          <w:tcPr>
            <w:tcW w:w="604" w:type="pct"/>
            <w:shd w:val="clear" w:color="auto" w:fill="E7E6E6" w:themeFill="background2"/>
            <w:noWrap/>
            <w:vAlign w:val="center"/>
          </w:tcPr>
          <w:p w14:paraId="3E354426" w14:textId="77777777" w:rsidR="002A6CF0" w:rsidRPr="00646254" w:rsidRDefault="002A6CF0" w:rsidP="00426178">
            <w:pPr>
              <w:jc w:val="center"/>
              <w:rPr>
                <w:rFonts w:eastAsia="Calibri" w:cstheme="minorHAnsi"/>
                <w:color w:val="002060"/>
                <w:sz w:val="18"/>
                <w:szCs w:val="18"/>
                <w:lang w:val="sr-Cyrl-CS"/>
              </w:rPr>
            </w:pPr>
          </w:p>
        </w:tc>
        <w:tc>
          <w:tcPr>
            <w:tcW w:w="603" w:type="pct"/>
            <w:shd w:val="clear" w:color="auto" w:fill="E7E6E6" w:themeFill="background2"/>
            <w:noWrap/>
            <w:vAlign w:val="center"/>
          </w:tcPr>
          <w:p w14:paraId="1C843CA6" w14:textId="77777777" w:rsidR="002A6CF0" w:rsidRPr="00646254" w:rsidRDefault="002A6CF0" w:rsidP="00426178">
            <w:pPr>
              <w:jc w:val="center"/>
              <w:rPr>
                <w:rFonts w:eastAsia="Calibri" w:cstheme="minorHAnsi"/>
                <w:color w:val="002060"/>
                <w:sz w:val="18"/>
                <w:szCs w:val="18"/>
                <w:lang w:val="sr-Cyrl-CS"/>
              </w:rPr>
            </w:pPr>
          </w:p>
        </w:tc>
        <w:tc>
          <w:tcPr>
            <w:tcW w:w="600" w:type="pct"/>
            <w:shd w:val="clear" w:color="auto" w:fill="E7E6E6" w:themeFill="background2"/>
            <w:noWrap/>
            <w:vAlign w:val="center"/>
          </w:tcPr>
          <w:p w14:paraId="181773CA" w14:textId="77777777" w:rsidR="002A6CF0" w:rsidRPr="00646254" w:rsidRDefault="002A6CF0" w:rsidP="00426178">
            <w:pPr>
              <w:jc w:val="center"/>
              <w:rPr>
                <w:rFonts w:eastAsia="Calibri" w:cstheme="minorHAnsi"/>
                <w:color w:val="002060"/>
                <w:sz w:val="18"/>
                <w:szCs w:val="18"/>
                <w:lang w:val="sr-Cyrl-CS"/>
              </w:rPr>
            </w:pPr>
          </w:p>
        </w:tc>
      </w:tr>
      <w:tr w:rsidR="002A6CF0" w:rsidRPr="00646254" w14:paraId="3FC31B48" w14:textId="77777777" w:rsidTr="00426178">
        <w:trPr>
          <w:trHeight w:val="281"/>
          <w:jc w:val="center"/>
        </w:trPr>
        <w:tc>
          <w:tcPr>
            <w:tcW w:w="2590" w:type="pct"/>
            <w:noWrap/>
            <w:vAlign w:val="center"/>
            <w:hideMark/>
          </w:tcPr>
          <w:p w14:paraId="638DD9B6" w14:textId="77777777" w:rsidR="002A6CF0" w:rsidRPr="00646254" w:rsidRDefault="002A6CF0" w:rsidP="00426178">
            <w:pPr>
              <w:ind w:left="113"/>
              <w:jc w:val="left"/>
              <w:rPr>
                <w:rFonts w:eastAsia="Calibri" w:cstheme="minorHAnsi"/>
                <w:color w:val="002060"/>
                <w:sz w:val="18"/>
                <w:szCs w:val="18"/>
                <w:lang w:val="sr-Cyrl-CS"/>
              </w:rPr>
            </w:pPr>
            <w:r w:rsidRPr="00646254">
              <w:rPr>
                <w:rFonts w:eastAsia="Calibri" w:cstheme="minorHAnsi"/>
                <w:color w:val="002060"/>
                <w:sz w:val="18"/>
                <w:szCs w:val="18"/>
                <w:lang w:val="sr-Cyrl-CS"/>
              </w:rPr>
              <w:t>БДП дефлатор</w:t>
            </w:r>
          </w:p>
        </w:tc>
        <w:tc>
          <w:tcPr>
            <w:tcW w:w="603" w:type="pct"/>
            <w:tcBorders>
              <w:top w:val="nil"/>
              <w:left w:val="nil"/>
              <w:bottom w:val="nil"/>
              <w:right w:val="nil"/>
            </w:tcBorders>
            <w:shd w:val="clear" w:color="auto" w:fill="auto"/>
            <w:noWrap/>
            <w:vAlign w:val="center"/>
          </w:tcPr>
          <w:p w14:paraId="53E600A5" w14:textId="77777777" w:rsidR="002A6CF0" w:rsidRPr="00646254" w:rsidRDefault="002A6CF0" w:rsidP="00426178">
            <w:pPr>
              <w:jc w:val="center"/>
              <w:rPr>
                <w:color w:val="002060"/>
                <w:sz w:val="18"/>
                <w:lang w:val="sr-Cyrl-CS"/>
              </w:rPr>
            </w:pPr>
            <w:r w:rsidRPr="00646254">
              <w:rPr>
                <w:color w:val="002060"/>
                <w:sz w:val="18"/>
                <w:lang w:val="sr-Cyrl-CS"/>
              </w:rPr>
              <w:t>4,7</w:t>
            </w:r>
          </w:p>
        </w:tc>
        <w:tc>
          <w:tcPr>
            <w:tcW w:w="604" w:type="pct"/>
            <w:tcBorders>
              <w:top w:val="nil"/>
              <w:left w:val="nil"/>
              <w:bottom w:val="nil"/>
              <w:right w:val="nil"/>
            </w:tcBorders>
            <w:shd w:val="clear" w:color="auto" w:fill="auto"/>
            <w:noWrap/>
            <w:vAlign w:val="center"/>
          </w:tcPr>
          <w:p w14:paraId="39B39880" w14:textId="77777777" w:rsidR="002A6CF0" w:rsidRPr="00646254" w:rsidRDefault="002A6CF0" w:rsidP="00426178">
            <w:pPr>
              <w:jc w:val="center"/>
              <w:rPr>
                <w:color w:val="002060"/>
                <w:sz w:val="18"/>
                <w:lang w:val="sr-Cyrl-CS"/>
              </w:rPr>
            </w:pPr>
            <w:r w:rsidRPr="00646254">
              <w:rPr>
                <w:color w:val="002060"/>
                <w:sz w:val="18"/>
                <w:lang w:val="sr-Cyrl-CS"/>
              </w:rPr>
              <w:t>3,0</w:t>
            </w:r>
          </w:p>
        </w:tc>
        <w:tc>
          <w:tcPr>
            <w:tcW w:w="603" w:type="pct"/>
            <w:tcBorders>
              <w:top w:val="nil"/>
              <w:left w:val="nil"/>
              <w:bottom w:val="nil"/>
              <w:right w:val="nil"/>
            </w:tcBorders>
            <w:shd w:val="clear" w:color="auto" w:fill="auto"/>
            <w:noWrap/>
            <w:vAlign w:val="center"/>
          </w:tcPr>
          <w:p w14:paraId="39EE492E" w14:textId="77777777" w:rsidR="002A6CF0" w:rsidRPr="00646254" w:rsidRDefault="002A6CF0" w:rsidP="00426178">
            <w:pPr>
              <w:jc w:val="center"/>
              <w:rPr>
                <w:color w:val="002060"/>
                <w:sz w:val="18"/>
                <w:lang w:val="sr-Cyrl-CS"/>
              </w:rPr>
            </w:pPr>
            <w:r w:rsidRPr="00646254">
              <w:rPr>
                <w:color w:val="002060"/>
                <w:sz w:val="18"/>
                <w:lang w:val="sr-Cyrl-CS"/>
              </w:rPr>
              <w:t>2,9</w:t>
            </w:r>
          </w:p>
        </w:tc>
        <w:tc>
          <w:tcPr>
            <w:tcW w:w="600" w:type="pct"/>
            <w:tcBorders>
              <w:top w:val="nil"/>
              <w:left w:val="nil"/>
              <w:bottom w:val="nil"/>
              <w:right w:val="nil"/>
            </w:tcBorders>
            <w:shd w:val="clear" w:color="auto" w:fill="auto"/>
            <w:noWrap/>
            <w:vAlign w:val="center"/>
          </w:tcPr>
          <w:p w14:paraId="057A4C05" w14:textId="77777777" w:rsidR="002A6CF0" w:rsidRPr="00646254" w:rsidRDefault="002A6CF0" w:rsidP="00426178">
            <w:pPr>
              <w:jc w:val="center"/>
              <w:rPr>
                <w:color w:val="002060"/>
                <w:sz w:val="18"/>
                <w:lang w:val="sr-Cyrl-CS"/>
              </w:rPr>
            </w:pPr>
            <w:r w:rsidRPr="00646254">
              <w:rPr>
                <w:color w:val="002060"/>
                <w:sz w:val="18"/>
                <w:lang w:val="sr-Cyrl-CS"/>
              </w:rPr>
              <w:t>2,8</w:t>
            </w:r>
          </w:p>
        </w:tc>
      </w:tr>
      <w:tr w:rsidR="002A6CF0" w:rsidRPr="00646254" w14:paraId="053B8F49" w14:textId="77777777" w:rsidTr="00426178">
        <w:trPr>
          <w:trHeight w:val="281"/>
          <w:jc w:val="center"/>
        </w:trPr>
        <w:tc>
          <w:tcPr>
            <w:tcW w:w="2590" w:type="pct"/>
            <w:noWrap/>
            <w:vAlign w:val="center"/>
            <w:hideMark/>
          </w:tcPr>
          <w:p w14:paraId="3AFA6D3A" w14:textId="77777777" w:rsidR="002A6CF0" w:rsidRPr="00646254" w:rsidRDefault="002A6CF0" w:rsidP="00426178">
            <w:pPr>
              <w:ind w:left="113"/>
              <w:jc w:val="left"/>
              <w:rPr>
                <w:rFonts w:eastAsia="Calibri" w:cstheme="minorHAnsi"/>
                <w:color w:val="002060"/>
                <w:sz w:val="18"/>
                <w:szCs w:val="18"/>
                <w:lang w:val="sr-Cyrl-CS"/>
              </w:rPr>
            </w:pPr>
            <w:r w:rsidRPr="00646254">
              <w:rPr>
                <w:rFonts w:eastAsia="Calibri" w:cstheme="minorHAnsi"/>
                <w:color w:val="002060"/>
                <w:sz w:val="18"/>
                <w:szCs w:val="18"/>
                <w:lang w:val="sr-Cyrl-CS"/>
              </w:rPr>
              <w:t>Потрошачке цене (годишњи просек)</w:t>
            </w:r>
          </w:p>
        </w:tc>
        <w:tc>
          <w:tcPr>
            <w:tcW w:w="603" w:type="pct"/>
            <w:tcBorders>
              <w:top w:val="nil"/>
              <w:left w:val="nil"/>
              <w:bottom w:val="nil"/>
              <w:right w:val="nil"/>
            </w:tcBorders>
            <w:shd w:val="clear" w:color="auto" w:fill="auto"/>
            <w:noWrap/>
            <w:vAlign w:val="center"/>
          </w:tcPr>
          <w:p w14:paraId="343D1C45" w14:textId="77777777" w:rsidR="002A6CF0" w:rsidRPr="00646254" w:rsidRDefault="002A6CF0" w:rsidP="00426178">
            <w:pPr>
              <w:jc w:val="center"/>
              <w:rPr>
                <w:color w:val="002060"/>
                <w:sz w:val="18"/>
                <w:lang w:val="sr-Cyrl-CS"/>
              </w:rPr>
            </w:pPr>
            <w:r w:rsidRPr="00646254">
              <w:rPr>
                <w:color w:val="002060"/>
                <w:sz w:val="18"/>
                <w:lang w:val="sr-Cyrl-CS"/>
              </w:rPr>
              <w:t>3,7</w:t>
            </w:r>
          </w:p>
        </w:tc>
        <w:tc>
          <w:tcPr>
            <w:tcW w:w="604" w:type="pct"/>
            <w:tcBorders>
              <w:top w:val="nil"/>
              <w:left w:val="nil"/>
              <w:bottom w:val="nil"/>
              <w:right w:val="nil"/>
            </w:tcBorders>
            <w:shd w:val="clear" w:color="auto" w:fill="auto"/>
            <w:noWrap/>
            <w:vAlign w:val="center"/>
          </w:tcPr>
          <w:p w14:paraId="27724082" w14:textId="77777777" w:rsidR="002A6CF0" w:rsidRPr="00646254" w:rsidRDefault="002A6CF0" w:rsidP="00426178">
            <w:pPr>
              <w:jc w:val="center"/>
              <w:rPr>
                <w:color w:val="002060"/>
                <w:sz w:val="18"/>
                <w:lang w:val="sr-Cyrl-CS"/>
              </w:rPr>
            </w:pPr>
            <w:r w:rsidRPr="00646254">
              <w:rPr>
                <w:color w:val="002060"/>
                <w:sz w:val="18"/>
                <w:lang w:val="sr-Cyrl-CS"/>
              </w:rPr>
              <w:t>3,7</w:t>
            </w:r>
          </w:p>
        </w:tc>
        <w:tc>
          <w:tcPr>
            <w:tcW w:w="603" w:type="pct"/>
            <w:tcBorders>
              <w:top w:val="nil"/>
              <w:left w:val="nil"/>
              <w:bottom w:val="nil"/>
              <w:right w:val="nil"/>
            </w:tcBorders>
            <w:shd w:val="clear" w:color="auto" w:fill="auto"/>
            <w:noWrap/>
            <w:vAlign w:val="center"/>
          </w:tcPr>
          <w:p w14:paraId="652192F7" w14:textId="77777777" w:rsidR="002A6CF0" w:rsidRPr="00646254" w:rsidRDefault="002A6CF0" w:rsidP="00426178">
            <w:pPr>
              <w:jc w:val="center"/>
              <w:rPr>
                <w:color w:val="002060"/>
                <w:sz w:val="18"/>
                <w:lang w:val="sr-Cyrl-CS"/>
              </w:rPr>
            </w:pPr>
            <w:r w:rsidRPr="00646254">
              <w:rPr>
                <w:color w:val="002060"/>
                <w:sz w:val="18"/>
                <w:lang w:val="sr-Cyrl-CS"/>
              </w:rPr>
              <w:t>2,6</w:t>
            </w:r>
          </w:p>
        </w:tc>
        <w:tc>
          <w:tcPr>
            <w:tcW w:w="600" w:type="pct"/>
            <w:tcBorders>
              <w:top w:val="nil"/>
              <w:left w:val="nil"/>
              <w:bottom w:val="nil"/>
              <w:right w:val="nil"/>
            </w:tcBorders>
            <w:shd w:val="clear" w:color="auto" w:fill="auto"/>
            <w:noWrap/>
            <w:vAlign w:val="center"/>
          </w:tcPr>
          <w:p w14:paraId="54100278" w14:textId="77777777" w:rsidR="002A6CF0" w:rsidRPr="00646254" w:rsidRDefault="002A6CF0" w:rsidP="00426178">
            <w:pPr>
              <w:jc w:val="center"/>
              <w:rPr>
                <w:color w:val="002060"/>
                <w:sz w:val="18"/>
                <w:lang w:val="sr-Cyrl-CS"/>
              </w:rPr>
            </w:pPr>
            <w:r w:rsidRPr="00646254">
              <w:rPr>
                <w:color w:val="002060"/>
                <w:sz w:val="18"/>
                <w:lang w:val="sr-Cyrl-CS"/>
              </w:rPr>
              <w:t>2,5</w:t>
            </w:r>
          </w:p>
        </w:tc>
      </w:tr>
      <w:tr w:rsidR="002A6CF0" w:rsidRPr="00646254" w14:paraId="15AFB9C8" w14:textId="77777777" w:rsidTr="00426178">
        <w:trPr>
          <w:trHeight w:val="281"/>
          <w:jc w:val="center"/>
        </w:trPr>
        <w:tc>
          <w:tcPr>
            <w:tcW w:w="2590" w:type="pct"/>
            <w:shd w:val="clear" w:color="auto" w:fill="E7E6E6" w:themeFill="background2"/>
            <w:noWrap/>
            <w:vAlign w:val="center"/>
            <w:hideMark/>
          </w:tcPr>
          <w:p w14:paraId="58F4A741" w14:textId="77777777" w:rsidR="002A6CF0" w:rsidRPr="00646254" w:rsidRDefault="002A6CF0" w:rsidP="00426178">
            <w:pPr>
              <w:jc w:val="left"/>
              <w:rPr>
                <w:rFonts w:eastAsia="Calibri" w:cstheme="minorHAnsi"/>
                <w:bCs/>
                <w:iCs/>
                <w:color w:val="002060"/>
                <w:sz w:val="18"/>
                <w:szCs w:val="18"/>
                <w:lang w:val="sr-Cyrl-CS"/>
              </w:rPr>
            </w:pPr>
            <w:r w:rsidRPr="00646254">
              <w:rPr>
                <w:rFonts w:eastAsia="Calibri" w:cstheme="minorHAnsi"/>
                <w:iCs/>
                <w:color w:val="002060"/>
                <w:sz w:val="18"/>
                <w:szCs w:val="18"/>
                <w:lang w:val="sr-Cyrl-CS"/>
              </w:rPr>
              <w:t>Кретања у спољном сектору, % БДП</w:t>
            </w:r>
          </w:p>
        </w:tc>
        <w:tc>
          <w:tcPr>
            <w:tcW w:w="603" w:type="pct"/>
            <w:shd w:val="clear" w:color="auto" w:fill="E7E6E6" w:themeFill="background2"/>
            <w:noWrap/>
            <w:vAlign w:val="center"/>
          </w:tcPr>
          <w:p w14:paraId="3CC14A3F" w14:textId="77777777" w:rsidR="002A6CF0" w:rsidRPr="00646254" w:rsidRDefault="002A6CF0" w:rsidP="00426178">
            <w:pPr>
              <w:jc w:val="center"/>
              <w:rPr>
                <w:rFonts w:eastAsia="Calibri" w:cstheme="minorHAnsi"/>
                <w:color w:val="002060"/>
                <w:sz w:val="18"/>
                <w:szCs w:val="18"/>
                <w:lang w:val="sr-Cyrl-CS"/>
              </w:rPr>
            </w:pPr>
          </w:p>
        </w:tc>
        <w:tc>
          <w:tcPr>
            <w:tcW w:w="604" w:type="pct"/>
            <w:shd w:val="clear" w:color="auto" w:fill="E7E6E6" w:themeFill="background2"/>
            <w:noWrap/>
            <w:vAlign w:val="center"/>
          </w:tcPr>
          <w:p w14:paraId="5E4A205C" w14:textId="77777777" w:rsidR="002A6CF0" w:rsidRPr="00646254" w:rsidRDefault="002A6CF0" w:rsidP="00426178">
            <w:pPr>
              <w:jc w:val="center"/>
              <w:rPr>
                <w:rFonts w:eastAsia="Calibri" w:cstheme="minorHAnsi"/>
                <w:color w:val="002060"/>
                <w:sz w:val="18"/>
                <w:szCs w:val="18"/>
                <w:lang w:val="sr-Cyrl-CS"/>
              </w:rPr>
            </w:pPr>
          </w:p>
        </w:tc>
        <w:tc>
          <w:tcPr>
            <w:tcW w:w="603" w:type="pct"/>
            <w:shd w:val="clear" w:color="auto" w:fill="E7E6E6" w:themeFill="background2"/>
            <w:noWrap/>
            <w:vAlign w:val="center"/>
          </w:tcPr>
          <w:p w14:paraId="5CC86294" w14:textId="77777777" w:rsidR="002A6CF0" w:rsidRPr="00646254" w:rsidRDefault="002A6CF0" w:rsidP="00426178">
            <w:pPr>
              <w:jc w:val="center"/>
              <w:rPr>
                <w:rFonts w:eastAsia="Calibri" w:cstheme="minorHAnsi"/>
                <w:color w:val="002060"/>
                <w:sz w:val="18"/>
                <w:szCs w:val="18"/>
                <w:lang w:val="sr-Cyrl-CS"/>
              </w:rPr>
            </w:pPr>
          </w:p>
        </w:tc>
        <w:tc>
          <w:tcPr>
            <w:tcW w:w="600" w:type="pct"/>
            <w:shd w:val="clear" w:color="auto" w:fill="E7E6E6" w:themeFill="background2"/>
            <w:noWrap/>
            <w:vAlign w:val="center"/>
          </w:tcPr>
          <w:p w14:paraId="0E7ABCF5" w14:textId="77777777" w:rsidR="002A6CF0" w:rsidRPr="00646254" w:rsidRDefault="002A6CF0" w:rsidP="00426178">
            <w:pPr>
              <w:jc w:val="center"/>
              <w:rPr>
                <w:rFonts w:eastAsia="Calibri" w:cstheme="minorHAnsi"/>
                <w:color w:val="002060"/>
                <w:sz w:val="18"/>
                <w:szCs w:val="18"/>
                <w:lang w:val="sr-Cyrl-CS"/>
              </w:rPr>
            </w:pPr>
          </w:p>
        </w:tc>
      </w:tr>
      <w:tr w:rsidR="002A6CF0" w:rsidRPr="00646254" w14:paraId="07B7D10F" w14:textId="77777777" w:rsidTr="00426178">
        <w:trPr>
          <w:trHeight w:val="281"/>
          <w:jc w:val="center"/>
        </w:trPr>
        <w:tc>
          <w:tcPr>
            <w:tcW w:w="2590" w:type="pct"/>
            <w:noWrap/>
            <w:vAlign w:val="center"/>
            <w:hideMark/>
          </w:tcPr>
          <w:p w14:paraId="1176D8AB" w14:textId="77777777" w:rsidR="002A6CF0" w:rsidRPr="00646254" w:rsidRDefault="002A6CF0" w:rsidP="00426178">
            <w:pPr>
              <w:ind w:left="113"/>
              <w:jc w:val="left"/>
              <w:rPr>
                <w:rFonts w:eastAsia="Calibri" w:cstheme="minorHAnsi"/>
                <w:color w:val="002060"/>
                <w:sz w:val="18"/>
                <w:szCs w:val="18"/>
                <w:lang w:val="sr-Cyrl-CS"/>
              </w:rPr>
            </w:pPr>
            <w:bookmarkStart w:id="55" w:name="RANGE!A41"/>
            <w:r w:rsidRPr="00646254">
              <w:rPr>
                <w:rFonts w:eastAsia="Calibri" w:cstheme="minorHAnsi"/>
                <w:color w:val="002060"/>
                <w:sz w:val="18"/>
                <w:szCs w:val="18"/>
                <w:lang w:val="sr-Cyrl-CS"/>
              </w:rPr>
              <w:t xml:space="preserve">Салдо </w:t>
            </w:r>
            <w:bookmarkEnd w:id="55"/>
            <w:r w:rsidRPr="00646254">
              <w:rPr>
                <w:rFonts w:eastAsia="Calibri" w:cstheme="minorHAnsi"/>
                <w:color w:val="002060"/>
                <w:sz w:val="18"/>
                <w:szCs w:val="18"/>
                <w:lang w:val="sr-Cyrl-CS"/>
              </w:rPr>
              <w:t>роба и услуга</w:t>
            </w:r>
          </w:p>
        </w:tc>
        <w:tc>
          <w:tcPr>
            <w:tcW w:w="603" w:type="pct"/>
            <w:tcBorders>
              <w:top w:val="nil"/>
              <w:left w:val="nil"/>
              <w:bottom w:val="nil"/>
              <w:right w:val="nil"/>
            </w:tcBorders>
            <w:shd w:val="clear" w:color="000000" w:fill="FFFFFF"/>
            <w:noWrap/>
            <w:vAlign w:val="center"/>
          </w:tcPr>
          <w:p w14:paraId="1762D5A4" w14:textId="77777777" w:rsidR="002A6CF0" w:rsidRPr="00646254" w:rsidRDefault="002A6CF0" w:rsidP="00426178">
            <w:pPr>
              <w:jc w:val="center"/>
              <w:rPr>
                <w:color w:val="002060"/>
                <w:sz w:val="18"/>
                <w:lang w:val="sr-Cyrl-CS"/>
              </w:rPr>
            </w:pPr>
            <w:r w:rsidRPr="00646254">
              <w:rPr>
                <w:color w:val="002060"/>
                <w:sz w:val="18"/>
                <w:lang w:val="sr-Cyrl-CS"/>
              </w:rPr>
              <w:t>-8,1</w:t>
            </w:r>
          </w:p>
        </w:tc>
        <w:tc>
          <w:tcPr>
            <w:tcW w:w="604" w:type="pct"/>
            <w:tcBorders>
              <w:top w:val="nil"/>
              <w:left w:val="nil"/>
              <w:bottom w:val="nil"/>
              <w:right w:val="nil"/>
            </w:tcBorders>
            <w:shd w:val="clear" w:color="000000" w:fill="FFFFFF"/>
            <w:noWrap/>
            <w:vAlign w:val="center"/>
          </w:tcPr>
          <w:p w14:paraId="45AAACED" w14:textId="77777777" w:rsidR="002A6CF0" w:rsidRPr="00646254" w:rsidRDefault="002A6CF0" w:rsidP="00426178">
            <w:pPr>
              <w:jc w:val="center"/>
              <w:rPr>
                <w:color w:val="002060"/>
                <w:sz w:val="18"/>
                <w:lang w:val="sr-Cyrl-CS"/>
              </w:rPr>
            </w:pPr>
            <w:r w:rsidRPr="00646254">
              <w:rPr>
                <w:color w:val="002060"/>
                <w:sz w:val="18"/>
                <w:lang w:val="sr-Cyrl-CS"/>
              </w:rPr>
              <w:t>-7,7</w:t>
            </w:r>
          </w:p>
        </w:tc>
        <w:tc>
          <w:tcPr>
            <w:tcW w:w="603" w:type="pct"/>
            <w:tcBorders>
              <w:top w:val="nil"/>
              <w:left w:val="nil"/>
              <w:bottom w:val="nil"/>
              <w:right w:val="nil"/>
            </w:tcBorders>
            <w:shd w:val="clear" w:color="000000" w:fill="FFFFFF"/>
            <w:noWrap/>
            <w:vAlign w:val="center"/>
          </w:tcPr>
          <w:p w14:paraId="3FB8CA5A" w14:textId="77777777" w:rsidR="002A6CF0" w:rsidRPr="00646254" w:rsidRDefault="002A6CF0" w:rsidP="00426178">
            <w:pPr>
              <w:jc w:val="center"/>
              <w:rPr>
                <w:color w:val="002060"/>
                <w:sz w:val="18"/>
                <w:lang w:val="sr-Cyrl-CS"/>
              </w:rPr>
            </w:pPr>
            <w:r w:rsidRPr="00646254">
              <w:rPr>
                <w:color w:val="002060"/>
                <w:sz w:val="18"/>
                <w:lang w:val="sr-Cyrl-CS"/>
              </w:rPr>
              <w:t>-6,9</w:t>
            </w:r>
          </w:p>
        </w:tc>
        <w:tc>
          <w:tcPr>
            <w:tcW w:w="600" w:type="pct"/>
            <w:tcBorders>
              <w:top w:val="nil"/>
              <w:left w:val="nil"/>
              <w:bottom w:val="nil"/>
              <w:right w:val="nil"/>
            </w:tcBorders>
            <w:shd w:val="clear" w:color="000000" w:fill="FFFFFF"/>
            <w:noWrap/>
            <w:vAlign w:val="center"/>
          </w:tcPr>
          <w:p w14:paraId="2F37B8C3" w14:textId="77777777" w:rsidR="002A6CF0" w:rsidRPr="00646254" w:rsidRDefault="002A6CF0" w:rsidP="00426178">
            <w:pPr>
              <w:jc w:val="center"/>
              <w:rPr>
                <w:color w:val="002060"/>
                <w:sz w:val="18"/>
                <w:lang w:val="sr-Cyrl-CS"/>
              </w:rPr>
            </w:pPr>
            <w:r w:rsidRPr="00646254">
              <w:rPr>
                <w:color w:val="002060"/>
                <w:sz w:val="18"/>
                <w:lang w:val="sr-Cyrl-CS"/>
              </w:rPr>
              <w:t>-6,2</w:t>
            </w:r>
          </w:p>
        </w:tc>
      </w:tr>
      <w:tr w:rsidR="002A6CF0" w:rsidRPr="00646254" w14:paraId="02239E6B" w14:textId="77777777" w:rsidTr="00426178">
        <w:trPr>
          <w:trHeight w:val="281"/>
          <w:jc w:val="center"/>
        </w:trPr>
        <w:tc>
          <w:tcPr>
            <w:tcW w:w="2590" w:type="pct"/>
            <w:noWrap/>
            <w:vAlign w:val="center"/>
            <w:hideMark/>
          </w:tcPr>
          <w:p w14:paraId="31DBD31D" w14:textId="77777777" w:rsidR="002A6CF0" w:rsidRPr="00646254" w:rsidRDefault="002A6CF0" w:rsidP="00426178">
            <w:pPr>
              <w:ind w:left="113"/>
              <w:jc w:val="left"/>
              <w:rPr>
                <w:rFonts w:eastAsia="Calibri" w:cstheme="minorHAnsi"/>
                <w:color w:val="002060"/>
                <w:sz w:val="18"/>
                <w:szCs w:val="18"/>
                <w:lang w:val="sr-Cyrl-CS"/>
              </w:rPr>
            </w:pPr>
            <w:r w:rsidRPr="00646254">
              <w:rPr>
                <w:rFonts w:eastAsia="Calibri" w:cstheme="minorHAnsi"/>
                <w:color w:val="002060"/>
                <w:sz w:val="18"/>
                <w:szCs w:val="18"/>
                <w:lang w:val="sr-Cyrl-CS"/>
              </w:rPr>
              <w:t>Салдо текућег рачуна</w:t>
            </w:r>
          </w:p>
        </w:tc>
        <w:tc>
          <w:tcPr>
            <w:tcW w:w="603" w:type="pct"/>
            <w:tcBorders>
              <w:top w:val="nil"/>
              <w:left w:val="nil"/>
              <w:bottom w:val="nil"/>
              <w:right w:val="nil"/>
            </w:tcBorders>
            <w:shd w:val="clear" w:color="000000" w:fill="FFFFFF"/>
            <w:noWrap/>
            <w:vAlign w:val="center"/>
          </w:tcPr>
          <w:p w14:paraId="593ECEE2" w14:textId="77777777" w:rsidR="002A6CF0" w:rsidRPr="00646254" w:rsidRDefault="002A6CF0" w:rsidP="00426178">
            <w:pPr>
              <w:jc w:val="center"/>
              <w:rPr>
                <w:color w:val="002060"/>
                <w:sz w:val="18"/>
                <w:lang w:val="sr-Cyrl-CS"/>
              </w:rPr>
            </w:pPr>
            <w:r w:rsidRPr="00646254">
              <w:rPr>
                <w:color w:val="002060"/>
                <w:sz w:val="18"/>
                <w:lang w:val="sr-Cyrl-CS"/>
              </w:rPr>
              <w:t>-3,9</w:t>
            </w:r>
          </w:p>
        </w:tc>
        <w:tc>
          <w:tcPr>
            <w:tcW w:w="604" w:type="pct"/>
            <w:tcBorders>
              <w:top w:val="nil"/>
              <w:left w:val="nil"/>
              <w:bottom w:val="nil"/>
              <w:right w:val="nil"/>
            </w:tcBorders>
            <w:shd w:val="clear" w:color="000000" w:fill="FFFFFF"/>
            <w:noWrap/>
            <w:vAlign w:val="center"/>
          </w:tcPr>
          <w:p w14:paraId="59939BA7" w14:textId="77777777" w:rsidR="002A6CF0" w:rsidRPr="00646254" w:rsidRDefault="002A6CF0" w:rsidP="00426178">
            <w:pPr>
              <w:jc w:val="center"/>
              <w:rPr>
                <w:color w:val="002060"/>
                <w:sz w:val="18"/>
                <w:lang w:val="sr-Cyrl-CS"/>
              </w:rPr>
            </w:pPr>
            <w:r w:rsidRPr="00646254">
              <w:rPr>
                <w:color w:val="002060"/>
                <w:sz w:val="18"/>
                <w:lang w:val="sr-Cyrl-CS"/>
              </w:rPr>
              <w:t>-4,2</w:t>
            </w:r>
          </w:p>
        </w:tc>
        <w:tc>
          <w:tcPr>
            <w:tcW w:w="603" w:type="pct"/>
            <w:tcBorders>
              <w:top w:val="nil"/>
              <w:left w:val="nil"/>
              <w:bottom w:val="nil"/>
              <w:right w:val="nil"/>
            </w:tcBorders>
            <w:shd w:val="clear" w:color="000000" w:fill="FFFFFF"/>
            <w:noWrap/>
            <w:vAlign w:val="center"/>
          </w:tcPr>
          <w:p w14:paraId="0EC7308F" w14:textId="77777777" w:rsidR="002A6CF0" w:rsidRPr="00646254" w:rsidRDefault="002A6CF0" w:rsidP="00426178">
            <w:pPr>
              <w:jc w:val="center"/>
              <w:rPr>
                <w:color w:val="002060"/>
                <w:sz w:val="18"/>
                <w:lang w:val="sr-Cyrl-CS"/>
              </w:rPr>
            </w:pPr>
            <w:r w:rsidRPr="00646254">
              <w:rPr>
                <w:color w:val="002060"/>
                <w:sz w:val="18"/>
                <w:lang w:val="sr-Cyrl-CS"/>
              </w:rPr>
              <w:t>-4,1</w:t>
            </w:r>
          </w:p>
        </w:tc>
        <w:tc>
          <w:tcPr>
            <w:tcW w:w="600" w:type="pct"/>
            <w:tcBorders>
              <w:top w:val="nil"/>
              <w:left w:val="nil"/>
              <w:bottom w:val="nil"/>
              <w:right w:val="nil"/>
            </w:tcBorders>
            <w:shd w:val="clear" w:color="000000" w:fill="FFFFFF"/>
            <w:noWrap/>
            <w:vAlign w:val="center"/>
          </w:tcPr>
          <w:p w14:paraId="0A9E9E17" w14:textId="77777777" w:rsidR="002A6CF0" w:rsidRPr="00646254" w:rsidRDefault="002A6CF0" w:rsidP="00426178">
            <w:pPr>
              <w:jc w:val="center"/>
              <w:rPr>
                <w:color w:val="002060"/>
                <w:sz w:val="18"/>
                <w:lang w:val="sr-Cyrl-CS"/>
              </w:rPr>
            </w:pPr>
            <w:r w:rsidRPr="00646254">
              <w:rPr>
                <w:color w:val="002060"/>
                <w:sz w:val="18"/>
                <w:lang w:val="sr-Cyrl-CS"/>
              </w:rPr>
              <w:t>-3,9</w:t>
            </w:r>
          </w:p>
        </w:tc>
      </w:tr>
      <w:tr w:rsidR="002A6CF0" w:rsidRPr="00646254" w14:paraId="553014AD" w14:textId="77777777" w:rsidTr="00426178">
        <w:trPr>
          <w:trHeight w:val="283"/>
          <w:jc w:val="center"/>
        </w:trPr>
        <w:tc>
          <w:tcPr>
            <w:tcW w:w="2590" w:type="pct"/>
            <w:shd w:val="clear" w:color="auto" w:fill="E7E6E6" w:themeFill="background2"/>
            <w:noWrap/>
            <w:vAlign w:val="center"/>
            <w:hideMark/>
          </w:tcPr>
          <w:p w14:paraId="2B811BFB" w14:textId="77777777" w:rsidR="002A6CF0" w:rsidRPr="00646254" w:rsidRDefault="002A6CF0" w:rsidP="00426178">
            <w:pPr>
              <w:jc w:val="left"/>
              <w:rPr>
                <w:rFonts w:eastAsia="Calibri" w:cstheme="minorHAnsi"/>
                <w:bCs/>
                <w:iCs/>
                <w:color w:val="002060"/>
                <w:sz w:val="18"/>
                <w:szCs w:val="18"/>
                <w:lang w:val="sr-Cyrl-CS"/>
              </w:rPr>
            </w:pPr>
            <w:r w:rsidRPr="00646254">
              <w:rPr>
                <w:rFonts w:eastAsia="Calibri" w:cstheme="minorHAnsi"/>
                <w:iCs/>
                <w:color w:val="002060"/>
                <w:sz w:val="18"/>
                <w:szCs w:val="18"/>
                <w:lang w:val="sr-Cyrl-CS"/>
              </w:rPr>
              <w:t>Фискални индикатори, % БДП</w:t>
            </w:r>
          </w:p>
        </w:tc>
        <w:tc>
          <w:tcPr>
            <w:tcW w:w="603" w:type="pct"/>
            <w:shd w:val="clear" w:color="auto" w:fill="E7E6E6" w:themeFill="background2"/>
            <w:noWrap/>
            <w:vAlign w:val="center"/>
          </w:tcPr>
          <w:p w14:paraId="131B2D01" w14:textId="77777777" w:rsidR="002A6CF0" w:rsidRPr="00646254" w:rsidRDefault="002A6CF0" w:rsidP="00426178">
            <w:pPr>
              <w:jc w:val="center"/>
              <w:rPr>
                <w:rFonts w:eastAsia="Calibri" w:cstheme="minorHAnsi"/>
                <w:iCs/>
                <w:color w:val="002060"/>
                <w:sz w:val="18"/>
                <w:szCs w:val="18"/>
                <w:lang w:val="sr-Cyrl-CS"/>
              </w:rPr>
            </w:pPr>
          </w:p>
        </w:tc>
        <w:tc>
          <w:tcPr>
            <w:tcW w:w="604" w:type="pct"/>
            <w:shd w:val="clear" w:color="auto" w:fill="E7E6E6" w:themeFill="background2"/>
            <w:noWrap/>
            <w:vAlign w:val="center"/>
          </w:tcPr>
          <w:p w14:paraId="149A280D" w14:textId="77777777" w:rsidR="002A6CF0" w:rsidRPr="00646254" w:rsidRDefault="002A6CF0" w:rsidP="00426178">
            <w:pPr>
              <w:jc w:val="center"/>
              <w:rPr>
                <w:rFonts w:eastAsia="Calibri" w:cstheme="minorHAnsi"/>
                <w:color w:val="002060"/>
                <w:sz w:val="18"/>
                <w:szCs w:val="18"/>
                <w:lang w:val="sr-Cyrl-CS"/>
              </w:rPr>
            </w:pPr>
          </w:p>
        </w:tc>
        <w:tc>
          <w:tcPr>
            <w:tcW w:w="603" w:type="pct"/>
            <w:shd w:val="clear" w:color="auto" w:fill="E7E6E6" w:themeFill="background2"/>
            <w:noWrap/>
            <w:vAlign w:val="center"/>
          </w:tcPr>
          <w:p w14:paraId="78FF4666" w14:textId="77777777" w:rsidR="002A6CF0" w:rsidRPr="00646254" w:rsidRDefault="002A6CF0" w:rsidP="00426178">
            <w:pPr>
              <w:jc w:val="center"/>
              <w:rPr>
                <w:rFonts w:eastAsia="Calibri" w:cstheme="minorHAnsi"/>
                <w:color w:val="002060"/>
                <w:sz w:val="18"/>
                <w:szCs w:val="18"/>
                <w:lang w:val="sr-Cyrl-CS"/>
              </w:rPr>
            </w:pPr>
          </w:p>
        </w:tc>
        <w:tc>
          <w:tcPr>
            <w:tcW w:w="600" w:type="pct"/>
            <w:shd w:val="clear" w:color="auto" w:fill="E7E6E6" w:themeFill="background2"/>
            <w:noWrap/>
            <w:vAlign w:val="center"/>
          </w:tcPr>
          <w:p w14:paraId="743CA26D" w14:textId="77777777" w:rsidR="002A6CF0" w:rsidRPr="00646254" w:rsidRDefault="002A6CF0" w:rsidP="00426178">
            <w:pPr>
              <w:jc w:val="center"/>
              <w:rPr>
                <w:rFonts w:eastAsia="Calibri" w:cstheme="minorHAnsi"/>
                <w:color w:val="002060"/>
                <w:sz w:val="18"/>
                <w:szCs w:val="18"/>
                <w:lang w:val="sr-Cyrl-CS"/>
              </w:rPr>
            </w:pPr>
          </w:p>
        </w:tc>
      </w:tr>
      <w:tr w:rsidR="002A6CF0" w:rsidRPr="00646254" w14:paraId="12F38E01" w14:textId="77777777" w:rsidTr="00426178">
        <w:trPr>
          <w:trHeight w:val="281"/>
          <w:jc w:val="center"/>
        </w:trPr>
        <w:tc>
          <w:tcPr>
            <w:tcW w:w="2590" w:type="pct"/>
            <w:noWrap/>
            <w:vAlign w:val="center"/>
            <w:hideMark/>
          </w:tcPr>
          <w:p w14:paraId="30960C09" w14:textId="77777777" w:rsidR="002A6CF0" w:rsidRPr="00646254" w:rsidRDefault="002A6CF0" w:rsidP="00426178">
            <w:pPr>
              <w:ind w:left="113"/>
              <w:jc w:val="left"/>
              <w:rPr>
                <w:rFonts w:eastAsia="Calibri" w:cstheme="minorHAnsi"/>
                <w:color w:val="002060"/>
                <w:sz w:val="18"/>
                <w:szCs w:val="18"/>
                <w:lang w:val="sr-Cyrl-CS"/>
              </w:rPr>
            </w:pPr>
            <w:r w:rsidRPr="00646254">
              <w:rPr>
                <w:rFonts w:eastAsia="Calibri" w:cstheme="minorHAnsi"/>
                <w:color w:val="002060"/>
                <w:sz w:val="18"/>
                <w:szCs w:val="18"/>
                <w:lang w:val="sr-Cyrl-CS"/>
              </w:rPr>
              <w:t>Фискални резултат опште државе</w:t>
            </w:r>
          </w:p>
        </w:tc>
        <w:tc>
          <w:tcPr>
            <w:tcW w:w="603" w:type="pct"/>
            <w:shd w:val="clear" w:color="auto" w:fill="auto"/>
            <w:noWrap/>
            <w:vAlign w:val="center"/>
          </w:tcPr>
          <w:p w14:paraId="07589149" w14:textId="77777777" w:rsidR="002A6CF0" w:rsidRPr="00646254" w:rsidRDefault="002A6CF0" w:rsidP="00426178">
            <w:pPr>
              <w:jc w:val="center"/>
              <w:rPr>
                <w:color w:val="002060"/>
                <w:sz w:val="18"/>
                <w:lang w:val="sr-Cyrl-CS"/>
              </w:rPr>
            </w:pPr>
            <w:r w:rsidRPr="00646254">
              <w:rPr>
                <w:rFonts w:cstheme="minorHAnsi"/>
                <w:color w:val="002060"/>
                <w:sz w:val="18"/>
                <w:szCs w:val="18"/>
                <w:lang w:val="sr-Cyrl-CS"/>
              </w:rPr>
              <w:t>-4,9</w:t>
            </w:r>
          </w:p>
        </w:tc>
        <w:tc>
          <w:tcPr>
            <w:tcW w:w="604" w:type="pct"/>
            <w:shd w:val="clear" w:color="auto" w:fill="auto"/>
            <w:noWrap/>
            <w:vAlign w:val="center"/>
          </w:tcPr>
          <w:p w14:paraId="6BCA5317" w14:textId="77777777" w:rsidR="002A6CF0" w:rsidRPr="00646254" w:rsidRDefault="002A6CF0" w:rsidP="00426178">
            <w:pPr>
              <w:jc w:val="center"/>
              <w:rPr>
                <w:color w:val="002060"/>
                <w:sz w:val="18"/>
                <w:lang w:val="sr-Cyrl-CS"/>
              </w:rPr>
            </w:pPr>
            <w:r w:rsidRPr="00646254">
              <w:rPr>
                <w:rFonts w:cstheme="minorHAnsi"/>
                <w:color w:val="002060"/>
                <w:sz w:val="18"/>
                <w:szCs w:val="18"/>
                <w:lang w:val="sr-Cyrl-CS"/>
              </w:rPr>
              <w:t>-3,0</w:t>
            </w:r>
          </w:p>
        </w:tc>
        <w:tc>
          <w:tcPr>
            <w:tcW w:w="603" w:type="pct"/>
            <w:shd w:val="clear" w:color="auto" w:fill="auto"/>
            <w:noWrap/>
            <w:vAlign w:val="center"/>
          </w:tcPr>
          <w:p w14:paraId="4BE294B0" w14:textId="77777777" w:rsidR="002A6CF0" w:rsidRPr="00646254" w:rsidRDefault="002A6CF0" w:rsidP="00426178">
            <w:pPr>
              <w:jc w:val="center"/>
              <w:rPr>
                <w:color w:val="002060"/>
                <w:sz w:val="18"/>
                <w:lang w:val="sr-Cyrl-CS"/>
              </w:rPr>
            </w:pPr>
            <w:r w:rsidRPr="00646254">
              <w:rPr>
                <w:rFonts w:cstheme="minorHAnsi"/>
                <w:color w:val="002060"/>
                <w:sz w:val="18"/>
                <w:szCs w:val="18"/>
                <w:lang w:val="sr-Cyrl-CS"/>
              </w:rPr>
              <w:t>-1,5</w:t>
            </w:r>
          </w:p>
        </w:tc>
        <w:tc>
          <w:tcPr>
            <w:tcW w:w="600" w:type="pct"/>
            <w:shd w:val="clear" w:color="auto" w:fill="auto"/>
            <w:noWrap/>
            <w:vAlign w:val="center"/>
          </w:tcPr>
          <w:p w14:paraId="4E6EFD2D" w14:textId="77777777" w:rsidR="002A6CF0" w:rsidRPr="00646254" w:rsidRDefault="002A6CF0" w:rsidP="00426178">
            <w:pPr>
              <w:jc w:val="center"/>
              <w:rPr>
                <w:rFonts w:eastAsia="Calibri" w:cstheme="minorHAnsi"/>
                <w:color w:val="002060"/>
                <w:sz w:val="18"/>
                <w:szCs w:val="18"/>
                <w:lang w:val="sr-Cyrl-CS"/>
              </w:rPr>
            </w:pPr>
            <w:r w:rsidRPr="00646254">
              <w:rPr>
                <w:rFonts w:cstheme="minorHAnsi"/>
                <w:color w:val="002060"/>
                <w:sz w:val="18"/>
                <w:szCs w:val="18"/>
                <w:lang w:val="sr-Cyrl-CS"/>
              </w:rPr>
              <w:t>-1,0</w:t>
            </w:r>
          </w:p>
        </w:tc>
      </w:tr>
      <w:tr w:rsidR="002A6CF0" w:rsidRPr="00646254" w14:paraId="61A46A3C" w14:textId="77777777" w:rsidTr="00426178">
        <w:trPr>
          <w:trHeight w:val="281"/>
          <w:jc w:val="center"/>
        </w:trPr>
        <w:tc>
          <w:tcPr>
            <w:tcW w:w="2590" w:type="pct"/>
            <w:noWrap/>
            <w:vAlign w:val="center"/>
            <w:hideMark/>
          </w:tcPr>
          <w:p w14:paraId="249B69FF" w14:textId="77777777" w:rsidR="002A6CF0" w:rsidRPr="00646254" w:rsidRDefault="002A6CF0" w:rsidP="00426178">
            <w:pPr>
              <w:ind w:left="113"/>
              <w:jc w:val="left"/>
              <w:rPr>
                <w:rFonts w:eastAsia="Calibri" w:cstheme="minorHAnsi"/>
                <w:color w:val="002060"/>
                <w:sz w:val="18"/>
                <w:szCs w:val="18"/>
                <w:lang w:val="sr-Cyrl-CS"/>
              </w:rPr>
            </w:pPr>
            <w:r w:rsidRPr="00646254">
              <w:rPr>
                <w:rFonts w:eastAsia="Calibri" w:cstheme="minorHAnsi"/>
                <w:color w:val="002060"/>
                <w:sz w:val="18"/>
                <w:szCs w:val="18"/>
                <w:lang w:val="sr-Cyrl-CS"/>
              </w:rPr>
              <w:t>Консолидовани приходи</w:t>
            </w:r>
          </w:p>
        </w:tc>
        <w:tc>
          <w:tcPr>
            <w:tcW w:w="603" w:type="pct"/>
            <w:shd w:val="clear" w:color="auto" w:fill="auto"/>
            <w:noWrap/>
            <w:vAlign w:val="center"/>
          </w:tcPr>
          <w:p w14:paraId="793E26DD" w14:textId="77777777" w:rsidR="002A6CF0" w:rsidRPr="00646254" w:rsidRDefault="002A6CF0" w:rsidP="00426178">
            <w:pPr>
              <w:jc w:val="center"/>
              <w:rPr>
                <w:color w:val="002060"/>
                <w:sz w:val="18"/>
                <w:lang w:val="sr-Cyrl-CS"/>
              </w:rPr>
            </w:pPr>
            <w:r w:rsidRPr="00646254">
              <w:rPr>
                <w:rFonts w:cstheme="minorHAnsi"/>
                <w:color w:val="002060"/>
                <w:sz w:val="18"/>
                <w:szCs w:val="18"/>
                <w:lang w:val="sr-Cyrl-CS"/>
              </w:rPr>
              <w:t>43,5</w:t>
            </w:r>
          </w:p>
        </w:tc>
        <w:tc>
          <w:tcPr>
            <w:tcW w:w="604" w:type="pct"/>
            <w:shd w:val="clear" w:color="auto" w:fill="auto"/>
            <w:noWrap/>
            <w:vAlign w:val="center"/>
          </w:tcPr>
          <w:p w14:paraId="6065D436" w14:textId="77777777" w:rsidR="002A6CF0" w:rsidRPr="00646254" w:rsidRDefault="002A6CF0" w:rsidP="00426178">
            <w:pPr>
              <w:jc w:val="center"/>
              <w:rPr>
                <w:color w:val="002060"/>
                <w:sz w:val="18"/>
                <w:lang w:val="sr-Cyrl-CS"/>
              </w:rPr>
            </w:pPr>
            <w:r w:rsidRPr="00646254">
              <w:rPr>
                <w:rFonts w:cstheme="minorHAnsi"/>
                <w:color w:val="002060"/>
                <w:sz w:val="18"/>
                <w:szCs w:val="18"/>
                <w:lang w:val="sr-Cyrl-CS"/>
              </w:rPr>
              <w:t>42,2</w:t>
            </w:r>
          </w:p>
        </w:tc>
        <w:tc>
          <w:tcPr>
            <w:tcW w:w="603" w:type="pct"/>
            <w:shd w:val="clear" w:color="auto" w:fill="auto"/>
            <w:noWrap/>
            <w:vAlign w:val="center"/>
          </w:tcPr>
          <w:p w14:paraId="3D8AF30F" w14:textId="77777777" w:rsidR="002A6CF0" w:rsidRPr="00646254" w:rsidRDefault="002A6CF0" w:rsidP="00426178">
            <w:pPr>
              <w:jc w:val="center"/>
              <w:rPr>
                <w:color w:val="002060"/>
                <w:sz w:val="18"/>
                <w:lang w:val="sr-Cyrl-CS"/>
              </w:rPr>
            </w:pPr>
            <w:r w:rsidRPr="00646254">
              <w:rPr>
                <w:color w:val="002060"/>
                <w:sz w:val="18"/>
                <w:lang w:val="sr-Cyrl-CS"/>
              </w:rPr>
              <w:t>41,4</w:t>
            </w:r>
          </w:p>
        </w:tc>
        <w:tc>
          <w:tcPr>
            <w:tcW w:w="600" w:type="pct"/>
            <w:shd w:val="clear" w:color="auto" w:fill="auto"/>
            <w:noWrap/>
            <w:vAlign w:val="center"/>
          </w:tcPr>
          <w:p w14:paraId="169B5F51" w14:textId="77777777" w:rsidR="002A6CF0" w:rsidRPr="00646254" w:rsidRDefault="002A6CF0" w:rsidP="00426178">
            <w:pPr>
              <w:jc w:val="center"/>
              <w:rPr>
                <w:rFonts w:eastAsia="Calibri" w:cstheme="minorHAnsi"/>
                <w:color w:val="002060"/>
                <w:sz w:val="18"/>
                <w:szCs w:val="18"/>
                <w:lang w:val="sr-Cyrl-CS"/>
              </w:rPr>
            </w:pPr>
            <w:r w:rsidRPr="00646254">
              <w:rPr>
                <w:rFonts w:eastAsia="Calibri" w:cstheme="minorHAnsi"/>
                <w:color w:val="002060"/>
                <w:sz w:val="18"/>
                <w:szCs w:val="18"/>
                <w:lang w:val="sr-Cyrl-CS"/>
              </w:rPr>
              <w:t>41,1</w:t>
            </w:r>
          </w:p>
        </w:tc>
      </w:tr>
      <w:tr w:rsidR="002A6CF0" w:rsidRPr="00646254" w14:paraId="59E671C1" w14:textId="77777777" w:rsidTr="00426178">
        <w:trPr>
          <w:trHeight w:val="281"/>
          <w:jc w:val="center"/>
        </w:trPr>
        <w:tc>
          <w:tcPr>
            <w:tcW w:w="2590" w:type="pct"/>
            <w:noWrap/>
            <w:vAlign w:val="center"/>
            <w:hideMark/>
          </w:tcPr>
          <w:p w14:paraId="7B8C6865" w14:textId="77777777" w:rsidR="002A6CF0" w:rsidRPr="00646254" w:rsidRDefault="002A6CF0" w:rsidP="00426178">
            <w:pPr>
              <w:ind w:left="113"/>
              <w:jc w:val="left"/>
              <w:rPr>
                <w:rFonts w:eastAsia="Calibri" w:cstheme="minorHAnsi"/>
                <w:color w:val="002060"/>
                <w:sz w:val="18"/>
                <w:szCs w:val="18"/>
                <w:lang w:val="sr-Cyrl-CS"/>
              </w:rPr>
            </w:pPr>
            <w:r w:rsidRPr="00646254">
              <w:rPr>
                <w:rFonts w:eastAsia="Calibri" w:cstheme="minorHAnsi"/>
                <w:color w:val="002060"/>
                <w:sz w:val="18"/>
                <w:szCs w:val="18"/>
                <w:lang w:val="sr-Cyrl-CS"/>
              </w:rPr>
              <w:t>Консолидовани расходи</w:t>
            </w:r>
          </w:p>
        </w:tc>
        <w:tc>
          <w:tcPr>
            <w:tcW w:w="603" w:type="pct"/>
            <w:shd w:val="clear" w:color="auto" w:fill="auto"/>
            <w:noWrap/>
            <w:vAlign w:val="center"/>
          </w:tcPr>
          <w:p w14:paraId="548DDA69" w14:textId="77777777" w:rsidR="002A6CF0" w:rsidRPr="00646254" w:rsidRDefault="002A6CF0" w:rsidP="00426178">
            <w:pPr>
              <w:jc w:val="center"/>
              <w:rPr>
                <w:color w:val="002060"/>
                <w:sz w:val="18"/>
                <w:lang w:val="sr-Cyrl-CS"/>
              </w:rPr>
            </w:pPr>
            <w:r w:rsidRPr="00646254">
              <w:rPr>
                <w:color w:val="002060"/>
                <w:sz w:val="18"/>
                <w:lang w:val="sr-Cyrl-CS"/>
              </w:rPr>
              <w:t>48,4</w:t>
            </w:r>
          </w:p>
        </w:tc>
        <w:tc>
          <w:tcPr>
            <w:tcW w:w="604" w:type="pct"/>
            <w:shd w:val="clear" w:color="auto" w:fill="auto"/>
            <w:noWrap/>
            <w:vAlign w:val="center"/>
          </w:tcPr>
          <w:p w14:paraId="6100C163" w14:textId="77777777" w:rsidR="002A6CF0" w:rsidRPr="00646254" w:rsidRDefault="002A6CF0" w:rsidP="00426178">
            <w:pPr>
              <w:jc w:val="center"/>
              <w:rPr>
                <w:color w:val="002060"/>
                <w:sz w:val="18"/>
                <w:lang w:val="sr-Cyrl-CS"/>
              </w:rPr>
            </w:pPr>
            <w:r w:rsidRPr="00646254">
              <w:rPr>
                <w:color w:val="002060"/>
                <w:sz w:val="18"/>
                <w:lang w:val="sr-Cyrl-CS"/>
              </w:rPr>
              <w:t>45,3</w:t>
            </w:r>
          </w:p>
        </w:tc>
        <w:tc>
          <w:tcPr>
            <w:tcW w:w="603" w:type="pct"/>
            <w:shd w:val="clear" w:color="auto" w:fill="auto"/>
            <w:noWrap/>
            <w:vAlign w:val="center"/>
          </w:tcPr>
          <w:p w14:paraId="7507EB99" w14:textId="57E8DCA3" w:rsidR="002A6CF0" w:rsidRPr="00646254" w:rsidRDefault="009C4F59" w:rsidP="00426178">
            <w:pPr>
              <w:jc w:val="center"/>
              <w:rPr>
                <w:color w:val="002060"/>
                <w:sz w:val="18"/>
                <w:lang w:val="sr-Cyrl-CS"/>
              </w:rPr>
            </w:pPr>
            <w:r w:rsidRPr="00646254">
              <w:rPr>
                <w:color w:val="002060"/>
                <w:sz w:val="18"/>
                <w:lang w:val="sr-Cyrl-CS"/>
              </w:rPr>
              <w:t>42,9</w:t>
            </w:r>
          </w:p>
        </w:tc>
        <w:tc>
          <w:tcPr>
            <w:tcW w:w="600" w:type="pct"/>
            <w:shd w:val="clear" w:color="auto" w:fill="auto"/>
            <w:noWrap/>
            <w:vAlign w:val="center"/>
          </w:tcPr>
          <w:p w14:paraId="4BE6375B" w14:textId="77777777" w:rsidR="002A6CF0" w:rsidRPr="00646254" w:rsidRDefault="002A6CF0" w:rsidP="00426178">
            <w:pPr>
              <w:jc w:val="center"/>
              <w:rPr>
                <w:rFonts w:eastAsia="Calibri" w:cstheme="minorHAnsi"/>
                <w:color w:val="002060"/>
                <w:sz w:val="18"/>
                <w:szCs w:val="18"/>
                <w:lang w:val="sr-Cyrl-CS"/>
              </w:rPr>
            </w:pPr>
            <w:r w:rsidRPr="00646254">
              <w:rPr>
                <w:rFonts w:eastAsia="Calibri" w:cstheme="minorHAnsi"/>
                <w:color w:val="002060"/>
                <w:sz w:val="18"/>
                <w:szCs w:val="18"/>
                <w:lang w:val="sr-Cyrl-CS"/>
              </w:rPr>
              <w:t>42,1</w:t>
            </w:r>
          </w:p>
        </w:tc>
      </w:tr>
      <w:tr w:rsidR="002A6CF0" w:rsidRPr="00646254" w14:paraId="5DE4613E" w14:textId="77777777" w:rsidTr="00426178">
        <w:trPr>
          <w:trHeight w:val="281"/>
          <w:jc w:val="center"/>
        </w:trPr>
        <w:tc>
          <w:tcPr>
            <w:tcW w:w="2590" w:type="pct"/>
            <w:tcBorders>
              <w:bottom w:val="single" w:sz="4" w:space="0" w:color="002060"/>
            </w:tcBorders>
            <w:noWrap/>
            <w:vAlign w:val="center"/>
            <w:hideMark/>
          </w:tcPr>
          <w:p w14:paraId="78A6CED4" w14:textId="77777777" w:rsidR="002A6CF0" w:rsidRPr="00646254" w:rsidRDefault="002A6CF0" w:rsidP="00426178">
            <w:pPr>
              <w:ind w:left="113"/>
              <w:jc w:val="left"/>
              <w:rPr>
                <w:rFonts w:eastAsia="Calibri" w:cstheme="minorHAnsi"/>
                <w:bCs/>
                <w:color w:val="002060"/>
                <w:sz w:val="18"/>
                <w:szCs w:val="18"/>
                <w:lang w:val="sr-Cyrl-CS"/>
              </w:rPr>
            </w:pPr>
            <w:r w:rsidRPr="00646254">
              <w:rPr>
                <w:rFonts w:eastAsia="Calibri" w:cstheme="minorHAnsi"/>
                <w:color w:val="002060"/>
                <w:sz w:val="18"/>
                <w:szCs w:val="18"/>
                <w:lang w:val="sr-Cyrl-CS"/>
              </w:rPr>
              <w:t>Бруто дуг сектора опште државе</w:t>
            </w:r>
          </w:p>
        </w:tc>
        <w:tc>
          <w:tcPr>
            <w:tcW w:w="603" w:type="pct"/>
            <w:tcBorders>
              <w:bottom w:val="single" w:sz="4" w:space="0" w:color="auto"/>
            </w:tcBorders>
            <w:shd w:val="clear" w:color="auto" w:fill="auto"/>
            <w:noWrap/>
            <w:vAlign w:val="center"/>
          </w:tcPr>
          <w:p w14:paraId="3259936D" w14:textId="77777777" w:rsidR="002A6CF0" w:rsidRPr="00646254" w:rsidRDefault="002A6CF0" w:rsidP="00426178">
            <w:pPr>
              <w:jc w:val="center"/>
              <w:rPr>
                <w:rFonts w:eastAsia="Calibri" w:cstheme="minorHAnsi"/>
                <w:color w:val="002060"/>
                <w:sz w:val="18"/>
                <w:szCs w:val="18"/>
                <w:lang w:val="sr-Cyrl-CS"/>
              </w:rPr>
            </w:pPr>
            <w:r w:rsidRPr="00646254">
              <w:rPr>
                <w:rFonts w:eastAsia="Calibri" w:cstheme="minorHAnsi"/>
                <w:color w:val="002060"/>
                <w:sz w:val="18"/>
                <w:szCs w:val="18"/>
                <w:lang w:val="sr-Cyrl-CS"/>
              </w:rPr>
              <w:t>58,2</w:t>
            </w:r>
          </w:p>
        </w:tc>
        <w:tc>
          <w:tcPr>
            <w:tcW w:w="604" w:type="pct"/>
            <w:tcBorders>
              <w:bottom w:val="single" w:sz="4" w:space="0" w:color="auto"/>
            </w:tcBorders>
            <w:shd w:val="clear" w:color="auto" w:fill="auto"/>
            <w:noWrap/>
            <w:vAlign w:val="center"/>
          </w:tcPr>
          <w:p w14:paraId="3179928B" w14:textId="77777777" w:rsidR="002A6CF0" w:rsidRPr="00646254" w:rsidRDefault="002A6CF0" w:rsidP="00426178">
            <w:pPr>
              <w:jc w:val="center"/>
              <w:rPr>
                <w:rFonts w:eastAsia="Calibri" w:cstheme="minorHAnsi"/>
                <w:color w:val="002060"/>
                <w:sz w:val="18"/>
                <w:szCs w:val="18"/>
                <w:lang w:val="sr-Cyrl-CS"/>
              </w:rPr>
            </w:pPr>
            <w:r w:rsidRPr="00646254">
              <w:rPr>
                <w:rFonts w:eastAsia="Calibri" w:cstheme="minorHAnsi"/>
                <w:color w:val="002060"/>
                <w:sz w:val="18"/>
                <w:szCs w:val="18"/>
                <w:lang w:val="sr-Cyrl-CS"/>
              </w:rPr>
              <w:t>56,5</w:t>
            </w:r>
          </w:p>
        </w:tc>
        <w:tc>
          <w:tcPr>
            <w:tcW w:w="603" w:type="pct"/>
            <w:tcBorders>
              <w:bottom w:val="single" w:sz="4" w:space="0" w:color="auto"/>
            </w:tcBorders>
            <w:shd w:val="clear" w:color="auto" w:fill="auto"/>
            <w:noWrap/>
            <w:vAlign w:val="center"/>
          </w:tcPr>
          <w:p w14:paraId="1FF79F16" w14:textId="77777777" w:rsidR="002A6CF0" w:rsidRPr="00646254" w:rsidRDefault="002A6CF0" w:rsidP="00426178">
            <w:pPr>
              <w:jc w:val="center"/>
              <w:rPr>
                <w:rFonts w:eastAsia="Calibri" w:cstheme="minorHAnsi"/>
                <w:color w:val="002060"/>
                <w:sz w:val="18"/>
                <w:szCs w:val="18"/>
                <w:lang w:val="sr-Cyrl-CS"/>
              </w:rPr>
            </w:pPr>
            <w:r w:rsidRPr="00646254">
              <w:rPr>
                <w:rFonts w:eastAsia="Calibri" w:cstheme="minorHAnsi"/>
                <w:color w:val="002060"/>
                <w:sz w:val="18"/>
                <w:szCs w:val="18"/>
                <w:lang w:val="sr-Cyrl-CS"/>
              </w:rPr>
              <w:t>55,3</w:t>
            </w:r>
          </w:p>
        </w:tc>
        <w:tc>
          <w:tcPr>
            <w:tcW w:w="600" w:type="pct"/>
            <w:tcBorders>
              <w:bottom w:val="single" w:sz="4" w:space="0" w:color="auto"/>
            </w:tcBorders>
            <w:shd w:val="clear" w:color="auto" w:fill="auto"/>
            <w:noWrap/>
            <w:vAlign w:val="center"/>
          </w:tcPr>
          <w:p w14:paraId="799ED87E" w14:textId="77777777" w:rsidR="002A6CF0" w:rsidRPr="00646254" w:rsidRDefault="002A6CF0" w:rsidP="00426178">
            <w:pPr>
              <w:jc w:val="center"/>
              <w:rPr>
                <w:rFonts w:eastAsia="Calibri" w:cstheme="minorHAnsi"/>
                <w:color w:val="002060"/>
                <w:sz w:val="18"/>
                <w:szCs w:val="18"/>
                <w:lang w:val="sr-Cyrl-CS"/>
              </w:rPr>
            </w:pPr>
            <w:r w:rsidRPr="00646254">
              <w:rPr>
                <w:rFonts w:eastAsia="Calibri" w:cstheme="minorHAnsi"/>
                <w:color w:val="002060"/>
                <w:sz w:val="18"/>
                <w:szCs w:val="18"/>
                <w:lang w:val="sr-Cyrl-CS"/>
              </w:rPr>
              <w:t>53,8</w:t>
            </w:r>
          </w:p>
        </w:tc>
      </w:tr>
      <w:bookmarkEnd w:id="53"/>
      <w:bookmarkEnd w:id="54"/>
    </w:tbl>
    <w:p w14:paraId="57EC7180" w14:textId="0DA28504" w:rsidR="00D505DF" w:rsidRPr="00646254" w:rsidRDefault="00D505DF" w:rsidP="00D751D5">
      <w:pPr>
        <w:jc w:val="left"/>
        <w:rPr>
          <w:rFonts w:cstheme="minorHAnsi"/>
          <w:sz w:val="16"/>
          <w:szCs w:val="16"/>
          <w:lang w:val="sr-Cyrl-CS"/>
        </w:rPr>
      </w:pPr>
    </w:p>
    <w:p w14:paraId="4354D145" w14:textId="3226E57F" w:rsidR="00D505DF" w:rsidRPr="00646254" w:rsidRDefault="00D505DF" w:rsidP="00D751D5">
      <w:pPr>
        <w:jc w:val="left"/>
        <w:rPr>
          <w:rFonts w:cstheme="minorHAnsi"/>
          <w:sz w:val="16"/>
          <w:szCs w:val="16"/>
          <w:lang w:val="sr-Cyrl-CS"/>
        </w:rPr>
        <w:sectPr w:rsidR="00D505DF" w:rsidRPr="00646254" w:rsidSect="001A0255">
          <w:footerReference w:type="default" r:id="rId199"/>
          <w:pgSz w:w="12240" w:h="15840" w:code="1"/>
          <w:pgMar w:top="1440" w:right="1440" w:bottom="1440" w:left="1440" w:header="720" w:footer="720" w:gutter="0"/>
          <w:cols w:space="720"/>
          <w:docGrid w:linePitch="360"/>
        </w:sectPr>
      </w:pPr>
    </w:p>
    <w:p w14:paraId="66599656" w14:textId="77777777" w:rsidR="00960AC3" w:rsidRPr="00646254" w:rsidRDefault="00960AC3" w:rsidP="00BC5D24">
      <w:pPr>
        <w:spacing w:after="0"/>
        <w:ind w:left="567"/>
        <w:rPr>
          <w:color w:val="2F5496" w:themeColor="accent1" w:themeShade="BF"/>
          <w:sz w:val="14"/>
          <w:szCs w:val="26"/>
          <w:lang w:val="sr-Cyrl-CS"/>
        </w:rPr>
      </w:pPr>
    </w:p>
    <w:p w14:paraId="15E95F20" w14:textId="77777777" w:rsidR="00960AC3" w:rsidRPr="00646254" w:rsidRDefault="00960AC3" w:rsidP="00BC5D24">
      <w:pPr>
        <w:keepNext/>
        <w:keepLines/>
        <w:spacing w:before="40"/>
        <w:outlineLvl w:val="0"/>
        <w:rPr>
          <w:rFonts w:eastAsiaTheme="majorEastAsia" w:cstheme="minorHAnsi"/>
          <w:color w:val="002060"/>
          <w:sz w:val="24"/>
          <w:szCs w:val="26"/>
          <w:lang w:val="sr-Cyrl-CS"/>
        </w:rPr>
      </w:pPr>
      <w:bookmarkStart w:id="56" w:name="_Toc72394589"/>
      <w:bookmarkStart w:id="57" w:name="_Toc86650483"/>
      <w:r w:rsidRPr="00646254">
        <w:rPr>
          <w:rFonts w:eastAsiaTheme="majorEastAsia" w:cstheme="minorHAnsi"/>
          <w:color w:val="002060"/>
          <w:sz w:val="24"/>
          <w:szCs w:val="26"/>
          <w:lang w:val="sr-Cyrl-CS"/>
        </w:rPr>
        <w:t>Прилог 2 – Фискални оквир опште државе у 2022. години</w:t>
      </w:r>
      <w:bookmarkEnd w:id="56"/>
      <w:bookmarkEnd w:id="57"/>
    </w:p>
    <w:tbl>
      <w:tblPr>
        <w:tblStyle w:val="ListTable1Light-Accent3"/>
        <w:tblW w:w="14458" w:type="dxa"/>
        <w:tblLook w:val="04A0" w:firstRow="1" w:lastRow="0" w:firstColumn="1" w:lastColumn="0" w:noHBand="0" w:noVBand="1"/>
      </w:tblPr>
      <w:tblGrid>
        <w:gridCol w:w="2875"/>
        <w:gridCol w:w="1028"/>
        <w:gridCol w:w="1028"/>
        <w:gridCol w:w="1042"/>
        <w:gridCol w:w="1007"/>
        <w:gridCol w:w="1076"/>
        <w:gridCol w:w="1022"/>
        <w:gridCol w:w="1076"/>
        <w:gridCol w:w="1076"/>
        <w:gridCol w:w="1076"/>
        <w:gridCol w:w="1076"/>
        <w:gridCol w:w="1076"/>
      </w:tblGrid>
      <w:tr w:rsidR="00960AC3" w:rsidRPr="00646254" w14:paraId="559AE0F3" w14:textId="77777777" w:rsidTr="00960AC3">
        <w:trPr>
          <w:cnfStyle w:val="100000000000" w:firstRow="1" w:lastRow="0" w:firstColumn="0" w:lastColumn="0" w:oddVBand="0" w:evenVBand="0" w:oddHBand="0" w:evenHBand="0" w:firstRowFirstColumn="0" w:firstRowLastColumn="0" w:lastRowFirstColumn="0" w:lastRowLastColumn="0"/>
          <w:trHeight w:val="687"/>
        </w:trPr>
        <w:tc>
          <w:tcPr>
            <w:cnfStyle w:val="001000000000" w:firstRow="0" w:lastRow="0" w:firstColumn="1" w:lastColumn="0" w:oddVBand="0" w:evenVBand="0" w:oddHBand="0" w:evenHBand="0" w:firstRowFirstColumn="0" w:firstRowLastColumn="0" w:lastRowFirstColumn="0" w:lastRowLastColumn="0"/>
            <w:tcW w:w="2875" w:type="dxa"/>
            <w:tcBorders>
              <w:top w:val="single" w:sz="4" w:space="0" w:color="auto"/>
              <w:bottom w:val="single" w:sz="4" w:space="0" w:color="auto"/>
            </w:tcBorders>
            <w:noWrap/>
            <w:hideMark/>
          </w:tcPr>
          <w:p w14:paraId="34F30819" w14:textId="77777777" w:rsidR="00960AC3" w:rsidRPr="00646254" w:rsidRDefault="00960AC3" w:rsidP="00BC5D24">
            <w:pPr>
              <w:tabs>
                <w:tab w:val="center" w:pos="4680"/>
                <w:tab w:val="right" w:pos="9360"/>
              </w:tabs>
              <w:rPr>
                <w:rFonts w:ascii="Calibri" w:hAnsi="Calibri" w:cs="Calibri"/>
                <w:color w:val="002060"/>
                <w:sz w:val="14"/>
                <w:szCs w:val="14"/>
                <w:lang w:val="sr-Cyrl-CS"/>
              </w:rPr>
            </w:pPr>
            <w:r w:rsidRPr="00646254">
              <w:rPr>
                <w:rFonts w:ascii="Calibri" w:hAnsi="Calibri" w:cs="Calibri"/>
                <w:color w:val="002060"/>
                <w:sz w:val="14"/>
                <w:szCs w:val="14"/>
                <w:lang w:val="sr-Cyrl-CS"/>
              </w:rPr>
              <w:t> </w:t>
            </w:r>
          </w:p>
        </w:tc>
        <w:tc>
          <w:tcPr>
            <w:tcW w:w="1028" w:type="dxa"/>
            <w:tcBorders>
              <w:top w:val="single" w:sz="4" w:space="0" w:color="auto"/>
              <w:bottom w:val="single" w:sz="4" w:space="0" w:color="auto"/>
            </w:tcBorders>
            <w:vAlign w:val="center"/>
            <w:hideMark/>
          </w:tcPr>
          <w:p w14:paraId="6A8A66C5" w14:textId="105E4DCD" w:rsidR="00960AC3" w:rsidRPr="00646254" w:rsidRDefault="00960AC3" w:rsidP="00960AC3">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color w:val="002060"/>
                <w:sz w:val="14"/>
                <w:szCs w:val="14"/>
                <w:lang w:val="sr-Cyrl-CS"/>
              </w:rPr>
            </w:pPr>
            <w:r w:rsidRPr="00646254">
              <w:rPr>
                <w:rFonts w:ascii="Calibri" w:hAnsi="Calibri" w:cs="Calibri"/>
                <w:b w:val="0"/>
                <w:color w:val="002060"/>
                <w:sz w:val="14"/>
                <w:szCs w:val="14"/>
                <w:lang w:val="sr-Cyrl-CS"/>
              </w:rPr>
              <w:t>Општа држава*</w:t>
            </w:r>
          </w:p>
        </w:tc>
        <w:tc>
          <w:tcPr>
            <w:tcW w:w="1028" w:type="dxa"/>
            <w:tcBorders>
              <w:top w:val="single" w:sz="4" w:space="0" w:color="auto"/>
              <w:bottom w:val="single" w:sz="4" w:space="0" w:color="auto"/>
            </w:tcBorders>
            <w:vAlign w:val="center"/>
            <w:hideMark/>
          </w:tcPr>
          <w:p w14:paraId="5A957C8A" w14:textId="77777777" w:rsidR="00960AC3" w:rsidRPr="00646254" w:rsidRDefault="00960AC3" w:rsidP="00960AC3">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color w:val="002060"/>
                <w:sz w:val="14"/>
                <w:szCs w:val="14"/>
                <w:lang w:val="sr-Cyrl-CS"/>
              </w:rPr>
            </w:pPr>
            <w:r w:rsidRPr="00646254">
              <w:rPr>
                <w:rFonts w:ascii="Calibri" w:hAnsi="Calibri" w:cs="Calibri"/>
                <w:b w:val="0"/>
                <w:color w:val="002060"/>
                <w:sz w:val="14"/>
                <w:szCs w:val="14"/>
                <w:lang w:val="sr-Cyrl-CS"/>
              </w:rPr>
              <w:t>Буџет Републике</w:t>
            </w:r>
          </w:p>
        </w:tc>
        <w:tc>
          <w:tcPr>
            <w:tcW w:w="1042" w:type="dxa"/>
            <w:tcBorders>
              <w:top w:val="single" w:sz="4" w:space="0" w:color="auto"/>
              <w:bottom w:val="single" w:sz="4" w:space="0" w:color="auto"/>
            </w:tcBorders>
            <w:vAlign w:val="center"/>
            <w:hideMark/>
          </w:tcPr>
          <w:p w14:paraId="33D7A655" w14:textId="77777777" w:rsidR="00960AC3" w:rsidRPr="00646254" w:rsidRDefault="00960AC3" w:rsidP="00960AC3">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color w:val="002060"/>
                <w:sz w:val="14"/>
                <w:szCs w:val="14"/>
                <w:lang w:val="sr-Cyrl-CS"/>
              </w:rPr>
            </w:pPr>
            <w:r w:rsidRPr="00646254">
              <w:rPr>
                <w:rFonts w:ascii="Calibri" w:hAnsi="Calibri" w:cs="Calibri"/>
                <w:b w:val="0"/>
                <w:color w:val="002060"/>
                <w:sz w:val="14"/>
                <w:szCs w:val="14"/>
                <w:lang w:val="sr-Cyrl-CS"/>
              </w:rPr>
              <w:t>Јединице локалне самоуправе</w:t>
            </w:r>
          </w:p>
        </w:tc>
        <w:tc>
          <w:tcPr>
            <w:tcW w:w="1007" w:type="dxa"/>
            <w:tcBorders>
              <w:top w:val="single" w:sz="4" w:space="0" w:color="auto"/>
              <w:bottom w:val="single" w:sz="4" w:space="0" w:color="auto"/>
            </w:tcBorders>
            <w:vAlign w:val="center"/>
            <w:hideMark/>
          </w:tcPr>
          <w:p w14:paraId="7314C971" w14:textId="77777777" w:rsidR="00960AC3" w:rsidRPr="00646254" w:rsidRDefault="00960AC3" w:rsidP="00960AC3">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color w:val="002060"/>
                <w:sz w:val="14"/>
                <w:szCs w:val="14"/>
                <w:lang w:val="sr-Cyrl-CS"/>
              </w:rPr>
            </w:pPr>
            <w:r w:rsidRPr="00646254">
              <w:rPr>
                <w:rFonts w:ascii="Calibri" w:hAnsi="Calibri" w:cs="Calibri"/>
                <w:b w:val="0"/>
                <w:color w:val="002060"/>
                <w:sz w:val="14"/>
                <w:szCs w:val="14"/>
                <w:lang w:val="sr-Cyrl-CS"/>
              </w:rPr>
              <w:t>Градови и општине</w:t>
            </w:r>
          </w:p>
        </w:tc>
        <w:tc>
          <w:tcPr>
            <w:tcW w:w="1076" w:type="dxa"/>
            <w:tcBorders>
              <w:top w:val="single" w:sz="4" w:space="0" w:color="auto"/>
              <w:bottom w:val="single" w:sz="4" w:space="0" w:color="auto"/>
            </w:tcBorders>
            <w:noWrap/>
            <w:vAlign w:val="center"/>
            <w:hideMark/>
          </w:tcPr>
          <w:p w14:paraId="7F80E796" w14:textId="77777777" w:rsidR="00960AC3" w:rsidRPr="00646254" w:rsidRDefault="00960AC3" w:rsidP="00960AC3">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color w:val="002060"/>
                <w:sz w:val="14"/>
                <w:szCs w:val="14"/>
                <w:lang w:val="sr-Cyrl-CS"/>
              </w:rPr>
            </w:pPr>
            <w:r w:rsidRPr="00646254">
              <w:rPr>
                <w:rFonts w:ascii="Calibri" w:hAnsi="Calibri" w:cs="Calibri"/>
                <w:b w:val="0"/>
                <w:color w:val="002060"/>
                <w:sz w:val="14"/>
                <w:szCs w:val="14"/>
                <w:lang w:val="sr-Cyrl-CS"/>
              </w:rPr>
              <w:t>AП Војводина</w:t>
            </w:r>
          </w:p>
        </w:tc>
        <w:tc>
          <w:tcPr>
            <w:tcW w:w="1022" w:type="dxa"/>
            <w:tcBorders>
              <w:top w:val="single" w:sz="4" w:space="0" w:color="auto"/>
              <w:bottom w:val="single" w:sz="4" w:space="0" w:color="auto"/>
            </w:tcBorders>
            <w:vAlign w:val="center"/>
            <w:hideMark/>
          </w:tcPr>
          <w:p w14:paraId="0F41694B" w14:textId="77777777" w:rsidR="00960AC3" w:rsidRPr="00646254" w:rsidRDefault="00960AC3" w:rsidP="00960AC3">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color w:val="002060"/>
                <w:sz w:val="14"/>
                <w:szCs w:val="14"/>
                <w:lang w:val="sr-Cyrl-CS"/>
              </w:rPr>
            </w:pPr>
            <w:r w:rsidRPr="00646254">
              <w:rPr>
                <w:rFonts w:ascii="Calibri" w:hAnsi="Calibri" w:cs="Calibri"/>
                <w:b w:val="0"/>
                <w:color w:val="002060"/>
                <w:sz w:val="14"/>
                <w:szCs w:val="14"/>
                <w:lang w:val="sr-Cyrl-CS"/>
              </w:rPr>
              <w:t>ЈП „Путеви Србије” и Коридори Србије д.о.о.</w:t>
            </w:r>
          </w:p>
        </w:tc>
        <w:tc>
          <w:tcPr>
            <w:tcW w:w="1076" w:type="dxa"/>
            <w:tcBorders>
              <w:top w:val="single" w:sz="4" w:space="0" w:color="auto"/>
              <w:bottom w:val="single" w:sz="4" w:space="0" w:color="auto"/>
            </w:tcBorders>
            <w:noWrap/>
            <w:vAlign w:val="center"/>
            <w:hideMark/>
          </w:tcPr>
          <w:p w14:paraId="5B712934" w14:textId="77777777" w:rsidR="00960AC3" w:rsidRPr="00646254" w:rsidRDefault="00960AC3" w:rsidP="00960AC3">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color w:val="002060"/>
                <w:sz w:val="14"/>
                <w:szCs w:val="14"/>
                <w:lang w:val="sr-Cyrl-CS"/>
              </w:rPr>
            </w:pPr>
            <w:r w:rsidRPr="00646254">
              <w:rPr>
                <w:rFonts w:ascii="Calibri" w:hAnsi="Calibri" w:cs="Calibri"/>
                <w:b w:val="0"/>
                <w:color w:val="002060"/>
                <w:sz w:val="14"/>
                <w:szCs w:val="14"/>
                <w:lang w:val="sr-Cyrl-CS"/>
              </w:rPr>
              <w:t>ООСО</w:t>
            </w:r>
          </w:p>
        </w:tc>
        <w:tc>
          <w:tcPr>
            <w:tcW w:w="1076" w:type="dxa"/>
            <w:tcBorders>
              <w:top w:val="single" w:sz="4" w:space="0" w:color="auto"/>
              <w:bottom w:val="single" w:sz="4" w:space="0" w:color="auto"/>
            </w:tcBorders>
            <w:noWrap/>
            <w:vAlign w:val="center"/>
            <w:hideMark/>
          </w:tcPr>
          <w:p w14:paraId="1F468A42" w14:textId="77777777" w:rsidR="00960AC3" w:rsidRPr="00646254" w:rsidRDefault="00960AC3" w:rsidP="00960AC3">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color w:val="002060"/>
                <w:sz w:val="14"/>
                <w:szCs w:val="14"/>
                <w:lang w:val="sr-Cyrl-CS"/>
              </w:rPr>
            </w:pPr>
            <w:r w:rsidRPr="00646254">
              <w:rPr>
                <w:rFonts w:ascii="Calibri" w:hAnsi="Calibri" w:cs="Calibri"/>
                <w:b w:val="0"/>
                <w:color w:val="002060"/>
                <w:sz w:val="14"/>
                <w:szCs w:val="14"/>
                <w:lang w:val="sr-Cyrl-CS"/>
              </w:rPr>
              <w:t>Фонд ПИО</w:t>
            </w:r>
          </w:p>
        </w:tc>
        <w:tc>
          <w:tcPr>
            <w:tcW w:w="1076" w:type="dxa"/>
            <w:tcBorders>
              <w:top w:val="single" w:sz="4" w:space="0" w:color="auto"/>
              <w:bottom w:val="single" w:sz="4" w:space="0" w:color="auto"/>
            </w:tcBorders>
            <w:noWrap/>
            <w:vAlign w:val="center"/>
            <w:hideMark/>
          </w:tcPr>
          <w:p w14:paraId="7032BBB3" w14:textId="77777777" w:rsidR="00960AC3" w:rsidRPr="00646254" w:rsidRDefault="00960AC3" w:rsidP="00960AC3">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color w:val="002060"/>
                <w:sz w:val="14"/>
                <w:szCs w:val="14"/>
                <w:lang w:val="sr-Cyrl-CS"/>
              </w:rPr>
            </w:pPr>
            <w:r w:rsidRPr="00646254">
              <w:rPr>
                <w:rFonts w:ascii="Calibri" w:hAnsi="Calibri" w:cs="Calibri"/>
                <w:b w:val="0"/>
                <w:color w:val="002060"/>
                <w:sz w:val="14"/>
                <w:szCs w:val="14"/>
                <w:lang w:val="sr-Cyrl-CS"/>
              </w:rPr>
              <w:t>РФЗО</w:t>
            </w:r>
          </w:p>
        </w:tc>
        <w:tc>
          <w:tcPr>
            <w:tcW w:w="1076" w:type="dxa"/>
            <w:tcBorders>
              <w:top w:val="single" w:sz="4" w:space="0" w:color="auto"/>
              <w:bottom w:val="single" w:sz="4" w:space="0" w:color="auto"/>
            </w:tcBorders>
            <w:noWrap/>
            <w:vAlign w:val="center"/>
            <w:hideMark/>
          </w:tcPr>
          <w:p w14:paraId="6557A4EE" w14:textId="77777777" w:rsidR="00960AC3" w:rsidRPr="00646254" w:rsidRDefault="00960AC3" w:rsidP="00960AC3">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color w:val="002060"/>
                <w:sz w:val="14"/>
                <w:szCs w:val="14"/>
                <w:lang w:val="sr-Cyrl-CS"/>
              </w:rPr>
            </w:pPr>
            <w:r w:rsidRPr="00646254">
              <w:rPr>
                <w:rFonts w:ascii="Calibri" w:hAnsi="Calibri" w:cs="Calibri"/>
                <w:b w:val="0"/>
                <w:color w:val="002060"/>
                <w:sz w:val="14"/>
                <w:szCs w:val="14"/>
                <w:lang w:val="sr-Cyrl-CS"/>
              </w:rPr>
              <w:t>НСЗ</w:t>
            </w:r>
          </w:p>
        </w:tc>
        <w:tc>
          <w:tcPr>
            <w:tcW w:w="1076" w:type="dxa"/>
            <w:tcBorders>
              <w:top w:val="single" w:sz="4" w:space="0" w:color="auto"/>
              <w:bottom w:val="single" w:sz="4" w:space="0" w:color="auto"/>
            </w:tcBorders>
            <w:noWrap/>
            <w:vAlign w:val="center"/>
            <w:hideMark/>
          </w:tcPr>
          <w:p w14:paraId="6E5F35AB" w14:textId="77777777" w:rsidR="00960AC3" w:rsidRPr="00646254" w:rsidRDefault="00960AC3" w:rsidP="00960AC3">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color w:val="002060"/>
                <w:sz w:val="14"/>
                <w:szCs w:val="14"/>
                <w:lang w:val="sr-Cyrl-CS"/>
              </w:rPr>
            </w:pPr>
            <w:r w:rsidRPr="00646254">
              <w:rPr>
                <w:rFonts w:ascii="Calibri" w:hAnsi="Calibri" w:cs="Calibri"/>
                <w:b w:val="0"/>
                <w:color w:val="002060"/>
                <w:sz w:val="14"/>
                <w:szCs w:val="14"/>
                <w:lang w:val="sr-Cyrl-CS"/>
              </w:rPr>
              <w:t>Фонд СОВО</w:t>
            </w:r>
          </w:p>
        </w:tc>
      </w:tr>
      <w:tr w:rsidR="00960AC3" w:rsidRPr="00646254" w14:paraId="3CC35900" w14:textId="77777777" w:rsidTr="00BC5D24">
        <w:trPr>
          <w:cnfStyle w:val="000000100000" w:firstRow="0" w:lastRow="0" w:firstColumn="0" w:lastColumn="0" w:oddVBand="0" w:evenVBand="0" w:oddHBand="1" w:evenHBand="0" w:firstRowFirstColumn="0" w:firstRowLastColumn="0" w:lastRowFirstColumn="0" w:lastRowLastColumn="0"/>
          <w:trHeight w:val="222"/>
        </w:trPr>
        <w:tc>
          <w:tcPr>
            <w:cnfStyle w:val="001000000000" w:firstRow="0" w:lastRow="0" w:firstColumn="1" w:lastColumn="0" w:oddVBand="0" w:evenVBand="0" w:oddHBand="0" w:evenHBand="0" w:firstRowFirstColumn="0" w:firstRowLastColumn="0" w:lastRowFirstColumn="0" w:lastRowLastColumn="0"/>
            <w:tcW w:w="2875" w:type="dxa"/>
            <w:tcBorders>
              <w:top w:val="single" w:sz="4" w:space="0" w:color="auto"/>
              <w:bottom w:val="single" w:sz="4" w:space="0" w:color="auto"/>
            </w:tcBorders>
            <w:shd w:val="clear" w:color="auto" w:fill="auto"/>
            <w:noWrap/>
            <w:hideMark/>
          </w:tcPr>
          <w:p w14:paraId="31B49F9F" w14:textId="77777777" w:rsidR="00960AC3" w:rsidRPr="00646254" w:rsidRDefault="00960AC3" w:rsidP="00BC5D24">
            <w:pPr>
              <w:tabs>
                <w:tab w:val="center" w:pos="4680"/>
                <w:tab w:val="right" w:pos="9360"/>
              </w:tabs>
              <w:rPr>
                <w:rFonts w:ascii="Calibri" w:hAnsi="Calibri" w:cs="Calibri"/>
                <w:color w:val="002060"/>
                <w:sz w:val="14"/>
                <w:szCs w:val="14"/>
                <w:lang w:val="sr-Cyrl-CS"/>
              </w:rPr>
            </w:pPr>
            <w:r w:rsidRPr="00646254">
              <w:rPr>
                <w:rFonts w:ascii="Calibri" w:hAnsi="Calibri" w:cs="Calibri"/>
                <w:color w:val="002060"/>
                <w:sz w:val="14"/>
                <w:szCs w:val="14"/>
                <w:lang w:val="sr-Cyrl-CS"/>
              </w:rPr>
              <w:t> </w:t>
            </w:r>
          </w:p>
        </w:tc>
        <w:tc>
          <w:tcPr>
            <w:tcW w:w="1028" w:type="dxa"/>
            <w:tcBorders>
              <w:top w:val="single" w:sz="4" w:space="0" w:color="auto"/>
              <w:bottom w:val="single" w:sz="4" w:space="0" w:color="auto"/>
            </w:tcBorders>
            <w:shd w:val="clear" w:color="auto" w:fill="auto"/>
            <w:hideMark/>
          </w:tcPr>
          <w:p w14:paraId="795C6C54" w14:textId="77777777"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CS"/>
              </w:rPr>
            </w:pPr>
            <w:r w:rsidRPr="00646254">
              <w:rPr>
                <w:rFonts w:ascii="Calibri" w:hAnsi="Calibri" w:cs="Calibri"/>
                <w:color w:val="002060"/>
                <w:sz w:val="14"/>
                <w:szCs w:val="14"/>
                <w:lang w:val="sr-Cyrl-CS"/>
              </w:rPr>
              <w:t>1=2+3+6+7</w:t>
            </w:r>
          </w:p>
        </w:tc>
        <w:tc>
          <w:tcPr>
            <w:tcW w:w="1028" w:type="dxa"/>
            <w:tcBorders>
              <w:top w:val="single" w:sz="4" w:space="0" w:color="auto"/>
              <w:bottom w:val="single" w:sz="4" w:space="0" w:color="auto"/>
            </w:tcBorders>
            <w:shd w:val="clear" w:color="auto" w:fill="auto"/>
            <w:hideMark/>
          </w:tcPr>
          <w:p w14:paraId="69B4BCFD" w14:textId="77777777"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CS"/>
              </w:rPr>
            </w:pPr>
            <w:r w:rsidRPr="00646254">
              <w:rPr>
                <w:rFonts w:ascii="Calibri" w:hAnsi="Calibri" w:cs="Calibri"/>
                <w:color w:val="002060"/>
                <w:sz w:val="14"/>
                <w:szCs w:val="14"/>
                <w:lang w:val="sr-Cyrl-CS"/>
              </w:rPr>
              <w:t>2</w:t>
            </w:r>
          </w:p>
        </w:tc>
        <w:tc>
          <w:tcPr>
            <w:tcW w:w="1042" w:type="dxa"/>
            <w:tcBorders>
              <w:top w:val="single" w:sz="4" w:space="0" w:color="auto"/>
              <w:bottom w:val="single" w:sz="4" w:space="0" w:color="auto"/>
            </w:tcBorders>
            <w:shd w:val="clear" w:color="auto" w:fill="auto"/>
            <w:hideMark/>
          </w:tcPr>
          <w:p w14:paraId="55C31418" w14:textId="77777777"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CS"/>
              </w:rPr>
            </w:pPr>
            <w:r w:rsidRPr="00646254">
              <w:rPr>
                <w:rFonts w:ascii="Calibri" w:hAnsi="Calibri" w:cs="Calibri"/>
                <w:color w:val="002060"/>
                <w:sz w:val="14"/>
                <w:szCs w:val="14"/>
                <w:lang w:val="sr-Cyrl-CS"/>
              </w:rPr>
              <w:t>3=4+5</w:t>
            </w:r>
          </w:p>
        </w:tc>
        <w:tc>
          <w:tcPr>
            <w:tcW w:w="1007" w:type="dxa"/>
            <w:tcBorders>
              <w:top w:val="single" w:sz="4" w:space="0" w:color="auto"/>
              <w:bottom w:val="single" w:sz="4" w:space="0" w:color="auto"/>
            </w:tcBorders>
            <w:shd w:val="clear" w:color="auto" w:fill="auto"/>
            <w:hideMark/>
          </w:tcPr>
          <w:p w14:paraId="37E6C2EC" w14:textId="77777777"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CS"/>
              </w:rPr>
            </w:pPr>
            <w:r w:rsidRPr="00646254">
              <w:rPr>
                <w:rFonts w:ascii="Calibri" w:hAnsi="Calibri" w:cs="Calibri"/>
                <w:color w:val="002060"/>
                <w:sz w:val="14"/>
                <w:szCs w:val="14"/>
                <w:lang w:val="sr-Cyrl-CS"/>
              </w:rPr>
              <w:t>4</w:t>
            </w:r>
          </w:p>
        </w:tc>
        <w:tc>
          <w:tcPr>
            <w:tcW w:w="1076" w:type="dxa"/>
            <w:tcBorders>
              <w:top w:val="single" w:sz="4" w:space="0" w:color="auto"/>
              <w:bottom w:val="single" w:sz="4" w:space="0" w:color="auto"/>
            </w:tcBorders>
            <w:shd w:val="clear" w:color="auto" w:fill="auto"/>
            <w:noWrap/>
            <w:hideMark/>
          </w:tcPr>
          <w:p w14:paraId="2AD0A849" w14:textId="77777777"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CS"/>
              </w:rPr>
            </w:pPr>
            <w:r w:rsidRPr="00646254">
              <w:rPr>
                <w:rFonts w:ascii="Calibri" w:hAnsi="Calibri" w:cs="Calibri"/>
                <w:color w:val="002060"/>
                <w:sz w:val="14"/>
                <w:szCs w:val="14"/>
                <w:lang w:val="sr-Cyrl-CS"/>
              </w:rPr>
              <w:t>5</w:t>
            </w:r>
          </w:p>
        </w:tc>
        <w:tc>
          <w:tcPr>
            <w:tcW w:w="1022" w:type="dxa"/>
            <w:tcBorders>
              <w:top w:val="single" w:sz="4" w:space="0" w:color="auto"/>
              <w:bottom w:val="single" w:sz="4" w:space="0" w:color="auto"/>
            </w:tcBorders>
            <w:shd w:val="clear" w:color="auto" w:fill="auto"/>
            <w:noWrap/>
            <w:hideMark/>
          </w:tcPr>
          <w:p w14:paraId="21D4B61D" w14:textId="77777777"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CS"/>
              </w:rPr>
            </w:pPr>
            <w:r w:rsidRPr="00646254">
              <w:rPr>
                <w:rFonts w:ascii="Calibri" w:hAnsi="Calibri" w:cs="Calibri"/>
                <w:color w:val="002060"/>
                <w:sz w:val="14"/>
                <w:szCs w:val="14"/>
                <w:lang w:val="sr-Cyrl-CS"/>
              </w:rPr>
              <w:t>6</w:t>
            </w:r>
          </w:p>
        </w:tc>
        <w:tc>
          <w:tcPr>
            <w:tcW w:w="1076" w:type="dxa"/>
            <w:tcBorders>
              <w:top w:val="single" w:sz="4" w:space="0" w:color="auto"/>
              <w:bottom w:val="single" w:sz="4" w:space="0" w:color="auto"/>
            </w:tcBorders>
            <w:shd w:val="clear" w:color="auto" w:fill="auto"/>
            <w:noWrap/>
            <w:hideMark/>
          </w:tcPr>
          <w:p w14:paraId="785B35D9" w14:textId="77777777"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CS"/>
              </w:rPr>
            </w:pPr>
            <w:r w:rsidRPr="00646254">
              <w:rPr>
                <w:rFonts w:ascii="Calibri" w:hAnsi="Calibri" w:cs="Calibri"/>
                <w:color w:val="002060"/>
                <w:sz w:val="14"/>
                <w:szCs w:val="14"/>
                <w:lang w:val="sr-Cyrl-CS"/>
              </w:rPr>
              <w:t>7=8+9+10+11</w:t>
            </w:r>
          </w:p>
        </w:tc>
        <w:tc>
          <w:tcPr>
            <w:tcW w:w="1076" w:type="dxa"/>
            <w:tcBorders>
              <w:top w:val="single" w:sz="4" w:space="0" w:color="auto"/>
              <w:bottom w:val="single" w:sz="4" w:space="0" w:color="auto"/>
            </w:tcBorders>
            <w:shd w:val="clear" w:color="auto" w:fill="auto"/>
            <w:noWrap/>
            <w:hideMark/>
          </w:tcPr>
          <w:p w14:paraId="5E2DB254" w14:textId="77777777"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CS"/>
              </w:rPr>
            </w:pPr>
            <w:r w:rsidRPr="00646254">
              <w:rPr>
                <w:rFonts w:ascii="Calibri" w:hAnsi="Calibri" w:cs="Calibri"/>
                <w:color w:val="002060"/>
                <w:sz w:val="14"/>
                <w:szCs w:val="14"/>
                <w:lang w:val="sr-Cyrl-CS"/>
              </w:rPr>
              <w:t>8</w:t>
            </w:r>
          </w:p>
        </w:tc>
        <w:tc>
          <w:tcPr>
            <w:tcW w:w="1076" w:type="dxa"/>
            <w:tcBorders>
              <w:top w:val="single" w:sz="4" w:space="0" w:color="auto"/>
              <w:bottom w:val="single" w:sz="4" w:space="0" w:color="auto"/>
            </w:tcBorders>
            <w:shd w:val="clear" w:color="auto" w:fill="auto"/>
            <w:noWrap/>
            <w:hideMark/>
          </w:tcPr>
          <w:p w14:paraId="1A1F1AF5" w14:textId="77777777"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CS"/>
              </w:rPr>
            </w:pPr>
            <w:r w:rsidRPr="00646254">
              <w:rPr>
                <w:rFonts w:ascii="Calibri" w:hAnsi="Calibri" w:cs="Calibri"/>
                <w:color w:val="002060"/>
                <w:sz w:val="14"/>
                <w:szCs w:val="14"/>
                <w:lang w:val="sr-Cyrl-CS"/>
              </w:rPr>
              <w:t>9</w:t>
            </w:r>
          </w:p>
        </w:tc>
        <w:tc>
          <w:tcPr>
            <w:tcW w:w="1076" w:type="dxa"/>
            <w:tcBorders>
              <w:top w:val="single" w:sz="4" w:space="0" w:color="auto"/>
              <w:bottom w:val="single" w:sz="4" w:space="0" w:color="auto"/>
            </w:tcBorders>
            <w:shd w:val="clear" w:color="auto" w:fill="auto"/>
            <w:noWrap/>
            <w:hideMark/>
          </w:tcPr>
          <w:p w14:paraId="3659E5B2" w14:textId="77777777" w:rsidR="00960AC3" w:rsidRPr="00646254" w:rsidRDefault="00960AC3" w:rsidP="00BC5D2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CS"/>
              </w:rPr>
            </w:pPr>
            <w:r w:rsidRPr="00646254">
              <w:rPr>
                <w:rFonts w:ascii="Calibri" w:hAnsi="Calibri" w:cs="Calibri"/>
                <w:color w:val="002060"/>
                <w:sz w:val="14"/>
                <w:szCs w:val="14"/>
                <w:lang w:val="sr-Cyrl-CS"/>
              </w:rPr>
              <w:t>10</w:t>
            </w:r>
          </w:p>
        </w:tc>
        <w:tc>
          <w:tcPr>
            <w:tcW w:w="1076" w:type="dxa"/>
            <w:tcBorders>
              <w:top w:val="single" w:sz="4" w:space="0" w:color="auto"/>
              <w:bottom w:val="single" w:sz="4" w:space="0" w:color="auto"/>
            </w:tcBorders>
            <w:shd w:val="clear" w:color="auto" w:fill="auto"/>
            <w:noWrap/>
            <w:hideMark/>
          </w:tcPr>
          <w:p w14:paraId="31CDBC73" w14:textId="77777777" w:rsidR="00960AC3" w:rsidRPr="00646254" w:rsidRDefault="00960AC3" w:rsidP="00BC5D2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CS"/>
              </w:rPr>
            </w:pPr>
            <w:r w:rsidRPr="00646254">
              <w:rPr>
                <w:rFonts w:ascii="Calibri" w:hAnsi="Calibri" w:cs="Calibri"/>
                <w:color w:val="002060"/>
                <w:sz w:val="14"/>
                <w:szCs w:val="14"/>
                <w:lang w:val="sr-Cyrl-CS"/>
              </w:rPr>
              <w:t>11</w:t>
            </w:r>
          </w:p>
        </w:tc>
      </w:tr>
      <w:tr w:rsidR="00960AC3" w:rsidRPr="00646254" w14:paraId="30B3A154" w14:textId="77777777" w:rsidTr="00BC5D24">
        <w:trPr>
          <w:trHeight w:val="159"/>
        </w:trPr>
        <w:tc>
          <w:tcPr>
            <w:cnfStyle w:val="001000000000" w:firstRow="0" w:lastRow="0" w:firstColumn="1" w:lastColumn="0" w:oddVBand="0" w:evenVBand="0" w:oddHBand="0" w:evenHBand="0" w:firstRowFirstColumn="0" w:firstRowLastColumn="0" w:lastRowFirstColumn="0" w:lastRowLastColumn="0"/>
            <w:tcW w:w="2875" w:type="dxa"/>
            <w:tcBorders>
              <w:top w:val="single" w:sz="4" w:space="0" w:color="auto"/>
            </w:tcBorders>
            <w:shd w:val="clear" w:color="auto" w:fill="BFBFBF" w:themeFill="background1" w:themeFillShade="BF"/>
            <w:noWrap/>
            <w:vAlign w:val="bottom"/>
            <w:hideMark/>
          </w:tcPr>
          <w:p w14:paraId="2D3A2AF2" w14:textId="228D31D5" w:rsidR="00960AC3" w:rsidRPr="00646254" w:rsidRDefault="00960AC3" w:rsidP="00BC5D24">
            <w:pPr>
              <w:tabs>
                <w:tab w:val="center" w:pos="4680"/>
                <w:tab w:val="right" w:pos="9360"/>
              </w:tabs>
              <w:rPr>
                <w:rFonts w:cstheme="minorHAnsi"/>
                <w:color w:val="002060"/>
                <w:sz w:val="14"/>
                <w:szCs w:val="14"/>
                <w:lang w:val="sr-Cyrl-CS"/>
              </w:rPr>
            </w:pPr>
            <w:r w:rsidRPr="00646254">
              <w:rPr>
                <w:rFonts w:cstheme="minorHAnsi"/>
                <w:color w:val="002060"/>
                <w:sz w:val="14"/>
                <w:szCs w:val="14"/>
                <w:lang w:val="sr-Cyrl-CS"/>
              </w:rPr>
              <w:t>Јавни приходи</w:t>
            </w:r>
          </w:p>
        </w:tc>
        <w:tc>
          <w:tcPr>
            <w:tcW w:w="1028" w:type="dxa"/>
            <w:tcBorders>
              <w:top w:val="single" w:sz="4" w:space="0" w:color="auto"/>
            </w:tcBorders>
            <w:shd w:val="clear" w:color="auto" w:fill="BFBFBF" w:themeFill="background1" w:themeFillShade="BF"/>
            <w:noWrap/>
            <w:vAlign w:val="bottom"/>
            <w:hideMark/>
          </w:tcPr>
          <w:p w14:paraId="2B8E4681" w14:textId="2D43EF20" w:rsidR="00960AC3" w:rsidRPr="00646254" w:rsidRDefault="00BC5D24"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b/>
                <w:bCs/>
                <w:color w:val="002060"/>
                <w:sz w:val="14"/>
                <w:szCs w:val="14"/>
                <w:lang w:val="sr-Cyrl-CS"/>
              </w:rPr>
            </w:pPr>
            <w:r w:rsidRPr="00646254">
              <w:rPr>
                <w:rFonts w:cstheme="minorHAnsi"/>
                <w:b/>
                <w:bCs/>
                <w:color w:val="002060"/>
                <w:sz w:val="14"/>
                <w:szCs w:val="14"/>
                <w:lang w:val="sr-Cyrl-CS"/>
              </w:rPr>
              <w:t>2.</w:t>
            </w:r>
            <w:r w:rsidR="00960AC3" w:rsidRPr="00646254">
              <w:rPr>
                <w:rFonts w:cstheme="minorHAnsi"/>
                <w:b/>
                <w:bCs/>
                <w:color w:val="002060"/>
                <w:sz w:val="14"/>
                <w:szCs w:val="14"/>
                <w:lang w:val="sr-Cyrl-CS"/>
              </w:rPr>
              <w:t>804</w:t>
            </w:r>
            <w:r w:rsidRPr="00646254">
              <w:rPr>
                <w:rFonts w:cstheme="minorHAnsi"/>
                <w:b/>
                <w:bCs/>
                <w:color w:val="002060"/>
                <w:sz w:val="14"/>
                <w:szCs w:val="14"/>
                <w:lang w:val="sr-Cyrl-CS"/>
              </w:rPr>
              <w:t>,</w:t>
            </w:r>
            <w:r w:rsidR="00960AC3" w:rsidRPr="00646254">
              <w:rPr>
                <w:rFonts w:cstheme="minorHAnsi"/>
                <w:b/>
                <w:bCs/>
                <w:color w:val="002060"/>
                <w:sz w:val="14"/>
                <w:szCs w:val="14"/>
                <w:lang w:val="sr-Cyrl-CS"/>
              </w:rPr>
              <w:t>1</w:t>
            </w:r>
          </w:p>
        </w:tc>
        <w:tc>
          <w:tcPr>
            <w:tcW w:w="1028" w:type="dxa"/>
            <w:tcBorders>
              <w:top w:val="single" w:sz="4" w:space="0" w:color="auto"/>
            </w:tcBorders>
            <w:shd w:val="clear" w:color="auto" w:fill="BFBFBF" w:themeFill="background1" w:themeFillShade="BF"/>
            <w:noWrap/>
            <w:vAlign w:val="bottom"/>
            <w:hideMark/>
          </w:tcPr>
          <w:p w14:paraId="0C338C5F" w14:textId="57C66A5B" w:rsidR="00960AC3" w:rsidRPr="00646254" w:rsidRDefault="00A20A7C"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b/>
                <w:bCs/>
                <w:color w:val="002060"/>
                <w:sz w:val="14"/>
                <w:szCs w:val="14"/>
                <w:lang w:val="sr-Cyrl-CS"/>
              </w:rPr>
            </w:pPr>
            <w:r w:rsidRPr="00646254">
              <w:rPr>
                <w:rFonts w:cstheme="minorHAnsi"/>
                <w:b/>
                <w:bCs/>
                <w:color w:val="002060"/>
                <w:sz w:val="14"/>
                <w:szCs w:val="14"/>
                <w:lang w:val="sr-Cyrl-CS"/>
              </w:rPr>
              <w:t>1.</w:t>
            </w:r>
            <w:r w:rsidR="00960AC3" w:rsidRPr="00646254">
              <w:rPr>
                <w:rFonts w:cstheme="minorHAnsi"/>
                <w:b/>
                <w:bCs/>
                <w:color w:val="002060"/>
                <w:sz w:val="14"/>
                <w:szCs w:val="14"/>
                <w:lang w:val="sr-Cyrl-CS"/>
              </w:rPr>
              <w:t>465</w:t>
            </w:r>
            <w:r w:rsidR="00BC5D24" w:rsidRPr="00646254">
              <w:rPr>
                <w:rFonts w:cstheme="minorHAnsi"/>
                <w:b/>
                <w:bCs/>
                <w:color w:val="002060"/>
                <w:sz w:val="14"/>
                <w:szCs w:val="14"/>
                <w:lang w:val="sr-Cyrl-CS"/>
              </w:rPr>
              <w:t>,</w:t>
            </w:r>
            <w:r w:rsidR="00960AC3" w:rsidRPr="00646254">
              <w:rPr>
                <w:rFonts w:cstheme="minorHAnsi"/>
                <w:b/>
                <w:bCs/>
                <w:color w:val="002060"/>
                <w:sz w:val="14"/>
                <w:szCs w:val="14"/>
                <w:lang w:val="sr-Cyrl-CS"/>
              </w:rPr>
              <w:t>9</w:t>
            </w:r>
          </w:p>
        </w:tc>
        <w:tc>
          <w:tcPr>
            <w:tcW w:w="1042" w:type="dxa"/>
            <w:tcBorders>
              <w:top w:val="single" w:sz="4" w:space="0" w:color="auto"/>
            </w:tcBorders>
            <w:shd w:val="clear" w:color="auto" w:fill="BFBFBF" w:themeFill="background1" w:themeFillShade="BF"/>
            <w:noWrap/>
            <w:vAlign w:val="bottom"/>
            <w:hideMark/>
          </w:tcPr>
          <w:p w14:paraId="309CD342" w14:textId="0B4EBEEE"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b/>
                <w:bCs/>
                <w:color w:val="002060"/>
                <w:sz w:val="14"/>
                <w:szCs w:val="14"/>
                <w:lang w:val="sr-Cyrl-CS"/>
              </w:rPr>
            </w:pPr>
            <w:r w:rsidRPr="00646254">
              <w:rPr>
                <w:rFonts w:cstheme="minorHAnsi"/>
                <w:b/>
                <w:bCs/>
                <w:color w:val="002060"/>
                <w:sz w:val="14"/>
                <w:szCs w:val="14"/>
                <w:lang w:val="sr-Cyrl-CS"/>
              </w:rPr>
              <w:t>359</w:t>
            </w:r>
            <w:r w:rsidR="00BC5D24" w:rsidRPr="00646254">
              <w:rPr>
                <w:rFonts w:cstheme="minorHAnsi"/>
                <w:b/>
                <w:bCs/>
                <w:color w:val="002060"/>
                <w:sz w:val="14"/>
                <w:szCs w:val="14"/>
                <w:lang w:val="sr-Cyrl-CS"/>
              </w:rPr>
              <w:t>,</w:t>
            </w:r>
            <w:r w:rsidRPr="00646254">
              <w:rPr>
                <w:rFonts w:cstheme="minorHAnsi"/>
                <w:b/>
                <w:bCs/>
                <w:color w:val="002060"/>
                <w:sz w:val="14"/>
                <w:szCs w:val="14"/>
                <w:lang w:val="sr-Cyrl-CS"/>
              </w:rPr>
              <w:t>6</w:t>
            </w:r>
          </w:p>
        </w:tc>
        <w:tc>
          <w:tcPr>
            <w:tcW w:w="1007" w:type="dxa"/>
            <w:tcBorders>
              <w:top w:val="single" w:sz="4" w:space="0" w:color="auto"/>
            </w:tcBorders>
            <w:shd w:val="clear" w:color="auto" w:fill="BFBFBF" w:themeFill="background1" w:themeFillShade="BF"/>
            <w:noWrap/>
            <w:vAlign w:val="bottom"/>
            <w:hideMark/>
          </w:tcPr>
          <w:p w14:paraId="0B614E0A" w14:textId="6D762DB2"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b/>
                <w:bCs/>
                <w:color w:val="002060"/>
                <w:sz w:val="14"/>
                <w:szCs w:val="14"/>
                <w:lang w:val="sr-Cyrl-CS"/>
              </w:rPr>
            </w:pPr>
            <w:r w:rsidRPr="00646254">
              <w:rPr>
                <w:rFonts w:cstheme="minorHAnsi"/>
                <w:b/>
                <w:bCs/>
                <w:color w:val="002060"/>
                <w:sz w:val="14"/>
                <w:szCs w:val="14"/>
                <w:lang w:val="sr-Cyrl-CS"/>
              </w:rPr>
              <w:t>331</w:t>
            </w:r>
            <w:r w:rsidR="00BC5D24" w:rsidRPr="00646254">
              <w:rPr>
                <w:rFonts w:cstheme="minorHAnsi"/>
                <w:b/>
                <w:bCs/>
                <w:color w:val="002060"/>
                <w:sz w:val="14"/>
                <w:szCs w:val="14"/>
                <w:lang w:val="sr-Cyrl-CS"/>
              </w:rPr>
              <w:t>,</w:t>
            </w:r>
            <w:r w:rsidRPr="00646254">
              <w:rPr>
                <w:rFonts w:cstheme="minorHAnsi"/>
                <w:b/>
                <w:bCs/>
                <w:color w:val="002060"/>
                <w:sz w:val="14"/>
                <w:szCs w:val="14"/>
                <w:lang w:val="sr-Cyrl-CS"/>
              </w:rPr>
              <w:t>2</w:t>
            </w:r>
          </w:p>
        </w:tc>
        <w:tc>
          <w:tcPr>
            <w:tcW w:w="1076" w:type="dxa"/>
            <w:tcBorders>
              <w:top w:val="single" w:sz="4" w:space="0" w:color="auto"/>
            </w:tcBorders>
            <w:shd w:val="clear" w:color="auto" w:fill="BFBFBF" w:themeFill="background1" w:themeFillShade="BF"/>
            <w:noWrap/>
            <w:vAlign w:val="bottom"/>
            <w:hideMark/>
          </w:tcPr>
          <w:p w14:paraId="2EFB9EEA" w14:textId="1D2829BE"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b/>
                <w:bCs/>
                <w:color w:val="002060"/>
                <w:sz w:val="14"/>
                <w:szCs w:val="14"/>
                <w:lang w:val="sr-Cyrl-CS"/>
              </w:rPr>
            </w:pPr>
            <w:r w:rsidRPr="00646254">
              <w:rPr>
                <w:rFonts w:cstheme="minorHAnsi"/>
                <w:b/>
                <w:bCs/>
                <w:color w:val="002060"/>
                <w:sz w:val="14"/>
                <w:szCs w:val="14"/>
                <w:lang w:val="sr-Cyrl-CS"/>
              </w:rPr>
              <w:t>28</w:t>
            </w:r>
            <w:r w:rsidR="00BC5D24" w:rsidRPr="00646254">
              <w:rPr>
                <w:rFonts w:cstheme="minorHAnsi"/>
                <w:b/>
                <w:bCs/>
                <w:color w:val="002060"/>
                <w:sz w:val="14"/>
                <w:szCs w:val="14"/>
                <w:lang w:val="sr-Cyrl-CS"/>
              </w:rPr>
              <w:t>,</w:t>
            </w:r>
            <w:r w:rsidRPr="00646254">
              <w:rPr>
                <w:rFonts w:cstheme="minorHAnsi"/>
                <w:b/>
                <w:bCs/>
                <w:color w:val="002060"/>
                <w:sz w:val="14"/>
                <w:szCs w:val="14"/>
                <w:lang w:val="sr-Cyrl-CS"/>
              </w:rPr>
              <w:t>4</w:t>
            </w:r>
          </w:p>
        </w:tc>
        <w:tc>
          <w:tcPr>
            <w:tcW w:w="1022" w:type="dxa"/>
            <w:tcBorders>
              <w:top w:val="single" w:sz="4" w:space="0" w:color="auto"/>
            </w:tcBorders>
            <w:shd w:val="clear" w:color="auto" w:fill="BFBFBF" w:themeFill="background1" w:themeFillShade="BF"/>
            <w:noWrap/>
            <w:vAlign w:val="bottom"/>
            <w:hideMark/>
          </w:tcPr>
          <w:p w14:paraId="060C4337" w14:textId="3C1E96FC"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b/>
                <w:bCs/>
                <w:color w:val="002060"/>
                <w:sz w:val="14"/>
                <w:szCs w:val="14"/>
                <w:lang w:val="sr-Cyrl-CS"/>
              </w:rPr>
            </w:pPr>
            <w:r w:rsidRPr="00646254">
              <w:rPr>
                <w:rFonts w:cstheme="minorHAnsi"/>
                <w:b/>
                <w:bCs/>
                <w:color w:val="002060"/>
                <w:sz w:val="14"/>
                <w:szCs w:val="14"/>
                <w:lang w:val="sr-Cyrl-CS"/>
              </w:rPr>
              <w:t>40</w:t>
            </w:r>
            <w:r w:rsidR="00BC5D24" w:rsidRPr="00646254">
              <w:rPr>
                <w:rFonts w:cstheme="minorHAnsi"/>
                <w:b/>
                <w:bCs/>
                <w:color w:val="002060"/>
                <w:sz w:val="14"/>
                <w:szCs w:val="14"/>
                <w:lang w:val="sr-Cyrl-CS"/>
              </w:rPr>
              <w:t>,</w:t>
            </w:r>
            <w:r w:rsidRPr="00646254">
              <w:rPr>
                <w:rFonts w:cstheme="minorHAnsi"/>
                <w:b/>
                <w:bCs/>
                <w:color w:val="002060"/>
                <w:sz w:val="14"/>
                <w:szCs w:val="14"/>
                <w:lang w:val="sr-Cyrl-CS"/>
              </w:rPr>
              <w:t>1</w:t>
            </w:r>
          </w:p>
        </w:tc>
        <w:tc>
          <w:tcPr>
            <w:tcW w:w="1076" w:type="dxa"/>
            <w:tcBorders>
              <w:top w:val="single" w:sz="4" w:space="0" w:color="auto"/>
            </w:tcBorders>
            <w:shd w:val="clear" w:color="auto" w:fill="BFBFBF" w:themeFill="background1" w:themeFillShade="BF"/>
            <w:noWrap/>
            <w:vAlign w:val="bottom"/>
            <w:hideMark/>
          </w:tcPr>
          <w:p w14:paraId="1F7B3E0B" w14:textId="326ED80F"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b/>
                <w:bCs/>
                <w:color w:val="002060"/>
                <w:sz w:val="14"/>
                <w:szCs w:val="14"/>
                <w:lang w:val="sr-Cyrl-CS"/>
              </w:rPr>
            </w:pPr>
            <w:r w:rsidRPr="00646254">
              <w:rPr>
                <w:rFonts w:cstheme="minorHAnsi"/>
                <w:b/>
                <w:bCs/>
                <w:color w:val="002060"/>
                <w:sz w:val="14"/>
                <w:szCs w:val="14"/>
                <w:lang w:val="sr-Cyrl-CS"/>
              </w:rPr>
              <w:t>938</w:t>
            </w:r>
            <w:r w:rsidR="00BC5D24" w:rsidRPr="00646254">
              <w:rPr>
                <w:rFonts w:cstheme="minorHAnsi"/>
                <w:b/>
                <w:bCs/>
                <w:color w:val="002060"/>
                <w:sz w:val="14"/>
                <w:szCs w:val="14"/>
                <w:lang w:val="sr-Cyrl-CS"/>
              </w:rPr>
              <w:t>,</w:t>
            </w:r>
            <w:r w:rsidRPr="00646254">
              <w:rPr>
                <w:rFonts w:cstheme="minorHAnsi"/>
                <w:b/>
                <w:bCs/>
                <w:color w:val="002060"/>
                <w:sz w:val="14"/>
                <w:szCs w:val="14"/>
                <w:lang w:val="sr-Cyrl-CS"/>
              </w:rPr>
              <w:t>5</w:t>
            </w:r>
          </w:p>
        </w:tc>
        <w:tc>
          <w:tcPr>
            <w:tcW w:w="1076" w:type="dxa"/>
            <w:tcBorders>
              <w:top w:val="single" w:sz="4" w:space="0" w:color="auto"/>
            </w:tcBorders>
            <w:shd w:val="clear" w:color="auto" w:fill="BFBFBF" w:themeFill="background1" w:themeFillShade="BF"/>
            <w:noWrap/>
            <w:vAlign w:val="bottom"/>
            <w:hideMark/>
          </w:tcPr>
          <w:p w14:paraId="5607F427" w14:textId="44C68A2D"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b/>
                <w:bCs/>
                <w:color w:val="002060"/>
                <w:sz w:val="14"/>
                <w:szCs w:val="14"/>
                <w:lang w:val="sr-Cyrl-CS"/>
              </w:rPr>
            </w:pPr>
            <w:r w:rsidRPr="00646254">
              <w:rPr>
                <w:rFonts w:cstheme="minorHAnsi"/>
                <w:b/>
                <w:bCs/>
                <w:color w:val="002060"/>
                <w:sz w:val="14"/>
                <w:szCs w:val="14"/>
                <w:lang w:val="sr-Cyrl-CS"/>
              </w:rPr>
              <w:t>650</w:t>
            </w:r>
            <w:r w:rsidR="00BC5D24" w:rsidRPr="00646254">
              <w:rPr>
                <w:rFonts w:cstheme="minorHAnsi"/>
                <w:b/>
                <w:bCs/>
                <w:color w:val="002060"/>
                <w:sz w:val="14"/>
                <w:szCs w:val="14"/>
                <w:lang w:val="sr-Cyrl-CS"/>
              </w:rPr>
              <w:t>,</w:t>
            </w:r>
            <w:r w:rsidRPr="00646254">
              <w:rPr>
                <w:rFonts w:cstheme="minorHAnsi"/>
                <w:b/>
                <w:bCs/>
                <w:color w:val="002060"/>
                <w:sz w:val="14"/>
                <w:szCs w:val="14"/>
                <w:lang w:val="sr-Cyrl-CS"/>
              </w:rPr>
              <w:t>1</w:t>
            </w:r>
          </w:p>
        </w:tc>
        <w:tc>
          <w:tcPr>
            <w:tcW w:w="1076" w:type="dxa"/>
            <w:tcBorders>
              <w:top w:val="single" w:sz="4" w:space="0" w:color="auto"/>
            </w:tcBorders>
            <w:shd w:val="clear" w:color="auto" w:fill="BFBFBF" w:themeFill="background1" w:themeFillShade="BF"/>
            <w:noWrap/>
            <w:vAlign w:val="bottom"/>
            <w:hideMark/>
          </w:tcPr>
          <w:p w14:paraId="0A2E52F0" w14:textId="60DA73E3"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b/>
                <w:bCs/>
                <w:color w:val="002060"/>
                <w:sz w:val="14"/>
                <w:szCs w:val="14"/>
                <w:lang w:val="sr-Cyrl-CS"/>
              </w:rPr>
            </w:pPr>
            <w:r w:rsidRPr="00646254">
              <w:rPr>
                <w:rFonts w:cstheme="minorHAnsi"/>
                <w:b/>
                <w:bCs/>
                <w:color w:val="002060"/>
                <w:sz w:val="14"/>
                <w:szCs w:val="14"/>
                <w:lang w:val="sr-Cyrl-CS"/>
              </w:rPr>
              <w:t>264</w:t>
            </w:r>
            <w:r w:rsidR="00BC5D24" w:rsidRPr="00646254">
              <w:rPr>
                <w:rFonts w:cstheme="minorHAnsi"/>
                <w:b/>
                <w:bCs/>
                <w:color w:val="002060"/>
                <w:sz w:val="14"/>
                <w:szCs w:val="14"/>
                <w:lang w:val="sr-Cyrl-CS"/>
              </w:rPr>
              <w:t>,</w:t>
            </w:r>
            <w:r w:rsidRPr="00646254">
              <w:rPr>
                <w:rFonts w:cstheme="minorHAnsi"/>
                <w:b/>
                <w:bCs/>
                <w:color w:val="002060"/>
                <w:sz w:val="14"/>
                <w:szCs w:val="14"/>
                <w:lang w:val="sr-Cyrl-CS"/>
              </w:rPr>
              <w:t>4</w:t>
            </w:r>
          </w:p>
        </w:tc>
        <w:tc>
          <w:tcPr>
            <w:tcW w:w="1076" w:type="dxa"/>
            <w:tcBorders>
              <w:top w:val="single" w:sz="4" w:space="0" w:color="auto"/>
            </w:tcBorders>
            <w:shd w:val="clear" w:color="auto" w:fill="BFBFBF" w:themeFill="background1" w:themeFillShade="BF"/>
            <w:noWrap/>
            <w:vAlign w:val="bottom"/>
            <w:hideMark/>
          </w:tcPr>
          <w:p w14:paraId="2E3081B4" w14:textId="12AECE48" w:rsidR="00960AC3" w:rsidRPr="00646254" w:rsidRDefault="00960AC3" w:rsidP="00BC5D24">
            <w:pPr>
              <w:jc w:val="center"/>
              <w:cnfStyle w:val="000000000000" w:firstRow="0" w:lastRow="0" w:firstColumn="0" w:lastColumn="0" w:oddVBand="0" w:evenVBand="0" w:oddHBand="0" w:evenHBand="0" w:firstRowFirstColumn="0" w:firstRowLastColumn="0" w:lastRowFirstColumn="0" w:lastRowLastColumn="0"/>
              <w:rPr>
                <w:rFonts w:cstheme="minorHAnsi"/>
                <w:b/>
                <w:bCs/>
                <w:color w:val="002060"/>
                <w:sz w:val="14"/>
                <w:szCs w:val="14"/>
                <w:lang w:val="sr-Cyrl-CS"/>
              </w:rPr>
            </w:pPr>
            <w:r w:rsidRPr="00646254">
              <w:rPr>
                <w:rFonts w:cstheme="minorHAnsi"/>
                <w:b/>
                <w:bCs/>
                <w:color w:val="002060"/>
                <w:sz w:val="14"/>
                <w:szCs w:val="14"/>
                <w:lang w:val="sr-Cyrl-CS"/>
              </w:rPr>
              <w:t>20</w:t>
            </w:r>
            <w:r w:rsidR="00BC5D24" w:rsidRPr="00646254">
              <w:rPr>
                <w:rFonts w:cstheme="minorHAnsi"/>
                <w:b/>
                <w:bCs/>
                <w:color w:val="002060"/>
                <w:sz w:val="14"/>
                <w:szCs w:val="14"/>
                <w:lang w:val="sr-Cyrl-CS"/>
              </w:rPr>
              <w:t>,</w:t>
            </w:r>
            <w:r w:rsidRPr="00646254">
              <w:rPr>
                <w:rFonts w:cstheme="minorHAnsi"/>
                <w:b/>
                <w:bCs/>
                <w:color w:val="002060"/>
                <w:sz w:val="14"/>
                <w:szCs w:val="14"/>
                <w:lang w:val="sr-Cyrl-CS"/>
              </w:rPr>
              <w:t>4</w:t>
            </w:r>
          </w:p>
        </w:tc>
        <w:tc>
          <w:tcPr>
            <w:tcW w:w="1076" w:type="dxa"/>
            <w:tcBorders>
              <w:top w:val="single" w:sz="4" w:space="0" w:color="auto"/>
            </w:tcBorders>
            <w:shd w:val="clear" w:color="auto" w:fill="BFBFBF" w:themeFill="background1" w:themeFillShade="BF"/>
            <w:noWrap/>
            <w:vAlign w:val="bottom"/>
            <w:hideMark/>
          </w:tcPr>
          <w:p w14:paraId="15EC98EE" w14:textId="5D545FB5" w:rsidR="00960AC3" w:rsidRPr="00646254" w:rsidRDefault="00960AC3" w:rsidP="00BC5D24">
            <w:pPr>
              <w:jc w:val="center"/>
              <w:cnfStyle w:val="000000000000" w:firstRow="0" w:lastRow="0" w:firstColumn="0" w:lastColumn="0" w:oddVBand="0" w:evenVBand="0" w:oddHBand="0" w:evenHBand="0" w:firstRowFirstColumn="0" w:firstRowLastColumn="0" w:lastRowFirstColumn="0" w:lastRowLastColumn="0"/>
              <w:rPr>
                <w:rFonts w:cstheme="minorHAnsi"/>
                <w:b/>
                <w:bCs/>
                <w:color w:val="002060"/>
                <w:sz w:val="14"/>
                <w:szCs w:val="14"/>
                <w:lang w:val="sr-Cyrl-CS"/>
              </w:rPr>
            </w:pPr>
            <w:r w:rsidRPr="00646254">
              <w:rPr>
                <w:rFonts w:cstheme="minorHAnsi"/>
                <w:b/>
                <w:bCs/>
                <w:color w:val="002060"/>
                <w:sz w:val="14"/>
                <w:szCs w:val="14"/>
                <w:lang w:val="sr-Cyrl-CS"/>
              </w:rPr>
              <w:t>3</w:t>
            </w:r>
            <w:r w:rsidR="00BC5D24" w:rsidRPr="00646254">
              <w:rPr>
                <w:rFonts w:cstheme="minorHAnsi"/>
                <w:b/>
                <w:bCs/>
                <w:color w:val="002060"/>
                <w:sz w:val="14"/>
                <w:szCs w:val="14"/>
                <w:lang w:val="sr-Cyrl-CS"/>
              </w:rPr>
              <w:t>,</w:t>
            </w:r>
            <w:r w:rsidRPr="00646254">
              <w:rPr>
                <w:rFonts w:cstheme="minorHAnsi"/>
                <w:b/>
                <w:bCs/>
                <w:color w:val="002060"/>
                <w:sz w:val="14"/>
                <w:szCs w:val="14"/>
                <w:lang w:val="sr-Cyrl-CS"/>
              </w:rPr>
              <w:t>6</w:t>
            </w:r>
          </w:p>
        </w:tc>
      </w:tr>
      <w:tr w:rsidR="00960AC3" w:rsidRPr="00646254" w14:paraId="6212BD0C" w14:textId="77777777" w:rsidTr="00BC5D24">
        <w:trPr>
          <w:cnfStyle w:val="000000100000" w:firstRow="0" w:lastRow="0" w:firstColumn="0" w:lastColumn="0" w:oddVBand="0" w:evenVBand="0" w:oddHBand="1" w:evenHBand="0" w:firstRowFirstColumn="0" w:firstRowLastColumn="0" w:lastRowFirstColumn="0" w:lastRowLastColumn="0"/>
          <w:trHeight w:val="191"/>
        </w:trPr>
        <w:tc>
          <w:tcPr>
            <w:cnfStyle w:val="001000000000" w:firstRow="0" w:lastRow="0" w:firstColumn="1" w:lastColumn="0" w:oddVBand="0" w:evenVBand="0" w:oddHBand="0" w:evenHBand="0" w:firstRowFirstColumn="0" w:firstRowLastColumn="0" w:lastRowFirstColumn="0" w:lastRowLastColumn="0"/>
            <w:tcW w:w="2875" w:type="dxa"/>
            <w:tcBorders>
              <w:top w:val="nil"/>
            </w:tcBorders>
            <w:shd w:val="clear" w:color="auto" w:fill="FFFFFF" w:themeFill="background1"/>
            <w:noWrap/>
            <w:vAlign w:val="bottom"/>
            <w:hideMark/>
          </w:tcPr>
          <w:p w14:paraId="7640D633" w14:textId="77777777" w:rsidR="00960AC3" w:rsidRPr="00646254" w:rsidRDefault="00960AC3" w:rsidP="00BC5D24">
            <w:pPr>
              <w:tabs>
                <w:tab w:val="center" w:pos="4680"/>
                <w:tab w:val="right" w:pos="9360"/>
              </w:tabs>
              <w:rPr>
                <w:rFonts w:cstheme="minorHAnsi"/>
                <w:b w:val="0"/>
                <w:color w:val="002060"/>
                <w:sz w:val="14"/>
                <w:szCs w:val="14"/>
                <w:lang w:val="sr-Cyrl-CS"/>
              </w:rPr>
            </w:pPr>
            <w:r w:rsidRPr="00646254">
              <w:rPr>
                <w:rFonts w:cstheme="minorHAnsi"/>
                <w:b w:val="0"/>
                <w:color w:val="002060"/>
                <w:sz w:val="14"/>
                <w:szCs w:val="14"/>
                <w:lang w:val="sr-Cyrl-CS"/>
              </w:rPr>
              <w:t xml:space="preserve">   Текући приходи</w:t>
            </w:r>
          </w:p>
        </w:tc>
        <w:tc>
          <w:tcPr>
            <w:tcW w:w="1028" w:type="dxa"/>
            <w:tcBorders>
              <w:top w:val="nil"/>
            </w:tcBorders>
            <w:shd w:val="clear" w:color="auto" w:fill="FFFFFF" w:themeFill="background1"/>
            <w:noWrap/>
            <w:vAlign w:val="bottom"/>
            <w:hideMark/>
          </w:tcPr>
          <w:p w14:paraId="306655B2" w14:textId="308A9355" w:rsidR="00960AC3" w:rsidRPr="00646254" w:rsidRDefault="00BC5D24"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2.</w:t>
            </w:r>
            <w:r w:rsidR="00960AC3" w:rsidRPr="00646254">
              <w:rPr>
                <w:rFonts w:cstheme="minorHAnsi"/>
                <w:color w:val="002060"/>
                <w:sz w:val="14"/>
                <w:szCs w:val="14"/>
                <w:lang w:val="sr-Cyrl-CS"/>
              </w:rPr>
              <w:t>778</w:t>
            </w:r>
            <w:r w:rsidRPr="00646254">
              <w:rPr>
                <w:rFonts w:cstheme="minorHAnsi"/>
                <w:color w:val="002060"/>
                <w:sz w:val="14"/>
                <w:szCs w:val="14"/>
                <w:lang w:val="sr-Cyrl-CS"/>
              </w:rPr>
              <w:t>,</w:t>
            </w:r>
            <w:r w:rsidR="00960AC3" w:rsidRPr="00646254">
              <w:rPr>
                <w:rFonts w:cstheme="minorHAnsi"/>
                <w:color w:val="002060"/>
                <w:sz w:val="14"/>
                <w:szCs w:val="14"/>
                <w:lang w:val="sr-Cyrl-CS"/>
              </w:rPr>
              <w:t>1</w:t>
            </w:r>
          </w:p>
        </w:tc>
        <w:tc>
          <w:tcPr>
            <w:tcW w:w="1028" w:type="dxa"/>
            <w:tcBorders>
              <w:top w:val="nil"/>
            </w:tcBorders>
            <w:shd w:val="clear" w:color="auto" w:fill="FFFFFF" w:themeFill="background1"/>
            <w:noWrap/>
            <w:vAlign w:val="bottom"/>
            <w:hideMark/>
          </w:tcPr>
          <w:p w14:paraId="60F2482E" w14:textId="35DD0DA2" w:rsidR="00960AC3" w:rsidRPr="00646254" w:rsidRDefault="00A20A7C"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1.</w:t>
            </w:r>
            <w:r w:rsidR="00960AC3" w:rsidRPr="00646254">
              <w:rPr>
                <w:rFonts w:cstheme="minorHAnsi"/>
                <w:color w:val="002060"/>
                <w:sz w:val="14"/>
                <w:szCs w:val="14"/>
                <w:lang w:val="sr-Cyrl-CS"/>
              </w:rPr>
              <w:t>442</w:t>
            </w:r>
            <w:r w:rsidR="00BC5D24" w:rsidRPr="00646254">
              <w:rPr>
                <w:rFonts w:cstheme="minorHAnsi"/>
                <w:color w:val="002060"/>
                <w:sz w:val="14"/>
                <w:szCs w:val="14"/>
                <w:lang w:val="sr-Cyrl-CS"/>
              </w:rPr>
              <w:t>,</w:t>
            </w:r>
            <w:r w:rsidR="00960AC3" w:rsidRPr="00646254">
              <w:rPr>
                <w:rFonts w:cstheme="minorHAnsi"/>
                <w:color w:val="002060"/>
                <w:sz w:val="14"/>
                <w:szCs w:val="14"/>
                <w:lang w:val="sr-Cyrl-CS"/>
              </w:rPr>
              <w:t>4</w:t>
            </w:r>
          </w:p>
        </w:tc>
        <w:tc>
          <w:tcPr>
            <w:tcW w:w="1042" w:type="dxa"/>
            <w:tcBorders>
              <w:top w:val="nil"/>
            </w:tcBorders>
            <w:shd w:val="clear" w:color="auto" w:fill="FFFFFF" w:themeFill="background1"/>
            <w:noWrap/>
            <w:vAlign w:val="bottom"/>
            <w:hideMark/>
          </w:tcPr>
          <w:p w14:paraId="49C80798" w14:textId="127232C8"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357</w:t>
            </w:r>
            <w:r w:rsidR="00BC5D24" w:rsidRPr="00646254">
              <w:rPr>
                <w:rFonts w:cstheme="minorHAnsi"/>
                <w:color w:val="002060"/>
                <w:sz w:val="14"/>
                <w:szCs w:val="14"/>
                <w:lang w:val="sr-Cyrl-CS"/>
              </w:rPr>
              <w:t>,</w:t>
            </w:r>
            <w:r w:rsidRPr="00646254">
              <w:rPr>
                <w:rFonts w:cstheme="minorHAnsi"/>
                <w:color w:val="002060"/>
                <w:sz w:val="14"/>
                <w:szCs w:val="14"/>
                <w:lang w:val="sr-Cyrl-CS"/>
              </w:rPr>
              <w:t>6</w:t>
            </w:r>
          </w:p>
        </w:tc>
        <w:tc>
          <w:tcPr>
            <w:tcW w:w="1007" w:type="dxa"/>
            <w:tcBorders>
              <w:top w:val="nil"/>
            </w:tcBorders>
            <w:shd w:val="clear" w:color="auto" w:fill="FFFFFF" w:themeFill="background1"/>
            <w:noWrap/>
            <w:vAlign w:val="bottom"/>
            <w:hideMark/>
          </w:tcPr>
          <w:p w14:paraId="19D827DD" w14:textId="6917D7BA"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329</w:t>
            </w:r>
            <w:r w:rsidR="00BC5D24" w:rsidRPr="00646254">
              <w:rPr>
                <w:rFonts w:cstheme="minorHAnsi"/>
                <w:color w:val="002060"/>
                <w:sz w:val="14"/>
                <w:szCs w:val="14"/>
                <w:lang w:val="sr-Cyrl-CS"/>
              </w:rPr>
              <w:t>,</w:t>
            </w:r>
            <w:r w:rsidRPr="00646254">
              <w:rPr>
                <w:rFonts w:cstheme="minorHAnsi"/>
                <w:color w:val="002060"/>
                <w:sz w:val="14"/>
                <w:szCs w:val="14"/>
                <w:lang w:val="sr-Cyrl-CS"/>
              </w:rPr>
              <w:t>2</w:t>
            </w:r>
          </w:p>
        </w:tc>
        <w:tc>
          <w:tcPr>
            <w:tcW w:w="1076" w:type="dxa"/>
            <w:tcBorders>
              <w:top w:val="nil"/>
            </w:tcBorders>
            <w:shd w:val="clear" w:color="auto" w:fill="FFFFFF" w:themeFill="background1"/>
            <w:noWrap/>
            <w:vAlign w:val="bottom"/>
            <w:hideMark/>
          </w:tcPr>
          <w:p w14:paraId="147E145E" w14:textId="0D6B73D1"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28</w:t>
            </w:r>
            <w:r w:rsidR="00BC5D24" w:rsidRPr="00646254">
              <w:rPr>
                <w:rFonts w:cstheme="minorHAnsi"/>
                <w:color w:val="002060"/>
                <w:sz w:val="14"/>
                <w:szCs w:val="14"/>
                <w:lang w:val="sr-Cyrl-CS"/>
              </w:rPr>
              <w:t>,</w:t>
            </w:r>
            <w:r w:rsidRPr="00646254">
              <w:rPr>
                <w:rFonts w:cstheme="minorHAnsi"/>
                <w:color w:val="002060"/>
                <w:sz w:val="14"/>
                <w:szCs w:val="14"/>
                <w:lang w:val="sr-Cyrl-CS"/>
              </w:rPr>
              <w:t>4</w:t>
            </w:r>
          </w:p>
        </w:tc>
        <w:tc>
          <w:tcPr>
            <w:tcW w:w="1022" w:type="dxa"/>
            <w:tcBorders>
              <w:top w:val="nil"/>
            </w:tcBorders>
            <w:shd w:val="clear" w:color="auto" w:fill="FFFFFF" w:themeFill="background1"/>
            <w:noWrap/>
            <w:vAlign w:val="bottom"/>
            <w:hideMark/>
          </w:tcPr>
          <w:p w14:paraId="43E00DC6" w14:textId="2D7E18B2"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40</w:t>
            </w:r>
            <w:r w:rsidR="00BC5D24" w:rsidRPr="00646254">
              <w:rPr>
                <w:rFonts w:cstheme="minorHAnsi"/>
                <w:color w:val="002060"/>
                <w:sz w:val="14"/>
                <w:szCs w:val="14"/>
                <w:lang w:val="sr-Cyrl-CS"/>
              </w:rPr>
              <w:t>,</w:t>
            </w:r>
            <w:r w:rsidRPr="00646254">
              <w:rPr>
                <w:rFonts w:cstheme="minorHAnsi"/>
                <w:color w:val="002060"/>
                <w:sz w:val="14"/>
                <w:szCs w:val="14"/>
                <w:lang w:val="sr-Cyrl-CS"/>
              </w:rPr>
              <w:t>1</w:t>
            </w:r>
          </w:p>
        </w:tc>
        <w:tc>
          <w:tcPr>
            <w:tcW w:w="1076" w:type="dxa"/>
            <w:tcBorders>
              <w:top w:val="nil"/>
            </w:tcBorders>
            <w:shd w:val="clear" w:color="auto" w:fill="FFFFFF" w:themeFill="background1"/>
            <w:noWrap/>
            <w:vAlign w:val="bottom"/>
            <w:hideMark/>
          </w:tcPr>
          <w:p w14:paraId="057D448B" w14:textId="0A475882"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938</w:t>
            </w:r>
            <w:r w:rsidR="00BC5D24" w:rsidRPr="00646254">
              <w:rPr>
                <w:rFonts w:cstheme="minorHAnsi"/>
                <w:color w:val="002060"/>
                <w:sz w:val="14"/>
                <w:szCs w:val="14"/>
                <w:lang w:val="sr-Cyrl-CS"/>
              </w:rPr>
              <w:t>,</w:t>
            </w:r>
            <w:r w:rsidRPr="00646254">
              <w:rPr>
                <w:rFonts w:cstheme="minorHAnsi"/>
                <w:color w:val="002060"/>
                <w:sz w:val="14"/>
                <w:szCs w:val="14"/>
                <w:lang w:val="sr-Cyrl-CS"/>
              </w:rPr>
              <w:t>0</w:t>
            </w:r>
          </w:p>
        </w:tc>
        <w:tc>
          <w:tcPr>
            <w:tcW w:w="1076" w:type="dxa"/>
            <w:tcBorders>
              <w:top w:val="nil"/>
            </w:tcBorders>
            <w:shd w:val="clear" w:color="auto" w:fill="FFFFFF" w:themeFill="background1"/>
            <w:noWrap/>
            <w:vAlign w:val="bottom"/>
            <w:hideMark/>
          </w:tcPr>
          <w:p w14:paraId="31BB3348" w14:textId="2599B72E"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650</w:t>
            </w:r>
            <w:r w:rsidR="00BC5D24" w:rsidRPr="00646254">
              <w:rPr>
                <w:rFonts w:cstheme="minorHAnsi"/>
                <w:color w:val="002060"/>
                <w:sz w:val="14"/>
                <w:szCs w:val="14"/>
                <w:lang w:val="sr-Cyrl-CS"/>
              </w:rPr>
              <w:t>,</w:t>
            </w:r>
            <w:r w:rsidRPr="00646254">
              <w:rPr>
                <w:rFonts w:cstheme="minorHAnsi"/>
                <w:color w:val="002060"/>
                <w:sz w:val="14"/>
                <w:szCs w:val="14"/>
                <w:lang w:val="sr-Cyrl-CS"/>
              </w:rPr>
              <w:t>1</w:t>
            </w:r>
          </w:p>
        </w:tc>
        <w:tc>
          <w:tcPr>
            <w:tcW w:w="1076" w:type="dxa"/>
            <w:tcBorders>
              <w:top w:val="nil"/>
            </w:tcBorders>
            <w:shd w:val="clear" w:color="auto" w:fill="FFFFFF" w:themeFill="background1"/>
            <w:noWrap/>
            <w:vAlign w:val="bottom"/>
            <w:hideMark/>
          </w:tcPr>
          <w:p w14:paraId="75AB2021" w14:textId="6967B23D"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264</w:t>
            </w:r>
            <w:r w:rsidR="00BC5D24" w:rsidRPr="00646254">
              <w:rPr>
                <w:rFonts w:cstheme="minorHAnsi"/>
                <w:color w:val="002060"/>
                <w:sz w:val="14"/>
                <w:szCs w:val="14"/>
                <w:lang w:val="sr-Cyrl-CS"/>
              </w:rPr>
              <w:t>,</w:t>
            </w:r>
            <w:r w:rsidRPr="00646254">
              <w:rPr>
                <w:rFonts w:cstheme="minorHAnsi"/>
                <w:color w:val="002060"/>
                <w:sz w:val="14"/>
                <w:szCs w:val="14"/>
                <w:lang w:val="sr-Cyrl-CS"/>
              </w:rPr>
              <w:t>4</w:t>
            </w:r>
          </w:p>
        </w:tc>
        <w:tc>
          <w:tcPr>
            <w:tcW w:w="1076" w:type="dxa"/>
            <w:tcBorders>
              <w:top w:val="nil"/>
            </w:tcBorders>
            <w:shd w:val="clear" w:color="auto" w:fill="FFFFFF" w:themeFill="background1"/>
            <w:noWrap/>
            <w:vAlign w:val="bottom"/>
            <w:hideMark/>
          </w:tcPr>
          <w:p w14:paraId="40FC7D10" w14:textId="57EB7322" w:rsidR="00960AC3" w:rsidRPr="00646254" w:rsidRDefault="00960AC3" w:rsidP="00BC5D24">
            <w:pPr>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19</w:t>
            </w:r>
            <w:r w:rsidR="00BC5D24" w:rsidRPr="00646254">
              <w:rPr>
                <w:rFonts w:cstheme="minorHAnsi"/>
                <w:color w:val="002060"/>
                <w:sz w:val="14"/>
                <w:szCs w:val="14"/>
                <w:lang w:val="sr-Cyrl-CS"/>
              </w:rPr>
              <w:t>,</w:t>
            </w:r>
            <w:r w:rsidRPr="00646254">
              <w:rPr>
                <w:rFonts w:cstheme="minorHAnsi"/>
                <w:color w:val="002060"/>
                <w:sz w:val="14"/>
                <w:szCs w:val="14"/>
                <w:lang w:val="sr-Cyrl-CS"/>
              </w:rPr>
              <w:t>9</w:t>
            </w:r>
          </w:p>
        </w:tc>
        <w:tc>
          <w:tcPr>
            <w:tcW w:w="1076" w:type="dxa"/>
            <w:tcBorders>
              <w:top w:val="nil"/>
            </w:tcBorders>
            <w:shd w:val="clear" w:color="auto" w:fill="FFFFFF" w:themeFill="background1"/>
            <w:noWrap/>
            <w:vAlign w:val="bottom"/>
            <w:hideMark/>
          </w:tcPr>
          <w:p w14:paraId="31569805" w14:textId="4326E006" w:rsidR="00960AC3" w:rsidRPr="00646254" w:rsidRDefault="00960AC3" w:rsidP="00BC5D24">
            <w:pPr>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3</w:t>
            </w:r>
            <w:r w:rsidR="00BC5D24" w:rsidRPr="00646254">
              <w:rPr>
                <w:rFonts w:cstheme="minorHAnsi"/>
                <w:color w:val="002060"/>
                <w:sz w:val="14"/>
                <w:szCs w:val="14"/>
                <w:lang w:val="sr-Cyrl-CS"/>
              </w:rPr>
              <w:t>,</w:t>
            </w:r>
            <w:r w:rsidRPr="00646254">
              <w:rPr>
                <w:rFonts w:cstheme="minorHAnsi"/>
                <w:color w:val="002060"/>
                <w:sz w:val="14"/>
                <w:szCs w:val="14"/>
                <w:lang w:val="sr-Cyrl-CS"/>
              </w:rPr>
              <w:t>6</w:t>
            </w:r>
          </w:p>
        </w:tc>
      </w:tr>
      <w:tr w:rsidR="00960AC3" w:rsidRPr="00646254" w14:paraId="4D279AE5" w14:textId="77777777" w:rsidTr="00BC5D24">
        <w:trPr>
          <w:trHeight w:val="174"/>
        </w:trPr>
        <w:tc>
          <w:tcPr>
            <w:cnfStyle w:val="001000000000" w:firstRow="0" w:lastRow="0" w:firstColumn="1" w:lastColumn="0" w:oddVBand="0" w:evenVBand="0" w:oddHBand="0" w:evenHBand="0" w:firstRowFirstColumn="0" w:firstRowLastColumn="0" w:lastRowFirstColumn="0" w:lastRowLastColumn="0"/>
            <w:tcW w:w="2875" w:type="dxa"/>
            <w:tcBorders>
              <w:top w:val="nil"/>
            </w:tcBorders>
            <w:shd w:val="clear" w:color="auto" w:fill="FFFFFF" w:themeFill="background1"/>
            <w:noWrap/>
            <w:vAlign w:val="bottom"/>
            <w:hideMark/>
          </w:tcPr>
          <w:p w14:paraId="03EB6F46" w14:textId="77777777" w:rsidR="00960AC3" w:rsidRPr="00646254" w:rsidRDefault="00960AC3" w:rsidP="00BC5D24">
            <w:pPr>
              <w:tabs>
                <w:tab w:val="center" w:pos="4680"/>
                <w:tab w:val="right" w:pos="9360"/>
              </w:tabs>
              <w:rPr>
                <w:rFonts w:cstheme="minorHAnsi"/>
                <w:b w:val="0"/>
                <w:color w:val="002060"/>
                <w:sz w:val="14"/>
                <w:szCs w:val="14"/>
                <w:lang w:val="sr-Cyrl-CS"/>
              </w:rPr>
            </w:pPr>
            <w:r w:rsidRPr="00646254">
              <w:rPr>
                <w:rFonts w:cstheme="minorHAnsi"/>
                <w:b w:val="0"/>
                <w:color w:val="002060"/>
                <w:sz w:val="14"/>
                <w:szCs w:val="14"/>
                <w:lang w:val="sr-Cyrl-CS"/>
              </w:rPr>
              <w:t xml:space="preserve">      Порески приходи</w:t>
            </w:r>
          </w:p>
        </w:tc>
        <w:tc>
          <w:tcPr>
            <w:tcW w:w="1028" w:type="dxa"/>
            <w:tcBorders>
              <w:top w:val="nil"/>
            </w:tcBorders>
            <w:shd w:val="clear" w:color="auto" w:fill="FFFFFF" w:themeFill="background1"/>
            <w:noWrap/>
            <w:vAlign w:val="bottom"/>
            <w:hideMark/>
          </w:tcPr>
          <w:p w14:paraId="7A1871D8" w14:textId="2314DBF3" w:rsidR="00960AC3" w:rsidRPr="00646254" w:rsidRDefault="00BC5D24"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2.</w:t>
            </w:r>
            <w:r w:rsidR="00960AC3" w:rsidRPr="00646254">
              <w:rPr>
                <w:rFonts w:cstheme="minorHAnsi"/>
                <w:color w:val="002060"/>
                <w:sz w:val="14"/>
                <w:szCs w:val="14"/>
                <w:lang w:val="sr-Cyrl-CS"/>
              </w:rPr>
              <w:t>526</w:t>
            </w:r>
            <w:r w:rsidRPr="00646254">
              <w:rPr>
                <w:rFonts w:cstheme="minorHAnsi"/>
                <w:color w:val="002060"/>
                <w:sz w:val="14"/>
                <w:szCs w:val="14"/>
                <w:lang w:val="sr-Cyrl-CS"/>
              </w:rPr>
              <w:t>,</w:t>
            </w:r>
            <w:r w:rsidR="00960AC3" w:rsidRPr="00646254">
              <w:rPr>
                <w:rFonts w:cstheme="minorHAnsi"/>
                <w:color w:val="002060"/>
                <w:sz w:val="14"/>
                <w:szCs w:val="14"/>
                <w:lang w:val="sr-Cyrl-CS"/>
              </w:rPr>
              <w:t>6</w:t>
            </w:r>
          </w:p>
        </w:tc>
        <w:tc>
          <w:tcPr>
            <w:tcW w:w="1028" w:type="dxa"/>
            <w:tcBorders>
              <w:top w:val="nil"/>
            </w:tcBorders>
            <w:shd w:val="clear" w:color="auto" w:fill="FFFFFF" w:themeFill="background1"/>
            <w:noWrap/>
            <w:vAlign w:val="bottom"/>
            <w:hideMark/>
          </w:tcPr>
          <w:p w14:paraId="16D46C20" w14:textId="015E28C6" w:rsidR="00960AC3" w:rsidRPr="00646254" w:rsidRDefault="00A20A7C"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1.</w:t>
            </w:r>
            <w:r w:rsidR="00960AC3" w:rsidRPr="00646254">
              <w:rPr>
                <w:rFonts w:cstheme="minorHAnsi"/>
                <w:color w:val="002060"/>
                <w:sz w:val="14"/>
                <w:szCs w:val="14"/>
                <w:lang w:val="sr-Cyrl-CS"/>
              </w:rPr>
              <w:t>317</w:t>
            </w:r>
            <w:r w:rsidR="00BC5D24" w:rsidRPr="00646254">
              <w:rPr>
                <w:rFonts w:cstheme="minorHAnsi"/>
                <w:color w:val="002060"/>
                <w:sz w:val="14"/>
                <w:szCs w:val="14"/>
                <w:lang w:val="sr-Cyrl-CS"/>
              </w:rPr>
              <w:t>,</w:t>
            </w:r>
            <w:r w:rsidR="00960AC3" w:rsidRPr="00646254">
              <w:rPr>
                <w:rFonts w:cstheme="minorHAnsi"/>
                <w:color w:val="002060"/>
                <w:sz w:val="14"/>
                <w:szCs w:val="14"/>
                <w:lang w:val="sr-Cyrl-CS"/>
              </w:rPr>
              <w:t>8</w:t>
            </w:r>
          </w:p>
        </w:tc>
        <w:tc>
          <w:tcPr>
            <w:tcW w:w="1042" w:type="dxa"/>
            <w:tcBorders>
              <w:top w:val="nil"/>
            </w:tcBorders>
            <w:shd w:val="clear" w:color="auto" w:fill="FFFFFF" w:themeFill="background1"/>
            <w:noWrap/>
            <w:vAlign w:val="bottom"/>
            <w:hideMark/>
          </w:tcPr>
          <w:p w14:paraId="6E44B674" w14:textId="08D1E83D"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283</w:t>
            </w:r>
            <w:r w:rsidR="00BC5D24" w:rsidRPr="00646254">
              <w:rPr>
                <w:rFonts w:cstheme="minorHAnsi"/>
                <w:color w:val="002060"/>
                <w:sz w:val="14"/>
                <w:szCs w:val="14"/>
                <w:lang w:val="sr-Cyrl-CS"/>
              </w:rPr>
              <w:t>,</w:t>
            </w:r>
            <w:r w:rsidRPr="00646254">
              <w:rPr>
                <w:rFonts w:cstheme="minorHAnsi"/>
                <w:color w:val="002060"/>
                <w:sz w:val="14"/>
                <w:szCs w:val="14"/>
                <w:lang w:val="sr-Cyrl-CS"/>
              </w:rPr>
              <w:t>0</w:t>
            </w:r>
          </w:p>
        </w:tc>
        <w:tc>
          <w:tcPr>
            <w:tcW w:w="1007" w:type="dxa"/>
            <w:tcBorders>
              <w:top w:val="nil"/>
            </w:tcBorders>
            <w:shd w:val="clear" w:color="auto" w:fill="FFFFFF" w:themeFill="background1"/>
            <w:noWrap/>
            <w:vAlign w:val="bottom"/>
            <w:hideMark/>
          </w:tcPr>
          <w:p w14:paraId="5D186E22" w14:textId="2F5FE781"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260</w:t>
            </w:r>
            <w:r w:rsidR="00BC5D24" w:rsidRPr="00646254">
              <w:rPr>
                <w:rFonts w:cstheme="minorHAnsi"/>
                <w:color w:val="002060"/>
                <w:sz w:val="14"/>
                <w:szCs w:val="14"/>
                <w:lang w:val="sr-Cyrl-CS"/>
              </w:rPr>
              <w:t>,</w:t>
            </w:r>
            <w:r w:rsidRPr="00646254">
              <w:rPr>
                <w:rFonts w:cstheme="minorHAnsi"/>
                <w:color w:val="002060"/>
                <w:sz w:val="14"/>
                <w:szCs w:val="14"/>
                <w:lang w:val="sr-Cyrl-CS"/>
              </w:rPr>
              <w:t>8</w:t>
            </w:r>
          </w:p>
        </w:tc>
        <w:tc>
          <w:tcPr>
            <w:tcW w:w="1076" w:type="dxa"/>
            <w:tcBorders>
              <w:top w:val="nil"/>
            </w:tcBorders>
            <w:shd w:val="clear" w:color="auto" w:fill="FFFFFF" w:themeFill="background1"/>
            <w:noWrap/>
            <w:vAlign w:val="bottom"/>
            <w:hideMark/>
          </w:tcPr>
          <w:p w14:paraId="0D460112" w14:textId="15F6DAE4"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22</w:t>
            </w:r>
            <w:r w:rsidR="00BC5D24" w:rsidRPr="00646254">
              <w:rPr>
                <w:rFonts w:cstheme="minorHAnsi"/>
                <w:color w:val="002060"/>
                <w:sz w:val="14"/>
                <w:szCs w:val="14"/>
                <w:lang w:val="sr-Cyrl-CS"/>
              </w:rPr>
              <w:t>,</w:t>
            </w:r>
            <w:r w:rsidRPr="00646254">
              <w:rPr>
                <w:rFonts w:cstheme="minorHAnsi"/>
                <w:color w:val="002060"/>
                <w:sz w:val="14"/>
                <w:szCs w:val="14"/>
                <w:lang w:val="sr-Cyrl-CS"/>
              </w:rPr>
              <w:t>2</w:t>
            </w:r>
          </w:p>
        </w:tc>
        <w:tc>
          <w:tcPr>
            <w:tcW w:w="1022" w:type="dxa"/>
            <w:tcBorders>
              <w:top w:val="nil"/>
            </w:tcBorders>
            <w:shd w:val="clear" w:color="auto" w:fill="FFFFFF" w:themeFill="background1"/>
            <w:noWrap/>
            <w:vAlign w:val="bottom"/>
          </w:tcPr>
          <w:p w14:paraId="51A3C689" w14:textId="77777777"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color w:val="002060"/>
                <w:sz w:val="14"/>
                <w:szCs w:val="14"/>
                <w:lang w:val="sr-Cyrl-CS"/>
              </w:rPr>
            </w:pPr>
          </w:p>
        </w:tc>
        <w:tc>
          <w:tcPr>
            <w:tcW w:w="1076" w:type="dxa"/>
            <w:tcBorders>
              <w:top w:val="nil"/>
            </w:tcBorders>
            <w:shd w:val="clear" w:color="auto" w:fill="FFFFFF" w:themeFill="background1"/>
            <w:noWrap/>
            <w:vAlign w:val="bottom"/>
            <w:hideMark/>
          </w:tcPr>
          <w:p w14:paraId="13045C0D" w14:textId="17CFE43B"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925</w:t>
            </w:r>
            <w:r w:rsidR="00BC5D24" w:rsidRPr="00646254">
              <w:rPr>
                <w:rFonts w:cstheme="minorHAnsi"/>
                <w:color w:val="002060"/>
                <w:sz w:val="14"/>
                <w:szCs w:val="14"/>
                <w:lang w:val="sr-Cyrl-CS"/>
              </w:rPr>
              <w:t>,</w:t>
            </w:r>
            <w:r w:rsidRPr="00646254">
              <w:rPr>
                <w:rFonts w:cstheme="minorHAnsi"/>
                <w:color w:val="002060"/>
                <w:sz w:val="14"/>
                <w:szCs w:val="14"/>
                <w:lang w:val="sr-Cyrl-CS"/>
              </w:rPr>
              <w:t>8</w:t>
            </w:r>
          </w:p>
        </w:tc>
        <w:tc>
          <w:tcPr>
            <w:tcW w:w="1076" w:type="dxa"/>
            <w:tcBorders>
              <w:top w:val="nil"/>
            </w:tcBorders>
            <w:shd w:val="clear" w:color="auto" w:fill="FFFFFF" w:themeFill="background1"/>
            <w:noWrap/>
            <w:vAlign w:val="bottom"/>
            <w:hideMark/>
          </w:tcPr>
          <w:p w14:paraId="294C0FE1" w14:textId="6DD364E7"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649</w:t>
            </w:r>
            <w:r w:rsidR="00BC5D24" w:rsidRPr="00646254">
              <w:rPr>
                <w:rFonts w:cstheme="minorHAnsi"/>
                <w:color w:val="002060"/>
                <w:sz w:val="14"/>
                <w:szCs w:val="14"/>
                <w:lang w:val="sr-Cyrl-CS"/>
              </w:rPr>
              <w:t>,</w:t>
            </w:r>
            <w:r w:rsidRPr="00646254">
              <w:rPr>
                <w:rFonts w:cstheme="minorHAnsi"/>
                <w:color w:val="002060"/>
                <w:sz w:val="14"/>
                <w:szCs w:val="14"/>
                <w:lang w:val="sr-Cyrl-CS"/>
              </w:rPr>
              <w:t>1</w:t>
            </w:r>
          </w:p>
        </w:tc>
        <w:tc>
          <w:tcPr>
            <w:tcW w:w="1076" w:type="dxa"/>
            <w:tcBorders>
              <w:top w:val="nil"/>
            </w:tcBorders>
            <w:shd w:val="clear" w:color="auto" w:fill="FFFFFF" w:themeFill="background1"/>
            <w:noWrap/>
            <w:vAlign w:val="bottom"/>
            <w:hideMark/>
          </w:tcPr>
          <w:p w14:paraId="6609E435" w14:textId="6FA8DA2B"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255</w:t>
            </w:r>
            <w:r w:rsidR="00BC5D24" w:rsidRPr="00646254">
              <w:rPr>
                <w:rFonts w:cstheme="minorHAnsi"/>
                <w:color w:val="002060"/>
                <w:sz w:val="14"/>
                <w:szCs w:val="14"/>
                <w:lang w:val="sr-Cyrl-CS"/>
              </w:rPr>
              <w:t>,</w:t>
            </w:r>
            <w:r w:rsidRPr="00646254">
              <w:rPr>
                <w:rFonts w:cstheme="minorHAnsi"/>
                <w:color w:val="002060"/>
                <w:sz w:val="14"/>
                <w:szCs w:val="14"/>
                <w:lang w:val="sr-Cyrl-CS"/>
              </w:rPr>
              <w:t>0</w:t>
            </w:r>
          </w:p>
        </w:tc>
        <w:tc>
          <w:tcPr>
            <w:tcW w:w="1076" w:type="dxa"/>
            <w:tcBorders>
              <w:top w:val="nil"/>
            </w:tcBorders>
            <w:shd w:val="clear" w:color="auto" w:fill="FFFFFF" w:themeFill="background1"/>
            <w:noWrap/>
            <w:vAlign w:val="bottom"/>
            <w:hideMark/>
          </w:tcPr>
          <w:p w14:paraId="2484AB4F" w14:textId="4C851E79" w:rsidR="00960AC3" w:rsidRPr="00646254" w:rsidRDefault="00960AC3" w:rsidP="00BC5D24">
            <w:pPr>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18</w:t>
            </w:r>
            <w:r w:rsidR="00BC5D24" w:rsidRPr="00646254">
              <w:rPr>
                <w:rFonts w:cstheme="minorHAnsi"/>
                <w:color w:val="002060"/>
                <w:sz w:val="14"/>
                <w:szCs w:val="14"/>
                <w:lang w:val="sr-Cyrl-CS"/>
              </w:rPr>
              <w:t>,</w:t>
            </w:r>
            <w:r w:rsidRPr="00646254">
              <w:rPr>
                <w:rFonts w:cstheme="minorHAnsi"/>
                <w:color w:val="002060"/>
                <w:sz w:val="14"/>
                <w:szCs w:val="14"/>
                <w:lang w:val="sr-Cyrl-CS"/>
              </w:rPr>
              <w:t>7</w:t>
            </w:r>
          </w:p>
        </w:tc>
        <w:tc>
          <w:tcPr>
            <w:tcW w:w="1076" w:type="dxa"/>
            <w:tcBorders>
              <w:top w:val="nil"/>
            </w:tcBorders>
            <w:shd w:val="clear" w:color="auto" w:fill="FFFFFF" w:themeFill="background1"/>
            <w:noWrap/>
            <w:vAlign w:val="bottom"/>
            <w:hideMark/>
          </w:tcPr>
          <w:p w14:paraId="10ACB850" w14:textId="4D98326D" w:rsidR="00960AC3" w:rsidRPr="00646254" w:rsidRDefault="00960AC3" w:rsidP="00BC5D24">
            <w:pPr>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3</w:t>
            </w:r>
            <w:r w:rsidR="00BC5D24" w:rsidRPr="00646254">
              <w:rPr>
                <w:rFonts w:cstheme="minorHAnsi"/>
                <w:color w:val="002060"/>
                <w:sz w:val="14"/>
                <w:szCs w:val="14"/>
                <w:lang w:val="sr-Cyrl-CS"/>
              </w:rPr>
              <w:t>,</w:t>
            </w:r>
            <w:r w:rsidRPr="00646254">
              <w:rPr>
                <w:rFonts w:cstheme="minorHAnsi"/>
                <w:color w:val="002060"/>
                <w:sz w:val="14"/>
                <w:szCs w:val="14"/>
                <w:lang w:val="sr-Cyrl-CS"/>
              </w:rPr>
              <w:t>0</w:t>
            </w:r>
          </w:p>
        </w:tc>
      </w:tr>
      <w:tr w:rsidR="00960AC3" w:rsidRPr="00646254" w14:paraId="0C1F8617" w14:textId="77777777" w:rsidTr="00BC5D24">
        <w:trPr>
          <w:cnfStyle w:val="000000100000" w:firstRow="0" w:lastRow="0" w:firstColumn="0" w:lastColumn="0" w:oddVBand="0" w:evenVBand="0" w:oddHBand="1" w:evenHBand="0" w:firstRowFirstColumn="0" w:firstRowLastColumn="0" w:lastRowFirstColumn="0" w:lastRowLastColumn="0"/>
          <w:trHeight w:val="174"/>
        </w:trPr>
        <w:tc>
          <w:tcPr>
            <w:cnfStyle w:val="001000000000" w:firstRow="0" w:lastRow="0" w:firstColumn="1" w:lastColumn="0" w:oddVBand="0" w:evenVBand="0" w:oddHBand="0" w:evenHBand="0" w:firstRowFirstColumn="0" w:firstRowLastColumn="0" w:lastRowFirstColumn="0" w:lastRowLastColumn="0"/>
            <w:tcW w:w="2875" w:type="dxa"/>
            <w:tcBorders>
              <w:top w:val="nil"/>
            </w:tcBorders>
            <w:shd w:val="clear" w:color="auto" w:fill="FFFFFF" w:themeFill="background1"/>
            <w:noWrap/>
            <w:vAlign w:val="bottom"/>
            <w:hideMark/>
          </w:tcPr>
          <w:p w14:paraId="036E2820" w14:textId="06213C59" w:rsidR="00960AC3" w:rsidRPr="00646254" w:rsidRDefault="00BC5D24" w:rsidP="00BC5D24">
            <w:pPr>
              <w:tabs>
                <w:tab w:val="center" w:pos="4680"/>
                <w:tab w:val="right" w:pos="9360"/>
              </w:tabs>
              <w:rPr>
                <w:rFonts w:cstheme="minorHAnsi"/>
                <w:b w:val="0"/>
                <w:color w:val="002060"/>
                <w:sz w:val="14"/>
                <w:szCs w:val="14"/>
                <w:lang w:val="sr-Cyrl-CS"/>
              </w:rPr>
            </w:pPr>
            <w:r w:rsidRPr="00646254">
              <w:rPr>
                <w:rFonts w:cstheme="minorHAnsi"/>
                <w:b w:val="0"/>
                <w:color w:val="002060"/>
                <w:sz w:val="14"/>
                <w:szCs w:val="14"/>
                <w:lang w:val="sr-Cyrl-CS"/>
              </w:rPr>
              <w:t xml:space="preserve">            Порез на доходак</w:t>
            </w:r>
          </w:p>
        </w:tc>
        <w:tc>
          <w:tcPr>
            <w:tcW w:w="1028" w:type="dxa"/>
            <w:tcBorders>
              <w:top w:val="nil"/>
            </w:tcBorders>
            <w:shd w:val="clear" w:color="auto" w:fill="FFFFFF" w:themeFill="background1"/>
            <w:noWrap/>
            <w:vAlign w:val="bottom"/>
            <w:hideMark/>
          </w:tcPr>
          <w:p w14:paraId="3405FA70" w14:textId="6179CB17"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274</w:t>
            </w:r>
            <w:r w:rsidR="00BC5D24" w:rsidRPr="00646254">
              <w:rPr>
                <w:rFonts w:cstheme="minorHAnsi"/>
                <w:color w:val="002060"/>
                <w:sz w:val="14"/>
                <w:szCs w:val="14"/>
                <w:lang w:val="sr-Cyrl-CS"/>
              </w:rPr>
              <w:t>,</w:t>
            </w:r>
            <w:r w:rsidRPr="00646254">
              <w:rPr>
                <w:rFonts w:cstheme="minorHAnsi"/>
                <w:color w:val="002060"/>
                <w:sz w:val="14"/>
                <w:szCs w:val="14"/>
                <w:lang w:val="sr-Cyrl-CS"/>
              </w:rPr>
              <w:t>5</w:t>
            </w:r>
          </w:p>
        </w:tc>
        <w:tc>
          <w:tcPr>
            <w:tcW w:w="1028" w:type="dxa"/>
            <w:tcBorders>
              <w:top w:val="nil"/>
            </w:tcBorders>
            <w:shd w:val="clear" w:color="auto" w:fill="FFFFFF" w:themeFill="background1"/>
            <w:noWrap/>
            <w:vAlign w:val="bottom"/>
            <w:hideMark/>
          </w:tcPr>
          <w:p w14:paraId="646577F9" w14:textId="4653D17B"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87</w:t>
            </w:r>
            <w:r w:rsidR="00BC5D24" w:rsidRPr="00646254">
              <w:rPr>
                <w:rFonts w:cstheme="minorHAnsi"/>
                <w:color w:val="002060"/>
                <w:sz w:val="14"/>
                <w:szCs w:val="14"/>
                <w:lang w:val="sr-Cyrl-CS"/>
              </w:rPr>
              <w:t>,</w:t>
            </w:r>
            <w:r w:rsidRPr="00646254">
              <w:rPr>
                <w:rFonts w:cstheme="minorHAnsi"/>
                <w:color w:val="002060"/>
                <w:sz w:val="14"/>
                <w:szCs w:val="14"/>
                <w:lang w:val="sr-Cyrl-CS"/>
              </w:rPr>
              <w:t>7</w:t>
            </w:r>
          </w:p>
        </w:tc>
        <w:tc>
          <w:tcPr>
            <w:tcW w:w="1042" w:type="dxa"/>
            <w:tcBorders>
              <w:top w:val="nil"/>
            </w:tcBorders>
            <w:shd w:val="clear" w:color="auto" w:fill="FFFFFF" w:themeFill="background1"/>
            <w:noWrap/>
            <w:vAlign w:val="bottom"/>
            <w:hideMark/>
          </w:tcPr>
          <w:p w14:paraId="23B86AC5" w14:textId="2002A19B"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186</w:t>
            </w:r>
            <w:r w:rsidR="00BC5D24" w:rsidRPr="00646254">
              <w:rPr>
                <w:rFonts w:cstheme="minorHAnsi"/>
                <w:color w:val="002060"/>
                <w:sz w:val="14"/>
                <w:szCs w:val="14"/>
                <w:lang w:val="sr-Cyrl-CS"/>
              </w:rPr>
              <w:t>,</w:t>
            </w:r>
            <w:r w:rsidRPr="00646254">
              <w:rPr>
                <w:rFonts w:cstheme="minorHAnsi"/>
                <w:color w:val="002060"/>
                <w:sz w:val="14"/>
                <w:szCs w:val="14"/>
                <w:lang w:val="sr-Cyrl-CS"/>
              </w:rPr>
              <w:t>8</w:t>
            </w:r>
          </w:p>
        </w:tc>
        <w:tc>
          <w:tcPr>
            <w:tcW w:w="1007" w:type="dxa"/>
            <w:tcBorders>
              <w:top w:val="nil"/>
            </w:tcBorders>
            <w:shd w:val="clear" w:color="auto" w:fill="FFFFFF" w:themeFill="background1"/>
            <w:noWrap/>
            <w:vAlign w:val="bottom"/>
            <w:hideMark/>
          </w:tcPr>
          <w:p w14:paraId="74E4BCD6" w14:textId="02E55E0F"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177</w:t>
            </w:r>
            <w:r w:rsidR="00BC5D24" w:rsidRPr="00646254">
              <w:rPr>
                <w:rFonts w:cstheme="minorHAnsi"/>
                <w:color w:val="002060"/>
                <w:sz w:val="14"/>
                <w:szCs w:val="14"/>
                <w:lang w:val="sr-Cyrl-CS"/>
              </w:rPr>
              <w:t>,</w:t>
            </w:r>
            <w:r w:rsidRPr="00646254">
              <w:rPr>
                <w:rFonts w:cstheme="minorHAnsi"/>
                <w:color w:val="002060"/>
                <w:sz w:val="14"/>
                <w:szCs w:val="14"/>
                <w:lang w:val="sr-Cyrl-CS"/>
              </w:rPr>
              <w:t>6</w:t>
            </w:r>
          </w:p>
        </w:tc>
        <w:tc>
          <w:tcPr>
            <w:tcW w:w="1076" w:type="dxa"/>
            <w:tcBorders>
              <w:top w:val="nil"/>
            </w:tcBorders>
            <w:shd w:val="clear" w:color="auto" w:fill="FFFFFF" w:themeFill="background1"/>
            <w:noWrap/>
            <w:vAlign w:val="bottom"/>
            <w:hideMark/>
          </w:tcPr>
          <w:p w14:paraId="062D6391" w14:textId="6790DC0D"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9</w:t>
            </w:r>
            <w:r w:rsidR="00BC5D24" w:rsidRPr="00646254">
              <w:rPr>
                <w:rFonts w:cstheme="minorHAnsi"/>
                <w:color w:val="002060"/>
                <w:sz w:val="14"/>
                <w:szCs w:val="14"/>
                <w:lang w:val="sr-Cyrl-CS"/>
              </w:rPr>
              <w:t>,</w:t>
            </w:r>
            <w:r w:rsidRPr="00646254">
              <w:rPr>
                <w:rFonts w:cstheme="minorHAnsi"/>
                <w:color w:val="002060"/>
                <w:sz w:val="14"/>
                <w:szCs w:val="14"/>
                <w:lang w:val="sr-Cyrl-CS"/>
              </w:rPr>
              <w:t>1</w:t>
            </w:r>
          </w:p>
        </w:tc>
        <w:tc>
          <w:tcPr>
            <w:tcW w:w="1022" w:type="dxa"/>
            <w:tcBorders>
              <w:top w:val="nil"/>
            </w:tcBorders>
            <w:shd w:val="clear" w:color="auto" w:fill="FFFFFF" w:themeFill="background1"/>
            <w:noWrap/>
            <w:vAlign w:val="bottom"/>
          </w:tcPr>
          <w:p w14:paraId="1651750A" w14:textId="77777777"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color w:val="002060"/>
                <w:sz w:val="14"/>
                <w:szCs w:val="14"/>
                <w:lang w:val="sr-Cyrl-CS"/>
              </w:rPr>
            </w:pPr>
          </w:p>
        </w:tc>
        <w:tc>
          <w:tcPr>
            <w:tcW w:w="1076" w:type="dxa"/>
            <w:tcBorders>
              <w:top w:val="nil"/>
            </w:tcBorders>
            <w:shd w:val="clear" w:color="auto" w:fill="FFFFFF" w:themeFill="background1"/>
            <w:noWrap/>
            <w:vAlign w:val="bottom"/>
            <w:hideMark/>
          </w:tcPr>
          <w:p w14:paraId="4E03BF6C" w14:textId="0DF5444F"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0</w:t>
            </w:r>
            <w:r w:rsidR="00BC5D24" w:rsidRPr="00646254">
              <w:rPr>
                <w:rFonts w:cstheme="minorHAnsi"/>
                <w:color w:val="002060"/>
                <w:sz w:val="14"/>
                <w:szCs w:val="14"/>
                <w:lang w:val="sr-Cyrl-CS"/>
              </w:rPr>
              <w:t>,</w:t>
            </w:r>
            <w:r w:rsidRPr="00646254">
              <w:rPr>
                <w:rFonts w:cstheme="minorHAnsi"/>
                <w:color w:val="002060"/>
                <w:sz w:val="14"/>
                <w:szCs w:val="14"/>
                <w:lang w:val="sr-Cyrl-CS"/>
              </w:rPr>
              <w:t>0</w:t>
            </w:r>
          </w:p>
        </w:tc>
        <w:tc>
          <w:tcPr>
            <w:tcW w:w="1076" w:type="dxa"/>
            <w:tcBorders>
              <w:top w:val="nil"/>
            </w:tcBorders>
            <w:shd w:val="clear" w:color="auto" w:fill="FFFFFF" w:themeFill="background1"/>
            <w:noWrap/>
            <w:vAlign w:val="bottom"/>
          </w:tcPr>
          <w:p w14:paraId="00D37452" w14:textId="77777777"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color w:val="002060"/>
                <w:sz w:val="14"/>
                <w:szCs w:val="14"/>
                <w:lang w:val="sr-Cyrl-CS"/>
              </w:rPr>
            </w:pPr>
          </w:p>
        </w:tc>
        <w:tc>
          <w:tcPr>
            <w:tcW w:w="1076" w:type="dxa"/>
            <w:tcBorders>
              <w:top w:val="nil"/>
            </w:tcBorders>
            <w:shd w:val="clear" w:color="auto" w:fill="FFFFFF" w:themeFill="background1"/>
            <w:noWrap/>
            <w:vAlign w:val="bottom"/>
          </w:tcPr>
          <w:p w14:paraId="4B221859" w14:textId="77777777"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color w:val="002060"/>
                <w:sz w:val="14"/>
                <w:szCs w:val="14"/>
                <w:lang w:val="sr-Cyrl-CS"/>
              </w:rPr>
            </w:pPr>
          </w:p>
        </w:tc>
        <w:tc>
          <w:tcPr>
            <w:tcW w:w="1076" w:type="dxa"/>
            <w:tcBorders>
              <w:top w:val="nil"/>
            </w:tcBorders>
            <w:shd w:val="clear" w:color="auto" w:fill="FFFFFF" w:themeFill="background1"/>
            <w:noWrap/>
            <w:vAlign w:val="bottom"/>
          </w:tcPr>
          <w:p w14:paraId="760CEEC3" w14:textId="77777777" w:rsidR="00960AC3" w:rsidRPr="00646254" w:rsidRDefault="00960AC3" w:rsidP="00BC5D24">
            <w:pPr>
              <w:jc w:val="center"/>
              <w:cnfStyle w:val="000000100000" w:firstRow="0" w:lastRow="0" w:firstColumn="0" w:lastColumn="0" w:oddVBand="0" w:evenVBand="0" w:oddHBand="1" w:evenHBand="0" w:firstRowFirstColumn="0" w:firstRowLastColumn="0" w:lastRowFirstColumn="0" w:lastRowLastColumn="0"/>
              <w:rPr>
                <w:color w:val="002060"/>
                <w:sz w:val="14"/>
                <w:szCs w:val="14"/>
                <w:lang w:val="sr-Cyrl-CS"/>
              </w:rPr>
            </w:pPr>
          </w:p>
        </w:tc>
        <w:tc>
          <w:tcPr>
            <w:tcW w:w="1076" w:type="dxa"/>
            <w:tcBorders>
              <w:top w:val="nil"/>
            </w:tcBorders>
            <w:shd w:val="clear" w:color="auto" w:fill="FFFFFF" w:themeFill="background1"/>
            <w:noWrap/>
            <w:vAlign w:val="bottom"/>
          </w:tcPr>
          <w:p w14:paraId="6930B1BD" w14:textId="77777777" w:rsidR="00960AC3" w:rsidRPr="00646254" w:rsidRDefault="00960AC3" w:rsidP="00BC5D24">
            <w:pPr>
              <w:jc w:val="center"/>
              <w:cnfStyle w:val="000000100000" w:firstRow="0" w:lastRow="0" w:firstColumn="0" w:lastColumn="0" w:oddVBand="0" w:evenVBand="0" w:oddHBand="1" w:evenHBand="0" w:firstRowFirstColumn="0" w:firstRowLastColumn="0" w:lastRowFirstColumn="0" w:lastRowLastColumn="0"/>
              <w:rPr>
                <w:color w:val="002060"/>
                <w:sz w:val="14"/>
                <w:szCs w:val="14"/>
                <w:lang w:val="sr-Cyrl-CS"/>
              </w:rPr>
            </w:pPr>
          </w:p>
        </w:tc>
      </w:tr>
      <w:tr w:rsidR="00960AC3" w:rsidRPr="00646254" w14:paraId="44DBFC51" w14:textId="77777777" w:rsidTr="00BC5D24">
        <w:trPr>
          <w:trHeight w:val="174"/>
        </w:trPr>
        <w:tc>
          <w:tcPr>
            <w:cnfStyle w:val="001000000000" w:firstRow="0" w:lastRow="0" w:firstColumn="1" w:lastColumn="0" w:oddVBand="0" w:evenVBand="0" w:oddHBand="0" w:evenHBand="0" w:firstRowFirstColumn="0" w:firstRowLastColumn="0" w:lastRowFirstColumn="0" w:lastRowLastColumn="0"/>
            <w:tcW w:w="2875" w:type="dxa"/>
            <w:tcBorders>
              <w:top w:val="nil"/>
            </w:tcBorders>
            <w:shd w:val="clear" w:color="auto" w:fill="FFFFFF" w:themeFill="background1"/>
            <w:noWrap/>
            <w:vAlign w:val="bottom"/>
            <w:hideMark/>
          </w:tcPr>
          <w:p w14:paraId="3067DF72" w14:textId="77777777" w:rsidR="00960AC3" w:rsidRPr="00646254" w:rsidRDefault="00960AC3" w:rsidP="00BC5D24">
            <w:pPr>
              <w:tabs>
                <w:tab w:val="center" w:pos="4680"/>
                <w:tab w:val="right" w:pos="9360"/>
              </w:tabs>
              <w:rPr>
                <w:rFonts w:cstheme="minorHAnsi"/>
                <w:b w:val="0"/>
                <w:color w:val="002060"/>
                <w:sz w:val="14"/>
                <w:szCs w:val="14"/>
                <w:lang w:val="sr-Cyrl-CS"/>
              </w:rPr>
            </w:pPr>
            <w:r w:rsidRPr="00646254">
              <w:rPr>
                <w:rFonts w:cstheme="minorHAnsi"/>
                <w:b w:val="0"/>
                <w:color w:val="002060"/>
                <w:sz w:val="14"/>
                <w:szCs w:val="14"/>
                <w:lang w:val="sr-Cyrl-CS"/>
              </w:rPr>
              <w:t xml:space="preserve">            Доприноси</w:t>
            </w:r>
          </w:p>
        </w:tc>
        <w:tc>
          <w:tcPr>
            <w:tcW w:w="1028" w:type="dxa"/>
            <w:tcBorders>
              <w:top w:val="nil"/>
            </w:tcBorders>
            <w:shd w:val="clear" w:color="auto" w:fill="FFFFFF" w:themeFill="background1"/>
            <w:noWrap/>
            <w:vAlign w:val="bottom"/>
            <w:hideMark/>
          </w:tcPr>
          <w:p w14:paraId="1BF3F002" w14:textId="5CB310D8"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925</w:t>
            </w:r>
            <w:r w:rsidR="00BC5D24" w:rsidRPr="00646254">
              <w:rPr>
                <w:rFonts w:cstheme="minorHAnsi"/>
                <w:color w:val="002060"/>
                <w:sz w:val="14"/>
                <w:szCs w:val="14"/>
                <w:lang w:val="sr-Cyrl-CS"/>
              </w:rPr>
              <w:t>,</w:t>
            </w:r>
            <w:r w:rsidRPr="00646254">
              <w:rPr>
                <w:rFonts w:cstheme="minorHAnsi"/>
                <w:color w:val="002060"/>
                <w:sz w:val="14"/>
                <w:szCs w:val="14"/>
                <w:lang w:val="sr-Cyrl-CS"/>
              </w:rPr>
              <w:t>8</w:t>
            </w:r>
          </w:p>
        </w:tc>
        <w:tc>
          <w:tcPr>
            <w:tcW w:w="1028" w:type="dxa"/>
            <w:tcBorders>
              <w:top w:val="nil"/>
            </w:tcBorders>
            <w:shd w:val="clear" w:color="auto" w:fill="FFFFFF" w:themeFill="background1"/>
            <w:noWrap/>
            <w:vAlign w:val="bottom"/>
            <w:hideMark/>
          </w:tcPr>
          <w:p w14:paraId="784B3D29" w14:textId="77777777"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42" w:type="dxa"/>
            <w:tcBorders>
              <w:top w:val="nil"/>
            </w:tcBorders>
            <w:shd w:val="clear" w:color="auto" w:fill="FFFFFF" w:themeFill="background1"/>
            <w:noWrap/>
            <w:vAlign w:val="bottom"/>
            <w:hideMark/>
          </w:tcPr>
          <w:p w14:paraId="79765630" w14:textId="20372298"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0</w:t>
            </w:r>
            <w:r w:rsidR="00BC5D24" w:rsidRPr="00646254">
              <w:rPr>
                <w:rFonts w:cstheme="minorHAnsi"/>
                <w:color w:val="002060"/>
                <w:sz w:val="14"/>
                <w:szCs w:val="14"/>
                <w:lang w:val="sr-Cyrl-CS"/>
              </w:rPr>
              <w:t>,</w:t>
            </w:r>
            <w:r w:rsidRPr="00646254">
              <w:rPr>
                <w:rFonts w:cstheme="minorHAnsi"/>
                <w:color w:val="002060"/>
                <w:sz w:val="14"/>
                <w:szCs w:val="14"/>
                <w:lang w:val="sr-Cyrl-CS"/>
              </w:rPr>
              <w:t>0</w:t>
            </w:r>
          </w:p>
        </w:tc>
        <w:tc>
          <w:tcPr>
            <w:tcW w:w="1007" w:type="dxa"/>
            <w:tcBorders>
              <w:top w:val="nil"/>
            </w:tcBorders>
            <w:shd w:val="clear" w:color="auto" w:fill="FFFFFF" w:themeFill="background1"/>
            <w:noWrap/>
            <w:vAlign w:val="bottom"/>
            <w:hideMark/>
          </w:tcPr>
          <w:p w14:paraId="4BD558DC" w14:textId="77777777"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76" w:type="dxa"/>
            <w:tcBorders>
              <w:top w:val="nil"/>
            </w:tcBorders>
            <w:shd w:val="clear" w:color="auto" w:fill="FFFFFF" w:themeFill="background1"/>
            <w:noWrap/>
            <w:vAlign w:val="bottom"/>
            <w:hideMark/>
          </w:tcPr>
          <w:p w14:paraId="52BEDFA4" w14:textId="77777777"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22" w:type="dxa"/>
            <w:tcBorders>
              <w:top w:val="nil"/>
            </w:tcBorders>
            <w:shd w:val="clear" w:color="auto" w:fill="FFFFFF" w:themeFill="background1"/>
            <w:noWrap/>
            <w:vAlign w:val="bottom"/>
          </w:tcPr>
          <w:p w14:paraId="7F9669BF" w14:textId="77777777"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76" w:type="dxa"/>
            <w:tcBorders>
              <w:top w:val="nil"/>
            </w:tcBorders>
            <w:shd w:val="clear" w:color="auto" w:fill="FFFFFF" w:themeFill="background1"/>
            <w:noWrap/>
            <w:vAlign w:val="bottom"/>
            <w:hideMark/>
          </w:tcPr>
          <w:p w14:paraId="4863B60E" w14:textId="185104ED"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925</w:t>
            </w:r>
            <w:r w:rsidR="00BC5D24" w:rsidRPr="00646254">
              <w:rPr>
                <w:rFonts w:cstheme="minorHAnsi"/>
                <w:color w:val="002060"/>
                <w:sz w:val="14"/>
                <w:szCs w:val="14"/>
                <w:lang w:val="sr-Cyrl-CS"/>
              </w:rPr>
              <w:t>,</w:t>
            </w:r>
            <w:r w:rsidRPr="00646254">
              <w:rPr>
                <w:rFonts w:cstheme="minorHAnsi"/>
                <w:color w:val="002060"/>
                <w:sz w:val="14"/>
                <w:szCs w:val="14"/>
                <w:lang w:val="sr-Cyrl-CS"/>
              </w:rPr>
              <w:t>8</w:t>
            </w:r>
          </w:p>
        </w:tc>
        <w:tc>
          <w:tcPr>
            <w:tcW w:w="1076" w:type="dxa"/>
            <w:tcBorders>
              <w:top w:val="nil"/>
            </w:tcBorders>
            <w:shd w:val="clear" w:color="auto" w:fill="FFFFFF" w:themeFill="background1"/>
            <w:noWrap/>
            <w:vAlign w:val="bottom"/>
            <w:hideMark/>
          </w:tcPr>
          <w:p w14:paraId="344BFFB1" w14:textId="082FEEC4"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649</w:t>
            </w:r>
            <w:r w:rsidR="00BC5D24" w:rsidRPr="00646254">
              <w:rPr>
                <w:rFonts w:cstheme="minorHAnsi"/>
                <w:color w:val="002060"/>
                <w:sz w:val="14"/>
                <w:szCs w:val="14"/>
                <w:lang w:val="sr-Cyrl-CS"/>
              </w:rPr>
              <w:t>,</w:t>
            </w:r>
            <w:r w:rsidRPr="00646254">
              <w:rPr>
                <w:rFonts w:cstheme="minorHAnsi"/>
                <w:color w:val="002060"/>
                <w:sz w:val="14"/>
                <w:szCs w:val="14"/>
                <w:lang w:val="sr-Cyrl-CS"/>
              </w:rPr>
              <w:t>1</w:t>
            </w:r>
          </w:p>
        </w:tc>
        <w:tc>
          <w:tcPr>
            <w:tcW w:w="1076" w:type="dxa"/>
            <w:tcBorders>
              <w:top w:val="nil"/>
            </w:tcBorders>
            <w:shd w:val="clear" w:color="auto" w:fill="FFFFFF" w:themeFill="background1"/>
            <w:noWrap/>
            <w:vAlign w:val="bottom"/>
            <w:hideMark/>
          </w:tcPr>
          <w:p w14:paraId="629D0383" w14:textId="1BEEBBD0"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255</w:t>
            </w:r>
            <w:r w:rsidR="00BC5D24" w:rsidRPr="00646254">
              <w:rPr>
                <w:rFonts w:cstheme="minorHAnsi"/>
                <w:color w:val="002060"/>
                <w:sz w:val="14"/>
                <w:szCs w:val="14"/>
                <w:lang w:val="sr-Cyrl-CS"/>
              </w:rPr>
              <w:t>,</w:t>
            </w:r>
            <w:r w:rsidRPr="00646254">
              <w:rPr>
                <w:rFonts w:cstheme="minorHAnsi"/>
                <w:color w:val="002060"/>
                <w:sz w:val="14"/>
                <w:szCs w:val="14"/>
                <w:lang w:val="sr-Cyrl-CS"/>
              </w:rPr>
              <w:t>0</w:t>
            </w:r>
          </w:p>
        </w:tc>
        <w:tc>
          <w:tcPr>
            <w:tcW w:w="1076" w:type="dxa"/>
            <w:tcBorders>
              <w:top w:val="nil"/>
            </w:tcBorders>
            <w:shd w:val="clear" w:color="auto" w:fill="FFFFFF" w:themeFill="background1"/>
            <w:noWrap/>
            <w:vAlign w:val="bottom"/>
            <w:hideMark/>
          </w:tcPr>
          <w:p w14:paraId="3C9CAD1B" w14:textId="353E31C4" w:rsidR="00960AC3" w:rsidRPr="00646254" w:rsidRDefault="00960AC3" w:rsidP="00BC5D24">
            <w:pPr>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18</w:t>
            </w:r>
            <w:r w:rsidR="00BC5D24" w:rsidRPr="00646254">
              <w:rPr>
                <w:rFonts w:cstheme="minorHAnsi"/>
                <w:color w:val="002060"/>
                <w:sz w:val="14"/>
                <w:szCs w:val="14"/>
                <w:lang w:val="sr-Cyrl-CS"/>
              </w:rPr>
              <w:t>,</w:t>
            </w:r>
            <w:r w:rsidRPr="00646254">
              <w:rPr>
                <w:rFonts w:cstheme="minorHAnsi"/>
                <w:color w:val="002060"/>
                <w:sz w:val="14"/>
                <w:szCs w:val="14"/>
                <w:lang w:val="sr-Cyrl-CS"/>
              </w:rPr>
              <w:t>7</w:t>
            </w:r>
          </w:p>
        </w:tc>
        <w:tc>
          <w:tcPr>
            <w:tcW w:w="1076" w:type="dxa"/>
            <w:tcBorders>
              <w:top w:val="nil"/>
            </w:tcBorders>
            <w:shd w:val="clear" w:color="auto" w:fill="FFFFFF" w:themeFill="background1"/>
            <w:noWrap/>
            <w:vAlign w:val="bottom"/>
            <w:hideMark/>
          </w:tcPr>
          <w:p w14:paraId="61A9A997" w14:textId="0213C5BF" w:rsidR="00960AC3" w:rsidRPr="00646254" w:rsidRDefault="00960AC3" w:rsidP="00BC5D24">
            <w:pPr>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3</w:t>
            </w:r>
            <w:r w:rsidR="00BC5D24" w:rsidRPr="00646254">
              <w:rPr>
                <w:rFonts w:cstheme="minorHAnsi"/>
                <w:color w:val="002060"/>
                <w:sz w:val="14"/>
                <w:szCs w:val="14"/>
                <w:lang w:val="sr-Cyrl-CS"/>
              </w:rPr>
              <w:t>,</w:t>
            </w:r>
            <w:r w:rsidRPr="00646254">
              <w:rPr>
                <w:rFonts w:cstheme="minorHAnsi"/>
                <w:color w:val="002060"/>
                <w:sz w:val="14"/>
                <w:szCs w:val="14"/>
                <w:lang w:val="sr-Cyrl-CS"/>
              </w:rPr>
              <w:t>0</w:t>
            </w:r>
          </w:p>
        </w:tc>
      </w:tr>
      <w:tr w:rsidR="00960AC3" w:rsidRPr="00646254" w14:paraId="54E9FB4E" w14:textId="77777777" w:rsidTr="00BC5D24">
        <w:trPr>
          <w:cnfStyle w:val="000000100000" w:firstRow="0" w:lastRow="0" w:firstColumn="0" w:lastColumn="0" w:oddVBand="0" w:evenVBand="0" w:oddHBand="1" w:evenHBand="0" w:firstRowFirstColumn="0" w:firstRowLastColumn="0" w:lastRowFirstColumn="0" w:lastRowLastColumn="0"/>
          <w:trHeight w:val="87"/>
        </w:trPr>
        <w:tc>
          <w:tcPr>
            <w:cnfStyle w:val="001000000000" w:firstRow="0" w:lastRow="0" w:firstColumn="1" w:lastColumn="0" w:oddVBand="0" w:evenVBand="0" w:oddHBand="0" w:evenHBand="0" w:firstRowFirstColumn="0" w:firstRowLastColumn="0" w:lastRowFirstColumn="0" w:lastRowLastColumn="0"/>
            <w:tcW w:w="2875" w:type="dxa"/>
            <w:tcBorders>
              <w:top w:val="nil"/>
            </w:tcBorders>
            <w:shd w:val="clear" w:color="auto" w:fill="FFFFFF" w:themeFill="background1"/>
            <w:noWrap/>
            <w:vAlign w:val="bottom"/>
            <w:hideMark/>
          </w:tcPr>
          <w:p w14:paraId="466B8FEF" w14:textId="77777777" w:rsidR="00960AC3" w:rsidRPr="00646254" w:rsidRDefault="00960AC3" w:rsidP="00BC5D24">
            <w:pPr>
              <w:tabs>
                <w:tab w:val="center" w:pos="4680"/>
                <w:tab w:val="right" w:pos="9360"/>
              </w:tabs>
              <w:rPr>
                <w:rFonts w:cstheme="minorHAnsi"/>
                <w:b w:val="0"/>
                <w:color w:val="002060"/>
                <w:sz w:val="14"/>
                <w:szCs w:val="14"/>
                <w:lang w:val="sr-Cyrl-CS"/>
              </w:rPr>
            </w:pPr>
            <w:r w:rsidRPr="00646254">
              <w:rPr>
                <w:rFonts w:cstheme="minorHAnsi"/>
                <w:b w:val="0"/>
                <w:color w:val="002060"/>
                <w:sz w:val="14"/>
                <w:szCs w:val="14"/>
                <w:lang w:val="sr-Cyrl-CS"/>
              </w:rPr>
              <w:t xml:space="preserve">            Порез на добит </w:t>
            </w:r>
          </w:p>
        </w:tc>
        <w:tc>
          <w:tcPr>
            <w:tcW w:w="1028" w:type="dxa"/>
            <w:tcBorders>
              <w:top w:val="nil"/>
            </w:tcBorders>
            <w:shd w:val="clear" w:color="auto" w:fill="FFFFFF" w:themeFill="background1"/>
            <w:noWrap/>
            <w:vAlign w:val="bottom"/>
            <w:hideMark/>
          </w:tcPr>
          <w:p w14:paraId="277D9BDE" w14:textId="4E313F88"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145</w:t>
            </w:r>
            <w:r w:rsidR="00BC5D24" w:rsidRPr="00646254">
              <w:rPr>
                <w:rFonts w:cstheme="minorHAnsi"/>
                <w:color w:val="002060"/>
                <w:sz w:val="14"/>
                <w:szCs w:val="14"/>
                <w:lang w:val="sr-Cyrl-CS"/>
              </w:rPr>
              <w:t>,</w:t>
            </w:r>
            <w:r w:rsidRPr="00646254">
              <w:rPr>
                <w:rFonts w:cstheme="minorHAnsi"/>
                <w:color w:val="002060"/>
                <w:sz w:val="14"/>
                <w:szCs w:val="14"/>
                <w:lang w:val="sr-Cyrl-CS"/>
              </w:rPr>
              <w:t>0</w:t>
            </w:r>
          </w:p>
        </w:tc>
        <w:tc>
          <w:tcPr>
            <w:tcW w:w="1028" w:type="dxa"/>
            <w:tcBorders>
              <w:top w:val="nil"/>
            </w:tcBorders>
            <w:shd w:val="clear" w:color="auto" w:fill="FFFFFF" w:themeFill="background1"/>
            <w:noWrap/>
            <w:vAlign w:val="bottom"/>
            <w:hideMark/>
          </w:tcPr>
          <w:p w14:paraId="18D15789" w14:textId="261548B1"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132</w:t>
            </w:r>
            <w:r w:rsidR="00BC5D24" w:rsidRPr="00646254">
              <w:rPr>
                <w:rFonts w:cstheme="minorHAnsi"/>
                <w:color w:val="002060"/>
                <w:sz w:val="14"/>
                <w:szCs w:val="14"/>
                <w:lang w:val="sr-Cyrl-CS"/>
              </w:rPr>
              <w:t>,</w:t>
            </w:r>
            <w:r w:rsidRPr="00646254">
              <w:rPr>
                <w:rFonts w:cstheme="minorHAnsi"/>
                <w:color w:val="002060"/>
                <w:sz w:val="14"/>
                <w:szCs w:val="14"/>
                <w:lang w:val="sr-Cyrl-CS"/>
              </w:rPr>
              <w:t>0</w:t>
            </w:r>
          </w:p>
        </w:tc>
        <w:tc>
          <w:tcPr>
            <w:tcW w:w="1042" w:type="dxa"/>
            <w:tcBorders>
              <w:top w:val="nil"/>
            </w:tcBorders>
            <w:shd w:val="clear" w:color="auto" w:fill="FFFFFF" w:themeFill="background1"/>
            <w:noWrap/>
            <w:vAlign w:val="bottom"/>
            <w:hideMark/>
          </w:tcPr>
          <w:p w14:paraId="3217EBFA" w14:textId="204ABAA1"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13</w:t>
            </w:r>
            <w:r w:rsidR="00BC5D24" w:rsidRPr="00646254">
              <w:rPr>
                <w:rFonts w:cstheme="minorHAnsi"/>
                <w:color w:val="002060"/>
                <w:sz w:val="14"/>
                <w:szCs w:val="14"/>
                <w:lang w:val="sr-Cyrl-CS"/>
              </w:rPr>
              <w:t>,</w:t>
            </w:r>
            <w:r w:rsidRPr="00646254">
              <w:rPr>
                <w:rFonts w:cstheme="minorHAnsi"/>
                <w:color w:val="002060"/>
                <w:sz w:val="14"/>
                <w:szCs w:val="14"/>
                <w:lang w:val="sr-Cyrl-CS"/>
              </w:rPr>
              <w:t>0</w:t>
            </w:r>
          </w:p>
        </w:tc>
        <w:tc>
          <w:tcPr>
            <w:tcW w:w="1007" w:type="dxa"/>
            <w:tcBorders>
              <w:top w:val="nil"/>
            </w:tcBorders>
            <w:shd w:val="clear" w:color="auto" w:fill="FFFFFF" w:themeFill="background1"/>
            <w:noWrap/>
            <w:vAlign w:val="bottom"/>
          </w:tcPr>
          <w:p w14:paraId="5AC49B0E" w14:textId="77777777"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color w:val="002060"/>
                <w:sz w:val="14"/>
                <w:szCs w:val="14"/>
                <w:lang w:val="sr-Cyrl-CS"/>
              </w:rPr>
            </w:pPr>
          </w:p>
        </w:tc>
        <w:tc>
          <w:tcPr>
            <w:tcW w:w="1076" w:type="dxa"/>
            <w:tcBorders>
              <w:top w:val="nil"/>
            </w:tcBorders>
            <w:shd w:val="clear" w:color="auto" w:fill="FFFFFF" w:themeFill="background1"/>
            <w:noWrap/>
            <w:vAlign w:val="bottom"/>
            <w:hideMark/>
          </w:tcPr>
          <w:p w14:paraId="437D3BA2" w14:textId="3F0CF66C"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13</w:t>
            </w:r>
            <w:r w:rsidR="00BC5D24" w:rsidRPr="00646254">
              <w:rPr>
                <w:rFonts w:cstheme="minorHAnsi"/>
                <w:color w:val="002060"/>
                <w:sz w:val="14"/>
                <w:szCs w:val="14"/>
                <w:lang w:val="sr-Cyrl-CS"/>
              </w:rPr>
              <w:t>,</w:t>
            </w:r>
            <w:r w:rsidRPr="00646254">
              <w:rPr>
                <w:rFonts w:cstheme="minorHAnsi"/>
                <w:color w:val="002060"/>
                <w:sz w:val="14"/>
                <w:szCs w:val="14"/>
                <w:lang w:val="sr-Cyrl-CS"/>
              </w:rPr>
              <w:t>0</w:t>
            </w:r>
          </w:p>
        </w:tc>
        <w:tc>
          <w:tcPr>
            <w:tcW w:w="1022" w:type="dxa"/>
            <w:tcBorders>
              <w:top w:val="nil"/>
            </w:tcBorders>
            <w:shd w:val="clear" w:color="auto" w:fill="FFFFFF" w:themeFill="background1"/>
            <w:noWrap/>
            <w:vAlign w:val="bottom"/>
          </w:tcPr>
          <w:p w14:paraId="36657DA2" w14:textId="77777777"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color w:val="002060"/>
                <w:sz w:val="14"/>
                <w:szCs w:val="14"/>
                <w:lang w:val="sr-Cyrl-CS"/>
              </w:rPr>
            </w:pPr>
          </w:p>
        </w:tc>
        <w:tc>
          <w:tcPr>
            <w:tcW w:w="1076" w:type="dxa"/>
            <w:tcBorders>
              <w:top w:val="nil"/>
            </w:tcBorders>
            <w:shd w:val="clear" w:color="auto" w:fill="FFFFFF" w:themeFill="background1"/>
            <w:noWrap/>
            <w:vAlign w:val="bottom"/>
            <w:hideMark/>
          </w:tcPr>
          <w:p w14:paraId="6E918A23" w14:textId="61864C85"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0</w:t>
            </w:r>
            <w:r w:rsidR="00BC5D24" w:rsidRPr="00646254">
              <w:rPr>
                <w:rFonts w:cstheme="minorHAnsi"/>
                <w:color w:val="002060"/>
                <w:sz w:val="14"/>
                <w:szCs w:val="14"/>
                <w:lang w:val="sr-Cyrl-CS"/>
              </w:rPr>
              <w:t>,</w:t>
            </w:r>
            <w:r w:rsidRPr="00646254">
              <w:rPr>
                <w:rFonts w:cstheme="minorHAnsi"/>
                <w:color w:val="002060"/>
                <w:sz w:val="14"/>
                <w:szCs w:val="14"/>
                <w:lang w:val="sr-Cyrl-CS"/>
              </w:rPr>
              <w:t>0</w:t>
            </w:r>
          </w:p>
        </w:tc>
        <w:tc>
          <w:tcPr>
            <w:tcW w:w="1076" w:type="dxa"/>
            <w:tcBorders>
              <w:top w:val="nil"/>
            </w:tcBorders>
            <w:shd w:val="clear" w:color="auto" w:fill="FFFFFF" w:themeFill="background1"/>
            <w:noWrap/>
            <w:vAlign w:val="bottom"/>
            <w:hideMark/>
          </w:tcPr>
          <w:p w14:paraId="606D5C32" w14:textId="77777777"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76" w:type="dxa"/>
            <w:tcBorders>
              <w:top w:val="nil"/>
            </w:tcBorders>
            <w:shd w:val="clear" w:color="auto" w:fill="FFFFFF" w:themeFill="background1"/>
            <w:noWrap/>
            <w:vAlign w:val="bottom"/>
            <w:hideMark/>
          </w:tcPr>
          <w:p w14:paraId="5E76D130" w14:textId="77777777"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76" w:type="dxa"/>
            <w:tcBorders>
              <w:top w:val="nil"/>
            </w:tcBorders>
            <w:shd w:val="clear" w:color="auto" w:fill="FFFFFF" w:themeFill="background1"/>
            <w:noWrap/>
            <w:vAlign w:val="bottom"/>
            <w:hideMark/>
          </w:tcPr>
          <w:p w14:paraId="0F441547" w14:textId="77777777" w:rsidR="00960AC3" w:rsidRPr="00646254" w:rsidRDefault="00960AC3" w:rsidP="00BC5D24">
            <w:pPr>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76" w:type="dxa"/>
            <w:tcBorders>
              <w:top w:val="nil"/>
            </w:tcBorders>
            <w:shd w:val="clear" w:color="auto" w:fill="FFFFFF" w:themeFill="background1"/>
            <w:noWrap/>
            <w:vAlign w:val="bottom"/>
            <w:hideMark/>
          </w:tcPr>
          <w:p w14:paraId="41F0FB6A" w14:textId="77777777" w:rsidR="00960AC3" w:rsidRPr="00646254" w:rsidRDefault="00960AC3" w:rsidP="00BC5D24">
            <w:pPr>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r>
      <w:tr w:rsidR="00960AC3" w:rsidRPr="00646254" w14:paraId="7C59E584" w14:textId="77777777" w:rsidTr="00BC5D24">
        <w:trPr>
          <w:trHeight w:val="113"/>
        </w:trPr>
        <w:tc>
          <w:tcPr>
            <w:cnfStyle w:val="001000000000" w:firstRow="0" w:lastRow="0" w:firstColumn="1" w:lastColumn="0" w:oddVBand="0" w:evenVBand="0" w:oddHBand="0" w:evenHBand="0" w:firstRowFirstColumn="0" w:firstRowLastColumn="0" w:lastRowFirstColumn="0" w:lastRowLastColumn="0"/>
            <w:tcW w:w="2875" w:type="dxa"/>
            <w:tcBorders>
              <w:top w:val="nil"/>
            </w:tcBorders>
            <w:shd w:val="clear" w:color="auto" w:fill="FFFFFF" w:themeFill="background1"/>
            <w:noWrap/>
            <w:vAlign w:val="bottom"/>
            <w:hideMark/>
          </w:tcPr>
          <w:p w14:paraId="2F5ACB75" w14:textId="77777777" w:rsidR="00960AC3" w:rsidRPr="00646254" w:rsidRDefault="00960AC3" w:rsidP="00BC5D24">
            <w:pPr>
              <w:tabs>
                <w:tab w:val="center" w:pos="4680"/>
                <w:tab w:val="right" w:pos="9360"/>
              </w:tabs>
              <w:rPr>
                <w:rFonts w:cstheme="minorHAnsi"/>
                <w:b w:val="0"/>
                <w:color w:val="002060"/>
                <w:sz w:val="14"/>
                <w:szCs w:val="14"/>
                <w:lang w:val="sr-Cyrl-CS"/>
              </w:rPr>
            </w:pPr>
            <w:r w:rsidRPr="00646254">
              <w:rPr>
                <w:rFonts w:cstheme="minorHAnsi"/>
                <w:b w:val="0"/>
                <w:color w:val="002060"/>
                <w:sz w:val="14"/>
                <w:szCs w:val="14"/>
                <w:lang w:val="sr-Cyrl-CS"/>
              </w:rPr>
              <w:t xml:space="preserve">            ПДВ</w:t>
            </w:r>
          </w:p>
        </w:tc>
        <w:tc>
          <w:tcPr>
            <w:tcW w:w="1028" w:type="dxa"/>
            <w:tcBorders>
              <w:top w:val="nil"/>
            </w:tcBorders>
            <w:shd w:val="clear" w:color="auto" w:fill="FFFFFF" w:themeFill="background1"/>
            <w:noWrap/>
            <w:vAlign w:val="bottom"/>
            <w:hideMark/>
          </w:tcPr>
          <w:p w14:paraId="493C2577" w14:textId="42EB052A"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684</w:t>
            </w:r>
            <w:r w:rsidR="00BC5D24" w:rsidRPr="00646254">
              <w:rPr>
                <w:rFonts w:cstheme="minorHAnsi"/>
                <w:color w:val="002060"/>
                <w:sz w:val="14"/>
                <w:szCs w:val="14"/>
                <w:lang w:val="sr-Cyrl-CS"/>
              </w:rPr>
              <w:t>,</w:t>
            </w:r>
            <w:r w:rsidRPr="00646254">
              <w:rPr>
                <w:rFonts w:cstheme="minorHAnsi"/>
                <w:color w:val="002060"/>
                <w:sz w:val="14"/>
                <w:szCs w:val="14"/>
                <w:lang w:val="sr-Cyrl-CS"/>
              </w:rPr>
              <w:t>1</w:t>
            </w:r>
          </w:p>
        </w:tc>
        <w:tc>
          <w:tcPr>
            <w:tcW w:w="1028" w:type="dxa"/>
            <w:tcBorders>
              <w:top w:val="nil"/>
            </w:tcBorders>
            <w:shd w:val="clear" w:color="auto" w:fill="FFFFFF" w:themeFill="background1"/>
            <w:noWrap/>
            <w:vAlign w:val="bottom"/>
            <w:hideMark/>
          </w:tcPr>
          <w:p w14:paraId="23761788" w14:textId="11F160CA"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684</w:t>
            </w:r>
            <w:r w:rsidR="00BC5D24" w:rsidRPr="00646254">
              <w:rPr>
                <w:rFonts w:cstheme="minorHAnsi"/>
                <w:color w:val="002060"/>
                <w:sz w:val="14"/>
                <w:szCs w:val="14"/>
                <w:lang w:val="sr-Cyrl-CS"/>
              </w:rPr>
              <w:t>,</w:t>
            </w:r>
            <w:r w:rsidRPr="00646254">
              <w:rPr>
                <w:rFonts w:cstheme="minorHAnsi"/>
                <w:color w:val="002060"/>
                <w:sz w:val="14"/>
                <w:szCs w:val="14"/>
                <w:lang w:val="sr-Cyrl-CS"/>
              </w:rPr>
              <w:t>1</w:t>
            </w:r>
          </w:p>
        </w:tc>
        <w:tc>
          <w:tcPr>
            <w:tcW w:w="1042" w:type="dxa"/>
            <w:tcBorders>
              <w:top w:val="nil"/>
            </w:tcBorders>
            <w:shd w:val="clear" w:color="auto" w:fill="FFFFFF" w:themeFill="background1"/>
            <w:noWrap/>
            <w:vAlign w:val="bottom"/>
          </w:tcPr>
          <w:p w14:paraId="047172F5" w14:textId="473767FD"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0</w:t>
            </w:r>
            <w:r w:rsidR="00BC5D24" w:rsidRPr="00646254">
              <w:rPr>
                <w:rFonts w:cstheme="minorHAnsi"/>
                <w:color w:val="002060"/>
                <w:sz w:val="14"/>
                <w:szCs w:val="14"/>
                <w:lang w:val="sr-Cyrl-CS"/>
              </w:rPr>
              <w:t>,</w:t>
            </w:r>
            <w:r w:rsidRPr="00646254">
              <w:rPr>
                <w:rFonts w:cstheme="minorHAnsi"/>
                <w:color w:val="002060"/>
                <w:sz w:val="14"/>
                <w:szCs w:val="14"/>
                <w:lang w:val="sr-Cyrl-CS"/>
              </w:rPr>
              <w:t>0</w:t>
            </w:r>
          </w:p>
        </w:tc>
        <w:tc>
          <w:tcPr>
            <w:tcW w:w="1007" w:type="dxa"/>
            <w:tcBorders>
              <w:top w:val="nil"/>
            </w:tcBorders>
            <w:shd w:val="clear" w:color="auto" w:fill="FFFFFF" w:themeFill="background1"/>
            <w:noWrap/>
            <w:vAlign w:val="bottom"/>
          </w:tcPr>
          <w:p w14:paraId="0F53DD79" w14:textId="77777777"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color w:val="002060"/>
                <w:sz w:val="14"/>
                <w:szCs w:val="14"/>
                <w:lang w:val="sr-Cyrl-CS"/>
              </w:rPr>
            </w:pPr>
          </w:p>
        </w:tc>
        <w:tc>
          <w:tcPr>
            <w:tcW w:w="1076" w:type="dxa"/>
            <w:tcBorders>
              <w:top w:val="nil"/>
            </w:tcBorders>
            <w:shd w:val="clear" w:color="auto" w:fill="FFFFFF" w:themeFill="background1"/>
            <w:noWrap/>
            <w:vAlign w:val="bottom"/>
            <w:hideMark/>
          </w:tcPr>
          <w:p w14:paraId="1F6434D7" w14:textId="77777777"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22" w:type="dxa"/>
            <w:tcBorders>
              <w:top w:val="nil"/>
            </w:tcBorders>
            <w:shd w:val="clear" w:color="auto" w:fill="FFFFFF" w:themeFill="background1"/>
            <w:noWrap/>
            <w:vAlign w:val="bottom"/>
            <w:hideMark/>
          </w:tcPr>
          <w:p w14:paraId="624BD353" w14:textId="77777777"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76" w:type="dxa"/>
            <w:tcBorders>
              <w:top w:val="nil"/>
            </w:tcBorders>
            <w:shd w:val="clear" w:color="auto" w:fill="FFFFFF" w:themeFill="background1"/>
            <w:noWrap/>
            <w:vAlign w:val="bottom"/>
            <w:hideMark/>
          </w:tcPr>
          <w:p w14:paraId="11F71256" w14:textId="2E79600C"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0</w:t>
            </w:r>
            <w:r w:rsidR="00BC5D24" w:rsidRPr="00646254">
              <w:rPr>
                <w:rFonts w:cstheme="minorHAnsi"/>
                <w:color w:val="002060"/>
                <w:sz w:val="14"/>
                <w:szCs w:val="14"/>
                <w:lang w:val="sr-Cyrl-CS"/>
              </w:rPr>
              <w:t>,</w:t>
            </w:r>
            <w:r w:rsidRPr="00646254">
              <w:rPr>
                <w:rFonts w:cstheme="minorHAnsi"/>
                <w:color w:val="002060"/>
                <w:sz w:val="14"/>
                <w:szCs w:val="14"/>
                <w:lang w:val="sr-Cyrl-CS"/>
              </w:rPr>
              <w:t>0</w:t>
            </w:r>
          </w:p>
        </w:tc>
        <w:tc>
          <w:tcPr>
            <w:tcW w:w="1076" w:type="dxa"/>
            <w:tcBorders>
              <w:top w:val="nil"/>
            </w:tcBorders>
            <w:shd w:val="clear" w:color="auto" w:fill="FFFFFF" w:themeFill="background1"/>
            <w:noWrap/>
            <w:vAlign w:val="bottom"/>
            <w:hideMark/>
          </w:tcPr>
          <w:p w14:paraId="4E873865" w14:textId="77777777"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76" w:type="dxa"/>
            <w:tcBorders>
              <w:top w:val="nil"/>
            </w:tcBorders>
            <w:shd w:val="clear" w:color="auto" w:fill="FFFFFF" w:themeFill="background1"/>
            <w:noWrap/>
            <w:vAlign w:val="bottom"/>
            <w:hideMark/>
          </w:tcPr>
          <w:p w14:paraId="348B5BA6" w14:textId="77777777"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76" w:type="dxa"/>
            <w:tcBorders>
              <w:top w:val="nil"/>
            </w:tcBorders>
            <w:shd w:val="clear" w:color="auto" w:fill="FFFFFF" w:themeFill="background1"/>
            <w:noWrap/>
            <w:vAlign w:val="bottom"/>
            <w:hideMark/>
          </w:tcPr>
          <w:p w14:paraId="6147CACA" w14:textId="77777777" w:rsidR="00960AC3" w:rsidRPr="00646254" w:rsidRDefault="00960AC3" w:rsidP="00BC5D24">
            <w:pPr>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76" w:type="dxa"/>
            <w:tcBorders>
              <w:top w:val="nil"/>
            </w:tcBorders>
            <w:shd w:val="clear" w:color="auto" w:fill="FFFFFF" w:themeFill="background1"/>
            <w:noWrap/>
            <w:vAlign w:val="bottom"/>
            <w:hideMark/>
          </w:tcPr>
          <w:p w14:paraId="1A3B9F45" w14:textId="77777777" w:rsidR="00960AC3" w:rsidRPr="00646254" w:rsidRDefault="00960AC3" w:rsidP="00BC5D24">
            <w:pPr>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r>
      <w:tr w:rsidR="00960AC3" w:rsidRPr="00646254" w14:paraId="5B4D94D6" w14:textId="77777777" w:rsidTr="00BC5D24">
        <w:trPr>
          <w:cnfStyle w:val="000000100000" w:firstRow="0" w:lastRow="0" w:firstColumn="0" w:lastColumn="0" w:oddVBand="0" w:evenVBand="0" w:oddHBand="1" w:evenHBand="0" w:firstRowFirstColumn="0" w:firstRowLastColumn="0" w:lastRowFirstColumn="0" w:lastRowLastColumn="0"/>
          <w:trHeight w:val="77"/>
        </w:trPr>
        <w:tc>
          <w:tcPr>
            <w:cnfStyle w:val="001000000000" w:firstRow="0" w:lastRow="0" w:firstColumn="1" w:lastColumn="0" w:oddVBand="0" w:evenVBand="0" w:oddHBand="0" w:evenHBand="0" w:firstRowFirstColumn="0" w:firstRowLastColumn="0" w:lastRowFirstColumn="0" w:lastRowLastColumn="0"/>
            <w:tcW w:w="2875" w:type="dxa"/>
            <w:tcBorders>
              <w:top w:val="nil"/>
            </w:tcBorders>
            <w:shd w:val="clear" w:color="auto" w:fill="FFFFFF" w:themeFill="background1"/>
            <w:noWrap/>
            <w:vAlign w:val="bottom"/>
            <w:hideMark/>
          </w:tcPr>
          <w:p w14:paraId="1FC6F5C9" w14:textId="77777777" w:rsidR="00960AC3" w:rsidRPr="00646254" w:rsidRDefault="00960AC3" w:rsidP="00BC5D24">
            <w:pPr>
              <w:tabs>
                <w:tab w:val="center" w:pos="4680"/>
                <w:tab w:val="right" w:pos="9360"/>
              </w:tabs>
              <w:rPr>
                <w:rFonts w:cstheme="minorHAnsi"/>
                <w:b w:val="0"/>
                <w:color w:val="002060"/>
                <w:sz w:val="14"/>
                <w:szCs w:val="14"/>
                <w:lang w:val="sr-Cyrl-CS"/>
              </w:rPr>
            </w:pPr>
            <w:r w:rsidRPr="00646254">
              <w:rPr>
                <w:rFonts w:cstheme="minorHAnsi"/>
                <w:b w:val="0"/>
                <w:color w:val="002060"/>
                <w:sz w:val="14"/>
                <w:szCs w:val="14"/>
                <w:lang w:val="sr-Cyrl-CS"/>
              </w:rPr>
              <w:t xml:space="preserve">            Акцизе</w:t>
            </w:r>
          </w:p>
        </w:tc>
        <w:tc>
          <w:tcPr>
            <w:tcW w:w="1028" w:type="dxa"/>
            <w:tcBorders>
              <w:top w:val="nil"/>
            </w:tcBorders>
            <w:shd w:val="clear" w:color="auto" w:fill="FFFFFF" w:themeFill="background1"/>
            <w:noWrap/>
            <w:vAlign w:val="bottom"/>
            <w:hideMark/>
          </w:tcPr>
          <w:p w14:paraId="2ECFEB2D" w14:textId="52180827"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337</w:t>
            </w:r>
            <w:r w:rsidR="00BC5D24" w:rsidRPr="00646254">
              <w:rPr>
                <w:rFonts w:cstheme="minorHAnsi"/>
                <w:color w:val="002060"/>
                <w:sz w:val="14"/>
                <w:szCs w:val="14"/>
                <w:lang w:val="sr-Cyrl-CS"/>
              </w:rPr>
              <w:t>,</w:t>
            </w:r>
            <w:r w:rsidRPr="00646254">
              <w:rPr>
                <w:rFonts w:cstheme="minorHAnsi"/>
                <w:color w:val="002060"/>
                <w:sz w:val="14"/>
                <w:szCs w:val="14"/>
                <w:lang w:val="sr-Cyrl-CS"/>
              </w:rPr>
              <w:t>6</w:t>
            </w:r>
          </w:p>
        </w:tc>
        <w:tc>
          <w:tcPr>
            <w:tcW w:w="1028" w:type="dxa"/>
            <w:tcBorders>
              <w:top w:val="nil"/>
            </w:tcBorders>
            <w:shd w:val="clear" w:color="auto" w:fill="FFFFFF" w:themeFill="background1"/>
            <w:noWrap/>
            <w:vAlign w:val="bottom"/>
            <w:hideMark/>
          </w:tcPr>
          <w:p w14:paraId="797DD7F0" w14:textId="612FA5B1"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337</w:t>
            </w:r>
            <w:r w:rsidR="00BC5D24" w:rsidRPr="00646254">
              <w:rPr>
                <w:rFonts w:cstheme="minorHAnsi"/>
                <w:color w:val="002060"/>
                <w:sz w:val="14"/>
                <w:szCs w:val="14"/>
                <w:lang w:val="sr-Cyrl-CS"/>
              </w:rPr>
              <w:t>,</w:t>
            </w:r>
            <w:r w:rsidRPr="00646254">
              <w:rPr>
                <w:rFonts w:cstheme="minorHAnsi"/>
                <w:color w:val="002060"/>
                <w:sz w:val="14"/>
                <w:szCs w:val="14"/>
                <w:lang w:val="sr-Cyrl-CS"/>
              </w:rPr>
              <w:t>6</w:t>
            </w:r>
          </w:p>
        </w:tc>
        <w:tc>
          <w:tcPr>
            <w:tcW w:w="1042" w:type="dxa"/>
            <w:tcBorders>
              <w:top w:val="nil"/>
            </w:tcBorders>
            <w:shd w:val="clear" w:color="auto" w:fill="FFFFFF" w:themeFill="background1"/>
            <w:noWrap/>
            <w:vAlign w:val="bottom"/>
          </w:tcPr>
          <w:p w14:paraId="6BD21409" w14:textId="6689275E"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0</w:t>
            </w:r>
            <w:r w:rsidR="00BC5D24" w:rsidRPr="00646254">
              <w:rPr>
                <w:rFonts w:cstheme="minorHAnsi"/>
                <w:color w:val="002060"/>
                <w:sz w:val="14"/>
                <w:szCs w:val="14"/>
                <w:lang w:val="sr-Cyrl-CS"/>
              </w:rPr>
              <w:t>,</w:t>
            </w:r>
            <w:r w:rsidRPr="00646254">
              <w:rPr>
                <w:rFonts w:cstheme="minorHAnsi"/>
                <w:color w:val="002060"/>
                <w:sz w:val="14"/>
                <w:szCs w:val="14"/>
                <w:lang w:val="sr-Cyrl-CS"/>
              </w:rPr>
              <w:t>0</w:t>
            </w:r>
          </w:p>
        </w:tc>
        <w:tc>
          <w:tcPr>
            <w:tcW w:w="1007" w:type="dxa"/>
            <w:tcBorders>
              <w:top w:val="nil"/>
            </w:tcBorders>
            <w:shd w:val="clear" w:color="auto" w:fill="FFFFFF" w:themeFill="background1"/>
            <w:noWrap/>
            <w:vAlign w:val="bottom"/>
            <w:hideMark/>
          </w:tcPr>
          <w:p w14:paraId="7557953A" w14:textId="77777777"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76" w:type="dxa"/>
            <w:tcBorders>
              <w:top w:val="nil"/>
            </w:tcBorders>
            <w:shd w:val="clear" w:color="auto" w:fill="FFFFFF" w:themeFill="background1"/>
            <w:noWrap/>
            <w:vAlign w:val="bottom"/>
            <w:hideMark/>
          </w:tcPr>
          <w:p w14:paraId="3C04CAEE" w14:textId="77777777"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22" w:type="dxa"/>
            <w:tcBorders>
              <w:top w:val="nil"/>
            </w:tcBorders>
            <w:shd w:val="clear" w:color="auto" w:fill="FFFFFF" w:themeFill="background1"/>
            <w:noWrap/>
            <w:vAlign w:val="bottom"/>
            <w:hideMark/>
          </w:tcPr>
          <w:p w14:paraId="1EE9E5DA" w14:textId="77777777"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76" w:type="dxa"/>
            <w:tcBorders>
              <w:top w:val="nil"/>
            </w:tcBorders>
            <w:shd w:val="clear" w:color="auto" w:fill="FFFFFF" w:themeFill="background1"/>
            <w:noWrap/>
            <w:vAlign w:val="bottom"/>
            <w:hideMark/>
          </w:tcPr>
          <w:p w14:paraId="0E23AA6C" w14:textId="55AFEB5E"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0</w:t>
            </w:r>
            <w:r w:rsidR="00BC5D24" w:rsidRPr="00646254">
              <w:rPr>
                <w:rFonts w:cstheme="minorHAnsi"/>
                <w:color w:val="002060"/>
                <w:sz w:val="14"/>
                <w:szCs w:val="14"/>
                <w:lang w:val="sr-Cyrl-CS"/>
              </w:rPr>
              <w:t>,</w:t>
            </w:r>
            <w:r w:rsidRPr="00646254">
              <w:rPr>
                <w:rFonts w:cstheme="minorHAnsi"/>
                <w:color w:val="002060"/>
                <w:sz w:val="14"/>
                <w:szCs w:val="14"/>
                <w:lang w:val="sr-Cyrl-CS"/>
              </w:rPr>
              <w:t>0</w:t>
            </w:r>
          </w:p>
        </w:tc>
        <w:tc>
          <w:tcPr>
            <w:tcW w:w="1076" w:type="dxa"/>
            <w:tcBorders>
              <w:top w:val="nil"/>
            </w:tcBorders>
            <w:shd w:val="clear" w:color="auto" w:fill="FFFFFF" w:themeFill="background1"/>
            <w:noWrap/>
            <w:vAlign w:val="bottom"/>
            <w:hideMark/>
          </w:tcPr>
          <w:p w14:paraId="094DBCFE" w14:textId="77777777"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76" w:type="dxa"/>
            <w:tcBorders>
              <w:top w:val="nil"/>
            </w:tcBorders>
            <w:shd w:val="clear" w:color="auto" w:fill="FFFFFF" w:themeFill="background1"/>
            <w:noWrap/>
            <w:vAlign w:val="bottom"/>
            <w:hideMark/>
          </w:tcPr>
          <w:p w14:paraId="065801E4" w14:textId="77777777"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76" w:type="dxa"/>
            <w:tcBorders>
              <w:top w:val="nil"/>
            </w:tcBorders>
            <w:shd w:val="clear" w:color="auto" w:fill="FFFFFF" w:themeFill="background1"/>
            <w:noWrap/>
            <w:vAlign w:val="bottom"/>
            <w:hideMark/>
          </w:tcPr>
          <w:p w14:paraId="794D4258" w14:textId="77777777" w:rsidR="00960AC3" w:rsidRPr="00646254" w:rsidRDefault="00960AC3" w:rsidP="00BC5D24">
            <w:pPr>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76" w:type="dxa"/>
            <w:tcBorders>
              <w:top w:val="nil"/>
            </w:tcBorders>
            <w:shd w:val="clear" w:color="auto" w:fill="FFFFFF" w:themeFill="background1"/>
            <w:noWrap/>
            <w:vAlign w:val="bottom"/>
            <w:hideMark/>
          </w:tcPr>
          <w:p w14:paraId="23F724DA" w14:textId="77777777" w:rsidR="00960AC3" w:rsidRPr="00646254" w:rsidRDefault="00960AC3" w:rsidP="00BC5D24">
            <w:pPr>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r>
      <w:tr w:rsidR="00960AC3" w:rsidRPr="00646254" w14:paraId="1C80FAA7" w14:textId="77777777" w:rsidTr="00BC5D24">
        <w:trPr>
          <w:trHeight w:val="87"/>
        </w:trPr>
        <w:tc>
          <w:tcPr>
            <w:cnfStyle w:val="001000000000" w:firstRow="0" w:lastRow="0" w:firstColumn="1" w:lastColumn="0" w:oddVBand="0" w:evenVBand="0" w:oddHBand="0" w:evenHBand="0" w:firstRowFirstColumn="0" w:firstRowLastColumn="0" w:lastRowFirstColumn="0" w:lastRowLastColumn="0"/>
            <w:tcW w:w="2875" w:type="dxa"/>
            <w:tcBorders>
              <w:top w:val="nil"/>
            </w:tcBorders>
            <w:shd w:val="clear" w:color="auto" w:fill="FFFFFF" w:themeFill="background1"/>
            <w:noWrap/>
            <w:vAlign w:val="bottom"/>
            <w:hideMark/>
          </w:tcPr>
          <w:p w14:paraId="4A53C72F" w14:textId="77777777" w:rsidR="00960AC3" w:rsidRPr="00646254" w:rsidRDefault="00960AC3" w:rsidP="00BC5D24">
            <w:pPr>
              <w:tabs>
                <w:tab w:val="center" w:pos="4680"/>
                <w:tab w:val="right" w:pos="9360"/>
              </w:tabs>
              <w:rPr>
                <w:rFonts w:cstheme="minorHAnsi"/>
                <w:b w:val="0"/>
                <w:color w:val="002060"/>
                <w:sz w:val="14"/>
                <w:szCs w:val="14"/>
                <w:lang w:val="sr-Cyrl-CS"/>
              </w:rPr>
            </w:pPr>
            <w:r w:rsidRPr="00646254">
              <w:rPr>
                <w:rFonts w:cstheme="minorHAnsi"/>
                <w:b w:val="0"/>
                <w:color w:val="002060"/>
                <w:sz w:val="14"/>
                <w:szCs w:val="14"/>
                <w:lang w:val="sr-Cyrl-CS"/>
              </w:rPr>
              <w:t xml:space="preserve">            Царине</w:t>
            </w:r>
          </w:p>
        </w:tc>
        <w:tc>
          <w:tcPr>
            <w:tcW w:w="1028" w:type="dxa"/>
            <w:tcBorders>
              <w:top w:val="nil"/>
            </w:tcBorders>
            <w:shd w:val="clear" w:color="auto" w:fill="FFFFFF" w:themeFill="background1"/>
            <w:noWrap/>
            <w:vAlign w:val="bottom"/>
            <w:hideMark/>
          </w:tcPr>
          <w:p w14:paraId="0B0D3011" w14:textId="7002D25B"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63</w:t>
            </w:r>
            <w:r w:rsidR="00BC5D24" w:rsidRPr="00646254">
              <w:rPr>
                <w:rFonts w:cstheme="minorHAnsi"/>
                <w:color w:val="002060"/>
                <w:sz w:val="14"/>
                <w:szCs w:val="14"/>
                <w:lang w:val="sr-Cyrl-CS"/>
              </w:rPr>
              <w:t>,</w:t>
            </w:r>
            <w:r w:rsidRPr="00646254">
              <w:rPr>
                <w:rFonts w:cstheme="minorHAnsi"/>
                <w:color w:val="002060"/>
                <w:sz w:val="14"/>
                <w:szCs w:val="14"/>
                <w:lang w:val="sr-Cyrl-CS"/>
              </w:rPr>
              <w:t>3</w:t>
            </w:r>
          </w:p>
        </w:tc>
        <w:tc>
          <w:tcPr>
            <w:tcW w:w="1028" w:type="dxa"/>
            <w:tcBorders>
              <w:top w:val="nil"/>
            </w:tcBorders>
            <w:shd w:val="clear" w:color="auto" w:fill="FFFFFF" w:themeFill="background1"/>
            <w:noWrap/>
            <w:vAlign w:val="bottom"/>
            <w:hideMark/>
          </w:tcPr>
          <w:p w14:paraId="13F9B56D" w14:textId="1B1A8D67"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63</w:t>
            </w:r>
            <w:r w:rsidR="00BC5D24" w:rsidRPr="00646254">
              <w:rPr>
                <w:rFonts w:cstheme="minorHAnsi"/>
                <w:color w:val="002060"/>
                <w:sz w:val="14"/>
                <w:szCs w:val="14"/>
                <w:lang w:val="sr-Cyrl-CS"/>
              </w:rPr>
              <w:t>,</w:t>
            </w:r>
            <w:r w:rsidRPr="00646254">
              <w:rPr>
                <w:rFonts w:cstheme="minorHAnsi"/>
                <w:color w:val="002060"/>
                <w:sz w:val="14"/>
                <w:szCs w:val="14"/>
                <w:lang w:val="sr-Cyrl-CS"/>
              </w:rPr>
              <w:t>3</w:t>
            </w:r>
          </w:p>
        </w:tc>
        <w:tc>
          <w:tcPr>
            <w:tcW w:w="1042" w:type="dxa"/>
            <w:tcBorders>
              <w:top w:val="nil"/>
            </w:tcBorders>
            <w:shd w:val="clear" w:color="auto" w:fill="FFFFFF" w:themeFill="background1"/>
            <w:noWrap/>
            <w:vAlign w:val="bottom"/>
          </w:tcPr>
          <w:p w14:paraId="6DB1C161" w14:textId="387EB9AE"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0</w:t>
            </w:r>
            <w:r w:rsidR="00BC5D24" w:rsidRPr="00646254">
              <w:rPr>
                <w:rFonts w:cstheme="minorHAnsi"/>
                <w:color w:val="002060"/>
                <w:sz w:val="14"/>
                <w:szCs w:val="14"/>
                <w:lang w:val="sr-Cyrl-CS"/>
              </w:rPr>
              <w:t>,</w:t>
            </w:r>
            <w:r w:rsidRPr="00646254">
              <w:rPr>
                <w:rFonts w:cstheme="minorHAnsi"/>
                <w:color w:val="002060"/>
                <w:sz w:val="14"/>
                <w:szCs w:val="14"/>
                <w:lang w:val="sr-Cyrl-CS"/>
              </w:rPr>
              <w:t>0</w:t>
            </w:r>
          </w:p>
        </w:tc>
        <w:tc>
          <w:tcPr>
            <w:tcW w:w="1007" w:type="dxa"/>
            <w:tcBorders>
              <w:top w:val="nil"/>
            </w:tcBorders>
            <w:shd w:val="clear" w:color="auto" w:fill="FFFFFF" w:themeFill="background1"/>
            <w:noWrap/>
            <w:vAlign w:val="bottom"/>
            <w:hideMark/>
          </w:tcPr>
          <w:p w14:paraId="57549B93" w14:textId="77777777"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76" w:type="dxa"/>
            <w:tcBorders>
              <w:top w:val="nil"/>
            </w:tcBorders>
            <w:shd w:val="clear" w:color="auto" w:fill="FFFFFF" w:themeFill="background1"/>
            <w:noWrap/>
            <w:vAlign w:val="bottom"/>
            <w:hideMark/>
          </w:tcPr>
          <w:p w14:paraId="63E1419F" w14:textId="77777777"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22" w:type="dxa"/>
            <w:tcBorders>
              <w:top w:val="nil"/>
            </w:tcBorders>
            <w:shd w:val="clear" w:color="auto" w:fill="FFFFFF" w:themeFill="background1"/>
            <w:noWrap/>
            <w:vAlign w:val="bottom"/>
            <w:hideMark/>
          </w:tcPr>
          <w:p w14:paraId="539F6E31" w14:textId="77777777"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76" w:type="dxa"/>
            <w:tcBorders>
              <w:top w:val="nil"/>
            </w:tcBorders>
            <w:shd w:val="clear" w:color="auto" w:fill="FFFFFF" w:themeFill="background1"/>
            <w:noWrap/>
            <w:vAlign w:val="bottom"/>
            <w:hideMark/>
          </w:tcPr>
          <w:p w14:paraId="26532A30" w14:textId="2FE284FE"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0</w:t>
            </w:r>
            <w:r w:rsidR="00BC5D24" w:rsidRPr="00646254">
              <w:rPr>
                <w:rFonts w:cstheme="minorHAnsi"/>
                <w:color w:val="002060"/>
                <w:sz w:val="14"/>
                <w:szCs w:val="14"/>
                <w:lang w:val="sr-Cyrl-CS"/>
              </w:rPr>
              <w:t>,</w:t>
            </w:r>
            <w:r w:rsidRPr="00646254">
              <w:rPr>
                <w:rFonts w:cstheme="minorHAnsi"/>
                <w:color w:val="002060"/>
                <w:sz w:val="14"/>
                <w:szCs w:val="14"/>
                <w:lang w:val="sr-Cyrl-CS"/>
              </w:rPr>
              <w:t>0</w:t>
            </w:r>
          </w:p>
        </w:tc>
        <w:tc>
          <w:tcPr>
            <w:tcW w:w="1076" w:type="dxa"/>
            <w:tcBorders>
              <w:top w:val="nil"/>
            </w:tcBorders>
            <w:shd w:val="clear" w:color="auto" w:fill="FFFFFF" w:themeFill="background1"/>
            <w:noWrap/>
            <w:vAlign w:val="bottom"/>
            <w:hideMark/>
          </w:tcPr>
          <w:p w14:paraId="5F864BDA" w14:textId="77777777"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76" w:type="dxa"/>
            <w:tcBorders>
              <w:top w:val="nil"/>
            </w:tcBorders>
            <w:shd w:val="clear" w:color="auto" w:fill="FFFFFF" w:themeFill="background1"/>
            <w:noWrap/>
            <w:vAlign w:val="bottom"/>
            <w:hideMark/>
          </w:tcPr>
          <w:p w14:paraId="3E18D0EC" w14:textId="77777777"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76" w:type="dxa"/>
            <w:tcBorders>
              <w:top w:val="nil"/>
            </w:tcBorders>
            <w:shd w:val="clear" w:color="auto" w:fill="FFFFFF" w:themeFill="background1"/>
            <w:noWrap/>
            <w:vAlign w:val="bottom"/>
            <w:hideMark/>
          </w:tcPr>
          <w:p w14:paraId="5913C8B2" w14:textId="77777777" w:rsidR="00960AC3" w:rsidRPr="00646254" w:rsidRDefault="00960AC3" w:rsidP="00BC5D24">
            <w:pPr>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76" w:type="dxa"/>
            <w:tcBorders>
              <w:top w:val="nil"/>
            </w:tcBorders>
            <w:shd w:val="clear" w:color="auto" w:fill="FFFFFF" w:themeFill="background1"/>
            <w:noWrap/>
            <w:vAlign w:val="bottom"/>
            <w:hideMark/>
          </w:tcPr>
          <w:p w14:paraId="67074222" w14:textId="77777777" w:rsidR="00960AC3" w:rsidRPr="00646254" w:rsidRDefault="00960AC3" w:rsidP="00BC5D24">
            <w:pPr>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r>
      <w:tr w:rsidR="00960AC3" w:rsidRPr="00646254" w14:paraId="27A4D824" w14:textId="77777777" w:rsidTr="00BC5D24">
        <w:trPr>
          <w:cnfStyle w:val="000000100000" w:firstRow="0" w:lastRow="0" w:firstColumn="0" w:lastColumn="0" w:oddVBand="0" w:evenVBand="0" w:oddHBand="1" w:evenHBand="0" w:firstRowFirstColumn="0" w:firstRowLastColumn="0" w:lastRowFirstColumn="0" w:lastRowLastColumn="0"/>
          <w:trHeight w:val="130"/>
        </w:trPr>
        <w:tc>
          <w:tcPr>
            <w:cnfStyle w:val="001000000000" w:firstRow="0" w:lastRow="0" w:firstColumn="1" w:lastColumn="0" w:oddVBand="0" w:evenVBand="0" w:oddHBand="0" w:evenHBand="0" w:firstRowFirstColumn="0" w:firstRowLastColumn="0" w:lastRowFirstColumn="0" w:lastRowLastColumn="0"/>
            <w:tcW w:w="2875" w:type="dxa"/>
            <w:tcBorders>
              <w:top w:val="nil"/>
            </w:tcBorders>
            <w:shd w:val="clear" w:color="auto" w:fill="FFFFFF" w:themeFill="background1"/>
            <w:noWrap/>
            <w:vAlign w:val="bottom"/>
            <w:hideMark/>
          </w:tcPr>
          <w:p w14:paraId="1B1CAC84" w14:textId="77777777" w:rsidR="00960AC3" w:rsidRPr="00646254" w:rsidRDefault="00960AC3" w:rsidP="00BC5D24">
            <w:pPr>
              <w:tabs>
                <w:tab w:val="center" w:pos="4680"/>
                <w:tab w:val="right" w:pos="9360"/>
              </w:tabs>
              <w:rPr>
                <w:rFonts w:cstheme="minorHAnsi"/>
                <w:b w:val="0"/>
                <w:color w:val="002060"/>
                <w:sz w:val="14"/>
                <w:szCs w:val="14"/>
                <w:lang w:val="sr-Cyrl-CS"/>
              </w:rPr>
            </w:pPr>
            <w:r w:rsidRPr="00646254">
              <w:rPr>
                <w:rFonts w:cstheme="minorHAnsi"/>
                <w:b w:val="0"/>
                <w:color w:val="002060"/>
                <w:sz w:val="14"/>
                <w:szCs w:val="14"/>
                <w:lang w:val="sr-Cyrl-CS"/>
              </w:rPr>
              <w:t xml:space="preserve">            Остали порески приходи</w:t>
            </w:r>
          </w:p>
        </w:tc>
        <w:tc>
          <w:tcPr>
            <w:tcW w:w="1028" w:type="dxa"/>
            <w:tcBorders>
              <w:top w:val="nil"/>
            </w:tcBorders>
            <w:shd w:val="clear" w:color="auto" w:fill="FFFFFF" w:themeFill="background1"/>
            <w:noWrap/>
            <w:vAlign w:val="bottom"/>
            <w:hideMark/>
          </w:tcPr>
          <w:p w14:paraId="3613013F" w14:textId="588BF362"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96</w:t>
            </w:r>
            <w:r w:rsidR="00BC5D24" w:rsidRPr="00646254">
              <w:rPr>
                <w:rFonts w:cstheme="minorHAnsi"/>
                <w:color w:val="002060"/>
                <w:sz w:val="14"/>
                <w:szCs w:val="14"/>
                <w:lang w:val="sr-Cyrl-CS"/>
              </w:rPr>
              <w:t>,</w:t>
            </w:r>
            <w:r w:rsidRPr="00646254">
              <w:rPr>
                <w:rFonts w:cstheme="minorHAnsi"/>
                <w:color w:val="002060"/>
                <w:sz w:val="14"/>
                <w:szCs w:val="14"/>
                <w:lang w:val="sr-Cyrl-CS"/>
              </w:rPr>
              <w:t>4</w:t>
            </w:r>
          </w:p>
        </w:tc>
        <w:tc>
          <w:tcPr>
            <w:tcW w:w="1028" w:type="dxa"/>
            <w:tcBorders>
              <w:top w:val="nil"/>
            </w:tcBorders>
            <w:shd w:val="clear" w:color="auto" w:fill="FFFFFF" w:themeFill="background1"/>
            <w:noWrap/>
            <w:vAlign w:val="bottom"/>
            <w:hideMark/>
          </w:tcPr>
          <w:p w14:paraId="122397B2" w14:textId="30EE0304"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13</w:t>
            </w:r>
            <w:r w:rsidR="00BC5D24" w:rsidRPr="00646254">
              <w:rPr>
                <w:rFonts w:cstheme="minorHAnsi"/>
                <w:color w:val="002060"/>
                <w:sz w:val="14"/>
                <w:szCs w:val="14"/>
                <w:lang w:val="sr-Cyrl-CS"/>
              </w:rPr>
              <w:t>,</w:t>
            </w:r>
            <w:r w:rsidRPr="00646254">
              <w:rPr>
                <w:rFonts w:cstheme="minorHAnsi"/>
                <w:color w:val="002060"/>
                <w:sz w:val="14"/>
                <w:szCs w:val="14"/>
                <w:lang w:val="sr-Cyrl-CS"/>
              </w:rPr>
              <w:t>3</w:t>
            </w:r>
          </w:p>
        </w:tc>
        <w:tc>
          <w:tcPr>
            <w:tcW w:w="1042" w:type="dxa"/>
            <w:tcBorders>
              <w:top w:val="nil"/>
            </w:tcBorders>
            <w:shd w:val="clear" w:color="auto" w:fill="FFFFFF" w:themeFill="background1"/>
            <w:noWrap/>
            <w:vAlign w:val="bottom"/>
            <w:hideMark/>
          </w:tcPr>
          <w:p w14:paraId="7A7F37EA" w14:textId="4BD9CB4D"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83</w:t>
            </w:r>
            <w:r w:rsidR="00BC5D24" w:rsidRPr="00646254">
              <w:rPr>
                <w:rFonts w:cstheme="minorHAnsi"/>
                <w:color w:val="002060"/>
                <w:sz w:val="14"/>
                <w:szCs w:val="14"/>
                <w:lang w:val="sr-Cyrl-CS"/>
              </w:rPr>
              <w:t>,</w:t>
            </w:r>
            <w:r w:rsidRPr="00646254">
              <w:rPr>
                <w:rFonts w:cstheme="minorHAnsi"/>
                <w:color w:val="002060"/>
                <w:sz w:val="14"/>
                <w:szCs w:val="14"/>
                <w:lang w:val="sr-Cyrl-CS"/>
              </w:rPr>
              <w:t>2</w:t>
            </w:r>
          </w:p>
        </w:tc>
        <w:tc>
          <w:tcPr>
            <w:tcW w:w="1007" w:type="dxa"/>
            <w:tcBorders>
              <w:top w:val="nil"/>
            </w:tcBorders>
            <w:shd w:val="clear" w:color="auto" w:fill="FFFFFF" w:themeFill="background1"/>
            <w:noWrap/>
            <w:vAlign w:val="bottom"/>
            <w:hideMark/>
          </w:tcPr>
          <w:p w14:paraId="7D910B4F" w14:textId="5F099DB3"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83</w:t>
            </w:r>
            <w:r w:rsidR="00BC5D24" w:rsidRPr="00646254">
              <w:rPr>
                <w:rFonts w:cstheme="minorHAnsi"/>
                <w:color w:val="002060"/>
                <w:sz w:val="14"/>
                <w:szCs w:val="14"/>
                <w:lang w:val="sr-Cyrl-CS"/>
              </w:rPr>
              <w:t>,</w:t>
            </w:r>
            <w:r w:rsidRPr="00646254">
              <w:rPr>
                <w:rFonts w:cstheme="minorHAnsi"/>
                <w:color w:val="002060"/>
                <w:sz w:val="14"/>
                <w:szCs w:val="14"/>
                <w:lang w:val="sr-Cyrl-CS"/>
              </w:rPr>
              <w:t>2</w:t>
            </w:r>
          </w:p>
        </w:tc>
        <w:tc>
          <w:tcPr>
            <w:tcW w:w="1076" w:type="dxa"/>
            <w:tcBorders>
              <w:top w:val="nil"/>
            </w:tcBorders>
            <w:shd w:val="clear" w:color="auto" w:fill="FFFFFF" w:themeFill="background1"/>
            <w:noWrap/>
            <w:vAlign w:val="bottom"/>
            <w:hideMark/>
          </w:tcPr>
          <w:p w14:paraId="406BC6EB" w14:textId="77777777"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22" w:type="dxa"/>
            <w:tcBorders>
              <w:top w:val="nil"/>
            </w:tcBorders>
            <w:shd w:val="clear" w:color="auto" w:fill="FFFFFF" w:themeFill="background1"/>
            <w:noWrap/>
            <w:vAlign w:val="bottom"/>
            <w:hideMark/>
          </w:tcPr>
          <w:p w14:paraId="01BAEA89" w14:textId="77777777"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76" w:type="dxa"/>
            <w:tcBorders>
              <w:top w:val="nil"/>
            </w:tcBorders>
            <w:shd w:val="clear" w:color="auto" w:fill="FFFFFF" w:themeFill="background1"/>
            <w:noWrap/>
            <w:vAlign w:val="bottom"/>
            <w:hideMark/>
          </w:tcPr>
          <w:p w14:paraId="7AC42FFB" w14:textId="38A5BF86"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0</w:t>
            </w:r>
            <w:r w:rsidR="00BC5D24" w:rsidRPr="00646254">
              <w:rPr>
                <w:rFonts w:cstheme="minorHAnsi"/>
                <w:color w:val="002060"/>
                <w:sz w:val="14"/>
                <w:szCs w:val="14"/>
                <w:lang w:val="sr-Cyrl-CS"/>
              </w:rPr>
              <w:t>,</w:t>
            </w:r>
            <w:r w:rsidRPr="00646254">
              <w:rPr>
                <w:rFonts w:cstheme="minorHAnsi"/>
                <w:color w:val="002060"/>
                <w:sz w:val="14"/>
                <w:szCs w:val="14"/>
                <w:lang w:val="sr-Cyrl-CS"/>
              </w:rPr>
              <w:t>0</w:t>
            </w:r>
          </w:p>
        </w:tc>
        <w:tc>
          <w:tcPr>
            <w:tcW w:w="1076" w:type="dxa"/>
            <w:tcBorders>
              <w:top w:val="nil"/>
            </w:tcBorders>
            <w:shd w:val="clear" w:color="auto" w:fill="FFFFFF" w:themeFill="background1"/>
            <w:noWrap/>
            <w:vAlign w:val="bottom"/>
            <w:hideMark/>
          </w:tcPr>
          <w:p w14:paraId="5371A273" w14:textId="77777777"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76" w:type="dxa"/>
            <w:tcBorders>
              <w:top w:val="nil"/>
            </w:tcBorders>
            <w:shd w:val="clear" w:color="auto" w:fill="FFFFFF" w:themeFill="background1"/>
            <w:noWrap/>
            <w:vAlign w:val="bottom"/>
            <w:hideMark/>
          </w:tcPr>
          <w:p w14:paraId="497206B2" w14:textId="77777777"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76" w:type="dxa"/>
            <w:tcBorders>
              <w:top w:val="nil"/>
            </w:tcBorders>
            <w:shd w:val="clear" w:color="auto" w:fill="FFFFFF" w:themeFill="background1"/>
            <w:noWrap/>
            <w:vAlign w:val="bottom"/>
            <w:hideMark/>
          </w:tcPr>
          <w:p w14:paraId="3677AA3D" w14:textId="77777777" w:rsidR="00960AC3" w:rsidRPr="00646254" w:rsidRDefault="00960AC3" w:rsidP="00BC5D24">
            <w:pPr>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76" w:type="dxa"/>
            <w:tcBorders>
              <w:top w:val="nil"/>
            </w:tcBorders>
            <w:shd w:val="clear" w:color="auto" w:fill="FFFFFF" w:themeFill="background1"/>
            <w:noWrap/>
            <w:vAlign w:val="bottom"/>
            <w:hideMark/>
          </w:tcPr>
          <w:p w14:paraId="27CABC41" w14:textId="77777777" w:rsidR="00960AC3" w:rsidRPr="00646254" w:rsidRDefault="00960AC3" w:rsidP="00BC5D24">
            <w:pPr>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r>
      <w:tr w:rsidR="00960AC3" w:rsidRPr="00646254" w14:paraId="65854C99" w14:textId="77777777" w:rsidTr="00BC5D24">
        <w:trPr>
          <w:trHeight w:val="77"/>
        </w:trPr>
        <w:tc>
          <w:tcPr>
            <w:cnfStyle w:val="001000000000" w:firstRow="0" w:lastRow="0" w:firstColumn="1" w:lastColumn="0" w:oddVBand="0" w:evenVBand="0" w:oddHBand="0" w:evenHBand="0" w:firstRowFirstColumn="0" w:firstRowLastColumn="0" w:lastRowFirstColumn="0" w:lastRowLastColumn="0"/>
            <w:tcW w:w="2875" w:type="dxa"/>
            <w:tcBorders>
              <w:top w:val="nil"/>
            </w:tcBorders>
            <w:shd w:val="clear" w:color="auto" w:fill="FFFFFF" w:themeFill="background1"/>
            <w:noWrap/>
            <w:vAlign w:val="bottom"/>
            <w:hideMark/>
          </w:tcPr>
          <w:p w14:paraId="7A049E56" w14:textId="77777777" w:rsidR="00960AC3" w:rsidRPr="00646254" w:rsidRDefault="00960AC3" w:rsidP="00BC5D24">
            <w:pPr>
              <w:tabs>
                <w:tab w:val="center" w:pos="4680"/>
                <w:tab w:val="right" w:pos="9360"/>
              </w:tabs>
              <w:rPr>
                <w:rFonts w:cstheme="minorHAnsi"/>
                <w:b w:val="0"/>
                <w:color w:val="002060"/>
                <w:sz w:val="14"/>
                <w:szCs w:val="14"/>
                <w:lang w:val="sr-Cyrl-CS"/>
              </w:rPr>
            </w:pPr>
            <w:r w:rsidRPr="00646254">
              <w:rPr>
                <w:rFonts w:cstheme="minorHAnsi"/>
                <w:b w:val="0"/>
                <w:color w:val="002060"/>
                <w:sz w:val="14"/>
                <w:szCs w:val="14"/>
                <w:lang w:val="sr-Cyrl-CS"/>
              </w:rPr>
              <w:t xml:space="preserve">      Непорески приходи</w:t>
            </w:r>
          </w:p>
        </w:tc>
        <w:tc>
          <w:tcPr>
            <w:tcW w:w="1028" w:type="dxa"/>
            <w:tcBorders>
              <w:top w:val="nil"/>
            </w:tcBorders>
            <w:shd w:val="clear" w:color="auto" w:fill="FFFFFF" w:themeFill="background1"/>
            <w:noWrap/>
            <w:vAlign w:val="bottom"/>
            <w:hideMark/>
          </w:tcPr>
          <w:p w14:paraId="1E3B5177" w14:textId="33D8DE3F"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251</w:t>
            </w:r>
            <w:r w:rsidR="00BC5D24" w:rsidRPr="00646254">
              <w:rPr>
                <w:rFonts w:cstheme="minorHAnsi"/>
                <w:color w:val="002060"/>
                <w:sz w:val="14"/>
                <w:szCs w:val="14"/>
                <w:lang w:val="sr-Cyrl-CS"/>
              </w:rPr>
              <w:t>,</w:t>
            </w:r>
            <w:r w:rsidRPr="00646254">
              <w:rPr>
                <w:rFonts w:cstheme="minorHAnsi"/>
                <w:color w:val="002060"/>
                <w:sz w:val="14"/>
                <w:szCs w:val="14"/>
                <w:lang w:val="sr-Cyrl-CS"/>
              </w:rPr>
              <w:t>5</w:t>
            </w:r>
          </w:p>
        </w:tc>
        <w:tc>
          <w:tcPr>
            <w:tcW w:w="1028" w:type="dxa"/>
            <w:tcBorders>
              <w:top w:val="nil"/>
            </w:tcBorders>
            <w:shd w:val="clear" w:color="auto" w:fill="FFFFFF" w:themeFill="background1"/>
            <w:noWrap/>
            <w:vAlign w:val="bottom"/>
            <w:hideMark/>
          </w:tcPr>
          <w:p w14:paraId="64B0FE65" w14:textId="32EE7250"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124</w:t>
            </w:r>
            <w:r w:rsidR="00BC5D24" w:rsidRPr="00646254">
              <w:rPr>
                <w:rFonts w:cstheme="minorHAnsi"/>
                <w:color w:val="002060"/>
                <w:sz w:val="14"/>
                <w:szCs w:val="14"/>
                <w:lang w:val="sr-Cyrl-CS"/>
              </w:rPr>
              <w:t>,</w:t>
            </w:r>
            <w:r w:rsidRPr="00646254">
              <w:rPr>
                <w:rFonts w:cstheme="minorHAnsi"/>
                <w:color w:val="002060"/>
                <w:sz w:val="14"/>
                <w:szCs w:val="14"/>
                <w:lang w:val="sr-Cyrl-CS"/>
              </w:rPr>
              <w:t>6</w:t>
            </w:r>
          </w:p>
        </w:tc>
        <w:tc>
          <w:tcPr>
            <w:tcW w:w="1042" w:type="dxa"/>
            <w:tcBorders>
              <w:top w:val="nil"/>
            </w:tcBorders>
            <w:shd w:val="clear" w:color="auto" w:fill="FFFFFF" w:themeFill="background1"/>
            <w:noWrap/>
            <w:vAlign w:val="bottom"/>
            <w:hideMark/>
          </w:tcPr>
          <w:p w14:paraId="751C636C" w14:textId="3951E478"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74</w:t>
            </w:r>
            <w:r w:rsidR="00BC5D24" w:rsidRPr="00646254">
              <w:rPr>
                <w:rFonts w:cstheme="minorHAnsi"/>
                <w:color w:val="002060"/>
                <w:sz w:val="14"/>
                <w:szCs w:val="14"/>
                <w:lang w:val="sr-Cyrl-CS"/>
              </w:rPr>
              <w:t>,</w:t>
            </w:r>
            <w:r w:rsidRPr="00646254">
              <w:rPr>
                <w:rFonts w:cstheme="minorHAnsi"/>
                <w:color w:val="002060"/>
                <w:sz w:val="14"/>
                <w:szCs w:val="14"/>
                <w:lang w:val="sr-Cyrl-CS"/>
              </w:rPr>
              <w:t>6</w:t>
            </w:r>
          </w:p>
        </w:tc>
        <w:tc>
          <w:tcPr>
            <w:tcW w:w="1007" w:type="dxa"/>
            <w:tcBorders>
              <w:top w:val="nil"/>
            </w:tcBorders>
            <w:shd w:val="clear" w:color="auto" w:fill="FFFFFF" w:themeFill="background1"/>
            <w:noWrap/>
            <w:vAlign w:val="bottom"/>
            <w:hideMark/>
          </w:tcPr>
          <w:p w14:paraId="5D1F144D" w14:textId="1A1EF504"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68</w:t>
            </w:r>
            <w:r w:rsidR="00BC5D24" w:rsidRPr="00646254">
              <w:rPr>
                <w:rFonts w:cstheme="minorHAnsi"/>
                <w:color w:val="002060"/>
                <w:sz w:val="14"/>
                <w:szCs w:val="14"/>
                <w:lang w:val="sr-Cyrl-CS"/>
              </w:rPr>
              <w:t>,</w:t>
            </w:r>
            <w:r w:rsidRPr="00646254">
              <w:rPr>
                <w:rFonts w:cstheme="minorHAnsi"/>
                <w:color w:val="002060"/>
                <w:sz w:val="14"/>
                <w:szCs w:val="14"/>
                <w:lang w:val="sr-Cyrl-CS"/>
              </w:rPr>
              <w:t>4</w:t>
            </w:r>
          </w:p>
        </w:tc>
        <w:tc>
          <w:tcPr>
            <w:tcW w:w="1076" w:type="dxa"/>
            <w:tcBorders>
              <w:top w:val="nil"/>
            </w:tcBorders>
            <w:shd w:val="clear" w:color="auto" w:fill="FFFFFF" w:themeFill="background1"/>
            <w:noWrap/>
            <w:vAlign w:val="bottom"/>
            <w:hideMark/>
          </w:tcPr>
          <w:p w14:paraId="0C5AC7BC" w14:textId="13877217"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6</w:t>
            </w:r>
            <w:r w:rsidR="00BC5D24" w:rsidRPr="00646254">
              <w:rPr>
                <w:rFonts w:cstheme="minorHAnsi"/>
                <w:color w:val="002060"/>
                <w:sz w:val="14"/>
                <w:szCs w:val="14"/>
                <w:lang w:val="sr-Cyrl-CS"/>
              </w:rPr>
              <w:t>,</w:t>
            </w:r>
            <w:r w:rsidRPr="00646254">
              <w:rPr>
                <w:rFonts w:cstheme="minorHAnsi"/>
                <w:color w:val="002060"/>
                <w:sz w:val="14"/>
                <w:szCs w:val="14"/>
                <w:lang w:val="sr-Cyrl-CS"/>
              </w:rPr>
              <w:t>3</w:t>
            </w:r>
          </w:p>
        </w:tc>
        <w:tc>
          <w:tcPr>
            <w:tcW w:w="1022" w:type="dxa"/>
            <w:tcBorders>
              <w:top w:val="nil"/>
            </w:tcBorders>
            <w:shd w:val="clear" w:color="auto" w:fill="FFFFFF" w:themeFill="background1"/>
            <w:noWrap/>
            <w:vAlign w:val="bottom"/>
            <w:hideMark/>
          </w:tcPr>
          <w:p w14:paraId="11AD3125" w14:textId="37559833"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40</w:t>
            </w:r>
            <w:r w:rsidR="00BC5D24" w:rsidRPr="00646254">
              <w:rPr>
                <w:rFonts w:cstheme="minorHAnsi"/>
                <w:color w:val="002060"/>
                <w:sz w:val="14"/>
                <w:szCs w:val="14"/>
                <w:lang w:val="sr-Cyrl-CS"/>
              </w:rPr>
              <w:t>,</w:t>
            </w:r>
            <w:r w:rsidRPr="00646254">
              <w:rPr>
                <w:rFonts w:cstheme="minorHAnsi"/>
                <w:color w:val="002060"/>
                <w:sz w:val="14"/>
                <w:szCs w:val="14"/>
                <w:lang w:val="sr-Cyrl-CS"/>
              </w:rPr>
              <w:t>1</w:t>
            </w:r>
          </w:p>
        </w:tc>
        <w:tc>
          <w:tcPr>
            <w:tcW w:w="1076" w:type="dxa"/>
            <w:tcBorders>
              <w:top w:val="nil"/>
            </w:tcBorders>
            <w:shd w:val="clear" w:color="auto" w:fill="FFFFFF" w:themeFill="background1"/>
            <w:noWrap/>
            <w:vAlign w:val="bottom"/>
            <w:hideMark/>
          </w:tcPr>
          <w:p w14:paraId="3C43149C" w14:textId="0645B5FD"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12</w:t>
            </w:r>
            <w:r w:rsidR="00BC5D24" w:rsidRPr="00646254">
              <w:rPr>
                <w:rFonts w:cstheme="minorHAnsi"/>
                <w:color w:val="002060"/>
                <w:sz w:val="14"/>
                <w:szCs w:val="14"/>
                <w:lang w:val="sr-Cyrl-CS"/>
              </w:rPr>
              <w:t>,</w:t>
            </w:r>
            <w:r w:rsidRPr="00646254">
              <w:rPr>
                <w:rFonts w:cstheme="minorHAnsi"/>
                <w:color w:val="002060"/>
                <w:sz w:val="14"/>
                <w:szCs w:val="14"/>
                <w:lang w:val="sr-Cyrl-CS"/>
              </w:rPr>
              <w:t>2</w:t>
            </w:r>
          </w:p>
        </w:tc>
        <w:tc>
          <w:tcPr>
            <w:tcW w:w="1076" w:type="dxa"/>
            <w:tcBorders>
              <w:top w:val="nil"/>
            </w:tcBorders>
            <w:shd w:val="clear" w:color="auto" w:fill="FFFFFF" w:themeFill="background1"/>
            <w:noWrap/>
            <w:vAlign w:val="bottom"/>
            <w:hideMark/>
          </w:tcPr>
          <w:p w14:paraId="747A790A" w14:textId="708D1216"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1</w:t>
            </w:r>
            <w:r w:rsidR="00BC5D24" w:rsidRPr="00646254">
              <w:rPr>
                <w:rFonts w:cstheme="minorHAnsi"/>
                <w:color w:val="002060"/>
                <w:sz w:val="14"/>
                <w:szCs w:val="14"/>
                <w:lang w:val="sr-Cyrl-CS"/>
              </w:rPr>
              <w:t>,</w:t>
            </w:r>
            <w:r w:rsidRPr="00646254">
              <w:rPr>
                <w:rFonts w:cstheme="minorHAnsi"/>
                <w:color w:val="002060"/>
                <w:sz w:val="14"/>
                <w:szCs w:val="14"/>
                <w:lang w:val="sr-Cyrl-CS"/>
              </w:rPr>
              <w:t>0</w:t>
            </w:r>
          </w:p>
        </w:tc>
        <w:tc>
          <w:tcPr>
            <w:tcW w:w="1076" w:type="dxa"/>
            <w:tcBorders>
              <w:top w:val="nil"/>
            </w:tcBorders>
            <w:shd w:val="clear" w:color="auto" w:fill="FFFFFF" w:themeFill="background1"/>
            <w:noWrap/>
            <w:vAlign w:val="bottom"/>
            <w:hideMark/>
          </w:tcPr>
          <w:p w14:paraId="198262B5" w14:textId="4EF326DF"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9</w:t>
            </w:r>
            <w:r w:rsidR="00BC5D24" w:rsidRPr="00646254">
              <w:rPr>
                <w:rFonts w:cstheme="minorHAnsi"/>
                <w:color w:val="002060"/>
                <w:sz w:val="14"/>
                <w:szCs w:val="14"/>
                <w:lang w:val="sr-Cyrl-CS"/>
              </w:rPr>
              <w:t>,</w:t>
            </w:r>
            <w:r w:rsidRPr="00646254">
              <w:rPr>
                <w:rFonts w:cstheme="minorHAnsi"/>
                <w:color w:val="002060"/>
                <w:sz w:val="14"/>
                <w:szCs w:val="14"/>
                <w:lang w:val="sr-Cyrl-CS"/>
              </w:rPr>
              <w:t>4</w:t>
            </w:r>
          </w:p>
        </w:tc>
        <w:tc>
          <w:tcPr>
            <w:tcW w:w="1076" w:type="dxa"/>
            <w:tcBorders>
              <w:top w:val="nil"/>
            </w:tcBorders>
            <w:shd w:val="clear" w:color="auto" w:fill="FFFFFF" w:themeFill="background1"/>
            <w:noWrap/>
            <w:vAlign w:val="bottom"/>
            <w:hideMark/>
          </w:tcPr>
          <w:p w14:paraId="3A1166C9" w14:textId="359A6962" w:rsidR="00960AC3" w:rsidRPr="00646254" w:rsidRDefault="00960AC3" w:rsidP="00BC5D24">
            <w:pPr>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1</w:t>
            </w:r>
            <w:r w:rsidR="00BC5D24" w:rsidRPr="00646254">
              <w:rPr>
                <w:rFonts w:cstheme="minorHAnsi"/>
                <w:color w:val="002060"/>
                <w:sz w:val="14"/>
                <w:szCs w:val="14"/>
                <w:lang w:val="sr-Cyrl-CS"/>
              </w:rPr>
              <w:t>,</w:t>
            </w:r>
            <w:r w:rsidRPr="00646254">
              <w:rPr>
                <w:rFonts w:cstheme="minorHAnsi"/>
                <w:color w:val="002060"/>
                <w:sz w:val="14"/>
                <w:szCs w:val="14"/>
                <w:lang w:val="sr-Cyrl-CS"/>
              </w:rPr>
              <w:t>2</w:t>
            </w:r>
          </w:p>
        </w:tc>
        <w:tc>
          <w:tcPr>
            <w:tcW w:w="1076" w:type="dxa"/>
            <w:tcBorders>
              <w:top w:val="nil"/>
            </w:tcBorders>
            <w:shd w:val="clear" w:color="auto" w:fill="FFFFFF" w:themeFill="background1"/>
            <w:noWrap/>
            <w:vAlign w:val="bottom"/>
            <w:hideMark/>
          </w:tcPr>
          <w:p w14:paraId="48A10D3A" w14:textId="74505816" w:rsidR="00960AC3" w:rsidRPr="00646254" w:rsidRDefault="00960AC3" w:rsidP="00BC5D24">
            <w:pPr>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0</w:t>
            </w:r>
            <w:r w:rsidR="00BC5D24" w:rsidRPr="00646254">
              <w:rPr>
                <w:rFonts w:cstheme="minorHAnsi"/>
                <w:color w:val="002060"/>
                <w:sz w:val="14"/>
                <w:szCs w:val="14"/>
                <w:lang w:val="sr-Cyrl-CS"/>
              </w:rPr>
              <w:t>,</w:t>
            </w:r>
            <w:r w:rsidRPr="00646254">
              <w:rPr>
                <w:rFonts w:cstheme="minorHAnsi"/>
                <w:color w:val="002060"/>
                <w:sz w:val="14"/>
                <w:szCs w:val="14"/>
                <w:lang w:val="sr-Cyrl-CS"/>
              </w:rPr>
              <w:t>6</w:t>
            </w:r>
          </w:p>
        </w:tc>
      </w:tr>
      <w:tr w:rsidR="00960AC3" w:rsidRPr="00646254" w14:paraId="131D7953" w14:textId="77777777" w:rsidTr="00BC5D24">
        <w:trPr>
          <w:cnfStyle w:val="000000100000" w:firstRow="0" w:lastRow="0" w:firstColumn="0" w:lastColumn="0" w:oddVBand="0" w:evenVBand="0" w:oddHBand="1" w:evenHBand="0" w:firstRowFirstColumn="0" w:firstRowLastColumn="0" w:lastRowFirstColumn="0" w:lastRowLastColumn="0"/>
          <w:trHeight w:val="71"/>
        </w:trPr>
        <w:tc>
          <w:tcPr>
            <w:cnfStyle w:val="001000000000" w:firstRow="0" w:lastRow="0" w:firstColumn="1" w:lastColumn="0" w:oddVBand="0" w:evenVBand="0" w:oddHBand="0" w:evenHBand="0" w:firstRowFirstColumn="0" w:firstRowLastColumn="0" w:lastRowFirstColumn="0" w:lastRowLastColumn="0"/>
            <w:tcW w:w="2875" w:type="dxa"/>
            <w:tcBorders>
              <w:top w:val="nil"/>
            </w:tcBorders>
            <w:shd w:val="clear" w:color="auto" w:fill="FFFFFF" w:themeFill="background1"/>
            <w:noWrap/>
            <w:vAlign w:val="bottom"/>
            <w:hideMark/>
          </w:tcPr>
          <w:p w14:paraId="45D88451" w14:textId="77777777" w:rsidR="00960AC3" w:rsidRPr="00646254" w:rsidRDefault="00960AC3" w:rsidP="00BC5D24">
            <w:pPr>
              <w:tabs>
                <w:tab w:val="center" w:pos="4680"/>
                <w:tab w:val="right" w:pos="9360"/>
              </w:tabs>
              <w:rPr>
                <w:rFonts w:cstheme="minorHAnsi"/>
                <w:b w:val="0"/>
                <w:color w:val="002060"/>
                <w:sz w:val="14"/>
                <w:szCs w:val="14"/>
                <w:lang w:val="sr-Cyrl-CS"/>
              </w:rPr>
            </w:pPr>
            <w:r w:rsidRPr="00646254">
              <w:rPr>
                <w:rFonts w:cstheme="minorHAnsi"/>
                <w:b w:val="0"/>
                <w:color w:val="002060"/>
                <w:sz w:val="14"/>
                <w:szCs w:val="14"/>
                <w:lang w:val="sr-Cyrl-CS"/>
              </w:rPr>
              <w:t xml:space="preserve">   Донације</w:t>
            </w:r>
          </w:p>
        </w:tc>
        <w:tc>
          <w:tcPr>
            <w:tcW w:w="1028" w:type="dxa"/>
            <w:tcBorders>
              <w:top w:val="nil"/>
            </w:tcBorders>
            <w:shd w:val="clear" w:color="auto" w:fill="FFFFFF" w:themeFill="background1"/>
            <w:noWrap/>
            <w:vAlign w:val="bottom"/>
            <w:hideMark/>
          </w:tcPr>
          <w:p w14:paraId="1E58DF22" w14:textId="25A01792"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25</w:t>
            </w:r>
            <w:r w:rsidR="00BC5D24" w:rsidRPr="00646254">
              <w:rPr>
                <w:rFonts w:cstheme="minorHAnsi"/>
                <w:color w:val="002060"/>
                <w:sz w:val="14"/>
                <w:szCs w:val="14"/>
                <w:lang w:val="sr-Cyrl-CS"/>
              </w:rPr>
              <w:t>,</w:t>
            </w:r>
            <w:r w:rsidRPr="00646254">
              <w:rPr>
                <w:rFonts w:cstheme="minorHAnsi"/>
                <w:color w:val="002060"/>
                <w:sz w:val="14"/>
                <w:szCs w:val="14"/>
                <w:lang w:val="sr-Cyrl-CS"/>
              </w:rPr>
              <w:t>9</w:t>
            </w:r>
          </w:p>
        </w:tc>
        <w:tc>
          <w:tcPr>
            <w:tcW w:w="1028" w:type="dxa"/>
            <w:tcBorders>
              <w:top w:val="nil"/>
            </w:tcBorders>
            <w:shd w:val="clear" w:color="auto" w:fill="FFFFFF" w:themeFill="background1"/>
            <w:noWrap/>
            <w:vAlign w:val="bottom"/>
            <w:hideMark/>
          </w:tcPr>
          <w:p w14:paraId="5274EEAC" w14:textId="00326BA7"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23</w:t>
            </w:r>
            <w:r w:rsidR="00BC5D24" w:rsidRPr="00646254">
              <w:rPr>
                <w:rFonts w:cstheme="minorHAnsi"/>
                <w:color w:val="002060"/>
                <w:sz w:val="14"/>
                <w:szCs w:val="14"/>
                <w:lang w:val="sr-Cyrl-CS"/>
              </w:rPr>
              <w:t>,</w:t>
            </w:r>
            <w:r w:rsidRPr="00646254">
              <w:rPr>
                <w:rFonts w:cstheme="minorHAnsi"/>
                <w:color w:val="002060"/>
                <w:sz w:val="14"/>
                <w:szCs w:val="14"/>
                <w:lang w:val="sr-Cyrl-CS"/>
              </w:rPr>
              <w:t>4</w:t>
            </w:r>
          </w:p>
        </w:tc>
        <w:tc>
          <w:tcPr>
            <w:tcW w:w="1042" w:type="dxa"/>
            <w:tcBorders>
              <w:top w:val="nil"/>
            </w:tcBorders>
            <w:shd w:val="clear" w:color="auto" w:fill="FFFFFF" w:themeFill="background1"/>
            <w:noWrap/>
            <w:vAlign w:val="bottom"/>
            <w:hideMark/>
          </w:tcPr>
          <w:p w14:paraId="6AF515B9" w14:textId="44A4ECE3"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2</w:t>
            </w:r>
            <w:r w:rsidR="00BC5D24" w:rsidRPr="00646254">
              <w:rPr>
                <w:rFonts w:cstheme="minorHAnsi"/>
                <w:color w:val="002060"/>
                <w:sz w:val="14"/>
                <w:szCs w:val="14"/>
                <w:lang w:val="sr-Cyrl-CS"/>
              </w:rPr>
              <w:t>,</w:t>
            </w:r>
            <w:r w:rsidRPr="00646254">
              <w:rPr>
                <w:rFonts w:cstheme="minorHAnsi"/>
                <w:color w:val="002060"/>
                <w:sz w:val="14"/>
                <w:szCs w:val="14"/>
                <w:lang w:val="sr-Cyrl-CS"/>
              </w:rPr>
              <w:t>0</w:t>
            </w:r>
          </w:p>
        </w:tc>
        <w:tc>
          <w:tcPr>
            <w:tcW w:w="1007" w:type="dxa"/>
            <w:tcBorders>
              <w:top w:val="nil"/>
            </w:tcBorders>
            <w:shd w:val="clear" w:color="auto" w:fill="FFFFFF" w:themeFill="background1"/>
            <w:noWrap/>
            <w:vAlign w:val="bottom"/>
            <w:hideMark/>
          </w:tcPr>
          <w:p w14:paraId="574F40DC" w14:textId="297F2E85"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2</w:t>
            </w:r>
            <w:r w:rsidR="00BC5D24" w:rsidRPr="00646254">
              <w:rPr>
                <w:rFonts w:cstheme="minorHAnsi"/>
                <w:color w:val="002060"/>
                <w:sz w:val="14"/>
                <w:szCs w:val="14"/>
                <w:lang w:val="sr-Cyrl-CS"/>
              </w:rPr>
              <w:t>,</w:t>
            </w:r>
            <w:r w:rsidRPr="00646254">
              <w:rPr>
                <w:rFonts w:cstheme="minorHAnsi"/>
                <w:color w:val="002060"/>
                <w:sz w:val="14"/>
                <w:szCs w:val="14"/>
                <w:lang w:val="sr-Cyrl-CS"/>
              </w:rPr>
              <w:t>0</w:t>
            </w:r>
          </w:p>
        </w:tc>
        <w:tc>
          <w:tcPr>
            <w:tcW w:w="1076" w:type="dxa"/>
            <w:tcBorders>
              <w:top w:val="nil"/>
            </w:tcBorders>
            <w:shd w:val="clear" w:color="auto" w:fill="FFFFFF" w:themeFill="background1"/>
            <w:noWrap/>
            <w:vAlign w:val="bottom"/>
          </w:tcPr>
          <w:p w14:paraId="16780C12" w14:textId="77777777"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color w:val="002060"/>
                <w:sz w:val="14"/>
                <w:szCs w:val="14"/>
                <w:lang w:val="sr-Cyrl-CS"/>
              </w:rPr>
            </w:pPr>
          </w:p>
        </w:tc>
        <w:tc>
          <w:tcPr>
            <w:tcW w:w="1022" w:type="dxa"/>
            <w:tcBorders>
              <w:top w:val="nil"/>
            </w:tcBorders>
            <w:shd w:val="clear" w:color="auto" w:fill="FFFFFF" w:themeFill="background1"/>
            <w:noWrap/>
            <w:vAlign w:val="bottom"/>
          </w:tcPr>
          <w:p w14:paraId="1673C158" w14:textId="1F8AF58F"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0</w:t>
            </w:r>
            <w:r w:rsidR="00BC5D24" w:rsidRPr="00646254">
              <w:rPr>
                <w:rFonts w:cstheme="minorHAnsi"/>
                <w:color w:val="002060"/>
                <w:sz w:val="14"/>
                <w:szCs w:val="14"/>
                <w:lang w:val="sr-Cyrl-CS"/>
              </w:rPr>
              <w:t>,</w:t>
            </w:r>
            <w:r w:rsidRPr="00646254">
              <w:rPr>
                <w:rFonts w:cstheme="minorHAnsi"/>
                <w:color w:val="002060"/>
                <w:sz w:val="14"/>
                <w:szCs w:val="14"/>
                <w:lang w:val="sr-Cyrl-CS"/>
              </w:rPr>
              <w:t>0</w:t>
            </w:r>
          </w:p>
        </w:tc>
        <w:tc>
          <w:tcPr>
            <w:tcW w:w="1076" w:type="dxa"/>
            <w:tcBorders>
              <w:top w:val="nil"/>
            </w:tcBorders>
            <w:shd w:val="clear" w:color="auto" w:fill="FFFFFF" w:themeFill="background1"/>
            <w:noWrap/>
            <w:vAlign w:val="bottom"/>
            <w:hideMark/>
          </w:tcPr>
          <w:p w14:paraId="71CD0649" w14:textId="2FFC8366"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0</w:t>
            </w:r>
            <w:r w:rsidR="00BC5D24" w:rsidRPr="00646254">
              <w:rPr>
                <w:rFonts w:cstheme="minorHAnsi"/>
                <w:color w:val="002060"/>
                <w:sz w:val="14"/>
                <w:szCs w:val="14"/>
                <w:lang w:val="sr-Cyrl-CS"/>
              </w:rPr>
              <w:t>,</w:t>
            </w:r>
            <w:r w:rsidRPr="00646254">
              <w:rPr>
                <w:rFonts w:cstheme="minorHAnsi"/>
                <w:color w:val="002060"/>
                <w:sz w:val="14"/>
                <w:szCs w:val="14"/>
                <w:lang w:val="sr-Cyrl-CS"/>
              </w:rPr>
              <w:t>5</w:t>
            </w:r>
          </w:p>
        </w:tc>
        <w:tc>
          <w:tcPr>
            <w:tcW w:w="1076" w:type="dxa"/>
            <w:tcBorders>
              <w:top w:val="nil"/>
            </w:tcBorders>
            <w:shd w:val="clear" w:color="auto" w:fill="FFFFFF" w:themeFill="background1"/>
            <w:noWrap/>
            <w:vAlign w:val="bottom"/>
            <w:hideMark/>
          </w:tcPr>
          <w:p w14:paraId="61771CFF" w14:textId="77777777"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76" w:type="dxa"/>
            <w:tcBorders>
              <w:top w:val="nil"/>
            </w:tcBorders>
            <w:shd w:val="clear" w:color="auto" w:fill="FFFFFF" w:themeFill="background1"/>
            <w:noWrap/>
            <w:vAlign w:val="bottom"/>
            <w:hideMark/>
          </w:tcPr>
          <w:p w14:paraId="31A053DB" w14:textId="77777777"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76" w:type="dxa"/>
            <w:tcBorders>
              <w:top w:val="nil"/>
            </w:tcBorders>
            <w:shd w:val="clear" w:color="auto" w:fill="FFFFFF" w:themeFill="background1"/>
            <w:noWrap/>
            <w:vAlign w:val="bottom"/>
            <w:hideMark/>
          </w:tcPr>
          <w:p w14:paraId="6EBDBDA4" w14:textId="73AD6E91" w:rsidR="00960AC3" w:rsidRPr="00646254" w:rsidRDefault="00960AC3" w:rsidP="00BC5D24">
            <w:pPr>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0</w:t>
            </w:r>
            <w:r w:rsidR="00BC5D24" w:rsidRPr="00646254">
              <w:rPr>
                <w:rFonts w:cstheme="minorHAnsi"/>
                <w:color w:val="002060"/>
                <w:sz w:val="14"/>
                <w:szCs w:val="14"/>
                <w:lang w:val="sr-Cyrl-CS"/>
              </w:rPr>
              <w:t>,</w:t>
            </w:r>
            <w:r w:rsidRPr="00646254">
              <w:rPr>
                <w:rFonts w:cstheme="minorHAnsi"/>
                <w:color w:val="002060"/>
                <w:sz w:val="14"/>
                <w:szCs w:val="14"/>
                <w:lang w:val="sr-Cyrl-CS"/>
              </w:rPr>
              <w:t>5</w:t>
            </w:r>
          </w:p>
        </w:tc>
        <w:tc>
          <w:tcPr>
            <w:tcW w:w="1076" w:type="dxa"/>
            <w:tcBorders>
              <w:top w:val="nil"/>
            </w:tcBorders>
            <w:shd w:val="clear" w:color="auto" w:fill="FFFFFF" w:themeFill="background1"/>
            <w:noWrap/>
            <w:vAlign w:val="bottom"/>
            <w:hideMark/>
          </w:tcPr>
          <w:p w14:paraId="0021288E" w14:textId="77777777" w:rsidR="00960AC3" w:rsidRPr="00646254" w:rsidRDefault="00960AC3" w:rsidP="00BC5D24">
            <w:pPr>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r>
      <w:tr w:rsidR="00960AC3" w:rsidRPr="00646254" w14:paraId="0222F368" w14:textId="77777777" w:rsidTr="00BC5D24">
        <w:trPr>
          <w:trHeight w:val="157"/>
        </w:trPr>
        <w:tc>
          <w:tcPr>
            <w:cnfStyle w:val="001000000000" w:firstRow="0" w:lastRow="0" w:firstColumn="1" w:lastColumn="0" w:oddVBand="0" w:evenVBand="0" w:oddHBand="0" w:evenHBand="0" w:firstRowFirstColumn="0" w:firstRowLastColumn="0" w:lastRowFirstColumn="0" w:lastRowLastColumn="0"/>
            <w:tcW w:w="2875" w:type="dxa"/>
            <w:tcBorders>
              <w:top w:val="nil"/>
            </w:tcBorders>
            <w:shd w:val="clear" w:color="auto" w:fill="BFBFBF" w:themeFill="background1" w:themeFillShade="BF"/>
            <w:noWrap/>
            <w:vAlign w:val="bottom"/>
            <w:hideMark/>
          </w:tcPr>
          <w:p w14:paraId="6CC41F4C" w14:textId="77777777" w:rsidR="00960AC3" w:rsidRPr="00646254" w:rsidRDefault="00960AC3" w:rsidP="00BC5D24">
            <w:pPr>
              <w:tabs>
                <w:tab w:val="center" w:pos="4680"/>
                <w:tab w:val="right" w:pos="9360"/>
              </w:tabs>
              <w:rPr>
                <w:rFonts w:cstheme="minorHAnsi"/>
                <w:color w:val="002060"/>
                <w:sz w:val="14"/>
                <w:szCs w:val="14"/>
                <w:lang w:val="sr-Cyrl-CS"/>
              </w:rPr>
            </w:pPr>
            <w:r w:rsidRPr="00646254">
              <w:rPr>
                <w:rFonts w:cstheme="minorHAnsi"/>
                <w:color w:val="002060"/>
                <w:sz w:val="14"/>
                <w:szCs w:val="14"/>
                <w:lang w:val="sr-Cyrl-CS"/>
              </w:rPr>
              <w:t>Јавни расходи</w:t>
            </w:r>
          </w:p>
        </w:tc>
        <w:tc>
          <w:tcPr>
            <w:tcW w:w="1028" w:type="dxa"/>
            <w:tcBorders>
              <w:top w:val="nil"/>
            </w:tcBorders>
            <w:shd w:val="clear" w:color="auto" w:fill="BFBFBF" w:themeFill="background1" w:themeFillShade="BF"/>
            <w:noWrap/>
            <w:vAlign w:val="bottom"/>
            <w:hideMark/>
          </w:tcPr>
          <w:p w14:paraId="3AF18D05" w14:textId="6057F828" w:rsidR="00960AC3" w:rsidRPr="00646254" w:rsidRDefault="00BC5D24"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b/>
                <w:bCs/>
                <w:color w:val="002060"/>
                <w:sz w:val="14"/>
                <w:szCs w:val="14"/>
                <w:lang w:val="sr-Cyrl-CS"/>
              </w:rPr>
            </w:pPr>
            <w:r w:rsidRPr="00646254">
              <w:rPr>
                <w:rFonts w:cstheme="minorHAnsi"/>
                <w:b/>
                <w:bCs/>
                <w:color w:val="002060"/>
                <w:sz w:val="14"/>
                <w:szCs w:val="14"/>
                <w:lang w:val="sr-Cyrl-CS"/>
              </w:rPr>
              <w:t>3.</w:t>
            </w:r>
            <w:r w:rsidR="00960AC3" w:rsidRPr="00646254">
              <w:rPr>
                <w:rFonts w:cstheme="minorHAnsi"/>
                <w:b/>
                <w:bCs/>
                <w:color w:val="002060"/>
                <w:sz w:val="14"/>
                <w:szCs w:val="14"/>
                <w:lang w:val="sr-Cyrl-CS"/>
              </w:rPr>
              <w:t>004</w:t>
            </w:r>
            <w:r w:rsidRPr="00646254">
              <w:rPr>
                <w:rFonts w:cstheme="minorHAnsi"/>
                <w:b/>
                <w:bCs/>
                <w:color w:val="002060"/>
                <w:sz w:val="14"/>
                <w:szCs w:val="14"/>
                <w:lang w:val="sr-Cyrl-CS"/>
              </w:rPr>
              <w:t>,</w:t>
            </w:r>
            <w:r w:rsidR="00960AC3" w:rsidRPr="00646254">
              <w:rPr>
                <w:rFonts w:cstheme="minorHAnsi"/>
                <w:b/>
                <w:bCs/>
                <w:color w:val="002060"/>
                <w:sz w:val="14"/>
                <w:szCs w:val="14"/>
                <w:lang w:val="sr-Cyrl-CS"/>
              </w:rPr>
              <w:t>3</w:t>
            </w:r>
          </w:p>
        </w:tc>
        <w:tc>
          <w:tcPr>
            <w:tcW w:w="1028" w:type="dxa"/>
            <w:tcBorders>
              <w:top w:val="nil"/>
            </w:tcBorders>
            <w:shd w:val="clear" w:color="auto" w:fill="BFBFBF" w:themeFill="background1" w:themeFillShade="BF"/>
            <w:noWrap/>
            <w:vAlign w:val="bottom"/>
            <w:hideMark/>
          </w:tcPr>
          <w:p w14:paraId="5FBBBFC6" w14:textId="56AE9867" w:rsidR="00960AC3" w:rsidRPr="00646254" w:rsidRDefault="00BC5D24"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b/>
                <w:bCs/>
                <w:color w:val="002060"/>
                <w:sz w:val="14"/>
                <w:szCs w:val="14"/>
                <w:lang w:val="sr-Cyrl-CS"/>
              </w:rPr>
            </w:pPr>
            <w:r w:rsidRPr="00646254">
              <w:rPr>
                <w:rFonts w:cstheme="minorHAnsi"/>
                <w:b/>
                <w:bCs/>
                <w:color w:val="002060"/>
                <w:sz w:val="14"/>
                <w:szCs w:val="14"/>
                <w:lang w:val="sr-Cyrl-CS"/>
              </w:rPr>
              <w:t>1.</w:t>
            </w:r>
            <w:r w:rsidR="00960AC3" w:rsidRPr="00646254">
              <w:rPr>
                <w:rFonts w:cstheme="minorHAnsi"/>
                <w:b/>
                <w:bCs/>
                <w:color w:val="002060"/>
                <w:sz w:val="14"/>
                <w:szCs w:val="14"/>
                <w:lang w:val="sr-Cyrl-CS"/>
              </w:rPr>
              <w:t>346</w:t>
            </w:r>
            <w:r w:rsidRPr="00646254">
              <w:rPr>
                <w:rFonts w:cstheme="minorHAnsi"/>
                <w:b/>
                <w:bCs/>
                <w:color w:val="002060"/>
                <w:sz w:val="14"/>
                <w:szCs w:val="14"/>
                <w:lang w:val="sr-Cyrl-CS"/>
              </w:rPr>
              <w:t>,</w:t>
            </w:r>
            <w:r w:rsidR="00960AC3" w:rsidRPr="00646254">
              <w:rPr>
                <w:rFonts w:cstheme="minorHAnsi"/>
                <w:b/>
                <w:bCs/>
                <w:color w:val="002060"/>
                <w:sz w:val="14"/>
                <w:szCs w:val="14"/>
                <w:lang w:val="sr-Cyrl-CS"/>
              </w:rPr>
              <w:t>0</w:t>
            </w:r>
          </w:p>
        </w:tc>
        <w:tc>
          <w:tcPr>
            <w:tcW w:w="1042" w:type="dxa"/>
            <w:tcBorders>
              <w:top w:val="nil"/>
            </w:tcBorders>
            <w:shd w:val="clear" w:color="auto" w:fill="BFBFBF" w:themeFill="background1" w:themeFillShade="BF"/>
            <w:noWrap/>
            <w:vAlign w:val="bottom"/>
            <w:hideMark/>
          </w:tcPr>
          <w:p w14:paraId="40B8E94B" w14:textId="542E0430"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b/>
                <w:bCs/>
                <w:color w:val="002060"/>
                <w:sz w:val="14"/>
                <w:szCs w:val="14"/>
                <w:lang w:val="sr-Cyrl-CS"/>
              </w:rPr>
            </w:pPr>
            <w:r w:rsidRPr="00646254">
              <w:rPr>
                <w:rFonts w:cstheme="minorHAnsi"/>
                <w:b/>
                <w:bCs/>
                <w:color w:val="002060"/>
                <w:sz w:val="14"/>
                <w:szCs w:val="14"/>
                <w:lang w:val="sr-Cyrl-CS"/>
              </w:rPr>
              <w:t>454</w:t>
            </w:r>
            <w:r w:rsidR="00BC5D24" w:rsidRPr="00646254">
              <w:rPr>
                <w:rFonts w:cstheme="minorHAnsi"/>
                <w:b/>
                <w:bCs/>
                <w:color w:val="002060"/>
                <w:sz w:val="14"/>
                <w:szCs w:val="14"/>
                <w:lang w:val="sr-Cyrl-CS"/>
              </w:rPr>
              <w:t>,</w:t>
            </w:r>
            <w:r w:rsidRPr="00646254">
              <w:rPr>
                <w:rFonts w:cstheme="minorHAnsi"/>
                <w:b/>
                <w:bCs/>
                <w:color w:val="002060"/>
                <w:sz w:val="14"/>
                <w:szCs w:val="14"/>
                <w:lang w:val="sr-Cyrl-CS"/>
              </w:rPr>
              <w:t>5</w:t>
            </w:r>
          </w:p>
        </w:tc>
        <w:tc>
          <w:tcPr>
            <w:tcW w:w="1007" w:type="dxa"/>
            <w:tcBorders>
              <w:top w:val="nil"/>
            </w:tcBorders>
            <w:shd w:val="clear" w:color="auto" w:fill="BFBFBF" w:themeFill="background1" w:themeFillShade="BF"/>
            <w:noWrap/>
            <w:vAlign w:val="bottom"/>
            <w:hideMark/>
          </w:tcPr>
          <w:p w14:paraId="10DABE56" w14:textId="77A95D60"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b/>
                <w:bCs/>
                <w:color w:val="002060"/>
                <w:sz w:val="14"/>
                <w:szCs w:val="14"/>
                <w:lang w:val="sr-Cyrl-CS"/>
              </w:rPr>
            </w:pPr>
            <w:r w:rsidRPr="00646254">
              <w:rPr>
                <w:rFonts w:cstheme="minorHAnsi"/>
                <w:b/>
                <w:bCs/>
                <w:color w:val="002060"/>
                <w:sz w:val="14"/>
                <w:szCs w:val="14"/>
                <w:lang w:val="sr-Cyrl-CS"/>
              </w:rPr>
              <w:t>385</w:t>
            </w:r>
            <w:r w:rsidR="00BC5D24" w:rsidRPr="00646254">
              <w:rPr>
                <w:rFonts w:cstheme="minorHAnsi"/>
                <w:b/>
                <w:bCs/>
                <w:color w:val="002060"/>
                <w:sz w:val="14"/>
                <w:szCs w:val="14"/>
                <w:lang w:val="sr-Cyrl-CS"/>
              </w:rPr>
              <w:t>,</w:t>
            </w:r>
            <w:r w:rsidRPr="00646254">
              <w:rPr>
                <w:rFonts w:cstheme="minorHAnsi"/>
                <w:b/>
                <w:bCs/>
                <w:color w:val="002060"/>
                <w:sz w:val="14"/>
                <w:szCs w:val="14"/>
                <w:lang w:val="sr-Cyrl-CS"/>
              </w:rPr>
              <w:t>5</w:t>
            </w:r>
          </w:p>
        </w:tc>
        <w:tc>
          <w:tcPr>
            <w:tcW w:w="1076" w:type="dxa"/>
            <w:tcBorders>
              <w:top w:val="nil"/>
            </w:tcBorders>
            <w:shd w:val="clear" w:color="auto" w:fill="BFBFBF" w:themeFill="background1" w:themeFillShade="BF"/>
            <w:noWrap/>
            <w:vAlign w:val="bottom"/>
            <w:hideMark/>
          </w:tcPr>
          <w:p w14:paraId="32C4A5C9" w14:textId="65BF485B"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b/>
                <w:bCs/>
                <w:color w:val="002060"/>
                <w:sz w:val="14"/>
                <w:szCs w:val="14"/>
                <w:lang w:val="sr-Cyrl-CS"/>
              </w:rPr>
            </w:pPr>
            <w:r w:rsidRPr="00646254">
              <w:rPr>
                <w:rFonts w:cstheme="minorHAnsi"/>
                <w:b/>
                <w:bCs/>
                <w:color w:val="002060"/>
                <w:sz w:val="14"/>
                <w:szCs w:val="14"/>
                <w:lang w:val="sr-Cyrl-CS"/>
              </w:rPr>
              <w:t>69</w:t>
            </w:r>
            <w:r w:rsidR="00BC5D24" w:rsidRPr="00646254">
              <w:rPr>
                <w:rFonts w:cstheme="minorHAnsi"/>
                <w:b/>
                <w:bCs/>
                <w:color w:val="002060"/>
                <w:sz w:val="14"/>
                <w:szCs w:val="14"/>
                <w:lang w:val="sr-Cyrl-CS"/>
              </w:rPr>
              <w:t>,</w:t>
            </w:r>
            <w:r w:rsidRPr="00646254">
              <w:rPr>
                <w:rFonts w:cstheme="minorHAnsi"/>
                <w:b/>
                <w:bCs/>
                <w:color w:val="002060"/>
                <w:sz w:val="14"/>
                <w:szCs w:val="14"/>
                <w:lang w:val="sr-Cyrl-CS"/>
              </w:rPr>
              <w:t>0</w:t>
            </w:r>
          </w:p>
        </w:tc>
        <w:tc>
          <w:tcPr>
            <w:tcW w:w="1022" w:type="dxa"/>
            <w:tcBorders>
              <w:top w:val="nil"/>
            </w:tcBorders>
            <w:shd w:val="clear" w:color="auto" w:fill="BFBFBF" w:themeFill="background1" w:themeFillShade="BF"/>
            <w:noWrap/>
            <w:vAlign w:val="bottom"/>
            <w:hideMark/>
          </w:tcPr>
          <w:p w14:paraId="3D18E0DE" w14:textId="374B692F"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b/>
                <w:bCs/>
                <w:color w:val="002060"/>
                <w:sz w:val="14"/>
                <w:szCs w:val="14"/>
                <w:lang w:val="sr-Cyrl-CS"/>
              </w:rPr>
            </w:pPr>
            <w:r w:rsidRPr="00646254">
              <w:rPr>
                <w:rFonts w:cstheme="minorHAnsi"/>
                <w:b/>
                <w:bCs/>
                <w:color w:val="002060"/>
                <w:sz w:val="14"/>
                <w:szCs w:val="14"/>
                <w:lang w:val="sr-Cyrl-CS"/>
              </w:rPr>
              <w:t>58</w:t>
            </w:r>
            <w:r w:rsidR="00BC5D24" w:rsidRPr="00646254">
              <w:rPr>
                <w:rFonts w:cstheme="minorHAnsi"/>
                <w:b/>
                <w:bCs/>
                <w:color w:val="002060"/>
                <w:sz w:val="14"/>
                <w:szCs w:val="14"/>
                <w:lang w:val="sr-Cyrl-CS"/>
              </w:rPr>
              <w:t>,</w:t>
            </w:r>
            <w:r w:rsidRPr="00646254">
              <w:rPr>
                <w:rFonts w:cstheme="minorHAnsi"/>
                <w:b/>
                <w:bCs/>
                <w:color w:val="002060"/>
                <w:sz w:val="14"/>
                <w:szCs w:val="14"/>
                <w:lang w:val="sr-Cyrl-CS"/>
              </w:rPr>
              <w:t>9</w:t>
            </w:r>
          </w:p>
        </w:tc>
        <w:tc>
          <w:tcPr>
            <w:tcW w:w="1076" w:type="dxa"/>
            <w:tcBorders>
              <w:top w:val="nil"/>
            </w:tcBorders>
            <w:shd w:val="clear" w:color="auto" w:fill="BFBFBF" w:themeFill="background1" w:themeFillShade="BF"/>
            <w:noWrap/>
            <w:vAlign w:val="bottom"/>
            <w:hideMark/>
          </w:tcPr>
          <w:p w14:paraId="7E777E1C" w14:textId="7A5CFFBC" w:rsidR="00960AC3" w:rsidRPr="00646254" w:rsidRDefault="00BC5D24"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b/>
                <w:bCs/>
                <w:color w:val="002060"/>
                <w:sz w:val="14"/>
                <w:szCs w:val="14"/>
                <w:lang w:val="sr-Cyrl-CS"/>
              </w:rPr>
            </w:pPr>
            <w:r w:rsidRPr="00646254">
              <w:rPr>
                <w:rFonts w:cstheme="minorHAnsi"/>
                <w:b/>
                <w:bCs/>
                <w:color w:val="002060"/>
                <w:sz w:val="14"/>
                <w:szCs w:val="14"/>
                <w:lang w:val="sr-Cyrl-CS"/>
              </w:rPr>
              <w:t>1.</w:t>
            </w:r>
            <w:r w:rsidR="00960AC3" w:rsidRPr="00646254">
              <w:rPr>
                <w:rFonts w:cstheme="minorHAnsi"/>
                <w:b/>
                <w:bCs/>
                <w:color w:val="002060"/>
                <w:sz w:val="14"/>
                <w:szCs w:val="14"/>
                <w:lang w:val="sr-Cyrl-CS"/>
              </w:rPr>
              <w:t>144</w:t>
            </w:r>
            <w:r w:rsidRPr="00646254">
              <w:rPr>
                <w:rFonts w:cstheme="minorHAnsi"/>
                <w:b/>
                <w:bCs/>
                <w:color w:val="002060"/>
                <w:sz w:val="14"/>
                <w:szCs w:val="14"/>
                <w:lang w:val="sr-Cyrl-CS"/>
              </w:rPr>
              <w:t>,</w:t>
            </w:r>
            <w:r w:rsidR="00960AC3" w:rsidRPr="00646254">
              <w:rPr>
                <w:rFonts w:cstheme="minorHAnsi"/>
                <w:b/>
                <w:bCs/>
                <w:color w:val="002060"/>
                <w:sz w:val="14"/>
                <w:szCs w:val="14"/>
                <w:lang w:val="sr-Cyrl-CS"/>
              </w:rPr>
              <w:t>9</w:t>
            </w:r>
          </w:p>
        </w:tc>
        <w:tc>
          <w:tcPr>
            <w:tcW w:w="1076" w:type="dxa"/>
            <w:tcBorders>
              <w:top w:val="nil"/>
            </w:tcBorders>
            <w:shd w:val="clear" w:color="auto" w:fill="BFBFBF" w:themeFill="background1" w:themeFillShade="BF"/>
            <w:noWrap/>
            <w:vAlign w:val="bottom"/>
            <w:hideMark/>
          </w:tcPr>
          <w:p w14:paraId="492DF3BA" w14:textId="4E5358A3"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b/>
                <w:bCs/>
                <w:color w:val="002060"/>
                <w:sz w:val="14"/>
                <w:szCs w:val="14"/>
                <w:lang w:val="sr-Cyrl-CS"/>
              </w:rPr>
            </w:pPr>
            <w:r w:rsidRPr="00646254">
              <w:rPr>
                <w:rFonts w:cstheme="minorHAnsi"/>
                <w:b/>
                <w:bCs/>
                <w:color w:val="002060"/>
                <w:sz w:val="14"/>
                <w:szCs w:val="14"/>
                <w:lang w:val="sr-Cyrl-CS"/>
              </w:rPr>
              <w:t>716</w:t>
            </w:r>
            <w:r w:rsidR="00BC5D24" w:rsidRPr="00646254">
              <w:rPr>
                <w:rFonts w:cstheme="minorHAnsi"/>
                <w:b/>
                <w:bCs/>
                <w:color w:val="002060"/>
                <w:sz w:val="14"/>
                <w:szCs w:val="14"/>
                <w:lang w:val="sr-Cyrl-CS"/>
              </w:rPr>
              <w:t>,</w:t>
            </w:r>
            <w:r w:rsidRPr="00646254">
              <w:rPr>
                <w:rFonts w:cstheme="minorHAnsi"/>
                <w:b/>
                <w:bCs/>
                <w:color w:val="002060"/>
                <w:sz w:val="14"/>
                <w:szCs w:val="14"/>
                <w:lang w:val="sr-Cyrl-CS"/>
              </w:rPr>
              <w:t>7</w:t>
            </w:r>
          </w:p>
        </w:tc>
        <w:tc>
          <w:tcPr>
            <w:tcW w:w="1076" w:type="dxa"/>
            <w:tcBorders>
              <w:top w:val="nil"/>
            </w:tcBorders>
            <w:shd w:val="clear" w:color="auto" w:fill="BFBFBF" w:themeFill="background1" w:themeFillShade="BF"/>
            <w:noWrap/>
            <w:vAlign w:val="bottom"/>
            <w:hideMark/>
          </w:tcPr>
          <w:p w14:paraId="02EC14A5" w14:textId="2D97A443"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b/>
                <w:bCs/>
                <w:color w:val="002060"/>
                <w:sz w:val="14"/>
                <w:szCs w:val="14"/>
                <w:lang w:val="sr-Cyrl-CS"/>
              </w:rPr>
            </w:pPr>
            <w:r w:rsidRPr="00646254">
              <w:rPr>
                <w:rFonts w:cstheme="minorHAnsi"/>
                <w:b/>
                <w:bCs/>
                <w:color w:val="002060"/>
                <w:sz w:val="14"/>
                <w:szCs w:val="14"/>
                <w:lang w:val="sr-Cyrl-CS"/>
              </w:rPr>
              <w:t>400</w:t>
            </w:r>
            <w:r w:rsidR="00BC5D24" w:rsidRPr="00646254">
              <w:rPr>
                <w:rFonts w:cstheme="minorHAnsi"/>
                <w:b/>
                <w:bCs/>
                <w:color w:val="002060"/>
                <w:sz w:val="14"/>
                <w:szCs w:val="14"/>
                <w:lang w:val="sr-Cyrl-CS"/>
              </w:rPr>
              <w:t>,</w:t>
            </w:r>
            <w:r w:rsidRPr="00646254">
              <w:rPr>
                <w:rFonts w:cstheme="minorHAnsi"/>
                <w:b/>
                <w:bCs/>
                <w:color w:val="002060"/>
                <w:sz w:val="14"/>
                <w:szCs w:val="14"/>
                <w:lang w:val="sr-Cyrl-CS"/>
              </w:rPr>
              <w:t>0</w:t>
            </w:r>
          </w:p>
        </w:tc>
        <w:tc>
          <w:tcPr>
            <w:tcW w:w="1076" w:type="dxa"/>
            <w:tcBorders>
              <w:top w:val="nil"/>
            </w:tcBorders>
            <w:shd w:val="clear" w:color="auto" w:fill="BFBFBF" w:themeFill="background1" w:themeFillShade="BF"/>
            <w:noWrap/>
            <w:vAlign w:val="bottom"/>
            <w:hideMark/>
          </w:tcPr>
          <w:p w14:paraId="35E0AAE6" w14:textId="7288E397" w:rsidR="00960AC3" w:rsidRPr="00646254" w:rsidRDefault="00960AC3" w:rsidP="00BC5D24">
            <w:pPr>
              <w:jc w:val="center"/>
              <w:cnfStyle w:val="000000000000" w:firstRow="0" w:lastRow="0" w:firstColumn="0" w:lastColumn="0" w:oddVBand="0" w:evenVBand="0" w:oddHBand="0" w:evenHBand="0" w:firstRowFirstColumn="0" w:firstRowLastColumn="0" w:lastRowFirstColumn="0" w:lastRowLastColumn="0"/>
              <w:rPr>
                <w:rFonts w:cstheme="minorHAnsi"/>
                <w:b/>
                <w:bCs/>
                <w:color w:val="002060"/>
                <w:sz w:val="14"/>
                <w:szCs w:val="14"/>
                <w:lang w:val="sr-Cyrl-CS"/>
              </w:rPr>
            </w:pPr>
            <w:r w:rsidRPr="00646254">
              <w:rPr>
                <w:rFonts w:cstheme="minorHAnsi"/>
                <w:b/>
                <w:bCs/>
                <w:color w:val="002060"/>
                <w:sz w:val="14"/>
                <w:szCs w:val="14"/>
                <w:lang w:val="sr-Cyrl-CS"/>
              </w:rPr>
              <w:t>21</w:t>
            </w:r>
            <w:r w:rsidR="00BC5D24" w:rsidRPr="00646254">
              <w:rPr>
                <w:rFonts w:cstheme="minorHAnsi"/>
                <w:b/>
                <w:bCs/>
                <w:color w:val="002060"/>
                <w:sz w:val="14"/>
                <w:szCs w:val="14"/>
                <w:lang w:val="sr-Cyrl-CS"/>
              </w:rPr>
              <w:t>,</w:t>
            </w:r>
            <w:r w:rsidRPr="00646254">
              <w:rPr>
                <w:rFonts w:cstheme="minorHAnsi"/>
                <w:b/>
                <w:bCs/>
                <w:color w:val="002060"/>
                <w:sz w:val="14"/>
                <w:szCs w:val="14"/>
                <w:lang w:val="sr-Cyrl-CS"/>
              </w:rPr>
              <w:t>5</w:t>
            </w:r>
          </w:p>
        </w:tc>
        <w:tc>
          <w:tcPr>
            <w:tcW w:w="1076" w:type="dxa"/>
            <w:tcBorders>
              <w:top w:val="nil"/>
            </w:tcBorders>
            <w:shd w:val="clear" w:color="auto" w:fill="BFBFBF" w:themeFill="background1" w:themeFillShade="BF"/>
            <w:noWrap/>
            <w:vAlign w:val="bottom"/>
            <w:hideMark/>
          </w:tcPr>
          <w:p w14:paraId="070912CD" w14:textId="18B32353" w:rsidR="00960AC3" w:rsidRPr="00646254" w:rsidRDefault="00960AC3" w:rsidP="00BC5D24">
            <w:pPr>
              <w:jc w:val="center"/>
              <w:cnfStyle w:val="000000000000" w:firstRow="0" w:lastRow="0" w:firstColumn="0" w:lastColumn="0" w:oddVBand="0" w:evenVBand="0" w:oddHBand="0" w:evenHBand="0" w:firstRowFirstColumn="0" w:firstRowLastColumn="0" w:lastRowFirstColumn="0" w:lastRowLastColumn="0"/>
              <w:rPr>
                <w:rFonts w:cstheme="minorHAnsi"/>
                <w:b/>
                <w:bCs/>
                <w:color w:val="002060"/>
                <w:sz w:val="14"/>
                <w:szCs w:val="14"/>
                <w:lang w:val="sr-Cyrl-CS"/>
              </w:rPr>
            </w:pPr>
            <w:r w:rsidRPr="00646254">
              <w:rPr>
                <w:rFonts w:cstheme="minorHAnsi"/>
                <w:b/>
                <w:bCs/>
                <w:color w:val="002060"/>
                <w:sz w:val="14"/>
                <w:szCs w:val="14"/>
                <w:lang w:val="sr-Cyrl-CS"/>
              </w:rPr>
              <w:t>6</w:t>
            </w:r>
            <w:r w:rsidR="00BC5D24" w:rsidRPr="00646254">
              <w:rPr>
                <w:rFonts w:cstheme="minorHAnsi"/>
                <w:b/>
                <w:bCs/>
                <w:color w:val="002060"/>
                <w:sz w:val="14"/>
                <w:szCs w:val="14"/>
                <w:lang w:val="sr-Cyrl-CS"/>
              </w:rPr>
              <w:t>,</w:t>
            </w:r>
            <w:r w:rsidRPr="00646254">
              <w:rPr>
                <w:rFonts w:cstheme="minorHAnsi"/>
                <w:b/>
                <w:bCs/>
                <w:color w:val="002060"/>
                <w:sz w:val="14"/>
                <w:szCs w:val="14"/>
                <w:lang w:val="sr-Cyrl-CS"/>
              </w:rPr>
              <w:t>7</w:t>
            </w:r>
          </w:p>
        </w:tc>
      </w:tr>
      <w:tr w:rsidR="00960AC3" w:rsidRPr="00646254" w14:paraId="3E5C156F" w14:textId="77777777" w:rsidTr="00BC5D24">
        <w:trPr>
          <w:cnfStyle w:val="000000100000" w:firstRow="0" w:lastRow="0" w:firstColumn="0" w:lastColumn="0" w:oddVBand="0" w:evenVBand="0" w:oddHBand="1" w:evenHBand="0" w:firstRowFirstColumn="0" w:firstRowLastColumn="0" w:lastRowFirstColumn="0" w:lastRowLastColumn="0"/>
          <w:trHeight w:val="87"/>
        </w:trPr>
        <w:tc>
          <w:tcPr>
            <w:cnfStyle w:val="001000000000" w:firstRow="0" w:lastRow="0" w:firstColumn="1" w:lastColumn="0" w:oddVBand="0" w:evenVBand="0" w:oddHBand="0" w:evenHBand="0" w:firstRowFirstColumn="0" w:firstRowLastColumn="0" w:lastRowFirstColumn="0" w:lastRowLastColumn="0"/>
            <w:tcW w:w="2875" w:type="dxa"/>
            <w:tcBorders>
              <w:top w:val="nil"/>
            </w:tcBorders>
            <w:shd w:val="clear" w:color="auto" w:fill="FFFFFF" w:themeFill="background1"/>
            <w:noWrap/>
            <w:vAlign w:val="bottom"/>
            <w:hideMark/>
          </w:tcPr>
          <w:p w14:paraId="11E08159" w14:textId="77777777" w:rsidR="00960AC3" w:rsidRPr="00646254" w:rsidRDefault="00960AC3" w:rsidP="00BC5D24">
            <w:pPr>
              <w:tabs>
                <w:tab w:val="center" w:pos="4680"/>
                <w:tab w:val="right" w:pos="9360"/>
              </w:tabs>
              <w:rPr>
                <w:rFonts w:cstheme="minorHAnsi"/>
                <w:b w:val="0"/>
                <w:color w:val="002060"/>
                <w:sz w:val="14"/>
                <w:szCs w:val="14"/>
                <w:lang w:val="sr-Cyrl-CS"/>
              </w:rPr>
            </w:pPr>
            <w:r w:rsidRPr="00646254">
              <w:rPr>
                <w:rFonts w:cstheme="minorHAnsi"/>
                <w:b w:val="0"/>
                <w:color w:val="002060"/>
                <w:sz w:val="14"/>
                <w:szCs w:val="14"/>
                <w:lang w:val="sr-Cyrl-CS"/>
              </w:rPr>
              <w:t xml:space="preserve">     Текући расходи</w:t>
            </w:r>
          </w:p>
        </w:tc>
        <w:tc>
          <w:tcPr>
            <w:tcW w:w="1028" w:type="dxa"/>
            <w:tcBorders>
              <w:top w:val="nil"/>
            </w:tcBorders>
            <w:shd w:val="clear" w:color="auto" w:fill="FFFFFF" w:themeFill="background1"/>
            <w:noWrap/>
            <w:vAlign w:val="bottom"/>
            <w:hideMark/>
          </w:tcPr>
          <w:p w14:paraId="6CCEFF62" w14:textId="03C0D2C8"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2</w:t>
            </w:r>
            <w:r w:rsidR="00BC5D24" w:rsidRPr="00646254">
              <w:rPr>
                <w:rFonts w:cstheme="minorHAnsi"/>
                <w:color w:val="002060"/>
                <w:sz w:val="14"/>
                <w:szCs w:val="14"/>
                <w:lang w:val="sr-Cyrl-CS"/>
              </w:rPr>
              <w:t>.</w:t>
            </w:r>
            <w:r w:rsidRPr="00646254">
              <w:rPr>
                <w:rFonts w:cstheme="minorHAnsi"/>
                <w:color w:val="002060"/>
                <w:sz w:val="14"/>
                <w:szCs w:val="14"/>
                <w:lang w:val="sr-Cyrl-CS"/>
              </w:rPr>
              <w:t>489</w:t>
            </w:r>
            <w:r w:rsidR="00BC5D24" w:rsidRPr="00646254">
              <w:rPr>
                <w:rFonts w:cstheme="minorHAnsi"/>
                <w:color w:val="002060"/>
                <w:sz w:val="14"/>
                <w:szCs w:val="14"/>
                <w:lang w:val="sr-Cyrl-CS"/>
              </w:rPr>
              <w:t>,</w:t>
            </w:r>
            <w:r w:rsidRPr="00646254">
              <w:rPr>
                <w:rFonts w:cstheme="minorHAnsi"/>
                <w:color w:val="002060"/>
                <w:sz w:val="14"/>
                <w:szCs w:val="14"/>
                <w:lang w:val="sr-Cyrl-CS"/>
              </w:rPr>
              <w:t>9</w:t>
            </w:r>
          </w:p>
        </w:tc>
        <w:tc>
          <w:tcPr>
            <w:tcW w:w="1028" w:type="dxa"/>
            <w:tcBorders>
              <w:top w:val="nil"/>
            </w:tcBorders>
            <w:shd w:val="clear" w:color="auto" w:fill="FFFFFF" w:themeFill="background1"/>
            <w:noWrap/>
            <w:vAlign w:val="bottom"/>
            <w:hideMark/>
          </w:tcPr>
          <w:p w14:paraId="5C285174" w14:textId="2B8F4B50"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914</w:t>
            </w:r>
            <w:r w:rsidR="00BC5D24" w:rsidRPr="00646254">
              <w:rPr>
                <w:rFonts w:cstheme="minorHAnsi"/>
                <w:color w:val="002060"/>
                <w:sz w:val="14"/>
                <w:szCs w:val="14"/>
                <w:lang w:val="sr-Cyrl-CS"/>
              </w:rPr>
              <w:t>,</w:t>
            </w:r>
            <w:r w:rsidRPr="00646254">
              <w:rPr>
                <w:rFonts w:cstheme="minorHAnsi"/>
                <w:color w:val="002060"/>
                <w:sz w:val="14"/>
                <w:szCs w:val="14"/>
                <w:lang w:val="sr-Cyrl-CS"/>
              </w:rPr>
              <w:t>5</w:t>
            </w:r>
          </w:p>
        </w:tc>
        <w:tc>
          <w:tcPr>
            <w:tcW w:w="1042" w:type="dxa"/>
            <w:tcBorders>
              <w:top w:val="nil"/>
            </w:tcBorders>
            <w:shd w:val="clear" w:color="auto" w:fill="FFFFFF" w:themeFill="background1"/>
            <w:noWrap/>
            <w:vAlign w:val="bottom"/>
            <w:hideMark/>
          </w:tcPr>
          <w:p w14:paraId="11C9BCEA" w14:textId="10F1E91C"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388</w:t>
            </w:r>
            <w:r w:rsidR="00BC5D24" w:rsidRPr="00646254">
              <w:rPr>
                <w:rFonts w:cstheme="minorHAnsi"/>
                <w:color w:val="002060"/>
                <w:sz w:val="14"/>
                <w:szCs w:val="14"/>
                <w:lang w:val="sr-Cyrl-CS"/>
              </w:rPr>
              <w:t>,</w:t>
            </w:r>
            <w:r w:rsidRPr="00646254">
              <w:rPr>
                <w:rFonts w:cstheme="minorHAnsi"/>
                <w:color w:val="002060"/>
                <w:sz w:val="14"/>
                <w:szCs w:val="14"/>
                <w:lang w:val="sr-Cyrl-CS"/>
              </w:rPr>
              <w:t>8</w:t>
            </w:r>
          </w:p>
        </w:tc>
        <w:tc>
          <w:tcPr>
            <w:tcW w:w="1007" w:type="dxa"/>
            <w:tcBorders>
              <w:top w:val="nil"/>
            </w:tcBorders>
            <w:shd w:val="clear" w:color="auto" w:fill="FFFFFF" w:themeFill="background1"/>
            <w:noWrap/>
            <w:vAlign w:val="bottom"/>
            <w:hideMark/>
          </w:tcPr>
          <w:p w14:paraId="03611475" w14:textId="2FD73881"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320</w:t>
            </w:r>
            <w:r w:rsidR="00BC5D24" w:rsidRPr="00646254">
              <w:rPr>
                <w:rFonts w:cstheme="minorHAnsi"/>
                <w:color w:val="002060"/>
                <w:sz w:val="14"/>
                <w:szCs w:val="14"/>
                <w:lang w:val="sr-Cyrl-CS"/>
              </w:rPr>
              <w:t>,</w:t>
            </w:r>
            <w:r w:rsidRPr="00646254">
              <w:rPr>
                <w:rFonts w:cstheme="minorHAnsi"/>
                <w:color w:val="002060"/>
                <w:sz w:val="14"/>
                <w:szCs w:val="14"/>
                <w:lang w:val="sr-Cyrl-CS"/>
              </w:rPr>
              <w:t>8</w:t>
            </w:r>
          </w:p>
        </w:tc>
        <w:tc>
          <w:tcPr>
            <w:tcW w:w="1076" w:type="dxa"/>
            <w:tcBorders>
              <w:top w:val="nil"/>
            </w:tcBorders>
            <w:shd w:val="clear" w:color="auto" w:fill="FFFFFF" w:themeFill="background1"/>
            <w:noWrap/>
            <w:vAlign w:val="bottom"/>
            <w:hideMark/>
          </w:tcPr>
          <w:p w14:paraId="3E5A8FDD" w14:textId="778CA9BE"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67</w:t>
            </w:r>
            <w:r w:rsidR="00BC5D24" w:rsidRPr="00646254">
              <w:rPr>
                <w:rFonts w:cstheme="minorHAnsi"/>
                <w:color w:val="002060"/>
                <w:sz w:val="14"/>
                <w:szCs w:val="14"/>
                <w:lang w:val="sr-Cyrl-CS"/>
              </w:rPr>
              <w:t>,</w:t>
            </w:r>
            <w:r w:rsidRPr="00646254">
              <w:rPr>
                <w:rFonts w:cstheme="minorHAnsi"/>
                <w:color w:val="002060"/>
                <w:sz w:val="14"/>
                <w:szCs w:val="14"/>
                <w:lang w:val="sr-Cyrl-CS"/>
              </w:rPr>
              <w:t>9</w:t>
            </w:r>
          </w:p>
        </w:tc>
        <w:tc>
          <w:tcPr>
            <w:tcW w:w="1022" w:type="dxa"/>
            <w:tcBorders>
              <w:top w:val="nil"/>
            </w:tcBorders>
            <w:shd w:val="clear" w:color="auto" w:fill="FFFFFF" w:themeFill="background1"/>
            <w:noWrap/>
            <w:vAlign w:val="bottom"/>
            <w:hideMark/>
          </w:tcPr>
          <w:p w14:paraId="334DF670" w14:textId="6D71F2E7"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45</w:t>
            </w:r>
            <w:r w:rsidR="00BC5D24" w:rsidRPr="00646254">
              <w:rPr>
                <w:rFonts w:cstheme="minorHAnsi"/>
                <w:color w:val="002060"/>
                <w:sz w:val="14"/>
                <w:szCs w:val="14"/>
                <w:lang w:val="sr-Cyrl-CS"/>
              </w:rPr>
              <w:t>,</w:t>
            </w:r>
            <w:r w:rsidRPr="00646254">
              <w:rPr>
                <w:rFonts w:cstheme="minorHAnsi"/>
                <w:color w:val="002060"/>
                <w:sz w:val="14"/>
                <w:szCs w:val="14"/>
                <w:lang w:val="sr-Cyrl-CS"/>
              </w:rPr>
              <w:t>0</w:t>
            </w:r>
          </w:p>
        </w:tc>
        <w:tc>
          <w:tcPr>
            <w:tcW w:w="1076" w:type="dxa"/>
            <w:tcBorders>
              <w:top w:val="nil"/>
            </w:tcBorders>
            <w:shd w:val="clear" w:color="auto" w:fill="FFFFFF" w:themeFill="background1"/>
            <w:noWrap/>
            <w:vAlign w:val="bottom"/>
            <w:hideMark/>
          </w:tcPr>
          <w:p w14:paraId="50F408C5" w14:textId="5E97D9A0" w:rsidR="00960AC3" w:rsidRPr="00646254" w:rsidRDefault="00BC5D24"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1.</w:t>
            </w:r>
            <w:r w:rsidR="00960AC3" w:rsidRPr="00646254">
              <w:rPr>
                <w:rFonts w:cstheme="minorHAnsi"/>
                <w:color w:val="002060"/>
                <w:sz w:val="14"/>
                <w:szCs w:val="14"/>
                <w:lang w:val="sr-Cyrl-CS"/>
              </w:rPr>
              <w:t>141</w:t>
            </w:r>
            <w:r w:rsidRPr="00646254">
              <w:rPr>
                <w:rFonts w:cstheme="minorHAnsi"/>
                <w:color w:val="002060"/>
                <w:sz w:val="14"/>
                <w:szCs w:val="14"/>
                <w:lang w:val="sr-Cyrl-CS"/>
              </w:rPr>
              <w:t>,</w:t>
            </w:r>
            <w:r w:rsidR="00960AC3" w:rsidRPr="00646254">
              <w:rPr>
                <w:rFonts w:cstheme="minorHAnsi"/>
                <w:color w:val="002060"/>
                <w:sz w:val="14"/>
                <w:szCs w:val="14"/>
                <w:lang w:val="sr-Cyrl-CS"/>
              </w:rPr>
              <w:t>5</w:t>
            </w:r>
          </w:p>
        </w:tc>
        <w:tc>
          <w:tcPr>
            <w:tcW w:w="1076" w:type="dxa"/>
            <w:tcBorders>
              <w:top w:val="nil"/>
            </w:tcBorders>
            <w:shd w:val="clear" w:color="auto" w:fill="FFFFFF" w:themeFill="background1"/>
            <w:noWrap/>
            <w:vAlign w:val="bottom"/>
            <w:hideMark/>
          </w:tcPr>
          <w:p w14:paraId="3D013E7D" w14:textId="51B8BD5E"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715</w:t>
            </w:r>
            <w:r w:rsidR="00BC5D24" w:rsidRPr="00646254">
              <w:rPr>
                <w:rFonts w:cstheme="minorHAnsi"/>
                <w:color w:val="002060"/>
                <w:sz w:val="14"/>
                <w:szCs w:val="14"/>
                <w:lang w:val="sr-Cyrl-CS"/>
              </w:rPr>
              <w:t>,</w:t>
            </w:r>
            <w:r w:rsidRPr="00646254">
              <w:rPr>
                <w:rFonts w:cstheme="minorHAnsi"/>
                <w:color w:val="002060"/>
                <w:sz w:val="14"/>
                <w:szCs w:val="14"/>
                <w:lang w:val="sr-Cyrl-CS"/>
              </w:rPr>
              <w:t>9</w:t>
            </w:r>
          </w:p>
        </w:tc>
        <w:tc>
          <w:tcPr>
            <w:tcW w:w="1076" w:type="dxa"/>
            <w:tcBorders>
              <w:top w:val="nil"/>
            </w:tcBorders>
            <w:shd w:val="clear" w:color="auto" w:fill="FFFFFF" w:themeFill="background1"/>
            <w:noWrap/>
            <w:vAlign w:val="bottom"/>
            <w:hideMark/>
          </w:tcPr>
          <w:p w14:paraId="73C721D7" w14:textId="031C5E52"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398</w:t>
            </w:r>
            <w:r w:rsidR="00BC5D24" w:rsidRPr="00646254">
              <w:rPr>
                <w:rFonts w:cstheme="minorHAnsi"/>
                <w:color w:val="002060"/>
                <w:sz w:val="14"/>
                <w:szCs w:val="14"/>
                <w:lang w:val="sr-Cyrl-CS"/>
              </w:rPr>
              <w:t>,</w:t>
            </w:r>
            <w:r w:rsidRPr="00646254">
              <w:rPr>
                <w:rFonts w:cstheme="minorHAnsi"/>
                <w:color w:val="002060"/>
                <w:sz w:val="14"/>
                <w:szCs w:val="14"/>
                <w:lang w:val="sr-Cyrl-CS"/>
              </w:rPr>
              <w:t>0</w:t>
            </w:r>
          </w:p>
        </w:tc>
        <w:tc>
          <w:tcPr>
            <w:tcW w:w="1076" w:type="dxa"/>
            <w:tcBorders>
              <w:top w:val="nil"/>
            </w:tcBorders>
            <w:shd w:val="clear" w:color="auto" w:fill="FFFFFF" w:themeFill="background1"/>
            <w:noWrap/>
            <w:vAlign w:val="bottom"/>
            <w:hideMark/>
          </w:tcPr>
          <w:p w14:paraId="396A2C8B" w14:textId="2CD7DFB7" w:rsidR="00960AC3" w:rsidRPr="00646254" w:rsidRDefault="00960AC3" w:rsidP="00BC5D24">
            <w:pPr>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21</w:t>
            </w:r>
            <w:r w:rsidR="00BC5D24" w:rsidRPr="00646254">
              <w:rPr>
                <w:rFonts w:cstheme="minorHAnsi"/>
                <w:color w:val="002060"/>
                <w:sz w:val="14"/>
                <w:szCs w:val="14"/>
                <w:lang w:val="sr-Cyrl-CS"/>
              </w:rPr>
              <w:t>,</w:t>
            </w:r>
            <w:r w:rsidRPr="00646254">
              <w:rPr>
                <w:rFonts w:cstheme="minorHAnsi"/>
                <w:color w:val="002060"/>
                <w:sz w:val="14"/>
                <w:szCs w:val="14"/>
                <w:lang w:val="sr-Cyrl-CS"/>
              </w:rPr>
              <w:t>1</w:t>
            </w:r>
          </w:p>
        </w:tc>
        <w:tc>
          <w:tcPr>
            <w:tcW w:w="1076" w:type="dxa"/>
            <w:tcBorders>
              <w:top w:val="nil"/>
            </w:tcBorders>
            <w:shd w:val="clear" w:color="auto" w:fill="FFFFFF" w:themeFill="background1"/>
            <w:noWrap/>
            <w:vAlign w:val="bottom"/>
            <w:hideMark/>
          </w:tcPr>
          <w:p w14:paraId="393B98A7" w14:textId="68652A4A" w:rsidR="00960AC3" w:rsidRPr="00646254" w:rsidRDefault="00960AC3" w:rsidP="00BC5D24">
            <w:pPr>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6</w:t>
            </w:r>
            <w:r w:rsidR="00BC5D24" w:rsidRPr="00646254">
              <w:rPr>
                <w:rFonts w:cstheme="minorHAnsi"/>
                <w:color w:val="002060"/>
                <w:sz w:val="14"/>
                <w:szCs w:val="14"/>
                <w:lang w:val="sr-Cyrl-CS"/>
              </w:rPr>
              <w:t>,</w:t>
            </w:r>
            <w:r w:rsidRPr="00646254">
              <w:rPr>
                <w:rFonts w:cstheme="minorHAnsi"/>
                <w:color w:val="002060"/>
                <w:sz w:val="14"/>
                <w:szCs w:val="14"/>
                <w:lang w:val="sr-Cyrl-CS"/>
              </w:rPr>
              <w:t>5</w:t>
            </w:r>
          </w:p>
        </w:tc>
      </w:tr>
      <w:tr w:rsidR="00960AC3" w:rsidRPr="00646254" w14:paraId="63A1778D" w14:textId="77777777" w:rsidTr="00BC5D24">
        <w:trPr>
          <w:trHeight w:val="113"/>
        </w:trPr>
        <w:tc>
          <w:tcPr>
            <w:cnfStyle w:val="001000000000" w:firstRow="0" w:lastRow="0" w:firstColumn="1" w:lastColumn="0" w:oddVBand="0" w:evenVBand="0" w:oddHBand="0" w:evenHBand="0" w:firstRowFirstColumn="0" w:firstRowLastColumn="0" w:lastRowFirstColumn="0" w:lastRowLastColumn="0"/>
            <w:tcW w:w="2875" w:type="dxa"/>
            <w:tcBorders>
              <w:top w:val="nil"/>
            </w:tcBorders>
            <w:shd w:val="clear" w:color="auto" w:fill="FFFFFF" w:themeFill="background1"/>
            <w:noWrap/>
            <w:vAlign w:val="bottom"/>
            <w:hideMark/>
          </w:tcPr>
          <w:p w14:paraId="6DAF2A33" w14:textId="77777777" w:rsidR="00960AC3" w:rsidRPr="00646254" w:rsidRDefault="00960AC3" w:rsidP="00BC5D24">
            <w:pPr>
              <w:tabs>
                <w:tab w:val="center" w:pos="4680"/>
                <w:tab w:val="right" w:pos="9360"/>
              </w:tabs>
              <w:rPr>
                <w:rFonts w:cstheme="minorHAnsi"/>
                <w:b w:val="0"/>
                <w:color w:val="002060"/>
                <w:sz w:val="14"/>
                <w:szCs w:val="14"/>
                <w:lang w:val="sr-Cyrl-CS"/>
              </w:rPr>
            </w:pPr>
            <w:r w:rsidRPr="00646254">
              <w:rPr>
                <w:rFonts w:cstheme="minorHAnsi"/>
                <w:b w:val="0"/>
                <w:color w:val="002060"/>
                <w:sz w:val="14"/>
                <w:szCs w:val="14"/>
                <w:lang w:val="sr-Cyrl-CS"/>
              </w:rPr>
              <w:t xml:space="preserve">        Расходи за запослене</w:t>
            </w:r>
          </w:p>
        </w:tc>
        <w:tc>
          <w:tcPr>
            <w:tcW w:w="1028" w:type="dxa"/>
            <w:tcBorders>
              <w:top w:val="nil"/>
            </w:tcBorders>
            <w:shd w:val="clear" w:color="auto" w:fill="FFFFFF" w:themeFill="background1"/>
            <w:noWrap/>
            <w:vAlign w:val="bottom"/>
            <w:hideMark/>
          </w:tcPr>
          <w:p w14:paraId="73F2CF6D" w14:textId="7ED0AA87"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576</w:t>
            </w:r>
            <w:r w:rsidR="00BC5D24" w:rsidRPr="00646254">
              <w:rPr>
                <w:rFonts w:cstheme="minorHAnsi"/>
                <w:color w:val="002060"/>
                <w:sz w:val="14"/>
                <w:szCs w:val="14"/>
                <w:lang w:val="sr-Cyrl-CS"/>
              </w:rPr>
              <w:t>,</w:t>
            </w:r>
            <w:r w:rsidRPr="00646254">
              <w:rPr>
                <w:rFonts w:cstheme="minorHAnsi"/>
                <w:color w:val="002060"/>
                <w:sz w:val="14"/>
                <w:szCs w:val="14"/>
                <w:lang w:val="sr-Cyrl-CS"/>
              </w:rPr>
              <w:t>8</w:t>
            </w:r>
          </w:p>
        </w:tc>
        <w:tc>
          <w:tcPr>
            <w:tcW w:w="1028" w:type="dxa"/>
            <w:tcBorders>
              <w:top w:val="nil"/>
            </w:tcBorders>
            <w:shd w:val="clear" w:color="auto" w:fill="FFFFFF" w:themeFill="background1"/>
            <w:noWrap/>
            <w:vAlign w:val="bottom"/>
            <w:hideMark/>
          </w:tcPr>
          <w:p w14:paraId="450C6DD3" w14:textId="5C86D182"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296</w:t>
            </w:r>
            <w:r w:rsidR="00BC5D24" w:rsidRPr="00646254">
              <w:rPr>
                <w:rFonts w:cstheme="minorHAnsi"/>
                <w:color w:val="002060"/>
                <w:sz w:val="14"/>
                <w:szCs w:val="14"/>
                <w:lang w:val="sr-Cyrl-CS"/>
              </w:rPr>
              <w:t>,</w:t>
            </w:r>
            <w:r w:rsidRPr="00646254">
              <w:rPr>
                <w:rFonts w:cstheme="minorHAnsi"/>
                <w:color w:val="002060"/>
                <w:sz w:val="14"/>
                <w:szCs w:val="14"/>
                <w:lang w:val="sr-Cyrl-CS"/>
              </w:rPr>
              <w:t>6</w:t>
            </w:r>
          </w:p>
        </w:tc>
        <w:tc>
          <w:tcPr>
            <w:tcW w:w="1042" w:type="dxa"/>
            <w:tcBorders>
              <w:top w:val="nil"/>
            </w:tcBorders>
            <w:shd w:val="clear" w:color="auto" w:fill="FFFFFF" w:themeFill="background1"/>
            <w:noWrap/>
            <w:vAlign w:val="bottom"/>
            <w:hideMark/>
          </w:tcPr>
          <w:p w14:paraId="08DE20C8" w14:textId="624818AE"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100</w:t>
            </w:r>
            <w:r w:rsidR="00BC5D24" w:rsidRPr="00646254">
              <w:rPr>
                <w:rFonts w:cstheme="minorHAnsi"/>
                <w:color w:val="002060"/>
                <w:sz w:val="14"/>
                <w:szCs w:val="14"/>
                <w:lang w:val="sr-Cyrl-CS"/>
              </w:rPr>
              <w:t>,</w:t>
            </w:r>
            <w:r w:rsidRPr="00646254">
              <w:rPr>
                <w:rFonts w:cstheme="minorHAnsi"/>
                <w:color w:val="002060"/>
                <w:sz w:val="14"/>
                <w:szCs w:val="14"/>
                <w:lang w:val="sr-Cyrl-CS"/>
              </w:rPr>
              <w:t>5</w:t>
            </w:r>
          </w:p>
        </w:tc>
        <w:tc>
          <w:tcPr>
            <w:tcW w:w="1007" w:type="dxa"/>
            <w:tcBorders>
              <w:top w:val="nil"/>
            </w:tcBorders>
            <w:shd w:val="clear" w:color="auto" w:fill="FFFFFF" w:themeFill="background1"/>
            <w:noWrap/>
            <w:vAlign w:val="bottom"/>
            <w:hideMark/>
          </w:tcPr>
          <w:p w14:paraId="4C9C4610" w14:textId="0C464ECD"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63</w:t>
            </w:r>
            <w:r w:rsidR="00BC5D24" w:rsidRPr="00646254">
              <w:rPr>
                <w:rFonts w:cstheme="minorHAnsi"/>
                <w:color w:val="002060"/>
                <w:sz w:val="14"/>
                <w:szCs w:val="14"/>
                <w:lang w:val="sr-Cyrl-CS"/>
              </w:rPr>
              <w:t>,</w:t>
            </w:r>
            <w:r w:rsidRPr="00646254">
              <w:rPr>
                <w:rFonts w:cstheme="minorHAnsi"/>
                <w:color w:val="002060"/>
                <w:sz w:val="14"/>
                <w:szCs w:val="14"/>
                <w:lang w:val="sr-Cyrl-CS"/>
              </w:rPr>
              <w:t>5</w:t>
            </w:r>
          </w:p>
        </w:tc>
        <w:tc>
          <w:tcPr>
            <w:tcW w:w="1076" w:type="dxa"/>
            <w:tcBorders>
              <w:top w:val="nil"/>
            </w:tcBorders>
            <w:shd w:val="clear" w:color="auto" w:fill="FFFFFF" w:themeFill="background1"/>
            <w:noWrap/>
            <w:vAlign w:val="bottom"/>
            <w:hideMark/>
          </w:tcPr>
          <w:p w14:paraId="2238B080" w14:textId="2B90AE31"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37</w:t>
            </w:r>
            <w:r w:rsidR="00BC5D24" w:rsidRPr="00646254">
              <w:rPr>
                <w:rFonts w:cstheme="minorHAnsi"/>
                <w:color w:val="002060"/>
                <w:sz w:val="14"/>
                <w:szCs w:val="14"/>
                <w:lang w:val="sr-Cyrl-CS"/>
              </w:rPr>
              <w:t>,</w:t>
            </w:r>
            <w:r w:rsidRPr="00646254">
              <w:rPr>
                <w:rFonts w:cstheme="minorHAnsi"/>
                <w:color w:val="002060"/>
                <w:sz w:val="14"/>
                <w:szCs w:val="14"/>
                <w:lang w:val="sr-Cyrl-CS"/>
              </w:rPr>
              <w:t>0</w:t>
            </w:r>
          </w:p>
        </w:tc>
        <w:tc>
          <w:tcPr>
            <w:tcW w:w="1022" w:type="dxa"/>
            <w:tcBorders>
              <w:top w:val="nil"/>
            </w:tcBorders>
            <w:shd w:val="clear" w:color="auto" w:fill="FFFFFF" w:themeFill="background1"/>
            <w:noWrap/>
            <w:vAlign w:val="bottom"/>
            <w:hideMark/>
          </w:tcPr>
          <w:p w14:paraId="73D7EC6C" w14:textId="43E2DFD3"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3</w:t>
            </w:r>
            <w:r w:rsidR="00BC5D24" w:rsidRPr="00646254">
              <w:rPr>
                <w:rFonts w:cstheme="minorHAnsi"/>
                <w:color w:val="002060"/>
                <w:sz w:val="14"/>
                <w:szCs w:val="14"/>
                <w:lang w:val="sr-Cyrl-CS"/>
              </w:rPr>
              <w:t>,</w:t>
            </w:r>
            <w:r w:rsidRPr="00646254">
              <w:rPr>
                <w:rFonts w:cstheme="minorHAnsi"/>
                <w:color w:val="002060"/>
                <w:sz w:val="14"/>
                <w:szCs w:val="14"/>
                <w:lang w:val="sr-Cyrl-CS"/>
              </w:rPr>
              <w:t>1</w:t>
            </w:r>
          </w:p>
        </w:tc>
        <w:tc>
          <w:tcPr>
            <w:tcW w:w="1076" w:type="dxa"/>
            <w:tcBorders>
              <w:top w:val="nil"/>
            </w:tcBorders>
            <w:shd w:val="clear" w:color="auto" w:fill="FFFFFF" w:themeFill="background1"/>
            <w:noWrap/>
            <w:vAlign w:val="bottom"/>
            <w:hideMark/>
          </w:tcPr>
          <w:p w14:paraId="3D95E7D7" w14:textId="4003CC25"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176</w:t>
            </w:r>
            <w:r w:rsidR="00BC5D24" w:rsidRPr="00646254">
              <w:rPr>
                <w:rFonts w:cstheme="minorHAnsi"/>
                <w:color w:val="002060"/>
                <w:sz w:val="14"/>
                <w:szCs w:val="14"/>
                <w:lang w:val="sr-Cyrl-CS"/>
              </w:rPr>
              <w:t>,</w:t>
            </w:r>
            <w:r w:rsidRPr="00646254">
              <w:rPr>
                <w:rFonts w:cstheme="minorHAnsi"/>
                <w:color w:val="002060"/>
                <w:sz w:val="14"/>
                <w:szCs w:val="14"/>
                <w:lang w:val="sr-Cyrl-CS"/>
              </w:rPr>
              <w:t>7</w:t>
            </w:r>
          </w:p>
        </w:tc>
        <w:tc>
          <w:tcPr>
            <w:tcW w:w="1076" w:type="dxa"/>
            <w:tcBorders>
              <w:top w:val="nil"/>
            </w:tcBorders>
            <w:shd w:val="clear" w:color="auto" w:fill="FFFFFF" w:themeFill="background1"/>
            <w:noWrap/>
            <w:vAlign w:val="bottom"/>
            <w:hideMark/>
          </w:tcPr>
          <w:p w14:paraId="3AEBFFA4" w14:textId="70A075B9"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3</w:t>
            </w:r>
            <w:r w:rsidR="00BC5D24" w:rsidRPr="00646254">
              <w:rPr>
                <w:rFonts w:cstheme="minorHAnsi"/>
                <w:color w:val="002060"/>
                <w:sz w:val="14"/>
                <w:szCs w:val="14"/>
                <w:lang w:val="sr-Cyrl-CS"/>
              </w:rPr>
              <w:t>,</w:t>
            </w:r>
            <w:r w:rsidRPr="00646254">
              <w:rPr>
                <w:rFonts w:cstheme="minorHAnsi"/>
                <w:color w:val="002060"/>
                <w:sz w:val="14"/>
                <w:szCs w:val="14"/>
                <w:lang w:val="sr-Cyrl-CS"/>
              </w:rPr>
              <w:t>3</w:t>
            </w:r>
          </w:p>
        </w:tc>
        <w:tc>
          <w:tcPr>
            <w:tcW w:w="1076" w:type="dxa"/>
            <w:tcBorders>
              <w:top w:val="nil"/>
            </w:tcBorders>
            <w:shd w:val="clear" w:color="auto" w:fill="FFFFFF" w:themeFill="background1"/>
            <w:noWrap/>
            <w:vAlign w:val="bottom"/>
            <w:hideMark/>
          </w:tcPr>
          <w:p w14:paraId="0ABB1CEF" w14:textId="305C46B1"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171</w:t>
            </w:r>
            <w:r w:rsidR="00BC5D24" w:rsidRPr="00646254">
              <w:rPr>
                <w:rFonts w:cstheme="minorHAnsi"/>
                <w:color w:val="002060"/>
                <w:sz w:val="14"/>
                <w:szCs w:val="14"/>
                <w:lang w:val="sr-Cyrl-CS"/>
              </w:rPr>
              <w:t>,</w:t>
            </w:r>
            <w:r w:rsidRPr="00646254">
              <w:rPr>
                <w:rFonts w:cstheme="minorHAnsi"/>
                <w:color w:val="002060"/>
                <w:sz w:val="14"/>
                <w:szCs w:val="14"/>
                <w:lang w:val="sr-Cyrl-CS"/>
              </w:rPr>
              <w:t>6</w:t>
            </w:r>
          </w:p>
        </w:tc>
        <w:tc>
          <w:tcPr>
            <w:tcW w:w="1076" w:type="dxa"/>
            <w:tcBorders>
              <w:top w:val="nil"/>
            </w:tcBorders>
            <w:shd w:val="clear" w:color="auto" w:fill="FFFFFF" w:themeFill="background1"/>
            <w:noWrap/>
            <w:vAlign w:val="bottom"/>
            <w:hideMark/>
          </w:tcPr>
          <w:p w14:paraId="4751B4F2" w14:textId="1F48D4B7" w:rsidR="00960AC3" w:rsidRPr="00646254" w:rsidRDefault="00960AC3" w:rsidP="00BC5D24">
            <w:pPr>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1</w:t>
            </w:r>
            <w:r w:rsidR="00BC5D24" w:rsidRPr="00646254">
              <w:rPr>
                <w:rFonts w:cstheme="minorHAnsi"/>
                <w:color w:val="002060"/>
                <w:sz w:val="14"/>
                <w:szCs w:val="14"/>
                <w:lang w:val="sr-Cyrl-CS"/>
              </w:rPr>
              <w:t>,</w:t>
            </w:r>
            <w:r w:rsidRPr="00646254">
              <w:rPr>
                <w:rFonts w:cstheme="minorHAnsi"/>
                <w:color w:val="002060"/>
                <w:sz w:val="14"/>
                <w:szCs w:val="14"/>
                <w:lang w:val="sr-Cyrl-CS"/>
              </w:rPr>
              <w:t>8</w:t>
            </w:r>
          </w:p>
        </w:tc>
        <w:tc>
          <w:tcPr>
            <w:tcW w:w="1076" w:type="dxa"/>
            <w:tcBorders>
              <w:top w:val="nil"/>
            </w:tcBorders>
            <w:shd w:val="clear" w:color="auto" w:fill="FFFFFF" w:themeFill="background1"/>
            <w:noWrap/>
            <w:vAlign w:val="bottom"/>
          </w:tcPr>
          <w:p w14:paraId="249783A1" w14:textId="77777777" w:rsidR="00960AC3" w:rsidRPr="00646254" w:rsidRDefault="00960AC3" w:rsidP="00BC5D24">
            <w:pPr>
              <w:jc w:val="center"/>
              <w:cnfStyle w:val="000000000000" w:firstRow="0" w:lastRow="0" w:firstColumn="0" w:lastColumn="0" w:oddVBand="0" w:evenVBand="0" w:oddHBand="0" w:evenHBand="0" w:firstRowFirstColumn="0" w:firstRowLastColumn="0" w:lastRowFirstColumn="0" w:lastRowLastColumn="0"/>
              <w:rPr>
                <w:color w:val="002060"/>
                <w:sz w:val="14"/>
                <w:szCs w:val="14"/>
                <w:lang w:val="sr-Cyrl-CS"/>
              </w:rPr>
            </w:pPr>
          </w:p>
        </w:tc>
      </w:tr>
      <w:tr w:rsidR="00960AC3" w:rsidRPr="00646254" w14:paraId="2F454446" w14:textId="77777777" w:rsidTr="00BC5D24">
        <w:trPr>
          <w:cnfStyle w:val="000000100000" w:firstRow="0" w:lastRow="0" w:firstColumn="0" w:lastColumn="0" w:oddVBand="0" w:evenVBand="0" w:oddHBand="1" w:evenHBand="0" w:firstRowFirstColumn="0" w:firstRowLastColumn="0" w:lastRowFirstColumn="0" w:lastRowLastColumn="0"/>
          <w:trHeight w:val="148"/>
        </w:trPr>
        <w:tc>
          <w:tcPr>
            <w:cnfStyle w:val="001000000000" w:firstRow="0" w:lastRow="0" w:firstColumn="1" w:lastColumn="0" w:oddVBand="0" w:evenVBand="0" w:oddHBand="0" w:evenHBand="0" w:firstRowFirstColumn="0" w:firstRowLastColumn="0" w:lastRowFirstColumn="0" w:lastRowLastColumn="0"/>
            <w:tcW w:w="2875" w:type="dxa"/>
            <w:tcBorders>
              <w:top w:val="nil"/>
            </w:tcBorders>
            <w:shd w:val="clear" w:color="auto" w:fill="FFFFFF" w:themeFill="background1"/>
            <w:noWrap/>
            <w:vAlign w:val="bottom"/>
            <w:hideMark/>
          </w:tcPr>
          <w:p w14:paraId="447441AD" w14:textId="77777777" w:rsidR="00960AC3" w:rsidRPr="00646254" w:rsidRDefault="00960AC3" w:rsidP="00BC5D24">
            <w:pPr>
              <w:tabs>
                <w:tab w:val="center" w:pos="4680"/>
                <w:tab w:val="right" w:pos="9360"/>
              </w:tabs>
              <w:rPr>
                <w:rFonts w:cstheme="minorHAnsi"/>
                <w:b w:val="0"/>
                <w:color w:val="002060"/>
                <w:sz w:val="14"/>
                <w:szCs w:val="14"/>
                <w:lang w:val="sr-Cyrl-CS"/>
              </w:rPr>
            </w:pPr>
            <w:r w:rsidRPr="00646254">
              <w:rPr>
                <w:rFonts w:cstheme="minorHAnsi"/>
                <w:b w:val="0"/>
                <w:color w:val="002060"/>
                <w:sz w:val="14"/>
                <w:szCs w:val="14"/>
                <w:lang w:val="sr-Cyrl-CS"/>
              </w:rPr>
              <w:t xml:space="preserve">        Доприноси на терет послодавца</w:t>
            </w:r>
          </w:p>
        </w:tc>
        <w:tc>
          <w:tcPr>
            <w:tcW w:w="1028" w:type="dxa"/>
            <w:tcBorders>
              <w:top w:val="nil"/>
            </w:tcBorders>
            <w:shd w:val="clear" w:color="auto" w:fill="FFFFFF" w:themeFill="background1"/>
            <w:noWrap/>
            <w:vAlign w:val="bottom"/>
            <w:hideMark/>
          </w:tcPr>
          <w:p w14:paraId="3B086171" w14:textId="6F1C93A5"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96</w:t>
            </w:r>
            <w:r w:rsidR="00BC5D24" w:rsidRPr="00646254">
              <w:rPr>
                <w:rFonts w:cstheme="minorHAnsi"/>
                <w:color w:val="002060"/>
                <w:sz w:val="14"/>
                <w:szCs w:val="14"/>
                <w:lang w:val="sr-Cyrl-CS"/>
              </w:rPr>
              <w:t>,</w:t>
            </w:r>
            <w:r w:rsidRPr="00646254">
              <w:rPr>
                <w:rFonts w:cstheme="minorHAnsi"/>
                <w:color w:val="002060"/>
                <w:sz w:val="14"/>
                <w:szCs w:val="14"/>
                <w:lang w:val="sr-Cyrl-CS"/>
              </w:rPr>
              <w:t>2</w:t>
            </w:r>
          </w:p>
        </w:tc>
        <w:tc>
          <w:tcPr>
            <w:tcW w:w="1028" w:type="dxa"/>
            <w:tcBorders>
              <w:top w:val="nil"/>
            </w:tcBorders>
            <w:shd w:val="clear" w:color="auto" w:fill="FFFFFF" w:themeFill="background1"/>
            <w:noWrap/>
            <w:vAlign w:val="bottom"/>
            <w:hideMark/>
          </w:tcPr>
          <w:p w14:paraId="4B8EEC7D" w14:textId="14567A65"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52</w:t>
            </w:r>
            <w:r w:rsidR="00BC5D24" w:rsidRPr="00646254">
              <w:rPr>
                <w:rFonts w:cstheme="minorHAnsi"/>
                <w:color w:val="002060"/>
                <w:sz w:val="14"/>
                <w:szCs w:val="14"/>
                <w:lang w:val="sr-Cyrl-CS"/>
              </w:rPr>
              <w:t>,</w:t>
            </w:r>
            <w:r w:rsidRPr="00646254">
              <w:rPr>
                <w:rFonts w:cstheme="minorHAnsi"/>
                <w:color w:val="002060"/>
                <w:sz w:val="14"/>
                <w:szCs w:val="14"/>
                <w:lang w:val="sr-Cyrl-CS"/>
              </w:rPr>
              <w:t>5</w:t>
            </w:r>
          </w:p>
        </w:tc>
        <w:tc>
          <w:tcPr>
            <w:tcW w:w="1042" w:type="dxa"/>
            <w:tcBorders>
              <w:top w:val="nil"/>
            </w:tcBorders>
            <w:shd w:val="clear" w:color="auto" w:fill="FFFFFF" w:themeFill="background1"/>
            <w:noWrap/>
            <w:vAlign w:val="bottom"/>
            <w:hideMark/>
          </w:tcPr>
          <w:p w14:paraId="45135957" w14:textId="6E8F4CE6"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16</w:t>
            </w:r>
            <w:r w:rsidR="00BC5D24" w:rsidRPr="00646254">
              <w:rPr>
                <w:rFonts w:cstheme="minorHAnsi"/>
                <w:color w:val="002060"/>
                <w:sz w:val="14"/>
                <w:szCs w:val="14"/>
                <w:lang w:val="sr-Cyrl-CS"/>
              </w:rPr>
              <w:t>,</w:t>
            </w:r>
            <w:r w:rsidRPr="00646254">
              <w:rPr>
                <w:rFonts w:cstheme="minorHAnsi"/>
                <w:color w:val="002060"/>
                <w:sz w:val="14"/>
                <w:szCs w:val="14"/>
                <w:lang w:val="sr-Cyrl-CS"/>
              </w:rPr>
              <w:t>3</w:t>
            </w:r>
          </w:p>
        </w:tc>
        <w:tc>
          <w:tcPr>
            <w:tcW w:w="1007" w:type="dxa"/>
            <w:tcBorders>
              <w:top w:val="nil"/>
            </w:tcBorders>
            <w:shd w:val="clear" w:color="auto" w:fill="FFFFFF" w:themeFill="background1"/>
            <w:noWrap/>
            <w:vAlign w:val="bottom"/>
            <w:hideMark/>
          </w:tcPr>
          <w:p w14:paraId="125747F5" w14:textId="53383C17"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9</w:t>
            </w:r>
            <w:r w:rsidR="00BC5D24" w:rsidRPr="00646254">
              <w:rPr>
                <w:rFonts w:cstheme="minorHAnsi"/>
                <w:color w:val="002060"/>
                <w:sz w:val="14"/>
                <w:szCs w:val="14"/>
                <w:lang w:val="sr-Cyrl-CS"/>
              </w:rPr>
              <w:t>,</w:t>
            </w:r>
            <w:r w:rsidRPr="00646254">
              <w:rPr>
                <w:rFonts w:cstheme="minorHAnsi"/>
                <w:color w:val="002060"/>
                <w:sz w:val="14"/>
                <w:szCs w:val="14"/>
                <w:lang w:val="sr-Cyrl-CS"/>
              </w:rPr>
              <w:t>3</w:t>
            </w:r>
          </w:p>
        </w:tc>
        <w:tc>
          <w:tcPr>
            <w:tcW w:w="1076" w:type="dxa"/>
            <w:tcBorders>
              <w:top w:val="nil"/>
            </w:tcBorders>
            <w:shd w:val="clear" w:color="auto" w:fill="FFFFFF" w:themeFill="background1"/>
            <w:noWrap/>
            <w:vAlign w:val="bottom"/>
            <w:hideMark/>
          </w:tcPr>
          <w:p w14:paraId="39704451" w14:textId="7B1423D3"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7</w:t>
            </w:r>
            <w:r w:rsidR="00BC5D24" w:rsidRPr="00646254">
              <w:rPr>
                <w:rFonts w:cstheme="minorHAnsi"/>
                <w:color w:val="002060"/>
                <w:sz w:val="14"/>
                <w:szCs w:val="14"/>
                <w:lang w:val="sr-Cyrl-CS"/>
              </w:rPr>
              <w:t>,</w:t>
            </w:r>
            <w:r w:rsidRPr="00646254">
              <w:rPr>
                <w:rFonts w:cstheme="minorHAnsi"/>
                <w:color w:val="002060"/>
                <w:sz w:val="14"/>
                <w:szCs w:val="14"/>
                <w:lang w:val="sr-Cyrl-CS"/>
              </w:rPr>
              <w:t>0</w:t>
            </w:r>
          </w:p>
        </w:tc>
        <w:tc>
          <w:tcPr>
            <w:tcW w:w="1022" w:type="dxa"/>
            <w:tcBorders>
              <w:top w:val="nil"/>
            </w:tcBorders>
            <w:shd w:val="clear" w:color="auto" w:fill="FFFFFF" w:themeFill="background1"/>
            <w:noWrap/>
            <w:vAlign w:val="bottom"/>
            <w:hideMark/>
          </w:tcPr>
          <w:p w14:paraId="22F9A7C0" w14:textId="35867ADD"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0</w:t>
            </w:r>
            <w:r w:rsidR="00BC5D24" w:rsidRPr="00646254">
              <w:rPr>
                <w:rFonts w:cstheme="minorHAnsi"/>
                <w:color w:val="002060"/>
                <w:sz w:val="14"/>
                <w:szCs w:val="14"/>
                <w:lang w:val="sr-Cyrl-CS"/>
              </w:rPr>
              <w:t>,</w:t>
            </w:r>
            <w:r w:rsidRPr="00646254">
              <w:rPr>
                <w:rFonts w:cstheme="minorHAnsi"/>
                <w:color w:val="002060"/>
                <w:sz w:val="14"/>
                <w:szCs w:val="14"/>
                <w:lang w:val="sr-Cyrl-CS"/>
              </w:rPr>
              <w:t>4</w:t>
            </w:r>
          </w:p>
        </w:tc>
        <w:tc>
          <w:tcPr>
            <w:tcW w:w="1076" w:type="dxa"/>
            <w:tcBorders>
              <w:top w:val="nil"/>
            </w:tcBorders>
            <w:shd w:val="clear" w:color="auto" w:fill="FFFFFF" w:themeFill="background1"/>
            <w:noWrap/>
            <w:vAlign w:val="bottom"/>
            <w:hideMark/>
          </w:tcPr>
          <w:p w14:paraId="5EA53FCC" w14:textId="21032D65"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27</w:t>
            </w:r>
            <w:r w:rsidR="00BC5D24" w:rsidRPr="00646254">
              <w:rPr>
                <w:rFonts w:cstheme="minorHAnsi"/>
                <w:color w:val="002060"/>
                <w:sz w:val="14"/>
                <w:szCs w:val="14"/>
                <w:lang w:val="sr-Cyrl-CS"/>
              </w:rPr>
              <w:t>,</w:t>
            </w:r>
            <w:r w:rsidRPr="00646254">
              <w:rPr>
                <w:rFonts w:cstheme="minorHAnsi"/>
                <w:color w:val="002060"/>
                <w:sz w:val="14"/>
                <w:szCs w:val="14"/>
                <w:lang w:val="sr-Cyrl-CS"/>
              </w:rPr>
              <w:t>0</w:t>
            </w:r>
          </w:p>
        </w:tc>
        <w:tc>
          <w:tcPr>
            <w:tcW w:w="1076" w:type="dxa"/>
            <w:tcBorders>
              <w:top w:val="nil"/>
            </w:tcBorders>
            <w:shd w:val="clear" w:color="auto" w:fill="FFFFFF" w:themeFill="background1"/>
            <w:noWrap/>
            <w:vAlign w:val="bottom"/>
            <w:hideMark/>
          </w:tcPr>
          <w:p w14:paraId="048D6727" w14:textId="70AD9F20"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0</w:t>
            </w:r>
            <w:r w:rsidR="00BC5D24" w:rsidRPr="00646254">
              <w:rPr>
                <w:rFonts w:cstheme="minorHAnsi"/>
                <w:color w:val="002060"/>
                <w:sz w:val="14"/>
                <w:szCs w:val="14"/>
                <w:lang w:val="sr-Cyrl-CS"/>
              </w:rPr>
              <w:t>,</w:t>
            </w:r>
            <w:r w:rsidRPr="00646254">
              <w:rPr>
                <w:rFonts w:cstheme="minorHAnsi"/>
                <w:color w:val="002060"/>
                <w:sz w:val="14"/>
                <w:szCs w:val="14"/>
                <w:lang w:val="sr-Cyrl-CS"/>
              </w:rPr>
              <w:t>6</w:t>
            </w:r>
          </w:p>
        </w:tc>
        <w:tc>
          <w:tcPr>
            <w:tcW w:w="1076" w:type="dxa"/>
            <w:tcBorders>
              <w:top w:val="nil"/>
            </w:tcBorders>
            <w:shd w:val="clear" w:color="auto" w:fill="FFFFFF" w:themeFill="background1"/>
            <w:noWrap/>
            <w:vAlign w:val="bottom"/>
            <w:hideMark/>
          </w:tcPr>
          <w:p w14:paraId="3FBB082D" w14:textId="590A9456"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26</w:t>
            </w:r>
            <w:r w:rsidR="00BC5D24" w:rsidRPr="00646254">
              <w:rPr>
                <w:rFonts w:cstheme="minorHAnsi"/>
                <w:color w:val="002060"/>
                <w:sz w:val="14"/>
                <w:szCs w:val="14"/>
                <w:lang w:val="sr-Cyrl-CS"/>
              </w:rPr>
              <w:t>,</w:t>
            </w:r>
            <w:r w:rsidRPr="00646254">
              <w:rPr>
                <w:rFonts w:cstheme="minorHAnsi"/>
                <w:color w:val="002060"/>
                <w:sz w:val="14"/>
                <w:szCs w:val="14"/>
                <w:lang w:val="sr-Cyrl-CS"/>
              </w:rPr>
              <w:t>0</w:t>
            </w:r>
          </w:p>
        </w:tc>
        <w:tc>
          <w:tcPr>
            <w:tcW w:w="1076" w:type="dxa"/>
            <w:tcBorders>
              <w:top w:val="nil"/>
            </w:tcBorders>
            <w:shd w:val="clear" w:color="auto" w:fill="FFFFFF" w:themeFill="background1"/>
            <w:noWrap/>
            <w:vAlign w:val="bottom"/>
            <w:hideMark/>
          </w:tcPr>
          <w:p w14:paraId="05358B5B" w14:textId="6A463195" w:rsidR="00960AC3" w:rsidRPr="00646254" w:rsidRDefault="00960AC3" w:rsidP="00BC5D24">
            <w:pPr>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0</w:t>
            </w:r>
            <w:r w:rsidR="00BC5D24" w:rsidRPr="00646254">
              <w:rPr>
                <w:rFonts w:cstheme="minorHAnsi"/>
                <w:color w:val="002060"/>
                <w:sz w:val="14"/>
                <w:szCs w:val="14"/>
                <w:lang w:val="sr-Cyrl-CS"/>
              </w:rPr>
              <w:t>,</w:t>
            </w:r>
            <w:r w:rsidRPr="00646254">
              <w:rPr>
                <w:rFonts w:cstheme="minorHAnsi"/>
                <w:color w:val="002060"/>
                <w:sz w:val="14"/>
                <w:szCs w:val="14"/>
                <w:lang w:val="sr-Cyrl-CS"/>
              </w:rPr>
              <w:t>4</w:t>
            </w:r>
          </w:p>
        </w:tc>
        <w:tc>
          <w:tcPr>
            <w:tcW w:w="1076" w:type="dxa"/>
            <w:tcBorders>
              <w:top w:val="nil"/>
            </w:tcBorders>
            <w:shd w:val="clear" w:color="auto" w:fill="FFFFFF" w:themeFill="background1"/>
            <w:noWrap/>
            <w:vAlign w:val="bottom"/>
          </w:tcPr>
          <w:p w14:paraId="722FCFD6" w14:textId="77777777" w:rsidR="00960AC3" w:rsidRPr="00646254" w:rsidRDefault="00960AC3" w:rsidP="00BC5D24">
            <w:pPr>
              <w:jc w:val="center"/>
              <w:cnfStyle w:val="000000100000" w:firstRow="0" w:lastRow="0" w:firstColumn="0" w:lastColumn="0" w:oddVBand="0" w:evenVBand="0" w:oddHBand="1" w:evenHBand="0" w:firstRowFirstColumn="0" w:firstRowLastColumn="0" w:lastRowFirstColumn="0" w:lastRowLastColumn="0"/>
              <w:rPr>
                <w:color w:val="002060"/>
                <w:sz w:val="14"/>
                <w:szCs w:val="14"/>
                <w:lang w:val="sr-Cyrl-CS"/>
              </w:rPr>
            </w:pPr>
          </w:p>
        </w:tc>
      </w:tr>
      <w:tr w:rsidR="00960AC3" w:rsidRPr="00646254" w14:paraId="594CD991" w14:textId="77777777" w:rsidTr="00BC5D24">
        <w:trPr>
          <w:trHeight w:val="174"/>
        </w:trPr>
        <w:tc>
          <w:tcPr>
            <w:cnfStyle w:val="001000000000" w:firstRow="0" w:lastRow="0" w:firstColumn="1" w:lastColumn="0" w:oddVBand="0" w:evenVBand="0" w:oddHBand="0" w:evenHBand="0" w:firstRowFirstColumn="0" w:firstRowLastColumn="0" w:lastRowFirstColumn="0" w:lastRowLastColumn="0"/>
            <w:tcW w:w="2875" w:type="dxa"/>
            <w:tcBorders>
              <w:top w:val="nil"/>
            </w:tcBorders>
            <w:shd w:val="clear" w:color="auto" w:fill="FFFFFF" w:themeFill="background1"/>
            <w:noWrap/>
            <w:vAlign w:val="bottom"/>
            <w:hideMark/>
          </w:tcPr>
          <w:p w14:paraId="0F58EAE7" w14:textId="77777777" w:rsidR="00960AC3" w:rsidRPr="00646254" w:rsidRDefault="00960AC3" w:rsidP="00BC5D24">
            <w:pPr>
              <w:tabs>
                <w:tab w:val="center" w:pos="4680"/>
                <w:tab w:val="right" w:pos="9360"/>
              </w:tabs>
              <w:rPr>
                <w:rFonts w:cstheme="minorHAnsi"/>
                <w:b w:val="0"/>
                <w:color w:val="002060"/>
                <w:sz w:val="14"/>
                <w:szCs w:val="14"/>
                <w:lang w:val="sr-Cyrl-CS"/>
              </w:rPr>
            </w:pPr>
            <w:r w:rsidRPr="00646254">
              <w:rPr>
                <w:rFonts w:cstheme="minorHAnsi"/>
                <w:b w:val="0"/>
                <w:color w:val="002060"/>
                <w:sz w:val="14"/>
                <w:szCs w:val="14"/>
                <w:lang w:val="sr-Cyrl-CS"/>
              </w:rPr>
              <w:t xml:space="preserve">        Куповина роба и услуга</w:t>
            </w:r>
          </w:p>
        </w:tc>
        <w:tc>
          <w:tcPr>
            <w:tcW w:w="1028" w:type="dxa"/>
            <w:tcBorders>
              <w:top w:val="nil"/>
            </w:tcBorders>
            <w:shd w:val="clear" w:color="auto" w:fill="FFFFFF" w:themeFill="background1"/>
            <w:noWrap/>
            <w:vAlign w:val="bottom"/>
            <w:hideMark/>
          </w:tcPr>
          <w:p w14:paraId="61385F9B" w14:textId="0626BD46"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511</w:t>
            </w:r>
            <w:r w:rsidR="00BC5D24" w:rsidRPr="00646254">
              <w:rPr>
                <w:rFonts w:cstheme="minorHAnsi"/>
                <w:color w:val="002060"/>
                <w:sz w:val="14"/>
                <w:szCs w:val="14"/>
                <w:lang w:val="sr-Cyrl-CS"/>
              </w:rPr>
              <w:t>,</w:t>
            </w:r>
            <w:r w:rsidRPr="00646254">
              <w:rPr>
                <w:rFonts w:cstheme="minorHAnsi"/>
                <w:color w:val="002060"/>
                <w:sz w:val="14"/>
                <w:szCs w:val="14"/>
                <w:lang w:val="sr-Cyrl-CS"/>
              </w:rPr>
              <w:t>2</w:t>
            </w:r>
          </w:p>
        </w:tc>
        <w:tc>
          <w:tcPr>
            <w:tcW w:w="1028" w:type="dxa"/>
            <w:tcBorders>
              <w:top w:val="nil"/>
            </w:tcBorders>
            <w:shd w:val="clear" w:color="auto" w:fill="FFFFFF" w:themeFill="background1"/>
            <w:noWrap/>
            <w:vAlign w:val="bottom"/>
            <w:hideMark/>
          </w:tcPr>
          <w:p w14:paraId="4AB8A648" w14:textId="52FD5E7B"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135</w:t>
            </w:r>
            <w:r w:rsidR="00BC5D24" w:rsidRPr="00646254">
              <w:rPr>
                <w:rFonts w:cstheme="minorHAnsi"/>
                <w:color w:val="002060"/>
                <w:sz w:val="14"/>
                <w:szCs w:val="14"/>
                <w:lang w:val="sr-Cyrl-CS"/>
              </w:rPr>
              <w:t>,</w:t>
            </w:r>
            <w:r w:rsidRPr="00646254">
              <w:rPr>
                <w:rFonts w:cstheme="minorHAnsi"/>
                <w:color w:val="002060"/>
                <w:sz w:val="14"/>
                <w:szCs w:val="14"/>
                <w:lang w:val="sr-Cyrl-CS"/>
              </w:rPr>
              <w:t>4</w:t>
            </w:r>
          </w:p>
        </w:tc>
        <w:tc>
          <w:tcPr>
            <w:tcW w:w="1042" w:type="dxa"/>
            <w:tcBorders>
              <w:top w:val="nil"/>
            </w:tcBorders>
            <w:shd w:val="clear" w:color="auto" w:fill="FFFFFF" w:themeFill="background1"/>
            <w:noWrap/>
            <w:vAlign w:val="bottom"/>
            <w:hideMark/>
          </w:tcPr>
          <w:p w14:paraId="28D0045B" w14:textId="74B66E83"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147</w:t>
            </w:r>
            <w:r w:rsidR="00BC5D24" w:rsidRPr="00646254">
              <w:rPr>
                <w:rFonts w:cstheme="minorHAnsi"/>
                <w:color w:val="002060"/>
                <w:sz w:val="14"/>
                <w:szCs w:val="14"/>
                <w:lang w:val="sr-Cyrl-CS"/>
              </w:rPr>
              <w:t>,</w:t>
            </w:r>
            <w:r w:rsidRPr="00646254">
              <w:rPr>
                <w:rFonts w:cstheme="minorHAnsi"/>
                <w:color w:val="002060"/>
                <w:sz w:val="14"/>
                <w:szCs w:val="14"/>
                <w:lang w:val="sr-Cyrl-CS"/>
              </w:rPr>
              <w:t>9</w:t>
            </w:r>
          </w:p>
        </w:tc>
        <w:tc>
          <w:tcPr>
            <w:tcW w:w="1007" w:type="dxa"/>
            <w:tcBorders>
              <w:top w:val="nil"/>
            </w:tcBorders>
            <w:shd w:val="clear" w:color="auto" w:fill="FFFFFF" w:themeFill="background1"/>
            <w:noWrap/>
            <w:vAlign w:val="bottom"/>
            <w:hideMark/>
          </w:tcPr>
          <w:p w14:paraId="4F43D5A0" w14:textId="2F7599EA"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145</w:t>
            </w:r>
            <w:r w:rsidR="00BC5D24" w:rsidRPr="00646254">
              <w:rPr>
                <w:rFonts w:cstheme="minorHAnsi"/>
                <w:color w:val="002060"/>
                <w:sz w:val="14"/>
                <w:szCs w:val="14"/>
                <w:lang w:val="sr-Cyrl-CS"/>
              </w:rPr>
              <w:t>,</w:t>
            </w:r>
            <w:r w:rsidRPr="00646254">
              <w:rPr>
                <w:rFonts w:cstheme="minorHAnsi"/>
                <w:color w:val="002060"/>
                <w:sz w:val="14"/>
                <w:szCs w:val="14"/>
                <w:lang w:val="sr-Cyrl-CS"/>
              </w:rPr>
              <w:t>0</w:t>
            </w:r>
          </w:p>
        </w:tc>
        <w:tc>
          <w:tcPr>
            <w:tcW w:w="1076" w:type="dxa"/>
            <w:tcBorders>
              <w:top w:val="nil"/>
            </w:tcBorders>
            <w:shd w:val="clear" w:color="auto" w:fill="FFFFFF" w:themeFill="background1"/>
            <w:noWrap/>
            <w:vAlign w:val="bottom"/>
            <w:hideMark/>
          </w:tcPr>
          <w:p w14:paraId="7867284C" w14:textId="5384A60C"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2</w:t>
            </w:r>
            <w:r w:rsidR="00BC5D24" w:rsidRPr="00646254">
              <w:rPr>
                <w:rFonts w:cstheme="minorHAnsi"/>
                <w:color w:val="002060"/>
                <w:sz w:val="14"/>
                <w:szCs w:val="14"/>
                <w:lang w:val="sr-Cyrl-CS"/>
              </w:rPr>
              <w:t>,</w:t>
            </w:r>
            <w:r w:rsidRPr="00646254">
              <w:rPr>
                <w:rFonts w:cstheme="minorHAnsi"/>
                <w:color w:val="002060"/>
                <w:sz w:val="14"/>
                <w:szCs w:val="14"/>
                <w:lang w:val="sr-Cyrl-CS"/>
              </w:rPr>
              <w:t>9</w:t>
            </w:r>
          </w:p>
        </w:tc>
        <w:tc>
          <w:tcPr>
            <w:tcW w:w="1022" w:type="dxa"/>
            <w:tcBorders>
              <w:top w:val="nil"/>
            </w:tcBorders>
            <w:shd w:val="clear" w:color="auto" w:fill="FFFFFF" w:themeFill="background1"/>
            <w:noWrap/>
            <w:vAlign w:val="bottom"/>
            <w:hideMark/>
          </w:tcPr>
          <w:p w14:paraId="2881EF43" w14:textId="7A17DF2B"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38</w:t>
            </w:r>
            <w:r w:rsidR="00BC5D24" w:rsidRPr="00646254">
              <w:rPr>
                <w:rFonts w:cstheme="minorHAnsi"/>
                <w:color w:val="002060"/>
                <w:sz w:val="14"/>
                <w:szCs w:val="14"/>
                <w:lang w:val="sr-Cyrl-CS"/>
              </w:rPr>
              <w:t>,</w:t>
            </w:r>
            <w:r w:rsidRPr="00646254">
              <w:rPr>
                <w:rFonts w:cstheme="minorHAnsi"/>
                <w:color w:val="002060"/>
                <w:sz w:val="14"/>
                <w:szCs w:val="14"/>
                <w:lang w:val="sr-Cyrl-CS"/>
              </w:rPr>
              <w:t>1</w:t>
            </w:r>
          </w:p>
        </w:tc>
        <w:tc>
          <w:tcPr>
            <w:tcW w:w="1076" w:type="dxa"/>
            <w:tcBorders>
              <w:top w:val="nil"/>
            </w:tcBorders>
            <w:shd w:val="clear" w:color="auto" w:fill="FFFFFF" w:themeFill="background1"/>
            <w:noWrap/>
            <w:vAlign w:val="bottom"/>
            <w:hideMark/>
          </w:tcPr>
          <w:p w14:paraId="1BC4965D" w14:textId="2EBA5320"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189</w:t>
            </w:r>
            <w:r w:rsidR="00BC5D24" w:rsidRPr="00646254">
              <w:rPr>
                <w:rFonts w:cstheme="minorHAnsi"/>
                <w:color w:val="002060"/>
                <w:sz w:val="14"/>
                <w:szCs w:val="14"/>
                <w:lang w:val="sr-Cyrl-CS"/>
              </w:rPr>
              <w:t>,</w:t>
            </w:r>
            <w:r w:rsidRPr="00646254">
              <w:rPr>
                <w:rFonts w:cstheme="minorHAnsi"/>
                <w:color w:val="002060"/>
                <w:sz w:val="14"/>
                <w:szCs w:val="14"/>
                <w:lang w:val="sr-Cyrl-CS"/>
              </w:rPr>
              <w:t>8</w:t>
            </w:r>
          </w:p>
        </w:tc>
        <w:tc>
          <w:tcPr>
            <w:tcW w:w="1076" w:type="dxa"/>
            <w:tcBorders>
              <w:top w:val="nil"/>
            </w:tcBorders>
            <w:shd w:val="clear" w:color="auto" w:fill="FFFFFF" w:themeFill="background1"/>
            <w:noWrap/>
            <w:vAlign w:val="bottom"/>
            <w:hideMark/>
          </w:tcPr>
          <w:p w14:paraId="5FC92A07" w14:textId="3A80FAF3"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2</w:t>
            </w:r>
            <w:r w:rsidR="00BC5D24" w:rsidRPr="00646254">
              <w:rPr>
                <w:rFonts w:cstheme="minorHAnsi"/>
                <w:color w:val="002060"/>
                <w:sz w:val="14"/>
                <w:szCs w:val="14"/>
                <w:lang w:val="sr-Cyrl-CS"/>
              </w:rPr>
              <w:t>,</w:t>
            </w:r>
            <w:r w:rsidRPr="00646254">
              <w:rPr>
                <w:rFonts w:cstheme="minorHAnsi"/>
                <w:color w:val="002060"/>
                <w:sz w:val="14"/>
                <w:szCs w:val="14"/>
                <w:lang w:val="sr-Cyrl-CS"/>
              </w:rPr>
              <w:t>4</w:t>
            </w:r>
          </w:p>
        </w:tc>
        <w:tc>
          <w:tcPr>
            <w:tcW w:w="1076" w:type="dxa"/>
            <w:tcBorders>
              <w:top w:val="nil"/>
            </w:tcBorders>
            <w:shd w:val="clear" w:color="auto" w:fill="FFFFFF" w:themeFill="background1"/>
            <w:noWrap/>
            <w:vAlign w:val="bottom"/>
            <w:hideMark/>
          </w:tcPr>
          <w:p w14:paraId="435E29E1" w14:textId="78B1BC68"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182</w:t>
            </w:r>
            <w:r w:rsidR="00BC5D24" w:rsidRPr="00646254">
              <w:rPr>
                <w:rFonts w:cstheme="minorHAnsi"/>
                <w:color w:val="002060"/>
                <w:sz w:val="14"/>
                <w:szCs w:val="14"/>
                <w:lang w:val="sr-Cyrl-CS"/>
              </w:rPr>
              <w:t>,</w:t>
            </w:r>
            <w:r w:rsidRPr="00646254">
              <w:rPr>
                <w:rFonts w:cstheme="minorHAnsi"/>
                <w:color w:val="002060"/>
                <w:sz w:val="14"/>
                <w:szCs w:val="14"/>
                <w:lang w:val="sr-Cyrl-CS"/>
              </w:rPr>
              <w:t>5</w:t>
            </w:r>
          </w:p>
        </w:tc>
        <w:tc>
          <w:tcPr>
            <w:tcW w:w="1076" w:type="dxa"/>
            <w:tcBorders>
              <w:top w:val="nil"/>
            </w:tcBorders>
            <w:shd w:val="clear" w:color="auto" w:fill="FFFFFF" w:themeFill="background1"/>
            <w:noWrap/>
            <w:vAlign w:val="bottom"/>
            <w:hideMark/>
          </w:tcPr>
          <w:p w14:paraId="0E7986B1" w14:textId="6F11A007" w:rsidR="00960AC3" w:rsidRPr="00646254" w:rsidRDefault="00960AC3" w:rsidP="00BC5D24">
            <w:pPr>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1</w:t>
            </w:r>
            <w:r w:rsidR="00BC5D24" w:rsidRPr="00646254">
              <w:rPr>
                <w:rFonts w:cstheme="minorHAnsi"/>
                <w:color w:val="002060"/>
                <w:sz w:val="14"/>
                <w:szCs w:val="14"/>
                <w:lang w:val="sr-Cyrl-CS"/>
              </w:rPr>
              <w:t>,</w:t>
            </w:r>
            <w:r w:rsidRPr="00646254">
              <w:rPr>
                <w:rFonts w:cstheme="minorHAnsi"/>
                <w:color w:val="002060"/>
                <w:sz w:val="14"/>
                <w:szCs w:val="14"/>
                <w:lang w:val="sr-Cyrl-CS"/>
              </w:rPr>
              <w:t>0</w:t>
            </w:r>
          </w:p>
        </w:tc>
        <w:tc>
          <w:tcPr>
            <w:tcW w:w="1076" w:type="dxa"/>
            <w:tcBorders>
              <w:top w:val="nil"/>
            </w:tcBorders>
            <w:shd w:val="clear" w:color="auto" w:fill="FFFFFF" w:themeFill="background1"/>
            <w:noWrap/>
            <w:vAlign w:val="bottom"/>
            <w:hideMark/>
          </w:tcPr>
          <w:p w14:paraId="6730E1A1" w14:textId="19B8331B" w:rsidR="00960AC3" w:rsidRPr="00646254" w:rsidRDefault="00960AC3" w:rsidP="00BC5D24">
            <w:pPr>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3</w:t>
            </w:r>
            <w:r w:rsidR="00BC5D24" w:rsidRPr="00646254">
              <w:rPr>
                <w:rFonts w:cstheme="minorHAnsi"/>
                <w:color w:val="002060"/>
                <w:sz w:val="14"/>
                <w:szCs w:val="14"/>
                <w:lang w:val="sr-Cyrl-CS"/>
              </w:rPr>
              <w:t>,</w:t>
            </w:r>
            <w:r w:rsidRPr="00646254">
              <w:rPr>
                <w:rFonts w:cstheme="minorHAnsi"/>
                <w:color w:val="002060"/>
                <w:sz w:val="14"/>
                <w:szCs w:val="14"/>
                <w:lang w:val="sr-Cyrl-CS"/>
              </w:rPr>
              <w:t>9</w:t>
            </w:r>
          </w:p>
        </w:tc>
      </w:tr>
      <w:tr w:rsidR="00960AC3" w:rsidRPr="00646254" w14:paraId="05090DB7" w14:textId="77777777" w:rsidTr="00BC5D24">
        <w:trPr>
          <w:cnfStyle w:val="000000100000" w:firstRow="0" w:lastRow="0" w:firstColumn="0" w:lastColumn="0" w:oddVBand="0" w:evenVBand="0" w:oddHBand="1" w:evenHBand="0" w:firstRowFirstColumn="0" w:firstRowLastColumn="0" w:lastRowFirstColumn="0" w:lastRowLastColumn="0"/>
          <w:trHeight w:val="87"/>
        </w:trPr>
        <w:tc>
          <w:tcPr>
            <w:cnfStyle w:val="001000000000" w:firstRow="0" w:lastRow="0" w:firstColumn="1" w:lastColumn="0" w:oddVBand="0" w:evenVBand="0" w:oddHBand="0" w:evenHBand="0" w:firstRowFirstColumn="0" w:firstRowLastColumn="0" w:lastRowFirstColumn="0" w:lastRowLastColumn="0"/>
            <w:tcW w:w="2875" w:type="dxa"/>
            <w:tcBorders>
              <w:top w:val="nil"/>
            </w:tcBorders>
            <w:shd w:val="clear" w:color="auto" w:fill="FFFFFF" w:themeFill="background1"/>
            <w:noWrap/>
            <w:vAlign w:val="bottom"/>
            <w:hideMark/>
          </w:tcPr>
          <w:p w14:paraId="74438815" w14:textId="77777777" w:rsidR="00960AC3" w:rsidRPr="00646254" w:rsidRDefault="00960AC3" w:rsidP="00BC5D24">
            <w:pPr>
              <w:tabs>
                <w:tab w:val="center" w:pos="4680"/>
                <w:tab w:val="right" w:pos="9360"/>
              </w:tabs>
              <w:rPr>
                <w:rFonts w:cstheme="minorHAnsi"/>
                <w:b w:val="0"/>
                <w:color w:val="002060"/>
                <w:sz w:val="14"/>
                <w:szCs w:val="14"/>
                <w:lang w:val="sr-Cyrl-CS"/>
              </w:rPr>
            </w:pPr>
            <w:r w:rsidRPr="00646254">
              <w:rPr>
                <w:rFonts w:cstheme="minorHAnsi"/>
                <w:b w:val="0"/>
                <w:color w:val="002060"/>
                <w:sz w:val="14"/>
                <w:szCs w:val="14"/>
                <w:lang w:val="sr-Cyrl-CS"/>
              </w:rPr>
              <w:t xml:space="preserve">        Отплата камата</w:t>
            </w:r>
          </w:p>
        </w:tc>
        <w:tc>
          <w:tcPr>
            <w:tcW w:w="1028" w:type="dxa"/>
            <w:tcBorders>
              <w:top w:val="nil"/>
            </w:tcBorders>
            <w:shd w:val="clear" w:color="auto" w:fill="FFFFFF" w:themeFill="background1"/>
            <w:noWrap/>
            <w:vAlign w:val="bottom"/>
            <w:hideMark/>
          </w:tcPr>
          <w:p w14:paraId="5DC889DC" w14:textId="27CE5BB4"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118</w:t>
            </w:r>
            <w:r w:rsidR="00BC5D24" w:rsidRPr="00646254">
              <w:rPr>
                <w:rFonts w:cstheme="minorHAnsi"/>
                <w:color w:val="002060"/>
                <w:sz w:val="14"/>
                <w:szCs w:val="14"/>
                <w:lang w:val="sr-Cyrl-CS"/>
              </w:rPr>
              <w:t>,</w:t>
            </w:r>
            <w:r w:rsidRPr="00646254">
              <w:rPr>
                <w:rFonts w:cstheme="minorHAnsi"/>
                <w:color w:val="002060"/>
                <w:sz w:val="14"/>
                <w:szCs w:val="14"/>
                <w:lang w:val="sr-Cyrl-CS"/>
              </w:rPr>
              <w:t>6</w:t>
            </w:r>
          </w:p>
        </w:tc>
        <w:tc>
          <w:tcPr>
            <w:tcW w:w="1028" w:type="dxa"/>
            <w:tcBorders>
              <w:top w:val="nil"/>
            </w:tcBorders>
            <w:shd w:val="clear" w:color="auto" w:fill="FFFFFF" w:themeFill="background1"/>
            <w:noWrap/>
            <w:vAlign w:val="bottom"/>
            <w:hideMark/>
          </w:tcPr>
          <w:p w14:paraId="715D9D0D" w14:textId="5E7BC0FA"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116</w:t>
            </w:r>
            <w:r w:rsidR="00BC5D24" w:rsidRPr="00646254">
              <w:rPr>
                <w:rFonts w:cstheme="minorHAnsi"/>
                <w:color w:val="002060"/>
                <w:sz w:val="14"/>
                <w:szCs w:val="14"/>
                <w:lang w:val="sr-Cyrl-CS"/>
              </w:rPr>
              <w:t>,</w:t>
            </w:r>
            <w:r w:rsidRPr="00646254">
              <w:rPr>
                <w:rFonts w:cstheme="minorHAnsi"/>
                <w:color w:val="002060"/>
                <w:sz w:val="14"/>
                <w:szCs w:val="14"/>
                <w:lang w:val="sr-Cyrl-CS"/>
              </w:rPr>
              <w:t>2</w:t>
            </w:r>
          </w:p>
        </w:tc>
        <w:tc>
          <w:tcPr>
            <w:tcW w:w="1042" w:type="dxa"/>
            <w:tcBorders>
              <w:top w:val="nil"/>
            </w:tcBorders>
            <w:shd w:val="clear" w:color="auto" w:fill="FFFFFF" w:themeFill="background1"/>
            <w:noWrap/>
            <w:vAlign w:val="bottom"/>
            <w:hideMark/>
          </w:tcPr>
          <w:p w14:paraId="2F5EFDA6" w14:textId="44D45FEA"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2</w:t>
            </w:r>
            <w:r w:rsidR="00BC5D24" w:rsidRPr="00646254">
              <w:rPr>
                <w:rFonts w:cstheme="minorHAnsi"/>
                <w:color w:val="002060"/>
                <w:sz w:val="14"/>
                <w:szCs w:val="14"/>
                <w:lang w:val="sr-Cyrl-CS"/>
              </w:rPr>
              <w:t>,</w:t>
            </w:r>
            <w:r w:rsidRPr="00646254">
              <w:rPr>
                <w:rFonts w:cstheme="minorHAnsi"/>
                <w:color w:val="002060"/>
                <w:sz w:val="14"/>
                <w:szCs w:val="14"/>
                <w:lang w:val="sr-Cyrl-CS"/>
              </w:rPr>
              <w:t>3</w:t>
            </w:r>
          </w:p>
        </w:tc>
        <w:tc>
          <w:tcPr>
            <w:tcW w:w="1007" w:type="dxa"/>
            <w:tcBorders>
              <w:top w:val="nil"/>
            </w:tcBorders>
            <w:shd w:val="clear" w:color="auto" w:fill="FFFFFF" w:themeFill="background1"/>
            <w:noWrap/>
            <w:vAlign w:val="bottom"/>
            <w:hideMark/>
          </w:tcPr>
          <w:p w14:paraId="6A35A1F1" w14:textId="4D445A3D"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2</w:t>
            </w:r>
            <w:r w:rsidR="00BC5D24" w:rsidRPr="00646254">
              <w:rPr>
                <w:rFonts w:cstheme="minorHAnsi"/>
                <w:color w:val="002060"/>
                <w:sz w:val="14"/>
                <w:szCs w:val="14"/>
                <w:lang w:val="sr-Cyrl-CS"/>
              </w:rPr>
              <w:t>,</w:t>
            </w:r>
            <w:r w:rsidRPr="00646254">
              <w:rPr>
                <w:rFonts w:cstheme="minorHAnsi"/>
                <w:color w:val="002060"/>
                <w:sz w:val="14"/>
                <w:szCs w:val="14"/>
                <w:lang w:val="sr-Cyrl-CS"/>
              </w:rPr>
              <w:t>0</w:t>
            </w:r>
          </w:p>
        </w:tc>
        <w:tc>
          <w:tcPr>
            <w:tcW w:w="1076" w:type="dxa"/>
            <w:tcBorders>
              <w:top w:val="nil"/>
            </w:tcBorders>
            <w:shd w:val="clear" w:color="auto" w:fill="FFFFFF" w:themeFill="background1"/>
            <w:noWrap/>
            <w:vAlign w:val="bottom"/>
            <w:hideMark/>
          </w:tcPr>
          <w:p w14:paraId="2692962F" w14:textId="7C4DE801"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0</w:t>
            </w:r>
            <w:r w:rsidR="00BC5D24" w:rsidRPr="00646254">
              <w:rPr>
                <w:rFonts w:cstheme="minorHAnsi"/>
                <w:color w:val="002060"/>
                <w:sz w:val="14"/>
                <w:szCs w:val="14"/>
                <w:lang w:val="sr-Cyrl-CS"/>
              </w:rPr>
              <w:t>,</w:t>
            </w:r>
            <w:r w:rsidRPr="00646254">
              <w:rPr>
                <w:rFonts w:cstheme="minorHAnsi"/>
                <w:color w:val="002060"/>
                <w:sz w:val="14"/>
                <w:szCs w:val="14"/>
                <w:lang w:val="sr-Cyrl-CS"/>
              </w:rPr>
              <w:t>3</w:t>
            </w:r>
          </w:p>
        </w:tc>
        <w:tc>
          <w:tcPr>
            <w:tcW w:w="1022" w:type="dxa"/>
            <w:tcBorders>
              <w:top w:val="nil"/>
            </w:tcBorders>
            <w:shd w:val="clear" w:color="auto" w:fill="FFFFFF" w:themeFill="background1"/>
            <w:noWrap/>
            <w:vAlign w:val="bottom"/>
            <w:hideMark/>
          </w:tcPr>
          <w:p w14:paraId="609857AC" w14:textId="197351AB"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0</w:t>
            </w:r>
            <w:r w:rsidR="00BC5D24" w:rsidRPr="00646254">
              <w:rPr>
                <w:rFonts w:cstheme="minorHAnsi"/>
                <w:color w:val="002060"/>
                <w:sz w:val="14"/>
                <w:szCs w:val="14"/>
                <w:lang w:val="sr-Cyrl-CS"/>
              </w:rPr>
              <w:t>,</w:t>
            </w:r>
            <w:r w:rsidRPr="00646254">
              <w:rPr>
                <w:rFonts w:cstheme="minorHAnsi"/>
                <w:color w:val="002060"/>
                <w:sz w:val="14"/>
                <w:szCs w:val="14"/>
                <w:lang w:val="sr-Cyrl-CS"/>
              </w:rPr>
              <w:t>1</w:t>
            </w:r>
          </w:p>
        </w:tc>
        <w:tc>
          <w:tcPr>
            <w:tcW w:w="1076" w:type="dxa"/>
            <w:tcBorders>
              <w:top w:val="nil"/>
            </w:tcBorders>
            <w:shd w:val="clear" w:color="auto" w:fill="FFFFFF" w:themeFill="background1"/>
            <w:noWrap/>
            <w:vAlign w:val="bottom"/>
            <w:hideMark/>
          </w:tcPr>
          <w:p w14:paraId="4F685014" w14:textId="367A1697"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0</w:t>
            </w:r>
            <w:r w:rsidR="00BC5D24" w:rsidRPr="00646254">
              <w:rPr>
                <w:rFonts w:cstheme="minorHAnsi"/>
                <w:color w:val="002060"/>
                <w:sz w:val="14"/>
                <w:szCs w:val="14"/>
                <w:lang w:val="sr-Cyrl-CS"/>
              </w:rPr>
              <w:t>,</w:t>
            </w:r>
            <w:r w:rsidRPr="00646254">
              <w:rPr>
                <w:rFonts w:cstheme="minorHAnsi"/>
                <w:color w:val="002060"/>
                <w:sz w:val="14"/>
                <w:szCs w:val="14"/>
                <w:lang w:val="sr-Cyrl-CS"/>
              </w:rPr>
              <w:t>0</w:t>
            </w:r>
          </w:p>
        </w:tc>
        <w:tc>
          <w:tcPr>
            <w:tcW w:w="1076" w:type="dxa"/>
            <w:tcBorders>
              <w:top w:val="nil"/>
            </w:tcBorders>
            <w:shd w:val="clear" w:color="auto" w:fill="FFFFFF" w:themeFill="background1"/>
            <w:noWrap/>
            <w:vAlign w:val="bottom"/>
          </w:tcPr>
          <w:p w14:paraId="6FD4ED00" w14:textId="77777777"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color w:val="002060"/>
                <w:sz w:val="14"/>
                <w:szCs w:val="14"/>
                <w:lang w:val="sr-Cyrl-CS"/>
              </w:rPr>
            </w:pPr>
          </w:p>
        </w:tc>
        <w:tc>
          <w:tcPr>
            <w:tcW w:w="1076" w:type="dxa"/>
            <w:tcBorders>
              <w:top w:val="nil"/>
            </w:tcBorders>
            <w:shd w:val="clear" w:color="auto" w:fill="FFFFFF" w:themeFill="background1"/>
            <w:noWrap/>
            <w:vAlign w:val="bottom"/>
          </w:tcPr>
          <w:p w14:paraId="5694FBC1" w14:textId="77777777"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color w:val="002060"/>
                <w:sz w:val="14"/>
                <w:szCs w:val="14"/>
                <w:lang w:val="sr-Cyrl-CS"/>
              </w:rPr>
            </w:pPr>
          </w:p>
        </w:tc>
        <w:tc>
          <w:tcPr>
            <w:tcW w:w="1076" w:type="dxa"/>
            <w:tcBorders>
              <w:top w:val="nil"/>
            </w:tcBorders>
            <w:shd w:val="clear" w:color="auto" w:fill="FFFFFF" w:themeFill="background1"/>
            <w:noWrap/>
            <w:vAlign w:val="bottom"/>
          </w:tcPr>
          <w:p w14:paraId="2C8B048A" w14:textId="77777777" w:rsidR="00960AC3" w:rsidRPr="00646254" w:rsidRDefault="00960AC3" w:rsidP="00BC5D24">
            <w:pPr>
              <w:jc w:val="center"/>
              <w:cnfStyle w:val="000000100000" w:firstRow="0" w:lastRow="0" w:firstColumn="0" w:lastColumn="0" w:oddVBand="0" w:evenVBand="0" w:oddHBand="1" w:evenHBand="0" w:firstRowFirstColumn="0" w:firstRowLastColumn="0" w:lastRowFirstColumn="0" w:lastRowLastColumn="0"/>
              <w:rPr>
                <w:color w:val="002060"/>
                <w:sz w:val="14"/>
                <w:szCs w:val="14"/>
                <w:lang w:val="sr-Cyrl-CS"/>
              </w:rPr>
            </w:pPr>
          </w:p>
        </w:tc>
        <w:tc>
          <w:tcPr>
            <w:tcW w:w="1076" w:type="dxa"/>
            <w:tcBorders>
              <w:top w:val="nil"/>
            </w:tcBorders>
            <w:shd w:val="clear" w:color="auto" w:fill="FFFFFF" w:themeFill="background1"/>
            <w:noWrap/>
            <w:vAlign w:val="bottom"/>
          </w:tcPr>
          <w:p w14:paraId="6C39EB69" w14:textId="77777777" w:rsidR="00960AC3" w:rsidRPr="00646254" w:rsidRDefault="00960AC3" w:rsidP="00BC5D24">
            <w:pPr>
              <w:jc w:val="center"/>
              <w:cnfStyle w:val="000000100000" w:firstRow="0" w:lastRow="0" w:firstColumn="0" w:lastColumn="0" w:oddVBand="0" w:evenVBand="0" w:oddHBand="1" w:evenHBand="0" w:firstRowFirstColumn="0" w:firstRowLastColumn="0" w:lastRowFirstColumn="0" w:lastRowLastColumn="0"/>
              <w:rPr>
                <w:color w:val="002060"/>
                <w:sz w:val="14"/>
                <w:szCs w:val="14"/>
                <w:lang w:val="sr-Cyrl-CS"/>
              </w:rPr>
            </w:pPr>
          </w:p>
        </w:tc>
      </w:tr>
      <w:tr w:rsidR="00960AC3" w:rsidRPr="00646254" w14:paraId="160A1AC8" w14:textId="77777777" w:rsidTr="00BC5D24">
        <w:trPr>
          <w:trHeight w:val="145"/>
        </w:trPr>
        <w:tc>
          <w:tcPr>
            <w:cnfStyle w:val="001000000000" w:firstRow="0" w:lastRow="0" w:firstColumn="1" w:lastColumn="0" w:oddVBand="0" w:evenVBand="0" w:oddHBand="0" w:evenHBand="0" w:firstRowFirstColumn="0" w:firstRowLastColumn="0" w:lastRowFirstColumn="0" w:lastRowLastColumn="0"/>
            <w:tcW w:w="2875" w:type="dxa"/>
            <w:tcBorders>
              <w:top w:val="nil"/>
            </w:tcBorders>
            <w:shd w:val="clear" w:color="auto" w:fill="FFFFFF" w:themeFill="background1"/>
            <w:noWrap/>
            <w:vAlign w:val="bottom"/>
            <w:hideMark/>
          </w:tcPr>
          <w:p w14:paraId="475FCE9E" w14:textId="77777777" w:rsidR="00960AC3" w:rsidRPr="00646254" w:rsidRDefault="00960AC3" w:rsidP="00BC5D24">
            <w:pPr>
              <w:tabs>
                <w:tab w:val="center" w:pos="4680"/>
                <w:tab w:val="right" w:pos="9360"/>
              </w:tabs>
              <w:rPr>
                <w:rFonts w:cstheme="minorHAnsi"/>
                <w:b w:val="0"/>
                <w:color w:val="002060"/>
                <w:sz w:val="14"/>
                <w:szCs w:val="14"/>
                <w:lang w:val="sr-Cyrl-CS"/>
              </w:rPr>
            </w:pPr>
            <w:r w:rsidRPr="00646254">
              <w:rPr>
                <w:rFonts w:cstheme="minorHAnsi"/>
                <w:b w:val="0"/>
                <w:color w:val="002060"/>
                <w:sz w:val="14"/>
                <w:szCs w:val="14"/>
                <w:lang w:val="sr-Cyrl-CS"/>
              </w:rPr>
              <w:t xml:space="preserve">        Субвенције</w:t>
            </w:r>
          </w:p>
        </w:tc>
        <w:tc>
          <w:tcPr>
            <w:tcW w:w="1028" w:type="dxa"/>
            <w:tcBorders>
              <w:top w:val="nil"/>
            </w:tcBorders>
            <w:shd w:val="clear" w:color="auto" w:fill="FFFFFF" w:themeFill="background1"/>
            <w:noWrap/>
            <w:vAlign w:val="bottom"/>
            <w:hideMark/>
          </w:tcPr>
          <w:p w14:paraId="41865286" w14:textId="0C0F640C"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165</w:t>
            </w:r>
            <w:r w:rsidR="00BC5D24" w:rsidRPr="00646254">
              <w:rPr>
                <w:rFonts w:cstheme="minorHAnsi"/>
                <w:color w:val="002060"/>
                <w:sz w:val="14"/>
                <w:szCs w:val="14"/>
                <w:lang w:val="sr-Cyrl-CS"/>
              </w:rPr>
              <w:t>,</w:t>
            </w:r>
            <w:r w:rsidRPr="00646254">
              <w:rPr>
                <w:rFonts w:cstheme="minorHAnsi"/>
                <w:color w:val="002060"/>
                <w:sz w:val="14"/>
                <w:szCs w:val="14"/>
                <w:lang w:val="sr-Cyrl-CS"/>
              </w:rPr>
              <w:t>6</w:t>
            </w:r>
          </w:p>
        </w:tc>
        <w:tc>
          <w:tcPr>
            <w:tcW w:w="1028" w:type="dxa"/>
            <w:tcBorders>
              <w:top w:val="nil"/>
            </w:tcBorders>
            <w:shd w:val="clear" w:color="auto" w:fill="FFFFFF" w:themeFill="background1"/>
            <w:noWrap/>
            <w:vAlign w:val="bottom"/>
            <w:hideMark/>
          </w:tcPr>
          <w:p w14:paraId="5918B153" w14:textId="095C7196"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124</w:t>
            </w:r>
            <w:r w:rsidR="00BC5D24" w:rsidRPr="00646254">
              <w:rPr>
                <w:rFonts w:cstheme="minorHAnsi"/>
                <w:color w:val="002060"/>
                <w:sz w:val="14"/>
                <w:szCs w:val="14"/>
                <w:lang w:val="sr-Cyrl-CS"/>
              </w:rPr>
              <w:t>,</w:t>
            </w:r>
            <w:r w:rsidRPr="00646254">
              <w:rPr>
                <w:rFonts w:cstheme="minorHAnsi"/>
                <w:color w:val="002060"/>
                <w:sz w:val="14"/>
                <w:szCs w:val="14"/>
                <w:lang w:val="sr-Cyrl-CS"/>
              </w:rPr>
              <w:t>8</w:t>
            </w:r>
          </w:p>
        </w:tc>
        <w:tc>
          <w:tcPr>
            <w:tcW w:w="1042" w:type="dxa"/>
            <w:tcBorders>
              <w:top w:val="nil"/>
            </w:tcBorders>
            <w:shd w:val="clear" w:color="auto" w:fill="FFFFFF" w:themeFill="background1"/>
            <w:noWrap/>
            <w:vAlign w:val="bottom"/>
            <w:hideMark/>
          </w:tcPr>
          <w:p w14:paraId="2357A468" w14:textId="19BFB5B7"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40</w:t>
            </w:r>
            <w:r w:rsidR="00BC5D24" w:rsidRPr="00646254">
              <w:rPr>
                <w:rFonts w:cstheme="minorHAnsi"/>
                <w:color w:val="002060"/>
                <w:sz w:val="14"/>
                <w:szCs w:val="14"/>
                <w:lang w:val="sr-Cyrl-CS"/>
              </w:rPr>
              <w:t>,</w:t>
            </w:r>
            <w:r w:rsidRPr="00646254">
              <w:rPr>
                <w:rFonts w:cstheme="minorHAnsi"/>
                <w:color w:val="002060"/>
                <w:sz w:val="14"/>
                <w:szCs w:val="14"/>
                <w:lang w:val="sr-Cyrl-CS"/>
              </w:rPr>
              <w:t>9</w:t>
            </w:r>
          </w:p>
        </w:tc>
        <w:tc>
          <w:tcPr>
            <w:tcW w:w="1007" w:type="dxa"/>
            <w:tcBorders>
              <w:top w:val="nil"/>
            </w:tcBorders>
            <w:shd w:val="clear" w:color="auto" w:fill="FFFFFF" w:themeFill="background1"/>
            <w:noWrap/>
            <w:vAlign w:val="bottom"/>
            <w:hideMark/>
          </w:tcPr>
          <w:p w14:paraId="744AE8CB" w14:textId="38906829"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29</w:t>
            </w:r>
            <w:r w:rsidR="00BC5D24" w:rsidRPr="00646254">
              <w:rPr>
                <w:rFonts w:cstheme="minorHAnsi"/>
                <w:color w:val="002060"/>
                <w:sz w:val="14"/>
                <w:szCs w:val="14"/>
                <w:lang w:val="sr-Cyrl-CS"/>
              </w:rPr>
              <w:t>,</w:t>
            </w:r>
            <w:r w:rsidRPr="00646254">
              <w:rPr>
                <w:rFonts w:cstheme="minorHAnsi"/>
                <w:color w:val="002060"/>
                <w:sz w:val="14"/>
                <w:szCs w:val="14"/>
                <w:lang w:val="sr-Cyrl-CS"/>
              </w:rPr>
              <w:t>6</w:t>
            </w:r>
          </w:p>
        </w:tc>
        <w:tc>
          <w:tcPr>
            <w:tcW w:w="1076" w:type="dxa"/>
            <w:tcBorders>
              <w:top w:val="nil"/>
            </w:tcBorders>
            <w:shd w:val="clear" w:color="auto" w:fill="FFFFFF" w:themeFill="background1"/>
            <w:noWrap/>
            <w:vAlign w:val="bottom"/>
            <w:hideMark/>
          </w:tcPr>
          <w:p w14:paraId="78D1AABB" w14:textId="5E634932"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11</w:t>
            </w:r>
            <w:r w:rsidR="00BC5D24" w:rsidRPr="00646254">
              <w:rPr>
                <w:rFonts w:cstheme="minorHAnsi"/>
                <w:color w:val="002060"/>
                <w:sz w:val="14"/>
                <w:szCs w:val="14"/>
                <w:lang w:val="sr-Cyrl-CS"/>
              </w:rPr>
              <w:t>,</w:t>
            </w:r>
            <w:r w:rsidRPr="00646254">
              <w:rPr>
                <w:rFonts w:cstheme="minorHAnsi"/>
                <w:color w:val="002060"/>
                <w:sz w:val="14"/>
                <w:szCs w:val="14"/>
                <w:lang w:val="sr-Cyrl-CS"/>
              </w:rPr>
              <w:t>3</w:t>
            </w:r>
          </w:p>
        </w:tc>
        <w:tc>
          <w:tcPr>
            <w:tcW w:w="1022" w:type="dxa"/>
            <w:tcBorders>
              <w:top w:val="nil"/>
            </w:tcBorders>
            <w:shd w:val="clear" w:color="auto" w:fill="FFFFFF" w:themeFill="background1"/>
            <w:noWrap/>
            <w:vAlign w:val="bottom"/>
          </w:tcPr>
          <w:p w14:paraId="1E8FB2DC" w14:textId="77777777"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color w:val="002060"/>
                <w:sz w:val="14"/>
                <w:szCs w:val="14"/>
                <w:lang w:val="sr-Cyrl-CS"/>
              </w:rPr>
            </w:pPr>
          </w:p>
        </w:tc>
        <w:tc>
          <w:tcPr>
            <w:tcW w:w="1076" w:type="dxa"/>
            <w:tcBorders>
              <w:top w:val="nil"/>
            </w:tcBorders>
            <w:shd w:val="clear" w:color="auto" w:fill="FFFFFF" w:themeFill="background1"/>
            <w:noWrap/>
            <w:vAlign w:val="bottom"/>
            <w:hideMark/>
          </w:tcPr>
          <w:p w14:paraId="09CD5D32" w14:textId="57E12F72"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0</w:t>
            </w:r>
            <w:r w:rsidR="00BC5D24" w:rsidRPr="00646254">
              <w:rPr>
                <w:rFonts w:cstheme="minorHAnsi"/>
                <w:color w:val="002060"/>
                <w:sz w:val="14"/>
                <w:szCs w:val="14"/>
                <w:lang w:val="sr-Cyrl-CS"/>
              </w:rPr>
              <w:t>,</w:t>
            </w:r>
            <w:r w:rsidRPr="00646254">
              <w:rPr>
                <w:rFonts w:cstheme="minorHAnsi"/>
                <w:color w:val="002060"/>
                <w:sz w:val="14"/>
                <w:szCs w:val="14"/>
                <w:lang w:val="sr-Cyrl-CS"/>
              </w:rPr>
              <w:t>0</w:t>
            </w:r>
          </w:p>
        </w:tc>
        <w:tc>
          <w:tcPr>
            <w:tcW w:w="1076" w:type="dxa"/>
            <w:tcBorders>
              <w:top w:val="nil"/>
            </w:tcBorders>
            <w:shd w:val="clear" w:color="auto" w:fill="FFFFFF" w:themeFill="background1"/>
            <w:noWrap/>
            <w:vAlign w:val="bottom"/>
          </w:tcPr>
          <w:p w14:paraId="267CEE47" w14:textId="77777777"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color w:val="002060"/>
                <w:sz w:val="14"/>
                <w:szCs w:val="14"/>
                <w:lang w:val="sr-Cyrl-CS"/>
              </w:rPr>
            </w:pPr>
          </w:p>
        </w:tc>
        <w:tc>
          <w:tcPr>
            <w:tcW w:w="1076" w:type="dxa"/>
            <w:tcBorders>
              <w:top w:val="nil"/>
            </w:tcBorders>
            <w:shd w:val="clear" w:color="auto" w:fill="FFFFFF" w:themeFill="background1"/>
            <w:noWrap/>
            <w:vAlign w:val="bottom"/>
          </w:tcPr>
          <w:p w14:paraId="21CDEC97" w14:textId="77777777"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color w:val="002060"/>
                <w:sz w:val="14"/>
                <w:szCs w:val="14"/>
                <w:lang w:val="sr-Cyrl-CS"/>
              </w:rPr>
            </w:pPr>
          </w:p>
        </w:tc>
        <w:tc>
          <w:tcPr>
            <w:tcW w:w="1076" w:type="dxa"/>
            <w:tcBorders>
              <w:top w:val="nil"/>
            </w:tcBorders>
            <w:shd w:val="clear" w:color="auto" w:fill="FFFFFF" w:themeFill="background1"/>
            <w:noWrap/>
            <w:vAlign w:val="bottom"/>
          </w:tcPr>
          <w:p w14:paraId="73FA2BAD" w14:textId="77777777" w:rsidR="00960AC3" w:rsidRPr="00646254" w:rsidRDefault="00960AC3" w:rsidP="00BC5D24">
            <w:pPr>
              <w:jc w:val="center"/>
              <w:cnfStyle w:val="000000000000" w:firstRow="0" w:lastRow="0" w:firstColumn="0" w:lastColumn="0" w:oddVBand="0" w:evenVBand="0" w:oddHBand="0" w:evenHBand="0" w:firstRowFirstColumn="0" w:firstRowLastColumn="0" w:lastRowFirstColumn="0" w:lastRowLastColumn="0"/>
              <w:rPr>
                <w:color w:val="002060"/>
                <w:sz w:val="14"/>
                <w:szCs w:val="14"/>
                <w:lang w:val="sr-Cyrl-CS"/>
              </w:rPr>
            </w:pPr>
          </w:p>
        </w:tc>
        <w:tc>
          <w:tcPr>
            <w:tcW w:w="1076" w:type="dxa"/>
            <w:tcBorders>
              <w:top w:val="nil"/>
            </w:tcBorders>
            <w:shd w:val="clear" w:color="auto" w:fill="FFFFFF" w:themeFill="background1"/>
            <w:noWrap/>
            <w:vAlign w:val="bottom"/>
          </w:tcPr>
          <w:p w14:paraId="5F6A8F58" w14:textId="77777777" w:rsidR="00960AC3" w:rsidRPr="00646254" w:rsidRDefault="00960AC3" w:rsidP="00BC5D24">
            <w:pPr>
              <w:jc w:val="center"/>
              <w:cnfStyle w:val="000000000000" w:firstRow="0" w:lastRow="0" w:firstColumn="0" w:lastColumn="0" w:oddVBand="0" w:evenVBand="0" w:oddHBand="0" w:evenHBand="0" w:firstRowFirstColumn="0" w:firstRowLastColumn="0" w:lastRowFirstColumn="0" w:lastRowLastColumn="0"/>
              <w:rPr>
                <w:color w:val="002060"/>
                <w:sz w:val="14"/>
                <w:szCs w:val="14"/>
                <w:lang w:val="sr-Cyrl-CS"/>
              </w:rPr>
            </w:pPr>
          </w:p>
        </w:tc>
      </w:tr>
      <w:tr w:rsidR="00960AC3" w:rsidRPr="00646254" w14:paraId="3A938261" w14:textId="77777777" w:rsidTr="00BC5D24">
        <w:trPr>
          <w:cnfStyle w:val="000000100000" w:firstRow="0" w:lastRow="0" w:firstColumn="0" w:lastColumn="0" w:oddVBand="0" w:evenVBand="0" w:oddHBand="1" w:evenHBand="0" w:firstRowFirstColumn="0" w:firstRowLastColumn="0" w:lastRowFirstColumn="0" w:lastRowLastColumn="0"/>
          <w:trHeight w:val="87"/>
        </w:trPr>
        <w:tc>
          <w:tcPr>
            <w:cnfStyle w:val="001000000000" w:firstRow="0" w:lastRow="0" w:firstColumn="1" w:lastColumn="0" w:oddVBand="0" w:evenVBand="0" w:oddHBand="0" w:evenHBand="0" w:firstRowFirstColumn="0" w:firstRowLastColumn="0" w:lastRowFirstColumn="0" w:lastRowLastColumn="0"/>
            <w:tcW w:w="2875" w:type="dxa"/>
            <w:tcBorders>
              <w:top w:val="nil"/>
            </w:tcBorders>
            <w:shd w:val="clear" w:color="auto" w:fill="FFFFFF" w:themeFill="background1"/>
            <w:noWrap/>
            <w:vAlign w:val="bottom"/>
            <w:hideMark/>
          </w:tcPr>
          <w:p w14:paraId="1CB22F25" w14:textId="77777777" w:rsidR="00960AC3" w:rsidRPr="00646254" w:rsidRDefault="00960AC3" w:rsidP="00BC5D24">
            <w:pPr>
              <w:tabs>
                <w:tab w:val="center" w:pos="4680"/>
                <w:tab w:val="right" w:pos="9360"/>
              </w:tabs>
              <w:rPr>
                <w:rFonts w:cstheme="minorHAnsi"/>
                <w:b w:val="0"/>
                <w:color w:val="002060"/>
                <w:sz w:val="14"/>
                <w:szCs w:val="14"/>
                <w:lang w:val="sr-Cyrl-CS"/>
              </w:rPr>
            </w:pPr>
            <w:r w:rsidRPr="00646254">
              <w:rPr>
                <w:rFonts w:cstheme="minorHAnsi"/>
                <w:b w:val="0"/>
                <w:color w:val="002060"/>
                <w:sz w:val="14"/>
                <w:szCs w:val="14"/>
                <w:lang w:val="sr-Cyrl-CS"/>
              </w:rPr>
              <w:t xml:space="preserve">        Социјална помоћ и трансфери</w:t>
            </w:r>
          </w:p>
        </w:tc>
        <w:tc>
          <w:tcPr>
            <w:tcW w:w="1028" w:type="dxa"/>
            <w:tcBorders>
              <w:top w:val="nil"/>
            </w:tcBorders>
            <w:shd w:val="clear" w:color="auto" w:fill="FFFFFF" w:themeFill="background1"/>
            <w:noWrap/>
            <w:vAlign w:val="bottom"/>
            <w:hideMark/>
          </w:tcPr>
          <w:p w14:paraId="7AC752AA" w14:textId="391EF032"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914</w:t>
            </w:r>
            <w:r w:rsidR="00BC5D24" w:rsidRPr="00646254">
              <w:rPr>
                <w:rFonts w:cstheme="minorHAnsi"/>
                <w:color w:val="002060"/>
                <w:sz w:val="14"/>
                <w:szCs w:val="14"/>
                <w:lang w:val="sr-Cyrl-CS"/>
              </w:rPr>
              <w:t>,</w:t>
            </w:r>
            <w:r w:rsidRPr="00646254">
              <w:rPr>
                <w:rFonts w:cstheme="minorHAnsi"/>
                <w:color w:val="002060"/>
                <w:sz w:val="14"/>
                <w:szCs w:val="14"/>
                <w:lang w:val="sr-Cyrl-CS"/>
              </w:rPr>
              <w:t>7</w:t>
            </w:r>
          </w:p>
        </w:tc>
        <w:tc>
          <w:tcPr>
            <w:tcW w:w="1028" w:type="dxa"/>
            <w:tcBorders>
              <w:top w:val="nil"/>
            </w:tcBorders>
            <w:shd w:val="clear" w:color="auto" w:fill="FFFFFF" w:themeFill="background1"/>
            <w:noWrap/>
            <w:vAlign w:val="bottom"/>
            <w:hideMark/>
          </w:tcPr>
          <w:p w14:paraId="4BBB34C0" w14:textId="37D5D635"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120</w:t>
            </w:r>
            <w:r w:rsidR="00BC5D24" w:rsidRPr="00646254">
              <w:rPr>
                <w:rFonts w:cstheme="minorHAnsi"/>
                <w:color w:val="002060"/>
                <w:sz w:val="14"/>
                <w:szCs w:val="14"/>
                <w:lang w:val="sr-Cyrl-CS"/>
              </w:rPr>
              <w:t>,</w:t>
            </w:r>
            <w:r w:rsidRPr="00646254">
              <w:rPr>
                <w:rFonts w:cstheme="minorHAnsi"/>
                <w:color w:val="002060"/>
                <w:sz w:val="14"/>
                <w:szCs w:val="14"/>
                <w:lang w:val="sr-Cyrl-CS"/>
              </w:rPr>
              <w:t>6</w:t>
            </w:r>
          </w:p>
        </w:tc>
        <w:tc>
          <w:tcPr>
            <w:tcW w:w="1042" w:type="dxa"/>
            <w:tcBorders>
              <w:top w:val="nil"/>
            </w:tcBorders>
            <w:shd w:val="clear" w:color="auto" w:fill="FFFFFF" w:themeFill="background1"/>
            <w:noWrap/>
            <w:vAlign w:val="bottom"/>
            <w:hideMark/>
          </w:tcPr>
          <w:p w14:paraId="67E3804A" w14:textId="66A63AC5"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49</w:t>
            </w:r>
            <w:r w:rsidR="00BC5D24" w:rsidRPr="00646254">
              <w:rPr>
                <w:rFonts w:cstheme="minorHAnsi"/>
                <w:color w:val="002060"/>
                <w:sz w:val="14"/>
                <w:szCs w:val="14"/>
                <w:lang w:val="sr-Cyrl-CS"/>
              </w:rPr>
              <w:t>,</w:t>
            </w:r>
            <w:r w:rsidRPr="00646254">
              <w:rPr>
                <w:rFonts w:cstheme="minorHAnsi"/>
                <w:color w:val="002060"/>
                <w:sz w:val="14"/>
                <w:szCs w:val="14"/>
                <w:lang w:val="sr-Cyrl-CS"/>
              </w:rPr>
              <w:t>8</w:t>
            </w:r>
          </w:p>
        </w:tc>
        <w:tc>
          <w:tcPr>
            <w:tcW w:w="1007" w:type="dxa"/>
            <w:tcBorders>
              <w:top w:val="nil"/>
            </w:tcBorders>
            <w:shd w:val="clear" w:color="auto" w:fill="FFFFFF" w:themeFill="background1"/>
            <w:noWrap/>
            <w:vAlign w:val="bottom"/>
            <w:hideMark/>
          </w:tcPr>
          <w:p w14:paraId="1DBD8F38" w14:textId="5D7A1739"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49</w:t>
            </w:r>
            <w:r w:rsidR="00BC5D24" w:rsidRPr="00646254">
              <w:rPr>
                <w:rFonts w:cstheme="minorHAnsi"/>
                <w:color w:val="002060"/>
                <w:sz w:val="14"/>
                <w:szCs w:val="14"/>
                <w:lang w:val="sr-Cyrl-CS"/>
              </w:rPr>
              <w:t>,</w:t>
            </w:r>
            <w:r w:rsidRPr="00646254">
              <w:rPr>
                <w:rFonts w:cstheme="minorHAnsi"/>
                <w:color w:val="002060"/>
                <w:sz w:val="14"/>
                <w:szCs w:val="14"/>
                <w:lang w:val="sr-Cyrl-CS"/>
              </w:rPr>
              <w:t>5</w:t>
            </w:r>
          </w:p>
        </w:tc>
        <w:tc>
          <w:tcPr>
            <w:tcW w:w="1076" w:type="dxa"/>
            <w:tcBorders>
              <w:top w:val="nil"/>
            </w:tcBorders>
            <w:shd w:val="clear" w:color="auto" w:fill="FFFFFF" w:themeFill="background1"/>
            <w:noWrap/>
            <w:vAlign w:val="bottom"/>
            <w:hideMark/>
          </w:tcPr>
          <w:p w14:paraId="0C2C263F" w14:textId="53AC8075"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0</w:t>
            </w:r>
            <w:r w:rsidR="00BC5D24" w:rsidRPr="00646254">
              <w:rPr>
                <w:rFonts w:cstheme="minorHAnsi"/>
                <w:color w:val="002060"/>
                <w:sz w:val="14"/>
                <w:szCs w:val="14"/>
                <w:lang w:val="sr-Cyrl-CS"/>
              </w:rPr>
              <w:t>,</w:t>
            </w:r>
            <w:r w:rsidRPr="00646254">
              <w:rPr>
                <w:rFonts w:cstheme="minorHAnsi"/>
                <w:color w:val="002060"/>
                <w:sz w:val="14"/>
                <w:szCs w:val="14"/>
                <w:lang w:val="sr-Cyrl-CS"/>
              </w:rPr>
              <w:t>2</w:t>
            </w:r>
          </w:p>
        </w:tc>
        <w:tc>
          <w:tcPr>
            <w:tcW w:w="1022" w:type="dxa"/>
            <w:tcBorders>
              <w:top w:val="nil"/>
            </w:tcBorders>
            <w:shd w:val="clear" w:color="auto" w:fill="FFFFFF" w:themeFill="background1"/>
            <w:noWrap/>
            <w:vAlign w:val="bottom"/>
          </w:tcPr>
          <w:p w14:paraId="14C3FCA1" w14:textId="77777777"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color w:val="002060"/>
                <w:sz w:val="14"/>
                <w:szCs w:val="14"/>
                <w:lang w:val="sr-Cyrl-CS"/>
              </w:rPr>
            </w:pPr>
          </w:p>
        </w:tc>
        <w:tc>
          <w:tcPr>
            <w:tcW w:w="1076" w:type="dxa"/>
            <w:tcBorders>
              <w:top w:val="nil"/>
            </w:tcBorders>
            <w:shd w:val="clear" w:color="auto" w:fill="FFFFFF" w:themeFill="background1"/>
            <w:noWrap/>
            <w:vAlign w:val="bottom"/>
            <w:hideMark/>
          </w:tcPr>
          <w:p w14:paraId="3DBF79BD" w14:textId="03F96325"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744</w:t>
            </w:r>
            <w:r w:rsidR="00BC5D24" w:rsidRPr="00646254">
              <w:rPr>
                <w:rFonts w:cstheme="minorHAnsi"/>
                <w:color w:val="002060"/>
                <w:sz w:val="14"/>
                <w:szCs w:val="14"/>
                <w:lang w:val="sr-Cyrl-CS"/>
              </w:rPr>
              <w:t>,</w:t>
            </w:r>
            <w:r w:rsidRPr="00646254">
              <w:rPr>
                <w:rFonts w:cstheme="minorHAnsi"/>
                <w:color w:val="002060"/>
                <w:sz w:val="14"/>
                <w:szCs w:val="14"/>
                <w:lang w:val="sr-Cyrl-CS"/>
              </w:rPr>
              <w:t>3</w:t>
            </w:r>
          </w:p>
        </w:tc>
        <w:tc>
          <w:tcPr>
            <w:tcW w:w="1076" w:type="dxa"/>
            <w:tcBorders>
              <w:top w:val="nil"/>
            </w:tcBorders>
            <w:shd w:val="clear" w:color="auto" w:fill="FFFFFF" w:themeFill="background1"/>
            <w:noWrap/>
            <w:vAlign w:val="bottom"/>
            <w:hideMark/>
          </w:tcPr>
          <w:p w14:paraId="75AE2BE9" w14:textId="412C3B8F"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708</w:t>
            </w:r>
            <w:r w:rsidR="00BC5D24" w:rsidRPr="00646254">
              <w:rPr>
                <w:rFonts w:cstheme="minorHAnsi"/>
                <w:color w:val="002060"/>
                <w:sz w:val="14"/>
                <w:szCs w:val="14"/>
                <w:lang w:val="sr-Cyrl-CS"/>
              </w:rPr>
              <w:t>,</w:t>
            </w:r>
            <w:r w:rsidRPr="00646254">
              <w:rPr>
                <w:rFonts w:cstheme="minorHAnsi"/>
                <w:color w:val="002060"/>
                <w:sz w:val="14"/>
                <w:szCs w:val="14"/>
                <w:lang w:val="sr-Cyrl-CS"/>
              </w:rPr>
              <w:t>5</w:t>
            </w:r>
          </w:p>
        </w:tc>
        <w:tc>
          <w:tcPr>
            <w:tcW w:w="1076" w:type="dxa"/>
            <w:tcBorders>
              <w:top w:val="nil"/>
            </w:tcBorders>
            <w:shd w:val="clear" w:color="auto" w:fill="FFFFFF" w:themeFill="background1"/>
            <w:noWrap/>
            <w:vAlign w:val="bottom"/>
            <w:hideMark/>
          </w:tcPr>
          <w:p w14:paraId="35D78B32" w14:textId="6532F7E6"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15</w:t>
            </w:r>
            <w:r w:rsidR="00BC5D24" w:rsidRPr="00646254">
              <w:rPr>
                <w:rFonts w:cstheme="minorHAnsi"/>
                <w:color w:val="002060"/>
                <w:sz w:val="14"/>
                <w:szCs w:val="14"/>
                <w:lang w:val="sr-Cyrl-CS"/>
              </w:rPr>
              <w:t>,</w:t>
            </w:r>
            <w:r w:rsidRPr="00646254">
              <w:rPr>
                <w:rFonts w:cstheme="minorHAnsi"/>
                <w:color w:val="002060"/>
                <w:sz w:val="14"/>
                <w:szCs w:val="14"/>
                <w:lang w:val="sr-Cyrl-CS"/>
              </w:rPr>
              <w:t>9</w:t>
            </w:r>
          </w:p>
        </w:tc>
        <w:tc>
          <w:tcPr>
            <w:tcW w:w="1076" w:type="dxa"/>
            <w:tcBorders>
              <w:top w:val="nil"/>
            </w:tcBorders>
            <w:shd w:val="clear" w:color="auto" w:fill="FFFFFF" w:themeFill="background1"/>
            <w:noWrap/>
            <w:vAlign w:val="bottom"/>
            <w:hideMark/>
          </w:tcPr>
          <w:p w14:paraId="2903D941" w14:textId="61B6B915" w:rsidR="00960AC3" w:rsidRPr="00646254" w:rsidRDefault="00960AC3" w:rsidP="00BC5D24">
            <w:pPr>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17</w:t>
            </w:r>
            <w:r w:rsidR="00BC5D24" w:rsidRPr="00646254">
              <w:rPr>
                <w:rFonts w:cstheme="minorHAnsi"/>
                <w:color w:val="002060"/>
                <w:sz w:val="14"/>
                <w:szCs w:val="14"/>
                <w:lang w:val="sr-Cyrl-CS"/>
              </w:rPr>
              <w:t>,</w:t>
            </w:r>
            <w:r w:rsidRPr="00646254">
              <w:rPr>
                <w:rFonts w:cstheme="minorHAnsi"/>
                <w:color w:val="002060"/>
                <w:sz w:val="14"/>
                <w:szCs w:val="14"/>
                <w:lang w:val="sr-Cyrl-CS"/>
              </w:rPr>
              <w:t>5</w:t>
            </w:r>
          </w:p>
        </w:tc>
        <w:tc>
          <w:tcPr>
            <w:tcW w:w="1076" w:type="dxa"/>
            <w:tcBorders>
              <w:top w:val="nil"/>
            </w:tcBorders>
            <w:shd w:val="clear" w:color="auto" w:fill="FFFFFF" w:themeFill="background1"/>
            <w:noWrap/>
            <w:vAlign w:val="bottom"/>
            <w:hideMark/>
          </w:tcPr>
          <w:p w14:paraId="13B24F29" w14:textId="799A85CF" w:rsidR="00960AC3" w:rsidRPr="00646254" w:rsidRDefault="00960AC3" w:rsidP="00BC5D24">
            <w:pPr>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2</w:t>
            </w:r>
            <w:r w:rsidR="00BC5D24" w:rsidRPr="00646254">
              <w:rPr>
                <w:rFonts w:cstheme="minorHAnsi"/>
                <w:color w:val="002060"/>
                <w:sz w:val="14"/>
                <w:szCs w:val="14"/>
                <w:lang w:val="sr-Cyrl-CS"/>
              </w:rPr>
              <w:t>,</w:t>
            </w:r>
            <w:r w:rsidRPr="00646254">
              <w:rPr>
                <w:rFonts w:cstheme="minorHAnsi"/>
                <w:color w:val="002060"/>
                <w:sz w:val="14"/>
                <w:szCs w:val="14"/>
                <w:lang w:val="sr-Cyrl-CS"/>
              </w:rPr>
              <w:t>5</w:t>
            </w:r>
          </w:p>
        </w:tc>
      </w:tr>
      <w:tr w:rsidR="00960AC3" w:rsidRPr="00646254" w14:paraId="42BCB648" w14:textId="77777777" w:rsidTr="00BC5D24">
        <w:trPr>
          <w:trHeight w:val="113"/>
        </w:trPr>
        <w:tc>
          <w:tcPr>
            <w:cnfStyle w:val="001000000000" w:firstRow="0" w:lastRow="0" w:firstColumn="1" w:lastColumn="0" w:oddVBand="0" w:evenVBand="0" w:oddHBand="0" w:evenHBand="0" w:firstRowFirstColumn="0" w:firstRowLastColumn="0" w:lastRowFirstColumn="0" w:lastRowLastColumn="0"/>
            <w:tcW w:w="2875" w:type="dxa"/>
            <w:tcBorders>
              <w:top w:val="nil"/>
            </w:tcBorders>
            <w:shd w:val="clear" w:color="auto" w:fill="FFFFFF" w:themeFill="background1"/>
            <w:noWrap/>
            <w:vAlign w:val="bottom"/>
            <w:hideMark/>
          </w:tcPr>
          <w:p w14:paraId="47FD9CB4" w14:textId="77777777" w:rsidR="00960AC3" w:rsidRPr="00646254" w:rsidRDefault="00960AC3" w:rsidP="00BC5D24">
            <w:pPr>
              <w:tabs>
                <w:tab w:val="center" w:pos="4680"/>
                <w:tab w:val="right" w:pos="9360"/>
              </w:tabs>
              <w:rPr>
                <w:rFonts w:cstheme="minorHAnsi"/>
                <w:b w:val="0"/>
                <w:color w:val="002060"/>
                <w:sz w:val="14"/>
                <w:szCs w:val="14"/>
                <w:lang w:val="sr-Cyrl-CS"/>
              </w:rPr>
            </w:pPr>
            <w:r w:rsidRPr="00646254">
              <w:rPr>
                <w:rFonts w:cstheme="minorHAnsi"/>
                <w:b w:val="0"/>
                <w:i/>
                <w:iCs/>
                <w:color w:val="002060"/>
                <w:sz w:val="14"/>
                <w:szCs w:val="14"/>
                <w:lang w:val="sr-Cyrl-CS"/>
              </w:rPr>
              <w:t xml:space="preserve">             oд чега пензије</w:t>
            </w:r>
          </w:p>
        </w:tc>
        <w:tc>
          <w:tcPr>
            <w:tcW w:w="1028" w:type="dxa"/>
            <w:tcBorders>
              <w:top w:val="nil"/>
            </w:tcBorders>
            <w:shd w:val="clear" w:color="auto" w:fill="FFFFFF" w:themeFill="background1"/>
            <w:noWrap/>
            <w:vAlign w:val="bottom"/>
            <w:hideMark/>
          </w:tcPr>
          <w:p w14:paraId="67717A95" w14:textId="4BC04626"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645</w:t>
            </w:r>
            <w:r w:rsidR="00BC5D24" w:rsidRPr="00646254">
              <w:rPr>
                <w:rFonts w:cstheme="minorHAnsi"/>
                <w:color w:val="002060"/>
                <w:sz w:val="14"/>
                <w:szCs w:val="14"/>
                <w:lang w:val="sr-Cyrl-CS"/>
              </w:rPr>
              <w:t>,</w:t>
            </w:r>
            <w:r w:rsidRPr="00646254">
              <w:rPr>
                <w:rFonts w:cstheme="minorHAnsi"/>
                <w:color w:val="002060"/>
                <w:sz w:val="14"/>
                <w:szCs w:val="14"/>
                <w:lang w:val="sr-Cyrl-CS"/>
              </w:rPr>
              <w:t>7</w:t>
            </w:r>
          </w:p>
        </w:tc>
        <w:tc>
          <w:tcPr>
            <w:tcW w:w="1028" w:type="dxa"/>
            <w:tcBorders>
              <w:top w:val="nil"/>
            </w:tcBorders>
            <w:shd w:val="clear" w:color="auto" w:fill="FFFFFF" w:themeFill="background1"/>
            <w:noWrap/>
            <w:vAlign w:val="bottom"/>
          </w:tcPr>
          <w:p w14:paraId="07789421" w14:textId="77777777"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color w:val="002060"/>
                <w:sz w:val="14"/>
                <w:szCs w:val="14"/>
                <w:lang w:val="sr-Cyrl-CS"/>
              </w:rPr>
            </w:pPr>
          </w:p>
        </w:tc>
        <w:tc>
          <w:tcPr>
            <w:tcW w:w="1042" w:type="dxa"/>
            <w:tcBorders>
              <w:top w:val="nil"/>
            </w:tcBorders>
            <w:shd w:val="clear" w:color="auto" w:fill="FFFFFF" w:themeFill="background1"/>
            <w:noWrap/>
            <w:vAlign w:val="bottom"/>
          </w:tcPr>
          <w:p w14:paraId="37D75BFA" w14:textId="58FDE28D"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0</w:t>
            </w:r>
            <w:r w:rsidR="00BC5D24" w:rsidRPr="00646254">
              <w:rPr>
                <w:rFonts w:cstheme="minorHAnsi"/>
                <w:color w:val="002060"/>
                <w:sz w:val="14"/>
                <w:szCs w:val="14"/>
                <w:lang w:val="sr-Cyrl-CS"/>
              </w:rPr>
              <w:t>,</w:t>
            </w:r>
            <w:r w:rsidRPr="00646254">
              <w:rPr>
                <w:rFonts w:cstheme="minorHAnsi"/>
                <w:color w:val="002060"/>
                <w:sz w:val="14"/>
                <w:szCs w:val="14"/>
                <w:lang w:val="sr-Cyrl-CS"/>
              </w:rPr>
              <w:t>0</w:t>
            </w:r>
          </w:p>
        </w:tc>
        <w:tc>
          <w:tcPr>
            <w:tcW w:w="1007" w:type="dxa"/>
            <w:tcBorders>
              <w:top w:val="nil"/>
            </w:tcBorders>
            <w:shd w:val="clear" w:color="auto" w:fill="FFFFFF" w:themeFill="background1"/>
            <w:noWrap/>
            <w:vAlign w:val="bottom"/>
            <w:hideMark/>
          </w:tcPr>
          <w:p w14:paraId="5BF0632E" w14:textId="77777777"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76" w:type="dxa"/>
            <w:tcBorders>
              <w:top w:val="nil"/>
            </w:tcBorders>
            <w:shd w:val="clear" w:color="auto" w:fill="FFFFFF" w:themeFill="background1"/>
            <w:noWrap/>
            <w:vAlign w:val="bottom"/>
            <w:hideMark/>
          </w:tcPr>
          <w:p w14:paraId="3019C1FD" w14:textId="77777777"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22" w:type="dxa"/>
            <w:tcBorders>
              <w:top w:val="nil"/>
            </w:tcBorders>
            <w:shd w:val="clear" w:color="auto" w:fill="FFFFFF" w:themeFill="background1"/>
            <w:noWrap/>
            <w:vAlign w:val="bottom"/>
            <w:hideMark/>
          </w:tcPr>
          <w:p w14:paraId="6733DE6D" w14:textId="77777777"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76" w:type="dxa"/>
            <w:tcBorders>
              <w:top w:val="nil"/>
            </w:tcBorders>
            <w:shd w:val="clear" w:color="auto" w:fill="FFFFFF" w:themeFill="background1"/>
            <w:noWrap/>
            <w:vAlign w:val="bottom"/>
            <w:hideMark/>
          </w:tcPr>
          <w:p w14:paraId="4BE8DB6E" w14:textId="724C50C7"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645</w:t>
            </w:r>
            <w:r w:rsidR="00BC5D24" w:rsidRPr="00646254">
              <w:rPr>
                <w:rFonts w:cstheme="minorHAnsi"/>
                <w:color w:val="002060"/>
                <w:sz w:val="14"/>
                <w:szCs w:val="14"/>
                <w:lang w:val="sr-Cyrl-CS"/>
              </w:rPr>
              <w:t>,</w:t>
            </w:r>
            <w:r w:rsidRPr="00646254">
              <w:rPr>
                <w:rFonts w:cstheme="minorHAnsi"/>
                <w:color w:val="002060"/>
                <w:sz w:val="14"/>
                <w:szCs w:val="14"/>
                <w:lang w:val="sr-Cyrl-CS"/>
              </w:rPr>
              <w:t>7</w:t>
            </w:r>
          </w:p>
        </w:tc>
        <w:tc>
          <w:tcPr>
            <w:tcW w:w="1076" w:type="dxa"/>
            <w:tcBorders>
              <w:top w:val="nil"/>
            </w:tcBorders>
            <w:shd w:val="clear" w:color="auto" w:fill="FFFFFF" w:themeFill="background1"/>
            <w:noWrap/>
            <w:vAlign w:val="bottom"/>
            <w:hideMark/>
          </w:tcPr>
          <w:p w14:paraId="3F36F103" w14:textId="19E3532A"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645</w:t>
            </w:r>
            <w:r w:rsidR="00BC5D24" w:rsidRPr="00646254">
              <w:rPr>
                <w:rFonts w:cstheme="minorHAnsi"/>
                <w:color w:val="002060"/>
                <w:sz w:val="14"/>
                <w:szCs w:val="14"/>
                <w:lang w:val="sr-Cyrl-CS"/>
              </w:rPr>
              <w:t>,</w:t>
            </w:r>
            <w:r w:rsidRPr="00646254">
              <w:rPr>
                <w:rFonts w:cstheme="minorHAnsi"/>
                <w:color w:val="002060"/>
                <w:sz w:val="14"/>
                <w:szCs w:val="14"/>
                <w:lang w:val="sr-Cyrl-CS"/>
              </w:rPr>
              <w:t>7</w:t>
            </w:r>
          </w:p>
        </w:tc>
        <w:tc>
          <w:tcPr>
            <w:tcW w:w="1076" w:type="dxa"/>
            <w:tcBorders>
              <w:top w:val="nil"/>
            </w:tcBorders>
            <w:shd w:val="clear" w:color="auto" w:fill="FFFFFF" w:themeFill="background1"/>
            <w:noWrap/>
            <w:vAlign w:val="bottom"/>
          </w:tcPr>
          <w:p w14:paraId="39C8E911" w14:textId="77777777"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color w:val="002060"/>
                <w:sz w:val="14"/>
                <w:szCs w:val="14"/>
                <w:lang w:val="sr-Cyrl-CS"/>
              </w:rPr>
            </w:pPr>
          </w:p>
        </w:tc>
        <w:tc>
          <w:tcPr>
            <w:tcW w:w="1076" w:type="dxa"/>
            <w:tcBorders>
              <w:top w:val="nil"/>
            </w:tcBorders>
            <w:shd w:val="clear" w:color="auto" w:fill="FFFFFF" w:themeFill="background1"/>
            <w:noWrap/>
            <w:vAlign w:val="bottom"/>
          </w:tcPr>
          <w:p w14:paraId="6BA1F702" w14:textId="77777777" w:rsidR="00960AC3" w:rsidRPr="00646254" w:rsidRDefault="00960AC3" w:rsidP="00BC5D24">
            <w:pPr>
              <w:jc w:val="center"/>
              <w:cnfStyle w:val="000000000000" w:firstRow="0" w:lastRow="0" w:firstColumn="0" w:lastColumn="0" w:oddVBand="0" w:evenVBand="0" w:oddHBand="0" w:evenHBand="0" w:firstRowFirstColumn="0" w:firstRowLastColumn="0" w:lastRowFirstColumn="0" w:lastRowLastColumn="0"/>
              <w:rPr>
                <w:color w:val="002060"/>
                <w:sz w:val="14"/>
                <w:szCs w:val="14"/>
                <w:lang w:val="sr-Cyrl-CS"/>
              </w:rPr>
            </w:pPr>
          </w:p>
        </w:tc>
        <w:tc>
          <w:tcPr>
            <w:tcW w:w="1076" w:type="dxa"/>
            <w:tcBorders>
              <w:top w:val="nil"/>
            </w:tcBorders>
            <w:shd w:val="clear" w:color="auto" w:fill="FFFFFF" w:themeFill="background1"/>
            <w:noWrap/>
            <w:vAlign w:val="bottom"/>
          </w:tcPr>
          <w:p w14:paraId="3F8DECA8" w14:textId="77777777" w:rsidR="00960AC3" w:rsidRPr="00646254" w:rsidRDefault="00960AC3" w:rsidP="00BC5D24">
            <w:pPr>
              <w:jc w:val="center"/>
              <w:cnfStyle w:val="000000000000" w:firstRow="0" w:lastRow="0" w:firstColumn="0" w:lastColumn="0" w:oddVBand="0" w:evenVBand="0" w:oddHBand="0" w:evenHBand="0" w:firstRowFirstColumn="0" w:firstRowLastColumn="0" w:lastRowFirstColumn="0" w:lastRowLastColumn="0"/>
              <w:rPr>
                <w:color w:val="002060"/>
                <w:sz w:val="14"/>
                <w:szCs w:val="14"/>
                <w:lang w:val="sr-Cyrl-CS"/>
              </w:rPr>
            </w:pPr>
          </w:p>
        </w:tc>
      </w:tr>
      <w:tr w:rsidR="00960AC3" w:rsidRPr="00646254" w14:paraId="636949F2" w14:textId="77777777" w:rsidTr="00BC5D24">
        <w:trPr>
          <w:cnfStyle w:val="000000100000" w:firstRow="0" w:lastRow="0" w:firstColumn="0" w:lastColumn="0" w:oddVBand="0" w:evenVBand="0" w:oddHBand="1" w:evenHBand="0" w:firstRowFirstColumn="0" w:firstRowLastColumn="0" w:lastRowFirstColumn="0" w:lastRowLastColumn="0"/>
          <w:trHeight w:val="148"/>
        </w:trPr>
        <w:tc>
          <w:tcPr>
            <w:cnfStyle w:val="001000000000" w:firstRow="0" w:lastRow="0" w:firstColumn="1" w:lastColumn="0" w:oddVBand="0" w:evenVBand="0" w:oddHBand="0" w:evenHBand="0" w:firstRowFirstColumn="0" w:firstRowLastColumn="0" w:lastRowFirstColumn="0" w:lastRowLastColumn="0"/>
            <w:tcW w:w="2875" w:type="dxa"/>
            <w:tcBorders>
              <w:top w:val="nil"/>
            </w:tcBorders>
            <w:shd w:val="clear" w:color="auto" w:fill="FFFFFF" w:themeFill="background1"/>
            <w:noWrap/>
            <w:vAlign w:val="bottom"/>
            <w:hideMark/>
          </w:tcPr>
          <w:p w14:paraId="5CA9CC69" w14:textId="77777777" w:rsidR="00960AC3" w:rsidRPr="00646254" w:rsidRDefault="00960AC3" w:rsidP="00BC5D24">
            <w:pPr>
              <w:tabs>
                <w:tab w:val="center" w:pos="4680"/>
                <w:tab w:val="right" w:pos="9360"/>
              </w:tabs>
              <w:rPr>
                <w:rFonts w:cstheme="minorHAnsi"/>
                <w:b w:val="0"/>
                <w:color w:val="002060"/>
                <w:sz w:val="14"/>
                <w:szCs w:val="14"/>
                <w:lang w:val="sr-Cyrl-CS"/>
              </w:rPr>
            </w:pPr>
            <w:r w:rsidRPr="00646254">
              <w:rPr>
                <w:rFonts w:cstheme="minorHAnsi"/>
                <w:b w:val="0"/>
                <w:color w:val="002060"/>
                <w:sz w:val="14"/>
                <w:szCs w:val="14"/>
                <w:lang w:val="sr-Cyrl-CS"/>
              </w:rPr>
              <w:t xml:space="preserve">        Остали текући расходи</w:t>
            </w:r>
          </w:p>
        </w:tc>
        <w:tc>
          <w:tcPr>
            <w:tcW w:w="1028" w:type="dxa"/>
            <w:tcBorders>
              <w:top w:val="nil"/>
            </w:tcBorders>
            <w:shd w:val="clear" w:color="auto" w:fill="FFFFFF" w:themeFill="background1"/>
            <w:noWrap/>
            <w:vAlign w:val="bottom"/>
            <w:hideMark/>
          </w:tcPr>
          <w:p w14:paraId="7913B354" w14:textId="5A2150F7"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106</w:t>
            </w:r>
            <w:r w:rsidR="00BC5D24" w:rsidRPr="00646254">
              <w:rPr>
                <w:rFonts w:cstheme="minorHAnsi"/>
                <w:color w:val="002060"/>
                <w:sz w:val="14"/>
                <w:szCs w:val="14"/>
                <w:lang w:val="sr-Cyrl-CS"/>
              </w:rPr>
              <w:t>,</w:t>
            </w:r>
            <w:r w:rsidRPr="00646254">
              <w:rPr>
                <w:rFonts w:cstheme="minorHAnsi"/>
                <w:color w:val="002060"/>
                <w:sz w:val="14"/>
                <w:szCs w:val="14"/>
                <w:lang w:val="sr-Cyrl-CS"/>
              </w:rPr>
              <w:t>7</w:t>
            </w:r>
          </w:p>
        </w:tc>
        <w:tc>
          <w:tcPr>
            <w:tcW w:w="1028" w:type="dxa"/>
            <w:tcBorders>
              <w:top w:val="nil"/>
            </w:tcBorders>
            <w:shd w:val="clear" w:color="auto" w:fill="FFFFFF" w:themeFill="background1"/>
            <w:noWrap/>
            <w:vAlign w:val="bottom"/>
            <w:hideMark/>
          </w:tcPr>
          <w:p w14:paraId="03D39FE5" w14:textId="6FA78750"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68</w:t>
            </w:r>
            <w:r w:rsidR="00BC5D24" w:rsidRPr="00646254">
              <w:rPr>
                <w:rFonts w:cstheme="minorHAnsi"/>
                <w:color w:val="002060"/>
                <w:sz w:val="14"/>
                <w:szCs w:val="14"/>
                <w:lang w:val="sr-Cyrl-CS"/>
              </w:rPr>
              <w:t>,</w:t>
            </w:r>
            <w:r w:rsidRPr="00646254">
              <w:rPr>
                <w:rFonts w:cstheme="minorHAnsi"/>
                <w:color w:val="002060"/>
                <w:sz w:val="14"/>
                <w:szCs w:val="14"/>
                <w:lang w:val="sr-Cyrl-CS"/>
              </w:rPr>
              <w:t>4</w:t>
            </w:r>
          </w:p>
        </w:tc>
        <w:tc>
          <w:tcPr>
            <w:tcW w:w="1042" w:type="dxa"/>
            <w:tcBorders>
              <w:top w:val="nil"/>
            </w:tcBorders>
            <w:shd w:val="clear" w:color="auto" w:fill="FFFFFF" w:themeFill="background1"/>
            <w:noWrap/>
            <w:vAlign w:val="bottom"/>
            <w:hideMark/>
          </w:tcPr>
          <w:p w14:paraId="68A9C9C3" w14:textId="371B966C"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31</w:t>
            </w:r>
            <w:r w:rsidR="00BC5D24" w:rsidRPr="00646254">
              <w:rPr>
                <w:rFonts w:cstheme="minorHAnsi"/>
                <w:color w:val="002060"/>
                <w:sz w:val="14"/>
                <w:szCs w:val="14"/>
                <w:lang w:val="sr-Cyrl-CS"/>
              </w:rPr>
              <w:t>,</w:t>
            </w:r>
            <w:r w:rsidRPr="00646254">
              <w:rPr>
                <w:rFonts w:cstheme="minorHAnsi"/>
                <w:color w:val="002060"/>
                <w:sz w:val="14"/>
                <w:szCs w:val="14"/>
                <w:lang w:val="sr-Cyrl-CS"/>
              </w:rPr>
              <w:t>3</w:t>
            </w:r>
          </w:p>
        </w:tc>
        <w:tc>
          <w:tcPr>
            <w:tcW w:w="1007" w:type="dxa"/>
            <w:tcBorders>
              <w:top w:val="nil"/>
            </w:tcBorders>
            <w:shd w:val="clear" w:color="auto" w:fill="FFFFFF" w:themeFill="background1"/>
            <w:noWrap/>
            <w:vAlign w:val="bottom"/>
            <w:hideMark/>
          </w:tcPr>
          <w:p w14:paraId="54AE392C" w14:textId="4E9569E1"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21</w:t>
            </w:r>
            <w:r w:rsidR="00BC5D24" w:rsidRPr="00646254">
              <w:rPr>
                <w:rFonts w:cstheme="minorHAnsi"/>
                <w:color w:val="002060"/>
                <w:sz w:val="14"/>
                <w:szCs w:val="14"/>
                <w:lang w:val="sr-Cyrl-CS"/>
              </w:rPr>
              <w:t>,</w:t>
            </w:r>
            <w:r w:rsidRPr="00646254">
              <w:rPr>
                <w:rFonts w:cstheme="minorHAnsi"/>
                <w:color w:val="002060"/>
                <w:sz w:val="14"/>
                <w:szCs w:val="14"/>
                <w:lang w:val="sr-Cyrl-CS"/>
              </w:rPr>
              <w:t>9</w:t>
            </w:r>
          </w:p>
        </w:tc>
        <w:tc>
          <w:tcPr>
            <w:tcW w:w="1076" w:type="dxa"/>
            <w:tcBorders>
              <w:top w:val="nil"/>
            </w:tcBorders>
            <w:shd w:val="clear" w:color="auto" w:fill="FFFFFF" w:themeFill="background1"/>
            <w:noWrap/>
            <w:vAlign w:val="bottom"/>
            <w:hideMark/>
          </w:tcPr>
          <w:p w14:paraId="3AD42613" w14:textId="3C908723"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9</w:t>
            </w:r>
            <w:r w:rsidR="00BC5D24" w:rsidRPr="00646254">
              <w:rPr>
                <w:rFonts w:cstheme="minorHAnsi"/>
                <w:color w:val="002060"/>
                <w:sz w:val="14"/>
                <w:szCs w:val="14"/>
                <w:lang w:val="sr-Cyrl-CS"/>
              </w:rPr>
              <w:t>,</w:t>
            </w:r>
            <w:r w:rsidRPr="00646254">
              <w:rPr>
                <w:rFonts w:cstheme="minorHAnsi"/>
                <w:color w:val="002060"/>
                <w:sz w:val="14"/>
                <w:szCs w:val="14"/>
                <w:lang w:val="sr-Cyrl-CS"/>
              </w:rPr>
              <w:t>3</w:t>
            </w:r>
          </w:p>
        </w:tc>
        <w:tc>
          <w:tcPr>
            <w:tcW w:w="1022" w:type="dxa"/>
            <w:tcBorders>
              <w:top w:val="nil"/>
            </w:tcBorders>
            <w:shd w:val="clear" w:color="auto" w:fill="FFFFFF" w:themeFill="background1"/>
            <w:noWrap/>
            <w:vAlign w:val="bottom"/>
            <w:hideMark/>
          </w:tcPr>
          <w:p w14:paraId="77C57F9D" w14:textId="1AABED49"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3</w:t>
            </w:r>
            <w:r w:rsidR="00BC5D24" w:rsidRPr="00646254">
              <w:rPr>
                <w:rFonts w:cstheme="minorHAnsi"/>
                <w:color w:val="002060"/>
                <w:sz w:val="14"/>
                <w:szCs w:val="14"/>
                <w:lang w:val="sr-Cyrl-CS"/>
              </w:rPr>
              <w:t>,</w:t>
            </w:r>
            <w:r w:rsidRPr="00646254">
              <w:rPr>
                <w:rFonts w:cstheme="minorHAnsi"/>
                <w:color w:val="002060"/>
                <w:sz w:val="14"/>
                <w:szCs w:val="14"/>
                <w:lang w:val="sr-Cyrl-CS"/>
              </w:rPr>
              <w:t>4</w:t>
            </w:r>
          </w:p>
        </w:tc>
        <w:tc>
          <w:tcPr>
            <w:tcW w:w="1076" w:type="dxa"/>
            <w:tcBorders>
              <w:top w:val="nil"/>
            </w:tcBorders>
            <w:shd w:val="clear" w:color="auto" w:fill="FFFFFF" w:themeFill="background1"/>
            <w:noWrap/>
            <w:vAlign w:val="bottom"/>
            <w:hideMark/>
          </w:tcPr>
          <w:p w14:paraId="6EBDACA2" w14:textId="29EB120A"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3</w:t>
            </w:r>
            <w:r w:rsidR="00BC5D24" w:rsidRPr="00646254">
              <w:rPr>
                <w:rFonts w:cstheme="minorHAnsi"/>
                <w:color w:val="002060"/>
                <w:sz w:val="14"/>
                <w:szCs w:val="14"/>
                <w:lang w:val="sr-Cyrl-CS"/>
              </w:rPr>
              <w:t>,</w:t>
            </w:r>
            <w:r w:rsidRPr="00646254">
              <w:rPr>
                <w:rFonts w:cstheme="minorHAnsi"/>
                <w:color w:val="002060"/>
                <w:sz w:val="14"/>
                <w:szCs w:val="14"/>
                <w:lang w:val="sr-Cyrl-CS"/>
              </w:rPr>
              <w:t>7</w:t>
            </w:r>
          </w:p>
        </w:tc>
        <w:tc>
          <w:tcPr>
            <w:tcW w:w="1076" w:type="dxa"/>
            <w:tcBorders>
              <w:top w:val="nil"/>
            </w:tcBorders>
            <w:shd w:val="clear" w:color="auto" w:fill="FFFFFF" w:themeFill="background1"/>
            <w:noWrap/>
            <w:vAlign w:val="bottom"/>
            <w:hideMark/>
          </w:tcPr>
          <w:p w14:paraId="7D94B3C4" w14:textId="71A62A50"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1</w:t>
            </w:r>
            <w:r w:rsidR="00BC5D24" w:rsidRPr="00646254">
              <w:rPr>
                <w:rFonts w:cstheme="minorHAnsi"/>
                <w:color w:val="002060"/>
                <w:sz w:val="14"/>
                <w:szCs w:val="14"/>
                <w:lang w:val="sr-Cyrl-CS"/>
              </w:rPr>
              <w:t>,</w:t>
            </w:r>
            <w:r w:rsidRPr="00646254">
              <w:rPr>
                <w:rFonts w:cstheme="minorHAnsi"/>
                <w:color w:val="002060"/>
                <w:sz w:val="14"/>
                <w:szCs w:val="14"/>
                <w:lang w:val="sr-Cyrl-CS"/>
              </w:rPr>
              <w:t>1</w:t>
            </w:r>
          </w:p>
        </w:tc>
        <w:tc>
          <w:tcPr>
            <w:tcW w:w="1076" w:type="dxa"/>
            <w:tcBorders>
              <w:top w:val="nil"/>
            </w:tcBorders>
            <w:shd w:val="clear" w:color="auto" w:fill="FFFFFF" w:themeFill="background1"/>
            <w:noWrap/>
            <w:vAlign w:val="bottom"/>
            <w:hideMark/>
          </w:tcPr>
          <w:p w14:paraId="4CC15C37" w14:textId="63357349"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2</w:t>
            </w:r>
            <w:r w:rsidR="00BC5D24" w:rsidRPr="00646254">
              <w:rPr>
                <w:rFonts w:cstheme="minorHAnsi"/>
                <w:color w:val="002060"/>
                <w:sz w:val="14"/>
                <w:szCs w:val="14"/>
                <w:lang w:val="sr-Cyrl-CS"/>
              </w:rPr>
              <w:t>,</w:t>
            </w:r>
            <w:r w:rsidRPr="00646254">
              <w:rPr>
                <w:rFonts w:cstheme="minorHAnsi"/>
                <w:color w:val="002060"/>
                <w:sz w:val="14"/>
                <w:szCs w:val="14"/>
                <w:lang w:val="sr-Cyrl-CS"/>
              </w:rPr>
              <w:t>0</w:t>
            </w:r>
          </w:p>
        </w:tc>
        <w:tc>
          <w:tcPr>
            <w:tcW w:w="1076" w:type="dxa"/>
            <w:tcBorders>
              <w:top w:val="nil"/>
            </w:tcBorders>
            <w:shd w:val="clear" w:color="auto" w:fill="FFFFFF" w:themeFill="background1"/>
            <w:noWrap/>
            <w:vAlign w:val="bottom"/>
            <w:hideMark/>
          </w:tcPr>
          <w:p w14:paraId="30FB871E" w14:textId="234E5FF3" w:rsidR="00960AC3" w:rsidRPr="00646254" w:rsidRDefault="00960AC3" w:rsidP="00BC5D24">
            <w:pPr>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0</w:t>
            </w:r>
            <w:r w:rsidR="00BC5D24" w:rsidRPr="00646254">
              <w:rPr>
                <w:rFonts w:cstheme="minorHAnsi"/>
                <w:color w:val="002060"/>
                <w:sz w:val="14"/>
                <w:szCs w:val="14"/>
                <w:lang w:val="sr-Cyrl-CS"/>
              </w:rPr>
              <w:t>,</w:t>
            </w:r>
            <w:r w:rsidRPr="00646254">
              <w:rPr>
                <w:rFonts w:cstheme="minorHAnsi"/>
                <w:color w:val="002060"/>
                <w:sz w:val="14"/>
                <w:szCs w:val="14"/>
                <w:lang w:val="sr-Cyrl-CS"/>
              </w:rPr>
              <w:t>5</w:t>
            </w:r>
          </w:p>
        </w:tc>
        <w:tc>
          <w:tcPr>
            <w:tcW w:w="1076" w:type="dxa"/>
            <w:tcBorders>
              <w:top w:val="nil"/>
            </w:tcBorders>
            <w:shd w:val="clear" w:color="auto" w:fill="FFFFFF" w:themeFill="background1"/>
            <w:noWrap/>
            <w:vAlign w:val="bottom"/>
            <w:hideMark/>
          </w:tcPr>
          <w:p w14:paraId="3C7B5B45" w14:textId="3D3FAF2C" w:rsidR="00960AC3" w:rsidRPr="00646254" w:rsidRDefault="00960AC3" w:rsidP="00BC5D24">
            <w:pPr>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0</w:t>
            </w:r>
            <w:r w:rsidR="00BC5D24" w:rsidRPr="00646254">
              <w:rPr>
                <w:rFonts w:cstheme="minorHAnsi"/>
                <w:color w:val="002060"/>
                <w:sz w:val="14"/>
                <w:szCs w:val="14"/>
                <w:lang w:val="sr-Cyrl-CS"/>
              </w:rPr>
              <w:t>,</w:t>
            </w:r>
            <w:r w:rsidRPr="00646254">
              <w:rPr>
                <w:rFonts w:cstheme="minorHAnsi"/>
                <w:color w:val="002060"/>
                <w:sz w:val="14"/>
                <w:szCs w:val="14"/>
                <w:lang w:val="sr-Cyrl-CS"/>
              </w:rPr>
              <w:t>1</w:t>
            </w:r>
          </w:p>
        </w:tc>
      </w:tr>
      <w:tr w:rsidR="00960AC3" w:rsidRPr="00646254" w14:paraId="78F3C036" w14:textId="77777777" w:rsidTr="00BC5D24">
        <w:trPr>
          <w:trHeight w:val="87"/>
        </w:trPr>
        <w:tc>
          <w:tcPr>
            <w:cnfStyle w:val="001000000000" w:firstRow="0" w:lastRow="0" w:firstColumn="1" w:lastColumn="0" w:oddVBand="0" w:evenVBand="0" w:oddHBand="0" w:evenHBand="0" w:firstRowFirstColumn="0" w:firstRowLastColumn="0" w:lastRowFirstColumn="0" w:lastRowLastColumn="0"/>
            <w:tcW w:w="2875" w:type="dxa"/>
            <w:tcBorders>
              <w:top w:val="nil"/>
            </w:tcBorders>
            <w:shd w:val="clear" w:color="auto" w:fill="FFFFFF" w:themeFill="background1"/>
            <w:noWrap/>
            <w:vAlign w:val="bottom"/>
            <w:hideMark/>
          </w:tcPr>
          <w:p w14:paraId="5946A79F" w14:textId="77777777" w:rsidR="00960AC3" w:rsidRPr="00646254" w:rsidRDefault="00960AC3" w:rsidP="00BC5D24">
            <w:pPr>
              <w:tabs>
                <w:tab w:val="center" w:pos="4680"/>
                <w:tab w:val="right" w:pos="9360"/>
              </w:tabs>
              <w:rPr>
                <w:rFonts w:cstheme="minorHAnsi"/>
                <w:b w:val="0"/>
                <w:color w:val="002060"/>
                <w:sz w:val="14"/>
                <w:szCs w:val="14"/>
                <w:lang w:val="sr-Cyrl-CS"/>
              </w:rPr>
            </w:pPr>
            <w:r w:rsidRPr="00646254">
              <w:rPr>
                <w:rFonts w:cstheme="minorHAnsi"/>
                <w:b w:val="0"/>
                <w:color w:val="002060"/>
                <w:sz w:val="14"/>
                <w:szCs w:val="14"/>
                <w:lang w:val="sr-Cyrl-CS"/>
              </w:rPr>
              <w:t xml:space="preserve">     Капитални расходи</w:t>
            </w:r>
          </w:p>
        </w:tc>
        <w:tc>
          <w:tcPr>
            <w:tcW w:w="1028" w:type="dxa"/>
            <w:tcBorders>
              <w:top w:val="nil"/>
            </w:tcBorders>
            <w:shd w:val="clear" w:color="auto" w:fill="FFFFFF" w:themeFill="background1"/>
            <w:noWrap/>
            <w:vAlign w:val="bottom"/>
            <w:hideMark/>
          </w:tcPr>
          <w:p w14:paraId="06996F62" w14:textId="7F588E47"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485</w:t>
            </w:r>
            <w:r w:rsidR="00BC5D24" w:rsidRPr="00646254">
              <w:rPr>
                <w:rFonts w:cstheme="minorHAnsi"/>
                <w:color w:val="002060"/>
                <w:sz w:val="14"/>
                <w:szCs w:val="14"/>
                <w:lang w:val="sr-Cyrl-CS"/>
              </w:rPr>
              <w:t>,</w:t>
            </w:r>
            <w:r w:rsidRPr="00646254">
              <w:rPr>
                <w:rFonts w:cstheme="minorHAnsi"/>
                <w:color w:val="002060"/>
                <w:sz w:val="14"/>
                <w:szCs w:val="14"/>
                <w:lang w:val="sr-Cyrl-CS"/>
              </w:rPr>
              <w:t>8</w:t>
            </w:r>
          </w:p>
        </w:tc>
        <w:tc>
          <w:tcPr>
            <w:tcW w:w="1028" w:type="dxa"/>
            <w:tcBorders>
              <w:top w:val="nil"/>
            </w:tcBorders>
            <w:shd w:val="clear" w:color="auto" w:fill="FFFFFF" w:themeFill="background1"/>
            <w:noWrap/>
            <w:vAlign w:val="bottom"/>
            <w:hideMark/>
          </w:tcPr>
          <w:p w14:paraId="4752B64D" w14:textId="45D70C1C"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403</w:t>
            </w:r>
            <w:r w:rsidR="00BC5D24" w:rsidRPr="00646254">
              <w:rPr>
                <w:rFonts w:cstheme="minorHAnsi"/>
                <w:color w:val="002060"/>
                <w:sz w:val="14"/>
                <w:szCs w:val="14"/>
                <w:lang w:val="sr-Cyrl-CS"/>
              </w:rPr>
              <w:t>,</w:t>
            </w:r>
            <w:r w:rsidRPr="00646254">
              <w:rPr>
                <w:rFonts w:cstheme="minorHAnsi"/>
                <w:color w:val="002060"/>
                <w:sz w:val="14"/>
                <w:szCs w:val="14"/>
                <w:lang w:val="sr-Cyrl-CS"/>
              </w:rPr>
              <w:t>0</w:t>
            </w:r>
          </w:p>
        </w:tc>
        <w:tc>
          <w:tcPr>
            <w:tcW w:w="1042" w:type="dxa"/>
            <w:tcBorders>
              <w:top w:val="nil"/>
            </w:tcBorders>
            <w:shd w:val="clear" w:color="auto" w:fill="FFFFFF" w:themeFill="background1"/>
            <w:noWrap/>
            <w:vAlign w:val="bottom"/>
            <w:hideMark/>
          </w:tcPr>
          <w:p w14:paraId="4B288E8D" w14:textId="0403408D"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65</w:t>
            </w:r>
            <w:r w:rsidR="00BC5D24" w:rsidRPr="00646254">
              <w:rPr>
                <w:rFonts w:cstheme="minorHAnsi"/>
                <w:color w:val="002060"/>
                <w:sz w:val="14"/>
                <w:szCs w:val="14"/>
                <w:lang w:val="sr-Cyrl-CS"/>
              </w:rPr>
              <w:t>,</w:t>
            </w:r>
            <w:r w:rsidRPr="00646254">
              <w:rPr>
                <w:rFonts w:cstheme="minorHAnsi"/>
                <w:color w:val="002060"/>
                <w:sz w:val="14"/>
                <w:szCs w:val="14"/>
                <w:lang w:val="sr-Cyrl-CS"/>
              </w:rPr>
              <w:t>6</w:t>
            </w:r>
          </w:p>
        </w:tc>
        <w:tc>
          <w:tcPr>
            <w:tcW w:w="1007" w:type="dxa"/>
            <w:tcBorders>
              <w:top w:val="nil"/>
            </w:tcBorders>
            <w:shd w:val="clear" w:color="auto" w:fill="FFFFFF" w:themeFill="background1"/>
            <w:noWrap/>
            <w:vAlign w:val="bottom"/>
            <w:hideMark/>
          </w:tcPr>
          <w:p w14:paraId="6DF1843F" w14:textId="4B26ACA3"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64</w:t>
            </w:r>
            <w:r w:rsidR="00BC5D24" w:rsidRPr="00646254">
              <w:rPr>
                <w:rFonts w:cstheme="minorHAnsi"/>
                <w:color w:val="002060"/>
                <w:sz w:val="14"/>
                <w:szCs w:val="14"/>
                <w:lang w:val="sr-Cyrl-CS"/>
              </w:rPr>
              <w:t>,</w:t>
            </w:r>
            <w:r w:rsidRPr="00646254">
              <w:rPr>
                <w:rFonts w:cstheme="minorHAnsi"/>
                <w:color w:val="002060"/>
                <w:sz w:val="14"/>
                <w:szCs w:val="14"/>
                <w:lang w:val="sr-Cyrl-CS"/>
              </w:rPr>
              <w:t>6</w:t>
            </w:r>
          </w:p>
        </w:tc>
        <w:tc>
          <w:tcPr>
            <w:tcW w:w="1076" w:type="dxa"/>
            <w:tcBorders>
              <w:top w:val="nil"/>
            </w:tcBorders>
            <w:shd w:val="clear" w:color="auto" w:fill="FFFFFF" w:themeFill="background1"/>
            <w:noWrap/>
            <w:vAlign w:val="bottom"/>
            <w:hideMark/>
          </w:tcPr>
          <w:p w14:paraId="656B5A99" w14:textId="60A27718"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1</w:t>
            </w:r>
            <w:r w:rsidR="00BC5D24" w:rsidRPr="00646254">
              <w:rPr>
                <w:rFonts w:cstheme="minorHAnsi"/>
                <w:color w:val="002060"/>
                <w:sz w:val="14"/>
                <w:szCs w:val="14"/>
                <w:lang w:val="sr-Cyrl-CS"/>
              </w:rPr>
              <w:t>,</w:t>
            </w:r>
            <w:r w:rsidRPr="00646254">
              <w:rPr>
                <w:rFonts w:cstheme="minorHAnsi"/>
                <w:color w:val="002060"/>
                <w:sz w:val="14"/>
                <w:szCs w:val="14"/>
                <w:lang w:val="sr-Cyrl-CS"/>
              </w:rPr>
              <w:t>0</w:t>
            </w:r>
          </w:p>
        </w:tc>
        <w:tc>
          <w:tcPr>
            <w:tcW w:w="1022" w:type="dxa"/>
            <w:tcBorders>
              <w:top w:val="nil"/>
            </w:tcBorders>
            <w:shd w:val="clear" w:color="auto" w:fill="FFFFFF" w:themeFill="background1"/>
            <w:noWrap/>
            <w:vAlign w:val="bottom"/>
            <w:hideMark/>
          </w:tcPr>
          <w:p w14:paraId="627F8735" w14:textId="7F8B496A"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13</w:t>
            </w:r>
            <w:r w:rsidR="00BC5D24" w:rsidRPr="00646254">
              <w:rPr>
                <w:rFonts w:cstheme="minorHAnsi"/>
                <w:color w:val="002060"/>
                <w:sz w:val="14"/>
                <w:szCs w:val="14"/>
                <w:lang w:val="sr-Cyrl-CS"/>
              </w:rPr>
              <w:t>,</w:t>
            </w:r>
            <w:r w:rsidRPr="00646254">
              <w:rPr>
                <w:rFonts w:cstheme="minorHAnsi"/>
                <w:color w:val="002060"/>
                <w:sz w:val="14"/>
                <w:szCs w:val="14"/>
                <w:lang w:val="sr-Cyrl-CS"/>
              </w:rPr>
              <w:t>9</w:t>
            </w:r>
          </w:p>
        </w:tc>
        <w:tc>
          <w:tcPr>
            <w:tcW w:w="1076" w:type="dxa"/>
            <w:tcBorders>
              <w:top w:val="nil"/>
            </w:tcBorders>
            <w:shd w:val="clear" w:color="auto" w:fill="FFFFFF" w:themeFill="background1"/>
            <w:noWrap/>
            <w:vAlign w:val="bottom"/>
            <w:hideMark/>
          </w:tcPr>
          <w:p w14:paraId="5172DE1C" w14:textId="2D2EB18E"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3</w:t>
            </w:r>
            <w:r w:rsidR="00BC5D24" w:rsidRPr="00646254">
              <w:rPr>
                <w:rFonts w:cstheme="minorHAnsi"/>
                <w:color w:val="002060"/>
                <w:sz w:val="14"/>
                <w:szCs w:val="14"/>
                <w:lang w:val="sr-Cyrl-CS"/>
              </w:rPr>
              <w:t>,</w:t>
            </w:r>
            <w:r w:rsidRPr="00646254">
              <w:rPr>
                <w:rFonts w:cstheme="minorHAnsi"/>
                <w:color w:val="002060"/>
                <w:sz w:val="14"/>
                <w:szCs w:val="14"/>
                <w:lang w:val="sr-Cyrl-CS"/>
              </w:rPr>
              <w:t>3</w:t>
            </w:r>
          </w:p>
        </w:tc>
        <w:tc>
          <w:tcPr>
            <w:tcW w:w="1076" w:type="dxa"/>
            <w:tcBorders>
              <w:top w:val="nil"/>
            </w:tcBorders>
            <w:shd w:val="clear" w:color="auto" w:fill="FFFFFF" w:themeFill="background1"/>
            <w:noWrap/>
            <w:vAlign w:val="bottom"/>
            <w:hideMark/>
          </w:tcPr>
          <w:p w14:paraId="3EBFBA8E" w14:textId="05D0DF07"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0</w:t>
            </w:r>
            <w:r w:rsidR="00BC5D24" w:rsidRPr="00646254">
              <w:rPr>
                <w:rFonts w:cstheme="minorHAnsi"/>
                <w:color w:val="002060"/>
                <w:sz w:val="14"/>
                <w:szCs w:val="14"/>
                <w:lang w:val="sr-Cyrl-CS"/>
              </w:rPr>
              <w:t>,</w:t>
            </w:r>
            <w:r w:rsidRPr="00646254">
              <w:rPr>
                <w:rFonts w:cstheme="minorHAnsi"/>
                <w:color w:val="002060"/>
                <w:sz w:val="14"/>
                <w:szCs w:val="14"/>
                <w:lang w:val="sr-Cyrl-CS"/>
              </w:rPr>
              <w:t>8</w:t>
            </w:r>
          </w:p>
        </w:tc>
        <w:tc>
          <w:tcPr>
            <w:tcW w:w="1076" w:type="dxa"/>
            <w:tcBorders>
              <w:top w:val="nil"/>
            </w:tcBorders>
            <w:shd w:val="clear" w:color="auto" w:fill="FFFFFF" w:themeFill="background1"/>
            <w:noWrap/>
            <w:vAlign w:val="bottom"/>
            <w:hideMark/>
          </w:tcPr>
          <w:p w14:paraId="5C64A004" w14:textId="2056A6AE"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2</w:t>
            </w:r>
            <w:r w:rsidR="00BC5D24" w:rsidRPr="00646254">
              <w:rPr>
                <w:rFonts w:cstheme="minorHAnsi"/>
                <w:color w:val="002060"/>
                <w:sz w:val="14"/>
                <w:szCs w:val="14"/>
                <w:lang w:val="sr-Cyrl-CS"/>
              </w:rPr>
              <w:t>,</w:t>
            </w:r>
            <w:r w:rsidRPr="00646254">
              <w:rPr>
                <w:rFonts w:cstheme="minorHAnsi"/>
                <w:color w:val="002060"/>
                <w:sz w:val="14"/>
                <w:szCs w:val="14"/>
                <w:lang w:val="sr-Cyrl-CS"/>
              </w:rPr>
              <w:t>0</w:t>
            </w:r>
          </w:p>
        </w:tc>
        <w:tc>
          <w:tcPr>
            <w:tcW w:w="1076" w:type="dxa"/>
            <w:tcBorders>
              <w:top w:val="nil"/>
            </w:tcBorders>
            <w:shd w:val="clear" w:color="auto" w:fill="FFFFFF" w:themeFill="background1"/>
            <w:noWrap/>
            <w:vAlign w:val="bottom"/>
            <w:hideMark/>
          </w:tcPr>
          <w:p w14:paraId="1B5BAFC4" w14:textId="73005589" w:rsidR="00960AC3" w:rsidRPr="00646254" w:rsidRDefault="00960AC3" w:rsidP="00BC5D24">
            <w:pPr>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0</w:t>
            </w:r>
            <w:r w:rsidR="00BC5D24" w:rsidRPr="00646254">
              <w:rPr>
                <w:rFonts w:cstheme="minorHAnsi"/>
                <w:color w:val="002060"/>
                <w:sz w:val="14"/>
                <w:szCs w:val="14"/>
                <w:lang w:val="sr-Cyrl-CS"/>
              </w:rPr>
              <w:t>,</w:t>
            </w:r>
            <w:r w:rsidRPr="00646254">
              <w:rPr>
                <w:rFonts w:cstheme="minorHAnsi"/>
                <w:color w:val="002060"/>
                <w:sz w:val="14"/>
                <w:szCs w:val="14"/>
                <w:lang w:val="sr-Cyrl-CS"/>
              </w:rPr>
              <w:t>4</w:t>
            </w:r>
          </w:p>
        </w:tc>
        <w:tc>
          <w:tcPr>
            <w:tcW w:w="1076" w:type="dxa"/>
            <w:tcBorders>
              <w:top w:val="nil"/>
            </w:tcBorders>
            <w:shd w:val="clear" w:color="auto" w:fill="FFFFFF" w:themeFill="background1"/>
            <w:noWrap/>
            <w:vAlign w:val="bottom"/>
            <w:hideMark/>
          </w:tcPr>
          <w:p w14:paraId="2772C4C7" w14:textId="61ADD566" w:rsidR="00960AC3" w:rsidRPr="00646254" w:rsidRDefault="00960AC3" w:rsidP="00BC5D24">
            <w:pPr>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0</w:t>
            </w:r>
            <w:r w:rsidR="00BC5D24" w:rsidRPr="00646254">
              <w:rPr>
                <w:rFonts w:cstheme="minorHAnsi"/>
                <w:color w:val="002060"/>
                <w:sz w:val="14"/>
                <w:szCs w:val="14"/>
                <w:lang w:val="sr-Cyrl-CS"/>
              </w:rPr>
              <w:t>,</w:t>
            </w:r>
            <w:r w:rsidRPr="00646254">
              <w:rPr>
                <w:rFonts w:cstheme="minorHAnsi"/>
                <w:color w:val="002060"/>
                <w:sz w:val="14"/>
                <w:szCs w:val="14"/>
                <w:lang w:val="sr-Cyrl-CS"/>
              </w:rPr>
              <w:t>1</w:t>
            </w:r>
          </w:p>
        </w:tc>
      </w:tr>
      <w:tr w:rsidR="00960AC3" w:rsidRPr="00646254" w14:paraId="51C52636" w14:textId="77777777" w:rsidTr="00BC5D24">
        <w:trPr>
          <w:cnfStyle w:val="000000100000" w:firstRow="0" w:lastRow="0" w:firstColumn="0" w:lastColumn="0" w:oddVBand="0" w:evenVBand="0" w:oddHBand="1" w:evenHBand="0" w:firstRowFirstColumn="0" w:firstRowLastColumn="0" w:lastRowFirstColumn="0" w:lastRowLastColumn="0"/>
          <w:trHeight w:val="113"/>
        </w:trPr>
        <w:tc>
          <w:tcPr>
            <w:cnfStyle w:val="001000000000" w:firstRow="0" w:lastRow="0" w:firstColumn="1" w:lastColumn="0" w:oddVBand="0" w:evenVBand="0" w:oddHBand="0" w:evenHBand="0" w:firstRowFirstColumn="0" w:firstRowLastColumn="0" w:lastRowFirstColumn="0" w:lastRowLastColumn="0"/>
            <w:tcW w:w="2875" w:type="dxa"/>
            <w:tcBorders>
              <w:top w:val="nil"/>
            </w:tcBorders>
            <w:shd w:val="clear" w:color="auto" w:fill="FFFFFF" w:themeFill="background1"/>
            <w:noWrap/>
            <w:vAlign w:val="bottom"/>
            <w:hideMark/>
          </w:tcPr>
          <w:p w14:paraId="3A21C11E" w14:textId="77777777" w:rsidR="00960AC3" w:rsidRPr="00646254" w:rsidRDefault="00960AC3" w:rsidP="00BC5D24">
            <w:pPr>
              <w:tabs>
                <w:tab w:val="center" w:pos="4680"/>
                <w:tab w:val="right" w:pos="9360"/>
              </w:tabs>
              <w:rPr>
                <w:rFonts w:cstheme="minorHAnsi"/>
                <w:b w:val="0"/>
                <w:color w:val="002060"/>
                <w:sz w:val="14"/>
                <w:szCs w:val="14"/>
                <w:lang w:val="sr-Cyrl-CS"/>
              </w:rPr>
            </w:pPr>
            <w:r w:rsidRPr="00646254">
              <w:rPr>
                <w:rFonts w:cstheme="minorHAnsi"/>
                <w:b w:val="0"/>
                <w:color w:val="002060"/>
                <w:sz w:val="14"/>
                <w:szCs w:val="14"/>
                <w:lang w:val="sr-Cyrl-CS"/>
              </w:rPr>
              <w:t xml:space="preserve">     Нето буџетске позајмице</w:t>
            </w:r>
          </w:p>
        </w:tc>
        <w:tc>
          <w:tcPr>
            <w:tcW w:w="1028" w:type="dxa"/>
            <w:tcBorders>
              <w:top w:val="nil"/>
            </w:tcBorders>
            <w:shd w:val="clear" w:color="auto" w:fill="FFFFFF" w:themeFill="background1"/>
            <w:noWrap/>
            <w:vAlign w:val="bottom"/>
            <w:hideMark/>
          </w:tcPr>
          <w:p w14:paraId="3BFA6C26" w14:textId="147B7681"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13</w:t>
            </w:r>
            <w:r w:rsidR="00BC5D24" w:rsidRPr="00646254">
              <w:rPr>
                <w:rFonts w:cstheme="minorHAnsi"/>
                <w:color w:val="002060"/>
                <w:sz w:val="14"/>
                <w:szCs w:val="14"/>
                <w:lang w:val="sr-Cyrl-CS"/>
              </w:rPr>
              <w:t>,</w:t>
            </w:r>
            <w:r w:rsidRPr="00646254">
              <w:rPr>
                <w:rFonts w:cstheme="minorHAnsi"/>
                <w:color w:val="002060"/>
                <w:sz w:val="14"/>
                <w:szCs w:val="14"/>
                <w:lang w:val="sr-Cyrl-CS"/>
              </w:rPr>
              <w:t>4</w:t>
            </w:r>
          </w:p>
        </w:tc>
        <w:tc>
          <w:tcPr>
            <w:tcW w:w="1028" w:type="dxa"/>
            <w:tcBorders>
              <w:top w:val="nil"/>
            </w:tcBorders>
            <w:shd w:val="clear" w:color="auto" w:fill="FFFFFF" w:themeFill="background1"/>
            <w:noWrap/>
            <w:vAlign w:val="bottom"/>
            <w:hideMark/>
          </w:tcPr>
          <w:p w14:paraId="1113B5E4" w14:textId="7D19DC57"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13</w:t>
            </w:r>
            <w:r w:rsidR="00BC5D24" w:rsidRPr="00646254">
              <w:rPr>
                <w:rFonts w:cstheme="minorHAnsi"/>
                <w:color w:val="002060"/>
                <w:sz w:val="14"/>
                <w:szCs w:val="14"/>
                <w:lang w:val="sr-Cyrl-CS"/>
              </w:rPr>
              <w:t>,</w:t>
            </w:r>
            <w:r w:rsidRPr="00646254">
              <w:rPr>
                <w:rFonts w:cstheme="minorHAnsi"/>
                <w:color w:val="002060"/>
                <w:sz w:val="14"/>
                <w:szCs w:val="14"/>
                <w:lang w:val="sr-Cyrl-CS"/>
              </w:rPr>
              <w:t>4</w:t>
            </w:r>
          </w:p>
        </w:tc>
        <w:tc>
          <w:tcPr>
            <w:tcW w:w="1042" w:type="dxa"/>
            <w:tcBorders>
              <w:top w:val="nil"/>
            </w:tcBorders>
            <w:shd w:val="clear" w:color="auto" w:fill="FFFFFF" w:themeFill="background1"/>
            <w:noWrap/>
            <w:vAlign w:val="bottom"/>
            <w:hideMark/>
          </w:tcPr>
          <w:p w14:paraId="3C359544" w14:textId="471B07A7"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0</w:t>
            </w:r>
            <w:r w:rsidR="00BC5D24" w:rsidRPr="00646254">
              <w:rPr>
                <w:rFonts w:cstheme="minorHAnsi"/>
                <w:color w:val="002060"/>
                <w:sz w:val="14"/>
                <w:szCs w:val="14"/>
                <w:lang w:val="sr-Cyrl-CS"/>
              </w:rPr>
              <w:t>,</w:t>
            </w:r>
            <w:r w:rsidRPr="00646254">
              <w:rPr>
                <w:rFonts w:cstheme="minorHAnsi"/>
                <w:color w:val="002060"/>
                <w:sz w:val="14"/>
                <w:szCs w:val="14"/>
                <w:lang w:val="sr-Cyrl-CS"/>
              </w:rPr>
              <w:t>0</w:t>
            </w:r>
          </w:p>
        </w:tc>
        <w:tc>
          <w:tcPr>
            <w:tcW w:w="1007" w:type="dxa"/>
            <w:tcBorders>
              <w:top w:val="nil"/>
            </w:tcBorders>
            <w:shd w:val="clear" w:color="auto" w:fill="FFFFFF" w:themeFill="background1"/>
            <w:noWrap/>
            <w:vAlign w:val="bottom"/>
            <w:hideMark/>
          </w:tcPr>
          <w:p w14:paraId="6EAC1656" w14:textId="77777777"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color w:val="002060"/>
                <w:sz w:val="14"/>
                <w:szCs w:val="14"/>
                <w:lang w:val="sr-Cyrl-CS"/>
              </w:rPr>
            </w:pPr>
          </w:p>
        </w:tc>
        <w:tc>
          <w:tcPr>
            <w:tcW w:w="1076" w:type="dxa"/>
            <w:tcBorders>
              <w:top w:val="nil"/>
            </w:tcBorders>
            <w:shd w:val="clear" w:color="auto" w:fill="FFFFFF" w:themeFill="background1"/>
            <w:noWrap/>
            <w:vAlign w:val="bottom"/>
            <w:hideMark/>
          </w:tcPr>
          <w:p w14:paraId="5AE1C9C4" w14:textId="77777777"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22" w:type="dxa"/>
            <w:tcBorders>
              <w:top w:val="nil"/>
            </w:tcBorders>
            <w:shd w:val="clear" w:color="auto" w:fill="FFFFFF" w:themeFill="background1"/>
            <w:noWrap/>
            <w:vAlign w:val="bottom"/>
            <w:hideMark/>
          </w:tcPr>
          <w:p w14:paraId="23064D08" w14:textId="77777777"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76" w:type="dxa"/>
            <w:tcBorders>
              <w:top w:val="nil"/>
            </w:tcBorders>
            <w:shd w:val="clear" w:color="auto" w:fill="FFFFFF" w:themeFill="background1"/>
            <w:noWrap/>
            <w:vAlign w:val="bottom"/>
            <w:hideMark/>
          </w:tcPr>
          <w:p w14:paraId="43C5E3CE" w14:textId="166CA416"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0</w:t>
            </w:r>
            <w:r w:rsidR="00BC5D24" w:rsidRPr="00646254">
              <w:rPr>
                <w:rFonts w:cstheme="minorHAnsi"/>
                <w:color w:val="002060"/>
                <w:sz w:val="14"/>
                <w:szCs w:val="14"/>
                <w:lang w:val="sr-Cyrl-CS"/>
              </w:rPr>
              <w:t>,</w:t>
            </w:r>
            <w:r w:rsidRPr="00646254">
              <w:rPr>
                <w:rFonts w:cstheme="minorHAnsi"/>
                <w:color w:val="002060"/>
                <w:sz w:val="14"/>
                <w:szCs w:val="14"/>
                <w:lang w:val="sr-Cyrl-CS"/>
              </w:rPr>
              <w:t>0</w:t>
            </w:r>
          </w:p>
        </w:tc>
        <w:tc>
          <w:tcPr>
            <w:tcW w:w="1076" w:type="dxa"/>
            <w:tcBorders>
              <w:top w:val="nil"/>
            </w:tcBorders>
            <w:shd w:val="clear" w:color="auto" w:fill="FFFFFF" w:themeFill="background1"/>
            <w:noWrap/>
            <w:vAlign w:val="bottom"/>
            <w:hideMark/>
          </w:tcPr>
          <w:p w14:paraId="19C11CA5" w14:textId="77777777"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76" w:type="dxa"/>
            <w:tcBorders>
              <w:top w:val="nil"/>
            </w:tcBorders>
            <w:shd w:val="clear" w:color="auto" w:fill="FFFFFF" w:themeFill="background1"/>
            <w:noWrap/>
            <w:vAlign w:val="bottom"/>
            <w:hideMark/>
          </w:tcPr>
          <w:p w14:paraId="2074B25F" w14:textId="77777777"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76" w:type="dxa"/>
            <w:tcBorders>
              <w:top w:val="nil"/>
            </w:tcBorders>
            <w:shd w:val="clear" w:color="auto" w:fill="FFFFFF" w:themeFill="background1"/>
            <w:noWrap/>
            <w:vAlign w:val="bottom"/>
            <w:hideMark/>
          </w:tcPr>
          <w:p w14:paraId="37EBA47A" w14:textId="77777777" w:rsidR="00960AC3" w:rsidRPr="00646254" w:rsidRDefault="00960AC3" w:rsidP="00BC5D24">
            <w:pPr>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76" w:type="dxa"/>
            <w:tcBorders>
              <w:top w:val="nil"/>
            </w:tcBorders>
            <w:shd w:val="clear" w:color="auto" w:fill="FFFFFF" w:themeFill="background1"/>
            <w:noWrap/>
            <w:vAlign w:val="bottom"/>
            <w:hideMark/>
          </w:tcPr>
          <w:p w14:paraId="6611BE79" w14:textId="77777777" w:rsidR="00960AC3" w:rsidRPr="00646254" w:rsidRDefault="00960AC3" w:rsidP="00BC5D24">
            <w:pPr>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r>
      <w:tr w:rsidR="00960AC3" w:rsidRPr="00646254" w14:paraId="45DC1A87" w14:textId="77777777" w:rsidTr="00BC5D24">
        <w:trPr>
          <w:trHeight w:val="148"/>
        </w:trPr>
        <w:tc>
          <w:tcPr>
            <w:cnfStyle w:val="001000000000" w:firstRow="0" w:lastRow="0" w:firstColumn="1" w:lastColumn="0" w:oddVBand="0" w:evenVBand="0" w:oddHBand="0" w:evenHBand="0" w:firstRowFirstColumn="0" w:firstRowLastColumn="0" w:lastRowFirstColumn="0" w:lastRowLastColumn="0"/>
            <w:tcW w:w="2875" w:type="dxa"/>
            <w:tcBorders>
              <w:top w:val="nil"/>
            </w:tcBorders>
            <w:shd w:val="clear" w:color="auto" w:fill="FFFFFF" w:themeFill="background1"/>
            <w:noWrap/>
            <w:vAlign w:val="bottom"/>
            <w:hideMark/>
          </w:tcPr>
          <w:p w14:paraId="1357C1EF" w14:textId="77777777" w:rsidR="00960AC3" w:rsidRPr="00646254" w:rsidRDefault="00960AC3" w:rsidP="00BC5D24">
            <w:pPr>
              <w:tabs>
                <w:tab w:val="center" w:pos="4680"/>
                <w:tab w:val="right" w:pos="9360"/>
              </w:tabs>
              <w:rPr>
                <w:rFonts w:cstheme="minorHAnsi"/>
                <w:b w:val="0"/>
                <w:color w:val="002060"/>
                <w:sz w:val="14"/>
                <w:szCs w:val="14"/>
                <w:lang w:val="sr-Cyrl-CS"/>
              </w:rPr>
            </w:pPr>
            <w:r w:rsidRPr="00646254">
              <w:rPr>
                <w:rFonts w:cstheme="minorHAnsi"/>
                <w:b w:val="0"/>
                <w:color w:val="002060"/>
                <w:sz w:val="14"/>
                <w:szCs w:val="14"/>
                <w:lang w:val="sr-Cyrl-CS"/>
              </w:rPr>
              <w:t xml:space="preserve">    Активиране гаранције</w:t>
            </w:r>
          </w:p>
        </w:tc>
        <w:tc>
          <w:tcPr>
            <w:tcW w:w="1028" w:type="dxa"/>
            <w:tcBorders>
              <w:top w:val="nil"/>
            </w:tcBorders>
            <w:shd w:val="clear" w:color="auto" w:fill="FFFFFF" w:themeFill="background1"/>
            <w:noWrap/>
            <w:vAlign w:val="bottom"/>
            <w:hideMark/>
          </w:tcPr>
          <w:p w14:paraId="28B798E9" w14:textId="7C9C2F17"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15</w:t>
            </w:r>
            <w:r w:rsidR="00BC5D24" w:rsidRPr="00646254">
              <w:rPr>
                <w:rFonts w:cstheme="minorHAnsi"/>
                <w:color w:val="002060"/>
                <w:sz w:val="14"/>
                <w:szCs w:val="14"/>
                <w:lang w:val="sr-Cyrl-CS"/>
              </w:rPr>
              <w:t>,</w:t>
            </w:r>
            <w:r w:rsidRPr="00646254">
              <w:rPr>
                <w:rFonts w:cstheme="minorHAnsi"/>
                <w:color w:val="002060"/>
                <w:sz w:val="14"/>
                <w:szCs w:val="14"/>
                <w:lang w:val="sr-Cyrl-CS"/>
              </w:rPr>
              <w:t>2</w:t>
            </w:r>
          </w:p>
        </w:tc>
        <w:tc>
          <w:tcPr>
            <w:tcW w:w="1028" w:type="dxa"/>
            <w:tcBorders>
              <w:top w:val="nil"/>
            </w:tcBorders>
            <w:shd w:val="clear" w:color="auto" w:fill="FFFFFF" w:themeFill="background1"/>
            <w:noWrap/>
            <w:vAlign w:val="bottom"/>
            <w:hideMark/>
          </w:tcPr>
          <w:p w14:paraId="2671E722" w14:textId="15956522"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15</w:t>
            </w:r>
            <w:r w:rsidR="00BC5D24" w:rsidRPr="00646254">
              <w:rPr>
                <w:rFonts w:cstheme="minorHAnsi"/>
                <w:color w:val="002060"/>
                <w:sz w:val="14"/>
                <w:szCs w:val="14"/>
                <w:lang w:val="sr-Cyrl-CS"/>
              </w:rPr>
              <w:t>,</w:t>
            </w:r>
            <w:r w:rsidRPr="00646254">
              <w:rPr>
                <w:rFonts w:cstheme="minorHAnsi"/>
                <w:color w:val="002060"/>
                <w:sz w:val="14"/>
                <w:szCs w:val="14"/>
                <w:lang w:val="sr-Cyrl-CS"/>
              </w:rPr>
              <w:t>2</w:t>
            </w:r>
          </w:p>
        </w:tc>
        <w:tc>
          <w:tcPr>
            <w:tcW w:w="1042" w:type="dxa"/>
            <w:tcBorders>
              <w:top w:val="nil"/>
            </w:tcBorders>
            <w:shd w:val="clear" w:color="auto" w:fill="FFFFFF" w:themeFill="background1"/>
            <w:noWrap/>
            <w:vAlign w:val="bottom"/>
            <w:hideMark/>
          </w:tcPr>
          <w:p w14:paraId="7ABCB793" w14:textId="2E747940"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0</w:t>
            </w:r>
            <w:r w:rsidR="00BC5D24" w:rsidRPr="00646254">
              <w:rPr>
                <w:rFonts w:cstheme="minorHAnsi"/>
                <w:color w:val="002060"/>
                <w:sz w:val="14"/>
                <w:szCs w:val="14"/>
                <w:lang w:val="sr-Cyrl-CS"/>
              </w:rPr>
              <w:t>,</w:t>
            </w:r>
            <w:r w:rsidRPr="00646254">
              <w:rPr>
                <w:rFonts w:cstheme="minorHAnsi"/>
                <w:color w:val="002060"/>
                <w:sz w:val="14"/>
                <w:szCs w:val="14"/>
                <w:lang w:val="sr-Cyrl-CS"/>
              </w:rPr>
              <w:t>0</w:t>
            </w:r>
          </w:p>
        </w:tc>
        <w:tc>
          <w:tcPr>
            <w:tcW w:w="1007" w:type="dxa"/>
            <w:tcBorders>
              <w:top w:val="nil"/>
            </w:tcBorders>
            <w:shd w:val="clear" w:color="auto" w:fill="FFFFFF" w:themeFill="background1"/>
            <w:noWrap/>
            <w:vAlign w:val="bottom"/>
            <w:hideMark/>
          </w:tcPr>
          <w:p w14:paraId="34DB7365" w14:textId="77777777"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76" w:type="dxa"/>
            <w:tcBorders>
              <w:top w:val="nil"/>
            </w:tcBorders>
            <w:shd w:val="clear" w:color="auto" w:fill="FFFFFF" w:themeFill="background1"/>
            <w:noWrap/>
            <w:vAlign w:val="bottom"/>
            <w:hideMark/>
          </w:tcPr>
          <w:p w14:paraId="61E6C03B" w14:textId="77777777"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22" w:type="dxa"/>
            <w:tcBorders>
              <w:top w:val="nil"/>
            </w:tcBorders>
            <w:shd w:val="clear" w:color="auto" w:fill="FFFFFF" w:themeFill="background1"/>
            <w:noWrap/>
            <w:vAlign w:val="bottom"/>
            <w:hideMark/>
          </w:tcPr>
          <w:p w14:paraId="6C698FC4" w14:textId="77777777"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76" w:type="dxa"/>
            <w:tcBorders>
              <w:top w:val="nil"/>
            </w:tcBorders>
            <w:shd w:val="clear" w:color="auto" w:fill="FFFFFF" w:themeFill="background1"/>
            <w:noWrap/>
            <w:vAlign w:val="bottom"/>
            <w:hideMark/>
          </w:tcPr>
          <w:p w14:paraId="28BD4778" w14:textId="77777777"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76" w:type="dxa"/>
            <w:tcBorders>
              <w:top w:val="nil"/>
            </w:tcBorders>
            <w:shd w:val="clear" w:color="auto" w:fill="FFFFFF" w:themeFill="background1"/>
            <w:noWrap/>
            <w:vAlign w:val="bottom"/>
            <w:hideMark/>
          </w:tcPr>
          <w:p w14:paraId="006B846A" w14:textId="77777777"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76" w:type="dxa"/>
            <w:tcBorders>
              <w:top w:val="nil"/>
            </w:tcBorders>
            <w:shd w:val="clear" w:color="auto" w:fill="FFFFFF" w:themeFill="background1"/>
            <w:noWrap/>
            <w:vAlign w:val="bottom"/>
            <w:hideMark/>
          </w:tcPr>
          <w:p w14:paraId="37C3845D" w14:textId="77777777"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76" w:type="dxa"/>
            <w:tcBorders>
              <w:top w:val="nil"/>
            </w:tcBorders>
            <w:shd w:val="clear" w:color="auto" w:fill="FFFFFF" w:themeFill="background1"/>
            <w:noWrap/>
            <w:vAlign w:val="bottom"/>
            <w:hideMark/>
          </w:tcPr>
          <w:p w14:paraId="62B9C3EB" w14:textId="77777777"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76" w:type="dxa"/>
            <w:tcBorders>
              <w:top w:val="nil"/>
            </w:tcBorders>
            <w:shd w:val="clear" w:color="auto" w:fill="FFFFFF" w:themeFill="background1"/>
            <w:noWrap/>
            <w:vAlign w:val="bottom"/>
            <w:hideMark/>
          </w:tcPr>
          <w:p w14:paraId="0B9DF567" w14:textId="77777777"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r>
      <w:tr w:rsidR="00960AC3" w:rsidRPr="00646254" w14:paraId="02E580EE" w14:textId="77777777" w:rsidTr="00BC5D24">
        <w:trPr>
          <w:cnfStyle w:val="000000100000" w:firstRow="0" w:lastRow="0" w:firstColumn="0" w:lastColumn="0" w:oddVBand="0" w:evenVBand="0" w:oddHBand="1" w:evenHBand="0" w:firstRowFirstColumn="0" w:firstRowLastColumn="0" w:lastRowFirstColumn="0" w:lastRowLastColumn="0"/>
          <w:trHeight w:val="87"/>
        </w:trPr>
        <w:tc>
          <w:tcPr>
            <w:cnfStyle w:val="001000000000" w:firstRow="0" w:lastRow="0" w:firstColumn="1" w:lastColumn="0" w:oddVBand="0" w:evenVBand="0" w:oddHBand="0" w:evenHBand="0" w:firstRowFirstColumn="0" w:firstRowLastColumn="0" w:lastRowFirstColumn="0" w:lastRowLastColumn="0"/>
            <w:tcW w:w="2875" w:type="dxa"/>
            <w:tcBorders>
              <w:top w:val="nil"/>
            </w:tcBorders>
            <w:shd w:val="clear" w:color="auto" w:fill="BFBFBF" w:themeFill="background1" w:themeFillShade="BF"/>
            <w:noWrap/>
            <w:vAlign w:val="bottom"/>
            <w:hideMark/>
          </w:tcPr>
          <w:p w14:paraId="27F28A08" w14:textId="77777777" w:rsidR="00960AC3" w:rsidRPr="00646254" w:rsidRDefault="00960AC3" w:rsidP="00BC5D24">
            <w:pPr>
              <w:tabs>
                <w:tab w:val="center" w:pos="4680"/>
                <w:tab w:val="right" w:pos="9360"/>
              </w:tabs>
              <w:rPr>
                <w:rFonts w:cstheme="minorHAnsi"/>
                <w:color w:val="002060"/>
                <w:sz w:val="14"/>
                <w:szCs w:val="14"/>
                <w:lang w:val="sr-Cyrl-CS"/>
              </w:rPr>
            </w:pPr>
            <w:r w:rsidRPr="00646254">
              <w:rPr>
                <w:rFonts w:cstheme="minorHAnsi"/>
                <w:color w:val="002060"/>
                <w:sz w:val="14"/>
                <w:szCs w:val="14"/>
                <w:lang w:val="sr-Cyrl-CS"/>
              </w:rPr>
              <w:t>Фискални резултат искљ. трансфере</w:t>
            </w:r>
          </w:p>
        </w:tc>
        <w:tc>
          <w:tcPr>
            <w:tcW w:w="1028" w:type="dxa"/>
            <w:tcBorders>
              <w:top w:val="nil"/>
            </w:tcBorders>
            <w:shd w:val="clear" w:color="auto" w:fill="BFBFBF" w:themeFill="background1" w:themeFillShade="BF"/>
            <w:noWrap/>
            <w:vAlign w:val="bottom"/>
            <w:hideMark/>
          </w:tcPr>
          <w:p w14:paraId="1EA61858" w14:textId="1D0A8CCA"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b/>
                <w:bCs/>
                <w:color w:val="002060"/>
                <w:sz w:val="14"/>
                <w:szCs w:val="14"/>
                <w:lang w:val="sr-Cyrl-CS"/>
              </w:rPr>
            </w:pPr>
            <w:r w:rsidRPr="00646254">
              <w:rPr>
                <w:rFonts w:cstheme="minorHAnsi"/>
                <w:b/>
                <w:bCs/>
                <w:color w:val="002060"/>
                <w:sz w:val="14"/>
                <w:szCs w:val="14"/>
                <w:lang w:val="sr-Cyrl-CS"/>
              </w:rPr>
              <w:t>-200</w:t>
            </w:r>
            <w:r w:rsidR="00BC5D24" w:rsidRPr="00646254">
              <w:rPr>
                <w:rFonts w:cstheme="minorHAnsi"/>
                <w:b/>
                <w:bCs/>
                <w:color w:val="002060"/>
                <w:sz w:val="14"/>
                <w:szCs w:val="14"/>
                <w:lang w:val="sr-Cyrl-CS"/>
              </w:rPr>
              <w:t>,</w:t>
            </w:r>
            <w:r w:rsidRPr="00646254">
              <w:rPr>
                <w:rFonts w:cstheme="minorHAnsi"/>
                <w:b/>
                <w:bCs/>
                <w:color w:val="002060"/>
                <w:sz w:val="14"/>
                <w:szCs w:val="14"/>
                <w:lang w:val="sr-Cyrl-CS"/>
              </w:rPr>
              <w:t>2</w:t>
            </w:r>
          </w:p>
        </w:tc>
        <w:tc>
          <w:tcPr>
            <w:tcW w:w="1028" w:type="dxa"/>
            <w:tcBorders>
              <w:top w:val="nil"/>
            </w:tcBorders>
            <w:shd w:val="clear" w:color="auto" w:fill="BFBFBF" w:themeFill="background1" w:themeFillShade="BF"/>
            <w:noWrap/>
            <w:vAlign w:val="bottom"/>
            <w:hideMark/>
          </w:tcPr>
          <w:p w14:paraId="6500ADBA" w14:textId="6A3A142C"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b/>
                <w:bCs/>
                <w:color w:val="002060"/>
                <w:sz w:val="14"/>
                <w:szCs w:val="14"/>
                <w:lang w:val="sr-Cyrl-CS"/>
              </w:rPr>
            </w:pPr>
            <w:r w:rsidRPr="00646254">
              <w:rPr>
                <w:rFonts w:cstheme="minorHAnsi"/>
                <w:b/>
                <w:bCs/>
                <w:color w:val="002060"/>
                <w:sz w:val="14"/>
                <w:szCs w:val="14"/>
                <w:lang w:val="sr-Cyrl-CS"/>
              </w:rPr>
              <w:t>119</w:t>
            </w:r>
            <w:r w:rsidR="00BC5D24" w:rsidRPr="00646254">
              <w:rPr>
                <w:rFonts w:cstheme="minorHAnsi"/>
                <w:b/>
                <w:bCs/>
                <w:color w:val="002060"/>
                <w:sz w:val="14"/>
                <w:szCs w:val="14"/>
                <w:lang w:val="sr-Cyrl-CS"/>
              </w:rPr>
              <w:t>,</w:t>
            </w:r>
            <w:r w:rsidRPr="00646254">
              <w:rPr>
                <w:rFonts w:cstheme="minorHAnsi"/>
                <w:b/>
                <w:bCs/>
                <w:color w:val="002060"/>
                <w:sz w:val="14"/>
                <w:szCs w:val="14"/>
                <w:lang w:val="sr-Cyrl-CS"/>
              </w:rPr>
              <w:t>8</w:t>
            </w:r>
          </w:p>
        </w:tc>
        <w:tc>
          <w:tcPr>
            <w:tcW w:w="1042" w:type="dxa"/>
            <w:tcBorders>
              <w:top w:val="nil"/>
            </w:tcBorders>
            <w:shd w:val="clear" w:color="auto" w:fill="BFBFBF" w:themeFill="background1" w:themeFillShade="BF"/>
            <w:noWrap/>
            <w:vAlign w:val="bottom"/>
            <w:hideMark/>
          </w:tcPr>
          <w:p w14:paraId="66159687" w14:textId="0A0F5DEE"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b/>
                <w:bCs/>
                <w:color w:val="002060"/>
                <w:sz w:val="14"/>
                <w:szCs w:val="14"/>
                <w:lang w:val="sr-Cyrl-CS"/>
              </w:rPr>
            </w:pPr>
            <w:r w:rsidRPr="00646254">
              <w:rPr>
                <w:rFonts w:cstheme="minorHAnsi"/>
                <w:b/>
                <w:bCs/>
                <w:color w:val="002060"/>
                <w:sz w:val="14"/>
                <w:szCs w:val="14"/>
                <w:lang w:val="sr-Cyrl-CS"/>
              </w:rPr>
              <w:t>-94</w:t>
            </w:r>
            <w:r w:rsidR="00BC5D24" w:rsidRPr="00646254">
              <w:rPr>
                <w:rFonts w:cstheme="minorHAnsi"/>
                <w:b/>
                <w:bCs/>
                <w:color w:val="002060"/>
                <w:sz w:val="14"/>
                <w:szCs w:val="14"/>
                <w:lang w:val="sr-Cyrl-CS"/>
              </w:rPr>
              <w:t>,</w:t>
            </w:r>
            <w:r w:rsidRPr="00646254">
              <w:rPr>
                <w:rFonts w:cstheme="minorHAnsi"/>
                <w:b/>
                <w:bCs/>
                <w:color w:val="002060"/>
                <w:sz w:val="14"/>
                <w:szCs w:val="14"/>
                <w:lang w:val="sr-Cyrl-CS"/>
              </w:rPr>
              <w:t>8</w:t>
            </w:r>
          </w:p>
        </w:tc>
        <w:tc>
          <w:tcPr>
            <w:tcW w:w="1007" w:type="dxa"/>
            <w:tcBorders>
              <w:top w:val="nil"/>
            </w:tcBorders>
            <w:shd w:val="clear" w:color="auto" w:fill="BFBFBF" w:themeFill="background1" w:themeFillShade="BF"/>
            <w:noWrap/>
            <w:vAlign w:val="bottom"/>
            <w:hideMark/>
          </w:tcPr>
          <w:p w14:paraId="653CB0B4" w14:textId="49919F23"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b/>
                <w:bCs/>
                <w:color w:val="002060"/>
                <w:sz w:val="14"/>
                <w:szCs w:val="14"/>
                <w:lang w:val="sr-Cyrl-CS"/>
              </w:rPr>
            </w:pPr>
            <w:r w:rsidRPr="00646254">
              <w:rPr>
                <w:rFonts w:cstheme="minorHAnsi"/>
                <w:b/>
                <w:bCs/>
                <w:color w:val="002060"/>
                <w:sz w:val="14"/>
                <w:szCs w:val="14"/>
                <w:lang w:val="sr-Cyrl-CS"/>
              </w:rPr>
              <w:t>-54</w:t>
            </w:r>
            <w:r w:rsidR="00BC5D24" w:rsidRPr="00646254">
              <w:rPr>
                <w:rFonts w:cstheme="minorHAnsi"/>
                <w:b/>
                <w:bCs/>
                <w:color w:val="002060"/>
                <w:sz w:val="14"/>
                <w:szCs w:val="14"/>
                <w:lang w:val="sr-Cyrl-CS"/>
              </w:rPr>
              <w:t>,</w:t>
            </w:r>
            <w:r w:rsidRPr="00646254">
              <w:rPr>
                <w:rFonts w:cstheme="minorHAnsi"/>
                <w:b/>
                <w:bCs/>
                <w:color w:val="002060"/>
                <w:sz w:val="14"/>
                <w:szCs w:val="14"/>
                <w:lang w:val="sr-Cyrl-CS"/>
              </w:rPr>
              <w:t>3</w:t>
            </w:r>
          </w:p>
        </w:tc>
        <w:tc>
          <w:tcPr>
            <w:tcW w:w="1076" w:type="dxa"/>
            <w:tcBorders>
              <w:top w:val="nil"/>
            </w:tcBorders>
            <w:shd w:val="clear" w:color="auto" w:fill="BFBFBF" w:themeFill="background1" w:themeFillShade="BF"/>
            <w:noWrap/>
            <w:vAlign w:val="bottom"/>
            <w:hideMark/>
          </w:tcPr>
          <w:p w14:paraId="6453C64D" w14:textId="06347150"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b/>
                <w:bCs/>
                <w:color w:val="002060"/>
                <w:sz w:val="14"/>
                <w:szCs w:val="14"/>
                <w:lang w:val="sr-Cyrl-CS"/>
              </w:rPr>
            </w:pPr>
            <w:r w:rsidRPr="00646254">
              <w:rPr>
                <w:rFonts w:cstheme="minorHAnsi"/>
                <w:b/>
                <w:bCs/>
                <w:color w:val="002060"/>
                <w:sz w:val="14"/>
                <w:szCs w:val="14"/>
                <w:lang w:val="sr-Cyrl-CS"/>
              </w:rPr>
              <w:t>-40</w:t>
            </w:r>
            <w:r w:rsidR="00BC5D24" w:rsidRPr="00646254">
              <w:rPr>
                <w:rFonts w:cstheme="minorHAnsi"/>
                <w:b/>
                <w:bCs/>
                <w:color w:val="002060"/>
                <w:sz w:val="14"/>
                <w:szCs w:val="14"/>
                <w:lang w:val="sr-Cyrl-CS"/>
              </w:rPr>
              <w:t>,</w:t>
            </w:r>
            <w:r w:rsidRPr="00646254">
              <w:rPr>
                <w:rFonts w:cstheme="minorHAnsi"/>
                <w:b/>
                <w:bCs/>
                <w:color w:val="002060"/>
                <w:sz w:val="14"/>
                <w:szCs w:val="14"/>
                <w:lang w:val="sr-Cyrl-CS"/>
              </w:rPr>
              <w:t>5</w:t>
            </w:r>
          </w:p>
        </w:tc>
        <w:tc>
          <w:tcPr>
            <w:tcW w:w="1022" w:type="dxa"/>
            <w:tcBorders>
              <w:top w:val="nil"/>
            </w:tcBorders>
            <w:shd w:val="clear" w:color="auto" w:fill="BFBFBF" w:themeFill="background1" w:themeFillShade="BF"/>
            <w:noWrap/>
            <w:vAlign w:val="bottom"/>
            <w:hideMark/>
          </w:tcPr>
          <w:p w14:paraId="7CEB5ACD" w14:textId="05BE872F"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b/>
                <w:bCs/>
                <w:color w:val="002060"/>
                <w:sz w:val="14"/>
                <w:szCs w:val="14"/>
                <w:lang w:val="sr-Cyrl-CS"/>
              </w:rPr>
            </w:pPr>
            <w:r w:rsidRPr="00646254">
              <w:rPr>
                <w:rFonts w:cstheme="minorHAnsi"/>
                <w:b/>
                <w:bCs/>
                <w:color w:val="002060"/>
                <w:sz w:val="14"/>
                <w:szCs w:val="14"/>
                <w:lang w:val="sr-Cyrl-CS"/>
              </w:rPr>
              <w:t>-18</w:t>
            </w:r>
            <w:r w:rsidR="00BC5D24" w:rsidRPr="00646254">
              <w:rPr>
                <w:rFonts w:cstheme="minorHAnsi"/>
                <w:b/>
                <w:bCs/>
                <w:color w:val="002060"/>
                <w:sz w:val="14"/>
                <w:szCs w:val="14"/>
                <w:lang w:val="sr-Cyrl-CS"/>
              </w:rPr>
              <w:t>,</w:t>
            </w:r>
            <w:r w:rsidRPr="00646254">
              <w:rPr>
                <w:rFonts w:cstheme="minorHAnsi"/>
                <w:b/>
                <w:bCs/>
                <w:color w:val="002060"/>
                <w:sz w:val="14"/>
                <w:szCs w:val="14"/>
                <w:lang w:val="sr-Cyrl-CS"/>
              </w:rPr>
              <w:t>9</w:t>
            </w:r>
          </w:p>
        </w:tc>
        <w:tc>
          <w:tcPr>
            <w:tcW w:w="1076" w:type="dxa"/>
            <w:tcBorders>
              <w:top w:val="nil"/>
            </w:tcBorders>
            <w:shd w:val="clear" w:color="auto" w:fill="BFBFBF" w:themeFill="background1" w:themeFillShade="BF"/>
            <w:noWrap/>
            <w:vAlign w:val="bottom"/>
            <w:hideMark/>
          </w:tcPr>
          <w:p w14:paraId="6C075AB6" w14:textId="451B3404"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b/>
                <w:bCs/>
                <w:color w:val="002060"/>
                <w:sz w:val="14"/>
                <w:szCs w:val="14"/>
                <w:lang w:val="sr-Cyrl-CS"/>
              </w:rPr>
            </w:pPr>
            <w:r w:rsidRPr="00646254">
              <w:rPr>
                <w:rFonts w:cstheme="minorHAnsi"/>
                <w:b/>
                <w:bCs/>
                <w:color w:val="002060"/>
                <w:sz w:val="14"/>
                <w:szCs w:val="14"/>
                <w:lang w:val="sr-Cyrl-CS"/>
              </w:rPr>
              <w:t>-206</w:t>
            </w:r>
            <w:r w:rsidR="00BC5D24" w:rsidRPr="00646254">
              <w:rPr>
                <w:rFonts w:cstheme="minorHAnsi"/>
                <w:b/>
                <w:bCs/>
                <w:color w:val="002060"/>
                <w:sz w:val="14"/>
                <w:szCs w:val="14"/>
                <w:lang w:val="sr-Cyrl-CS"/>
              </w:rPr>
              <w:t>,</w:t>
            </w:r>
            <w:r w:rsidRPr="00646254">
              <w:rPr>
                <w:rFonts w:cstheme="minorHAnsi"/>
                <w:b/>
                <w:bCs/>
                <w:color w:val="002060"/>
                <w:sz w:val="14"/>
                <w:szCs w:val="14"/>
                <w:lang w:val="sr-Cyrl-CS"/>
              </w:rPr>
              <w:t>4</w:t>
            </w:r>
          </w:p>
        </w:tc>
        <w:tc>
          <w:tcPr>
            <w:tcW w:w="1076" w:type="dxa"/>
            <w:tcBorders>
              <w:top w:val="nil"/>
            </w:tcBorders>
            <w:shd w:val="clear" w:color="auto" w:fill="BFBFBF" w:themeFill="background1" w:themeFillShade="BF"/>
            <w:noWrap/>
            <w:vAlign w:val="bottom"/>
            <w:hideMark/>
          </w:tcPr>
          <w:p w14:paraId="712FFC37" w14:textId="1073B971"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b/>
                <w:bCs/>
                <w:color w:val="002060"/>
                <w:sz w:val="14"/>
                <w:szCs w:val="14"/>
                <w:lang w:val="sr-Cyrl-CS"/>
              </w:rPr>
            </w:pPr>
            <w:r w:rsidRPr="00646254">
              <w:rPr>
                <w:rFonts w:cstheme="minorHAnsi"/>
                <w:b/>
                <w:bCs/>
                <w:color w:val="002060"/>
                <w:sz w:val="14"/>
                <w:szCs w:val="14"/>
                <w:lang w:val="sr-Cyrl-CS"/>
              </w:rPr>
              <w:t>-66</w:t>
            </w:r>
            <w:r w:rsidR="00BC5D24" w:rsidRPr="00646254">
              <w:rPr>
                <w:rFonts w:cstheme="minorHAnsi"/>
                <w:b/>
                <w:bCs/>
                <w:color w:val="002060"/>
                <w:sz w:val="14"/>
                <w:szCs w:val="14"/>
                <w:lang w:val="sr-Cyrl-CS"/>
              </w:rPr>
              <w:t>,</w:t>
            </w:r>
            <w:r w:rsidRPr="00646254">
              <w:rPr>
                <w:rFonts w:cstheme="minorHAnsi"/>
                <w:b/>
                <w:bCs/>
                <w:color w:val="002060"/>
                <w:sz w:val="14"/>
                <w:szCs w:val="14"/>
                <w:lang w:val="sr-Cyrl-CS"/>
              </w:rPr>
              <w:t>6</w:t>
            </w:r>
          </w:p>
        </w:tc>
        <w:tc>
          <w:tcPr>
            <w:tcW w:w="1076" w:type="dxa"/>
            <w:tcBorders>
              <w:top w:val="nil"/>
            </w:tcBorders>
            <w:shd w:val="clear" w:color="auto" w:fill="BFBFBF" w:themeFill="background1" w:themeFillShade="BF"/>
            <w:noWrap/>
            <w:vAlign w:val="bottom"/>
            <w:hideMark/>
          </w:tcPr>
          <w:p w14:paraId="58EBACCF" w14:textId="3BAFEFBC"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b/>
                <w:bCs/>
                <w:color w:val="002060"/>
                <w:sz w:val="14"/>
                <w:szCs w:val="14"/>
                <w:lang w:val="sr-Cyrl-CS"/>
              </w:rPr>
            </w:pPr>
            <w:r w:rsidRPr="00646254">
              <w:rPr>
                <w:rFonts w:cstheme="minorHAnsi"/>
                <w:b/>
                <w:bCs/>
                <w:color w:val="002060"/>
                <w:sz w:val="14"/>
                <w:szCs w:val="14"/>
                <w:lang w:val="sr-Cyrl-CS"/>
              </w:rPr>
              <w:t>-135</w:t>
            </w:r>
            <w:r w:rsidR="00BC5D24" w:rsidRPr="00646254">
              <w:rPr>
                <w:rFonts w:cstheme="minorHAnsi"/>
                <w:b/>
                <w:bCs/>
                <w:color w:val="002060"/>
                <w:sz w:val="14"/>
                <w:szCs w:val="14"/>
                <w:lang w:val="sr-Cyrl-CS"/>
              </w:rPr>
              <w:t>,</w:t>
            </w:r>
            <w:r w:rsidRPr="00646254">
              <w:rPr>
                <w:rFonts w:cstheme="minorHAnsi"/>
                <w:b/>
                <w:bCs/>
                <w:color w:val="002060"/>
                <w:sz w:val="14"/>
                <w:szCs w:val="14"/>
                <w:lang w:val="sr-Cyrl-CS"/>
              </w:rPr>
              <w:t>6</w:t>
            </w:r>
          </w:p>
        </w:tc>
        <w:tc>
          <w:tcPr>
            <w:tcW w:w="1076" w:type="dxa"/>
            <w:tcBorders>
              <w:top w:val="nil"/>
            </w:tcBorders>
            <w:shd w:val="clear" w:color="auto" w:fill="BFBFBF" w:themeFill="background1" w:themeFillShade="BF"/>
            <w:noWrap/>
            <w:vAlign w:val="bottom"/>
            <w:hideMark/>
          </w:tcPr>
          <w:p w14:paraId="64517184" w14:textId="1F6D7CAB"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b/>
                <w:bCs/>
                <w:color w:val="002060"/>
                <w:sz w:val="14"/>
                <w:szCs w:val="14"/>
                <w:lang w:val="sr-Cyrl-CS"/>
              </w:rPr>
            </w:pPr>
            <w:r w:rsidRPr="00646254">
              <w:rPr>
                <w:rFonts w:cstheme="minorHAnsi"/>
                <w:b/>
                <w:bCs/>
                <w:color w:val="002060"/>
                <w:sz w:val="14"/>
                <w:szCs w:val="14"/>
                <w:lang w:val="sr-Cyrl-CS"/>
              </w:rPr>
              <w:t>-1</w:t>
            </w:r>
            <w:r w:rsidR="00BC5D24" w:rsidRPr="00646254">
              <w:rPr>
                <w:rFonts w:cstheme="minorHAnsi"/>
                <w:b/>
                <w:bCs/>
                <w:color w:val="002060"/>
                <w:sz w:val="14"/>
                <w:szCs w:val="14"/>
                <w:lang w:val="sr-Cyrl-CS"/>
              </w:rPr>
              <w:t>,</w:t>
            </w:r>
            <w:r w:rsidRPr="00646254">
              <w:rPr>
                <w:rFonts w:cstheme="minorHAnsi"/>
                <w:b/>
                <w:bCs/>
                <w:color w:val="002060"/>
                <w:sz w:val="14"/>
                <w:szCs w:val="14"/>
                <w:lang w:val="sr-Cyrl-CS"/>
              </w:rPr>
              <w:t>1</w:t>
            </w:r>
          </w:p>
        </w:tc>
        <w:tc>
          <w:tcPr>
            <w:tcW w:w="1076" w:type="dxa"/>
            <w:tcBorders>
              <w:top w:val="nil"/>
            </w:tcBorders>
            <w:shd w:val="clear" w:color="auto" w:fill="BFBFBF" w:themeFill="background1" w:themeFillShade="BF"/>
            <w:noWrap/>
            <w:vAlign w:val="bottom"/>
            <w:hideMark/>
          </w:tcPr>
          <w:p w14:paraId="237CB982" w14:textId="2FC16CC9"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b/>
                <w:bCs/>
                <w:color w:val="002060"/>
                <w:sz w:val="14"/>
                <w:szCs w:val="14"/>
                <w:lang w:val="sr-Cyrl-CS"/>
              </w:rPr>
            </w:pPr>
            <w:r w:rsidRPr="00646254">
              <w:rPr>
                <w:rFonts w:cstheme="minorHAnsi"/>
                <w:b/>
                <w:bCs/>
                <w:color w:val="002060"/>
                <w:sz w:val="14"/>
                <w:szCs w:val="14"/>
                <w:lang w:val="sr-Cyrl-CS"/>
              </w:rPr>
              <w:t>-3</w:t>
            </w:r>
            <w:r w:rsidR="00BC5D24" w:rsidRPr="00646254">
              <w:rPr>
                <w:rFonts w:cstheme="minorHAnsi"/>
                <w:b/>
                <w:bCs/>
                <w:color w:val="002060"/>
                <w:sz w:val="14"/>
                <w:szCs w:val="14"/>
                <w:lang w:val="sr-Cyrl-CS"/>
              </w:rPr>
              <w:t>,</w:t>
            </w:r>
            <w:r w:rsidRPr="00646254">
              <w:rPr>
                <w:rFonts w:cstheme="minorHAnsi"/>
                <w:b/>
                <w:bCs/>
                <w:color w:val="002060"/>
                <w:sz w:val="14"/>
                <w:szCs w:val="14"/>
                <w:lang w:val="sr-Cyrl-CS"/>
              </w:rPr>
              <w:t>1</w:t>
            </w:r>
          </w:p>
        </w:tc>
      </w:tr>
      <w:tr w:rsidR="00960AC3" w:rsidRPr="00646254" w14:paraId="799EB629" w14:textId="77777777" w:rsidTr="00BC5D24">
        <w:trPr>
          <w:trHeight w:val="113"/>
        </w:trPr>
        <w:tc>
          <w:tcPr>
            <w:cnfStyle w:val="001000000000" w:firstRow="0" w:lastRow="0" w:firstColumn="1" w:lastColumn="0" w:oddVBand="0" w:evenVBand="0" w:oddHBand="0" w:evenHBand="0" w:firstRowFirstColumn="0" w:firstRowLastColumn="0" w:lastRowFirstColumn="0" w:lastRowLastColumn="0"/>
            <w:tcW w:w="2875" w:type="dxa"/>
            <w:tcBorders>
              <w:top w:val="nil"/>
            </w:tcBorders>
            <w:shd w:val="clear" w:color="auto" w:fill="FFFFFF" w:themeFill="background1"/>
            <w:noWrap/>
            <w:vAlign w:val="bottom"/>
            <w:hideMark/>
          </w:tcPr>
          <w:p w14:paraId="398FCFA0" w14:textId="77777777" w:rsidR="00960AC3" w:rsidRPr="00646254" w:rsidRDefault="00960AC3" w:rsidP="00BC5D24">
            <w:pPr>
              <w:tabs>
                <w:tab w:val="center" w:pos="4680"/>
                <w:tab w:val="right" w:pos="9360"/>
              </w:tabs>
              <w:rPr>
                <w:rFonts w:cstheme="minorHAnsi"/>
                <w:b w:val="0"/>
                <w:color w:val="002060"/>
                <w:sz w:val="14"/>
                <w:szCs w:val="14"/>
                <w:lang w:val="sr-Cyrl-CS"/>
              </w:rPr>
            </w:pPr>
            <w:r w:rsidRPr="00646254">
              <w:rPr>
                <w:rFonts w:cstheme="minorHAnsi"/>
                <w:b w:val="0"/>
                <w:color w:val="002060"/>
                <w:sz w:val="14"/>
                <w:szCs w:val="14"/>
                <w:lang w:val="sr-Cyrl-CS"/>
              </w:rPr>
              <w:t>Трансфери од других нивоа власти</w:t>
            </w:r>
          </w:p>
        </w:tc>
        <w:tc>
          <w:tcPr>
            <w:tcW w:w="1028" w:type="dxa"/>
            <w:tcBorders>
              <w:top w:val="nil"/>
            </w:tcBorders>
            <w:shd w:val="clear" w:color="auto" w:fill="FFFFFF" w:themeFill="background1"/>
            <w:noWrap/>
            <w:vAlign w:val="bottom"/>
            <w:hideMark/>
          </w:tcPr>
          <w:p w14:paraId="5D1D0A90" w14:textId="3B19A340"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411</w:t>
            </w:r>
            <w:r w:rsidR="00BC5D24" w:rsidRPr="00646254">
              <w:rPr>
                <w:rFonts w:cstheme="minorHAnsi"/>
                <w:color w:val="002060"/>
                <w:sz w:val="14"/>
                <w:szCs w:val="14"/>
                <w:lang w:val="sr-Cyrl-CS"/>
              </w:rPr>
              <w:t>,</w:t>
            </w:r>
            <w:r w:rsidRPr="00646254">
              <w:rPr>
                <w:rFonts w:cstheme="minorHAnsi"/>
                <w:color w:val="002060"/>
                <w:sz w:val="14"/>
                <w:szCs w:val="14"/>
                <w:lang w:val="sr-Cyrl-CS"/>
              </w:rPr>
              <w:t>2</w:t>
            </w:r>
          </w:p>
        </w:tc>
        <w:tc>
          <w:tcPr>
            <w:tcW w:w="1028" w:type="dxa"/>
            <w:tcBorders>
              <w:top w:val="nil"/>
            </w:tcBorders>
            <w:shd w:val="clear" w:color="auto" w:fill="FFFFFF" w:themeFill="background1"/>
            <w:noWrap/>
            <w:vAlign w:val="bottom"/>
            <w:hideMark/>
          </w:tcPr>
          <w:p w14:paraId="3E2B1433" w14:textId="34FA341F"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7</w:t>
            </w:r>
            <w:r w:rsidR="00BC5D24" w:rsidRPr="00646254">
              <w:rPr>
                <w:rFonts w:cstheme="minorHAnsi"/>
                <w:color w:val="002060"/>
                <w:sz w:val="14"/>
                <w:szCs w:val="14"/>
                <w:lang w:val="sr-Cyrl-CS"/>
              </w:rPr>
              <w:t>,</w:t>
            </w:r>
            <w:r w:rsidRPr="00646254">
              <w:rPr>
                <w:rFonts w:cstheme="minorHAnsi"/>
                <w:color w:val="002060"/>
                <w:sz w:val="14"/>
                <w:szCs w:val="14"/>
                <w:lang w:val="sr-Cyrl-CS"/>
              </w:rPr>
              <w:t>4</w:t>
            </w:r>
          </w:p>
        </w:tc>
        <w:tc>
          <w:tcPr>
            <w:tcW w:w="1042" w:type="dxa"/>
            <w:tcBorders>
              <w:top w:val="nil"/>
            </w:tcBorders>
            <w:shd w:val="clear" w:color="auto" w:fill="FFFFFF" w:themeFill="background1"/>
            <w:noWrap/>
            <w:vAlign w:val="bottom"/>
            <w:hideMark/>
          </w:tcPr>
          <w:p w14:paraId="15B2B2DC" w14:textId="22065D32"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102</w:t>
            </w:r>
            <w:r w:rsidR="00BC5D24" w:rsidRPr="00646254">
              <w:rPr>
                <w:rFonts w:cstheme="minorHAnsi"/>
                <w:color w:val="002060"/>
                <w:sz w:val="14"/>
                <w:szCs w:val="14"/>
                <w:lang w:val="sr-Cyrl-CS"/>
              </w:rPr>
              <w:t>,</w:t>
            </w:r>
            <w:r w:rsidRPr="00646254">
              <w:rPr>
                <w:rFonts w:cstheme="minorHAnsi"/>
                <w:color w:val="002060"/>
                <w:sz w:val="14"/>
                <w:szCs w:val="14"/>
                <w:lang w:val="sr-Cyrl-CS"/>
              </w:rPr>
              <w:t>2</w:t>
            </w:r>
          </w:p>
        </w:tc>
        <w:tc>
          <w:tcPr>
            <w:tcW w:w="1007" w:type="dxa"/>
            <w:tcBorders>
              <w:top w:val="nil"/>
            </w:tcBorders>
            <w:shd w:val="clear" w:color="auto" w:fill="FFFFFF" w:themeFill="background1"/>
            <w:noWrap/>
            <w:vAlign w:val="bottom"/>
            <w:hideMark/>
          </w:tcPr>
          <w:p w14:paraId="03845C98" w14:textId="3DF3310B"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61</w:t>
            </w:r>
            <w:r w:rsidR="00BC5D24" w:rsidRPr="00646254">
              <w:rPr>
                <w:rFonts w:cstheme="minorHAnsi"/>
                <w:color w:val="002060"/>
                <w:sz w:val="14"/>
                <w:szCs w:val="14"/>
                <w:lang w:val="sr-Cyrl-CS"/>
              </w:rPr>
              <w:t>,</w:t>
            </w:r>
            <w:r w:rsidRPr="00646254">
              <w:rPr>
                <w:rFonts w:cstheme="minorHAnsi"/>
                <w:color w:val="002060"/>
                <w:sz w:val="14"/>
                <w:szCs w:val="14"/>
                <w:lang w:val="sr-Cyrl-CS"/>
              </w:rPr>
              <w:t>6</w:t>
            </w:r>
          </w:p>
        </w:tc>
        <w:tc>
          <w:tcPr>
            <w:tcW w:w="1076" w:type="dxa"/>
            <w:tcBorders>
              <w:top w:val="nil"/>
            </w:tcBorders>
            <w:shd w:val="clear" w:color="auto" w:fill="FFFFFF" w:themeFill="background1"/>
            <w:noWrap/>
            <w:vAlign w:val="bottom"/>
            <w:hideMark/>
          </w:tcPr>
          <w:p w14:paraId="07E0EF51" w14:textId="53724A89"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40</w:t>
            </w:r>
            <w:r w:rsidR="00BC5D24" w:rsidRPr="00646254">
              <w:rPr>
                <w:rFonts w:cstheme="minorHAnsi"/>
                <w:color w:val="002060"/>
                <w:sz w:val="14"/>
                <w:szCs w:val="14"/>
                <w:lang w:val="sr-Cyrl-CS"/>
              </w:rPr>
              <w:t>,</w:t>
            </w:r>
            <w:r w:rsidRPr="00646254">
              <w:rPr>
                <w:rFonts w:cstheme="minorHAnsi"/>
                <w:color w:val="002060"/>
                <w:sz w:val="14"/>
                <w:szCs w:val="14"/>
                <w:lang w:val="sr-Cyrl-CS"/>
              </w:rPr>
              <w:t>6</w:t>
            </w:r>
          </w:p>
        </w:tc>
        <w:tc>
          <w:tcPr>
            <w:tcW w:w="1022" w:type="dxa"/>
            <w:tcBorders>
              <w:top w:val="nil"/>
            </w:tcBorders>
            <w:shd w:val="clear" w:color="auto" w:fill="FFFFFF" w:themeFill="background1"/>
            <w:noWrap/>
            <w:vAlign w:val="bottom"/>
            <w:hideMark/>
          </w:tcPr>
          <w:p w14:paraId="5B499D76" w14:textId="0755FA58"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18</w:t>
            </w:r>
            <w:r w:rsidR="00BC5D24" w:rsidRPr="00646254">
              <w:rPr>
                <w:rFonts w:cstheme="minorHAnsi"/>
                <w:color w:val="002060"/>
                <w:sz w:val="14"/>
                <w:szCs w:val="14"/>
                <w:lang w:val="sr-Cyrl-CS"/>
              </w:rPr>
              <w:t>,</w:t>
            </w:r>
            <w:r w:rsidRPr="00646254">
              <w:rPr>
                <w:rFonts w:cstheme="minorHAnsi"/>
                <w:color w:val="002060"/>
                <w:sz w:val="14"/>
                <w:szCs w:val="14"/>
                <w:lang w:val="sr-Cyrl-CS"/>
              </w:rPr>
              <w:t>9</w:t>
            </w:r>
          </w:p>
        </w:tc>
        <w:tc>
          <w:tcPr>
            <w:tcW w:w="1076" w:type="dxa"/>
            <w:tcBorders>
              <w:top w:val="nil"/>
            </w:tcBorders>
            <w:shd w:val="clear" w:color="auto" w:fill="FFFFFF" w:themeFill="background1"/>
            <w:noWrap/>
            <w:vAlign w:val="bottom"/>
            <w:hideMark/>
          </w:tcPr>
          <w:p w14:paraId="322AAA0F" w14:textId="1052C52C"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282</w:t>
            </w:r>
            <w:r w:rsidR="00BC5D24" w:rsidRPr="00646254">
              <w:rPr>
                <w:rFonts w:cstheme="minorHAnsi"/>
                <w:color w:val="002060"/>
                <w:sz w:val="14"/>
                <w:szCs w:val="14"/>
                <w:lang w:val="sr-Cyrl-CS"/>
              </w:rPr>
              <w:t>,</w:t>
            </w:r>
            <w:r w:rsidRPr="00646254">
              <w:rPr>
                <w:rFonts w:cstheme="minorHAnsi"/>
                <w:color w:val="002060"/>
                <w:sz w:val="14"/>
                <w:szCs w:val="14"/>
                <w:lang w:val="sr-Cyrl-CS"/>
              </w:rPr>
              <w:t>8</w:t>
            </w:r>
          </w:p>
        </w:tc>
        <w:tc>
          <w:tcPr>
            <w:tcW w:w="1076" w:type="dxa"/>
            <w:tcBorders>
              <w:top w:val="nil"/>
            </w:tcBorders>
            <w:shd w:val="clear" w:color="auto" w:fill="FFFFFF" w:themeFill="background1"/>
            <w:noWrap/>
            <w:vAlign w:val="bottom"/>
            <w:hideMark/>
          </w:tcPr>
          <w:p w14:paraId="29CAD466" w14:textId="35996D93"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133</w:t>
            </w:r>
            <w:r w:rsidR="00BC5D24" w:rsidRPr="00646254">
              <w:rPr>
                <w:rFonts w:cstheme="minorHAnsi"/>
                <w:color w:val="002060"/>
                <w:sz w:val="14"/>
                <w:szCs w:val="14"/>
                <w:lang w:val="sr-Cyrl-CS"/>
              </w:rPr>
              <w:t>,</w:t>
            </w:r>
            <w:r w:rsidRPr="00646254">
              <w:rPr>
                <w:rFonts w:cstheme="minorHAnsi"/>
                <w:color w:val="002060"/>
                <w:sz w:val="14"/>
                <w:szCs w:val="14"/>
                <w:lang w:val="sr-Cyrl-CS"/>
              </w:rPr>
              <w:t>7</w:t>
            </w:r>
          </w:p>
        </w:tc>
        <w:tc>
          <w:tcPr>
            <w:tcW w:w="1076" w:type="dxa"/>
            <w:tcBorders>
              <w:top w:val="nil"/>
            </w:tcBorders>
            <w:shd w:val="clear" w:color="auto" w:fill="FFFFFF" w:themeFill="background1"/>
            <w:noWrap/>
            <w:vAlign w:val="bottom"/>
            <w:hideMark/>
          </w:tcPr>
          <w:p w14:paraId="65430373" w14:textId="51373848"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139</w:t>
            </w:r>
            <w:r w:rsidR="00BC5D24" w:rsidRPr="00646254">
              <w:rPr>
                <w:rFonts w:cstheme="minorHAnsi"/>
                <w:color w:val="002060"/>
                <w:sz w:val="14"/>
                <w:szCs w:val="14"/>
                <w:lang w:val="sr-Cyrl-CS"/>
              </w:rPr>
              <w:t>,</w:t>
            </w:r>
            <w:r w:rsidRPr="00646254">
              <w:rPr>
                <w:rFonts w:cstheme="minorHAnsi"/>
                <w:color w:val="002060"/>
                <w:sz w:val="14"/>
                <w:szCs w:val="14"/>
                <w:lang w:val="sr-Cyrl-CS"/>
              </w:rPr>
              <w:t>7</w:t>
            </w:r>
          </w:p>
        </w:tc>
        <w:tc>
          <w:tcPr>
            <w:tcW w:w="1076" w:type="dxa"/>
            <w:tcBorders>
              <w:top w:val="nil"/>
            </w:tcBorders>
            <w:shd w:val="clear" w:color="auto" w:fill="FFFFFF" w:themeFill="background1"/>
            <w:noWrap/>
            <w:vAlign w:val="bottom"/>
            <w:hideMark/>
          </w:tcPr>
          <w:p w14:paraId="56E84E09" w14:textId="47CA9EFF"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6</w:t>
            </w:r>
            <w:r w:rsidR="00BC5D24" w:rsidRPr="00646254">
              <w:rPr>
                <w:rFonts w:cstheme="minorHAnsi"/>
                <w:color w:val="002060"/>
                <w:sz w:val="14"/>
                <w:szCs w:val="14"/>
                <w:lang w:val="sr-Cyrl-CS"/>
              </w:rPr>
              <w:t>,</w:t>
            </w:r>
            <w:r w:rsidRPr="00646254">
              <w:rPr>
                <w:rFonts w:cstheme="minorHAnsi"/>
                <w:color w:val="002060"/>
                <w:sz w:val="14"/>
                <w:szCs w:val="14"/>
                <w:lang w:val="sr-Cyrl-CS"/>
              </w:rPr>
              <w:t>3</w:t>
            </w:r>
          </w:p>
        </w:tc>
        <w:tc>
          <w:tcPr>
            <w:tcW w:w="1076" w:type="dxa"/>
            <w:tcBorders>
              <w:top w:val="nil"/>
            </w:tcBorders>
            <w:shd w:val="clear" w:color="auto" w:fill="FFFFFF" w:themeFill="background1"/>
            <w:noWrap/>
            <w:vAlign w:val="bottom"/>
            <w:hideMark/>
          </w:tcPr>
          <w:p w14:paraId="29068165" w14:textId="669745B3"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3</w:t>
            </w:r>
            <w:r w:rsidR="00BC5D24" w:rsidRPr="00646254">
              <w:rPr>
                <w:rFonts w:cstheme="minorHAnsi"/>
                <w:color w:val="002060"/>
                <w:sz w:val="14"/>
                <w:szCs w:val="14"/>
                <w:lang w:val="sr-Cyrl-CS"/>
              </w:rPr>
              <w:t>,</w:t>
            </w:r>
            <w:r w:rsidRPr="00646254">
              <w:rPr>
                <w:rFonts w:cstheme="minorHAnsi"/>
                <w:color w:val="002060"/>
                <w:sz w:val="14"/>
                <w:szCs w:val="14"/>
                <w:lang w:val="sr-Cyrl-CS"/>
              </w:rPr>
              <w:t>1</w:t>
            </w:r>
          </w:p>
        </w:tc>
      </w:tr>
      <w:tr w:rsidR="00960AC3" w:rsidRPr="00646254" w14:paraId="22A667B1" w14:textId="77777777" w:rsidTr="00BC5D24">
        <w:trPr>
          <w:cnfStyle w:val="000000100000" w:firstRow="0" w:lastRow="0" w:firstColumn="0" w:lastColumn="0" w:oddVBand="0" w:evenVBand="0" w:oddHBand="1" w:evenHBand="0" w:firstRowFirstColumn="0" w:firstRowLastColumn="0" w:lastRowFirstColumn="0" w:lastRowLastColumn="0"/>
          <w:trHeight w:val="157"/>
        </w:trPr>
        <w:tc>
          <w:tcPr>
            <w:cnfStyle w:val="001000000000" w:firstRow="0" w:lastRow="0" w:firstColumn="1" w:lastColumn="0" w:oddVBand="0" w:evenVBand="0" w:oddHBand="0" w:evenHBand="0" w:firstRowFirstColumn="0" w:firstRowLastColumn="0" w:lastRowFirstColumn="0" w:lastRowLastColumn="0"/>
            <w:tcW w:w="2875" w:type="dxa"/>
            <w:tcBorders>
              <w:top w:val="nil"/>
            </w:tcBorders>
            <w:shd w:val="clear" w:color="auto" w:fill="FFFFFF" w:themeFill="background1"/>
            <w:noWrap/>
            <w:vAlign w:val="bottom"/>
            <w:hideMark/>
          </w:tcPr>
          <w:p w14:paraId="58BF451E" w14:textId="77777777" w:rsidR="00960AC3" w:rsidRPr="00646254" w:rsidRDefault="00960AC3" w:rsidP="00BC5D24">
            <w:pPr>
              <w:tabs>
                <w:tab w:val="center" w:pos="4680"/>
                <w:tab w:val="right" w:pos="9360"/>
              </w:tabs>
              <w:rPr>
                <w:rFonts w:cstheme="minorHAnsi"/>
                <w:b w:val="0"/>
                <w:color w:val="002060"/>
                <w:sz w:val="14"/>
                <w:szCs w:val="14"/>
                <w:lang w:val="sr-Cyrl-CS"/>
              </w:rPr>
            </w:pPr>
            <w:r w:rsidRPr="00646254">
              <w:rPr>
                <w:rFonts w:cstheme="minorHAnsi"/>
                <w:b w:val="0"/>
                <w:color w:val="002060"/>
                <w:sz w:val="14"/>
                <w:szCs w:val="14"/>
                <w:lang w:val="sr-Cyrl-CS"/>
              </w:rPr>
              <w:t>Буџет Републике</w:t>
            </w:r>
          </w:p>
        </w:tc>
        <w:tc>
          <w:tcPr>
            <w:tcW w:w="1028" w:type="dxa"/>
            <w:tcBorders>
              <w:top w:val="nil"/>
            </w:tcBorders>
            <w:shd w:val="clear" w:color="auto" w:fill="FFFFFF" w:themeFill="background1"/>
            <w:noWrap/>
            <w:vAlign w:val="bottom"/>
            <w:hideMark/>
          </w:tcPr>
          <w:p w14:paraId="3CCB846A" w14:textId="13FDA67E"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334</w:t>
            </w:r>
            <w:r w:rsidR="00BC5D24" w:rsidRPr="00646254">
              <w:rPr>
                <w:rFonts w:cstheme="minorHAnsi"/>
                <w:color w:val="002060"/>
                <w:sz w:val="14"/>
                <w:szCs w:val="14"/>
                <w:lang w:val="sr-Cyrl-CS"/>
              </w:rPr>
              <w:t>,</w:t>
            </w:r>
            <w:r w:rsidRPr="00646254">
              <w:rPr>
                <w:rFonts w:cstheme="minorHAnsi"/>
                <w:color w:val="002060"/>
                <w:sz w:val="14"/>
                <w:szCs w:val="14"/>
                <w:lang w:val="sr-Cyrl-CS"/>
              </w:rPr>
              <w:t>8</w:t>
            </w:r>
          </w:p>
        </w:tc>
        <w:tc>
          <w:tcPr>
            <w:tcW w:w="1028" w:type="dxa"/>
            <w:tcBorders>
              <w:top w:val="nil"/>
            </w:tcBorders>
            <w:shd w:val="clear" w:color="auto" w:fill="FFFFFF" w:themeFill="background1"/>
            <w:noWrap/>
            <w:vAlign w:val="bottom"/>
            <w:hideMark/>
          </w:tcPr>
          <w:p w14:paraId="66A39B4A" w14:textId="777987DD"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7</w:t>
            </w:r>
            <w:r w:rsidR="00BC5D24" w:rsidRPr="00646254">
              <w:rPr>
                <w:rFonts w:cstheme="minorHAnsi"/>
                <w:color w:val="002060"/>
                <w:sz w:val="14"/>
                <w:szCs w:val="14"/>
                <w:lang w:val="sr-Cyrl-CS"/>
              </w:rPr>
              <w:t>,</w:t>
            </w:r>
            <w:r w:rsidRPr="00646254">
              <w:rPr>
                <w:rFonts w:cstheme="minorHAnsi"/>
                <w:color w:val="002060"/>
                <w:sz w:val="14"/>
                <w:szCs w:val="14"/>
                <w:lang w:val="sr-Cyrl-CS"/>
              </w:rPr>
              <w:t>4</w:t>
            </w:r>
          </w:p>
        </w:tc>
        <w:tc>
          <w:tcPr>
            <w:tcW w:w="1042" w:type="dxa"/>
            <w:tcBorders>
              <w:top w:val="nil"/>
            </w:tcBorders>
            <w:shd w:val="clear" w:color="auto" w:fill="FFFFFF" w:themeFill="background1"/>
            <w:noWrap/>
            <w:vAlign w:val="bottom"/>
            <w:hideMark/>
          </w:tcPr>
          <w:p w14:paraId="2D895C59" w14:textId="1375F1A5"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102</w:t>
            </w:r>
            <w:r w:rsidR="00BC5D24" w:rsidRPr="00646254">
              <w:rPr>
                <w:rFonts w:cstheme="minorHAnsi"/>
                <w:color w:val="002060"/>
                <w:sz w:val="14"/>
                <w:szCs w:val="14"/>
                <w:lang w:val="sr-Cyrl-CS"/>
              </w:rPr>
              <w:t>,</w:t>
            </w:r>
            <w:r w:rsidRPr="00646254">
              <w:rPr>
                <w:rFonts w:cstheme="minorHAnsi"/>
                <w:color w:val="002060"/>
                <w:sz w:val="14"/>
                <w:szCs w:val="14"/>
                <w:lang w:val="sr-Cyrl-CS"/>
              </w:rPr>
              <w:t>2</w:t>
            </w:r>
          </w:p>
        </w:tc>
        <w:tc>
          <w:tcPr>
            <w:tcW w:w="1007" w:type="dxa"/>
            <w:tcBorders>
              <w:top w:val="nil"/>
            </w:tcBorders>
            <w:shd w:val="clear" w:color="auto" w:fill="FFFFFF" w:themeFill="background1"/>
            <w:noWrap/>
            <w:vAlign w:val="bottom"/>
            <w:hideMark/>
          </w:tcPr>
          <w:p w14:paraId="09A87C7B" w14:textId="2DEC5DBF"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61</w:t>
            </w:r>
            <w:r w:rsidR="00BC5D24" w:rsidRPr="00646254">
              <w:rPr>
                <w:rFonts w:cstheme="minorHAnsi"/>
                <w:color w:val="002060"/>
                <w:sz w:val="14"/>
                <w:szCs w:val="14"/>
                <w:lang w:val="sr-Cyrl-CS"/>
              </w:rPr>
              <w:t>,</w:t>
            </w:r>
            <w:r w:rsidRPr="00646254">
              <w:rPr>
                <w:rFonts w:cstheme="minorHAnsi"/>
                <w:color w:val="002060"/>
                <w:sz w:val="14"/>
                <w:szCs w:val="14"/>
                <w:lang w:val="sr-Cyrl-CS"/>
              </w:rPr>
              <w:t>6</w:t>
            </w:r>
          </w:p>
        </w:tc>
        <w:tc>
          <w:tcPr>
            <w:tcW w:w="1076" w:type="dxa"/>
            <w:tcBorders>
              <w:top w:val="nil"/>
            </w:tcBorders>
            <w:shd w:val="clear" w:color="auto" w:fill="FFFFFF" w:themeFill="background1"/>
            <w:noWrap/>
            <w:vAlign w:val="bottom"/>
            <w:hideMark/>
          </w:tcPr>
          <w:p w14:paraId="1FBC2C5D" w14:textId="0F300CBA"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40</w:t>
            </w:r>
            <w:r w:rsidR="00BC5D24" w:rsidRPr="00646254">
              <w:rPr>
                <w:rFonts w:cstheme="minorHAnsi"/>
                <w:color w:val="002060"/>
                <w:sz w:val="14"/>
                <w:szCs w:val="14"/>
                <w:lang w:val="sr-Cyrl-CS"/>
              </w:rPr>
              <w:t>,</w:t>
            </w:r>
            <w:r w:rsidRPr="00646254">
              <w:rPr>
                <w:rFonts w:cstheme="minorHAnsi"/>
                <w:color w:val="002060"/>
                <w:sz w:val="14"/>
                <w:szCs w:val="14"/>
                <w:lang w:val="sr-Cyrl-CS"/>
              </w:rPr>
              <w:t>6</w:t>
            </w:r>
          </w:p>
        </w:tc>
        <w:tc>
          <w:tcPr>
            <w:tcW w:w="1022" w:type="dxa"/>
            <w:tcBorders>
              <w:top w:val="nil"/>
            </w:tcBorders>
            <w:shd w:val="clear" w:color="auto" w:fill="FFFFFF" w:themeFill="background1"/>
            <w:noWrap/>
            <w:vAlign w:val="bottom"/>
            <w:hideMark/>
          </w:tcPr>
          <w:p w14:paraId="10FEAFAC" w14:textId="574A9B81"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18</w:t>
            </w:r>
            <w:r w:rsidR="00BC5D24" w:rsidRPr="00646254">
              <w:rPr>
                <w:rFonts w:cstheme="minorHAnsi"/>
                <w:color w:val="002060"/>
                <w:sz w:val="14"/>
                <w:szCs w:val="14"/>
                <w:lang w:val="sr-Cyrl-CS"/>
              </w:rPr>
              <w:t>,</w:t>
            </w:r>
            <w:r w:rsidRPr="00646254">
              <w:rPr>
                <w:rFonts w:cstheme="minorHAnsi"/>
                <w:color w:val="002060"/>
                <w:sz w:val="14"/>
                <w:szCs w:val="14"/>
                <w:lang w:val="sr-Cyrl-CS"/>
              </w:rPr>
              <w:t>9</w:t>
            </w:r>
          </w:p>
        </w:tc>
        <w:tc>
          <w:tcPr>
            <w:tcW w:w="1076" w:type="dxa"/>
            <w:tcBorders>
              <w:top w:val="nil"/>
            </w:tcBorders>
            <w:shd w:val="clear" w:color="auto" w:fill="FFFFFF" w:themeFill="background1"/>
            <w:noWrap/>
            <w:vAlign w:val="bottom"/>
            <w:hideMark/>
          </w:tcPr>
          <w:p w14:paraId="15A622B1" w14:textId="03A5E66A"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206</w:t>
            </w:r>
            <w:r w:rsidR="00BC5D24" w:rsidRPr="00646254">
              <w:rPr>
                <w:rFonts w:cstheme="minorHAnsi"/>
                <w:color w:val="002060"/>
                <w:sz w:val="14"/>
                <w:szCs w:val="14"/>
                <w:lang w:val="sr-Cyrl-CS"/>
              </w:rPr>
              <w:t>,</w:t>
            </w:r>
            <w:r w:rsidRPr="00646254">
              <w:rPr>
                <w:rFonts w:cstheme="minorHAnsi"/>
                <w:color w:val="002060"/>
                <w:sz w:val="14"/>
                <w:szCs w:val="14"/>
                <w:lang w:val="sr-Cyrl-CS"/>
              </w:rPr>
              <w:t>4</w:t>
            </w:r>
          </w:p>
        </w:tc>
        <w:tc>
          <w:tcPr>
            <w:tcW w:w="1076" w:type="dxa"/>
            <w:tcBorders>
              <w:top w:val="nil"/>
            </w:tcBorders>
            <w:shd w:val="clear" w:color="auto" w:fill="FFFFFF" w:themeFill="background1"/>
            <w:noWrap/>
            <w:vAlign w:val="bottom"/>
            <w:hideMark/>
          </w:tcPr>
          <w:p w14:paraId="218DA589" w14:textId="2526E7B2"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126</w:t>
            </w:r>
            <w:r w:rsidR="00BC5D24" w:rsidRPr="00646254">
              <w:rPr>
                <w:rFonts w:cstheme="minorHAnsi"/>
                <w:color w:val="002060"/>
                <w:sz w:val="14"/>
                <w:szCs w:val="14"/>
                <w:lang w:val="sr-Cyrl-CS"/>
              </w:rPr>
              <w:t>,</w:t>
            </w:r>
            <w:r w:rsidRPr="00646254">
              <w:rPr>
                <w:rFonts w:cstheme="minorHAnsi"/>
                <w:color w:val="002060"/>
                <w:sz w:val="14"/>
                <w:szCs w:val="14"/>
                <w:lang w:val="sr-Cyrl-CS"/>
              </w:rPr>
              <w:t>0</w:t>
            </w:r>
          </w:p>
        </w:tc>
        <w:tc>
          <w:tcPr>
            <w:tcW w:w="1076" w:type="dxa"/>
            <w:tcBorders>
              <w:top w:val="nil"/>
            </w:tcBorders>
            <w:shd w:val="clear" w:color="auto" w:fill="FFFFFF" w:themeFill="background1"/>
            <w:noWrap/>
            <w:vAlign w:val="bottom"/>
            <w:hideMark/>
          </w:tcPr>
          <w:p w14:paraId="52144C50" w14:textId="0F06C69F"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73</w:t>
            </w:r>
            <w:r w:rsidR="00BC5D24" w:rsidRPr="00646254">
              <w:rPr>
                <w:rFonts w:cstheme="minorHAnsi"/>
                <w:color w:val="002060"/>
                <w:sz w:val="14"/>
                <w:szCs w:val="14"/>
                <w:lang w:val="sr-Cyrl-CS"/>
              </w:rPr>
              <w:t>,</w:t>
            </w:r>
            <w:r w:rsidRPr="00646254">
              <w:rPr>
                <w:rFonts w:cstheme="minorHAnsi"/>
                <w:color w:val="002060"/>
                <w:sz w:val="14"/>
                <w:szCs w:val="14"/>
                <w:lang w:val="sr-Cyrl-CS"/>
              </w:rPr>
              <w:t>6</w:t>
            </w:r>
          </w:p>
        </w:tc>
        <w:tc>
          <w:tcPr>
            <w:tcW w:w="1076" w:type="dxa"/>
            <w:tcBorders>
              <w:top w:val="nil"/>
            </w:tcBorders>
            <w:shd w:val="clear" w:color="auto" w:fill="FFFFFF" w:themeFill="background1"/>
            <w:noWrap/>
            <w:vAlign w:val="bottom"/>
            <w:hideMark/>
          </w:tcPr>
          <w:p w14:paraId="6FC08734" w14:textId="6C4E7B06"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6</w:t>
            </w:r>
            <w:r w:rsidR="00BC5D24" w:rsidRPr="00646254">
              <w:rPr>
                <w:rFonts w:cstheme="minorHAnsi"/>
                <w:color w:val="002060"/>
                <w:sz w:val="14"/>
                <w:szCs w:val="14"/>
                <w:lang w:val="sr-Cyrl-CS"/>
              </w:rPr>
              <w:t>,</w:t>
            </w:r>
            <w:r w:rsidRPr="00646254">
              <w:rPr>
                <w:rFonts w:cstheme="minorHAnsi"/>
                <w:color w:val="002060"/>
                <w:sz w:val="14"/>
                <w:szCs w:val="14"/>
                <w:lang w:val="sr-Cyrl-CS"/>
              </w:rPr>
              <w:t>3</w:t>
            </w:r>
          </w:p>
        </w:tc>
        <w:tc>
          <w:tcPr>
            <w:tcW w:w="1076" w:type="dxa"/>
            <w:tcBorders>
              <w:top w:val="nil"/>
            </w:tcBorders>
            <w:shd w:val="clear" w:color="auto" w:fill="FFFFFF" w:themeFill="background1"/>
            <w:noWrap/>
            <w:vAlign w:val="bottom"/>
            <w:hideMark/>
          </w:tcPr>
          <w:p w14:paraId="480FD68B" w14:textId="3E1B8963"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0</w:t>
            </w:r>
            <w:r w:rsidR="00BC5D24" w:rsidRPr="00646254">
              <w:rPr>
                <w:rFonts w:cstheme="minorHAnsi"/>
                <w:color w:val="002060"/>
                <w:sz w:val="14"/>
                <w:szCs w:val="14"/>
                <w:lang w:val="sr-Cyrl-CS"/>
              </w:rPr>
              <w:t>,</w:t>
            </w:r>
            <w:r w:rsidRPr="00646254">
              <w:rPr>
                <w:rFonts w:cstheme="minorHAnsi"/>
                <w:color w:val="002060"/>
                <w:sz w:val="14"/>
                <w:szCs w:val="14"/>
                <w:lang w:val="sr-Cyrl-CS"/>
              </w:rPr>
              <w:t>5</w:t>
            </w:r>
          </w:p>
        </w:tc>
      </w:tr>
      <w:tr w:rsidR="00960AC3" w:rsidRPr="00646254" w14:paraId="4F5286D0" w14:textId="77777777" w:rsidTr="00BC5D24">
        <w:trPr>
          <w:trHeight w:val="174"/>
        </w:trPr>
        <w:tc>
          <w:tcPr>
            <w:cnfStyle w:val="001000000000" w:firstRow="0" w:lastRow="0" w:firstColumn="1" w:lastColumn="0" w:oddVBand="0" w:evenVBand="0" w:oddHBand="0" w:evenHBand="0" w:firstRowFirstColumn="0" w:firstRowLastColumn="0" w:lastRowFirstColumn="0" w:lastRowLastColumn="0"/>
            <w:tcW w:w="2875" w:type="dxa"/>
            <w:tcBorders>
              <w:top w:val="nil"/>
            </w:tcBorders>
            <w:shd w:val="clear" w:color="auto" w:fill="FFFFFF" w:themeFill="background1"/>
            <w:noWrap/>
            <w:vAlign w:val="bottom"/>
            <w:hideMark/>
          </w:tcPr>
          <w:p w14:paraId="64E4B8EE" w14:textId="77777777" w:rsidR="00960AC3" w:rsidRPr="00646254" w:rsidRDefault="00960AC3" w:rsidP="00BC5D24">
            <w:pPr>
              <w:tabs>
                <w:tab w:val="center" w:pos="4680"/>
                <w:tab w:val="right" w:pos="9360"/>
              </w:tabs>
              <w:rPr>
                <w:rFonts w:cstheme="minorHAnsi"/>
                <w:b w:val="0"/>
                <w:color w:val="002060"/>
                <w:sz w:val="14"/>
                <w:szCs w:val="14"/>
                <w:lang w:val="sr-Cyrl-CS"/>
              </w:rPr>
            </w:pPr>
            <w:r w:rsidRPr="00646254">
              <w:rPr>
                <w:rFonts w:cstheme="minorHAnsi"/>
                <w:b w:val="0"/>
                <w:color w:val="002060"/>
                <w:sz w:val="14"/>
                <w:szCs w:val="14"/>
                <w:lang w:val="sr-Cyrl-CS"/>
              </w:rPr>
              <w:t>Градови и општине</w:t>
            </w:r>
          </w:p>
        </w:tc>
        <w:tc>
          <w:tcPr>
            <w:tcW w:w="1028" w:type="dxa"/>
            <w:tcBorders>
              <w:top w:val="nil"/>
            </w:tcBorders>
            <w:shd w:val="clear" w:color="auto" w:fill="FFFFFF" w:themeFill="background1"/>
            <w:noWrap/>
            <w:vAlign w:val="bottom"/>
            <w:hideMark/>
          </w:tcPr>
          <w:p w14:paraId="3597752D" w14:textId="5E5F7B5C"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0</w:t>
            </w:r>
            <w:r w:rsidR="00BC5D24" w:rsidRPr="00646254">
              <w:rPr>
                <w:rFonts w:cstheme="minorHAnsi"/>
                <w:color w:val="002060"/>
                <w:sz w:val="14"/>
                <w:szCs w:val="14"/>
                <w:lang w:val="sr-Cyrl-CS"/>
              </w:rPr>
              <w:t>,</w:t>
            </w:r>
            <w:r w:rsidRPr="00646254">
              <w:rPr>
                <w:rFonts w:cstheme="minorHAnsi"/>
                <w:color w:val="002060"/>
                <w:sz w:val="14"/>
                <w:szCs w:val="14"/>
                <w:lang w:val="sr-Cyrl-CS"/>
              </w:rPr>
              <w:t>0</w:t>
            </w:r>
          </w:p>
        </w:tc>
        <w:tc>
          <w:tcPr>
            <w:tcW w:w="1028" w:type="dxa"/>
            <w:tcBorders>
              <w:top w:val="nil"/>
            </w:tcBorders>
            <w:shd w:val="clear" w:color="auto" w:fill="FFFFFF" w:themeFill="background1"/>
            <w:noWrap/>
            <w:vAlign w:val="bottom"/>
            <w:hideMark/>
          </w:tcPr>
          <w:p w14:paraId="0E771CB6" w14:textId="77777777"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42" w:type="dxa"/>
            <w:tcBorders>
              <w:top w:val="nil"/>
            </w:tcBorders>
            <w:shd w:val="clear" w:color="auto" w:fill="FFFFFF" w:themeFill="background1"/>
            <w:noWrap/>
            <w:vAlign w:val="bottom"/>
            <w:hideMark/>
          </w:tcPr>
          <w:p w14:paraId="0A953209" w14:textId="77777777"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07" w:type="dxa"/>
            <w:tcBorders>
              <w:top w:val="nil"/>
            </w:tcBorders>
            <w:shd w:val="clear" w:color="auto" w:fill="FFFFFF" w:themeFill="background1"/>
            <w:noWrap/>
            <w:vAlign w:val="bottom"/>
            <w:hideMark/>
          </w:tcPr>
          <w:p w14:paraId="18AD346D" w14:textId="77777777"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76" w:type="dxa"/>
            <w:tcBorders>
              <w:top w:val="nil"/>
            </w:tcBorders>
            <w:shd w:val="clear" w:color="auto" w:fill="FFFFFF" w:themeFill="background1"/>
            <w:noWrap/>
            <w:vAlign w:val="bottom"/>
            <w:hideMark/>
          </w:tcPr>
          <w:p w14:paraId="47C0F311" w14:textId="77777777"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22" w:type="dxa"/>
            <w:tcBorders>
              <w:top w:val="nil"/>
            </w:tcBorders>
            <w:shd w:val="clear" w:color="auto" w:fill="FFFFFF" w:themeFill="background1"/>
            <w:noWrap/>
            <w:vAlign w:val="bottom"/>
            <w:hideMark/>
          </w:tcPr>
          <w:p w14:paraId="5039B93A" w14:textId="77777777"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76" w:type="dxa"/>
            <w:tcBorders>
              <w:top w:val="nil"/>
            </w:tcBorders>
            <w:shd w:val="clear" w:color="auto" w:fill="FFFFFF" w:themeFill="background1"/>
            <w:noWrap/>
            <w:vAlign w:val="bottom"/>
            <w:hideMark/>
          </w:tcPr>
          <w:p w14:paraId="5183CF0B" w14:textId="47A7D8E0"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0</w:t>
            </w:r>
            <w:r w:rsidR="00BC5D24" w:rsidRPr="00646254">
              <w:rPr>
                <w:rFonts w:cstheme="minorHAnsi"/>
                <w:color w:val="002060"/>
                <w:sz w:val="14"/>
                <w:szCs w:val="14"/>
                <w:lang w:val="sr-Cyrl-CS"/>
              </w:rPr>
              <w:t>,</w:t>
            </w:r>
            <w:r w:rsidRPr="00646254">
              <w:rPr>
                <w:rFonts w:cstheme="minorHAnsi"/>
                <w:color w:val="002060"/>
                <w:sz w:val="14"/>
                <w:szCs w:val="14"/>
                <w:lang w:val="sr-Cyrl-CS"/>
              </w:rPr>
              <w:t>0</w:t>
            </w:r>
          </w:p>
        </w:tc>
        <w:tc>
          <w:tcPr>
            <w:tcW w:w="1076" w:type="dxa"/>
            <w:tcBorders>
              <w:top w:val="nil"/>
            </w:tcBorders>
            <w:shd w:val="clear" w:color="auto" w:fill="FFFFFF" w:themeFill="background1"/>
            <w:noWrap/>
            <w:vAlign w:val="bottom"/>
            <w:hideMark/>
          </w:tcPr>
          <w:p w14:paraId="48AAC531" w14:textId="77777777"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76" w:type="dxa"/>
            <w:tcBorders>
              <w:top w:val="nil"/>
            </w:tcBorders>
            <w:shd w:val="clear" w:color="auto" w:fill="FFFFFF" w:themeFill="background1"/>
            <w:noWrap/>
            <w:vAlign w:val="bottom"/>
            <w:hideMark/>
          </w:tcPr>
          <w:p w14:paraId="5A5BCDBA" w14:textId="77777777"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76" w:type="dxa"/>
            <w:tcBorders>
              <w:top w:val="nil"/>
            </w:tcBorders>
            <w:shd w:val="clear" w:color="auto" w:fill="FFFFFF" w:themeFill="background1"/>
            <w:noWrap/>
            <w:vAlign w:val="bottom"/>
            <w:hideMark/>
          </w:tcPr>
          <w:p w14:paraId="0EF04C1D" w14:textId="77777777"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76" w:type="dxa"/>
            <w:tcBorders>
              <w:top w:val="nil"/>
            </w:tcBorders>
            <w:shd w:val="clear" w:color="auto" w:fill="FFFFFF" w:themeFill="background1"/>
            <w:noWrap/>
            <w:vAlign w:val="bottom"/>
            <w:hideMark/>
          </w:tcPr>
          <w:p w14:paraId="33A4AB75" w14:textId="77777777"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r>
      <w:tr w:rsidR="00960AC3" w:rsidRPr="00646254" w14:paraId="234513BE" w14:textId="77777777" w:rsidTr="00BC5D24">
        <w:trPr>
          <w:cnfStyle w:val="000000100000" w:firstRow="0" w:lastRow="0" w:firstColumn="0" w:lastColumn="0" w:oddVBand="0" w:evenVBand="0" w:oddHBand="1" w:evenHBand="0" w:firstRowFirstColumn="0" w:firstRowLastColumn="0" w:lastRowFirstColumn="0" w:lastRowLastColumn="0"/>
          <w:trHeight w:val="87"/>
        </w:trPr>
        <w:tc>
          <w:tcPr>
            <w:cnfStyle w:val="001000000000" w:firstRow="0" w:lastRow="0" w:firstColumn="1" w:lastColumn="0" w:oddVBand="0" w:evenVBand="0" w:oddHBand="0" w:evenHBand="0" w:firstRowFirstColumn="0" w:firstRowLastColumn="0" w:lastRowFirstColumn="0" w:lastRowLastColumn="0"/>
            <w:tcW w:w="2875" w:type="dxa"/>
            <w:tcBorders>
              <w:top w:val="nil"/>
            </w:tcBorders>
            <w:shd w:val="clear" w:color="auto" w:fill="FFFFFF" w:themeFill="background1"/>
            <w:noWrap/>
            <w:vAlign w:val="bottom"/>
            <w:hideMark/>
          </w:tcPr>
          <w:p w14:paraId="2C0AB534" w14:textId="77777777" w:rsidR="00960AC3" w:rsidRPr="00646254" w:rsidRDefault="00960AC3" w:rsidP="00BC5D24">
            <w:pPr>
              <w:tabs>
                <w:tab w:val="center" w:pos="4680"/>
                <w:tab w:val="right" w:pos="9360"/>
              </w:tabs>
              <w:rPr>
                <w:rFonts w:cstheme="minorHAnsi"/>
                <w:b w:val="0"/>
                <w:color w:val="002060"/>
                <w:sz w:val="14"/>
                <w:szCs w:val="14"/>
                <w:lang w:val="sr-Cyrl-CS"/>
              </w:rPr>
            </w:pPr>
            <w:r w:rsidRPr="00646254">
              <w:rPr>
                <w:rFonts w:cstheme="minorHAnsi"/>
                <w:b w:val="0"/>
                <w:color w:val="002060"/>
                <w:sz w:val="14"/>
                <w:szCs w:val="14"/>
                <w:lang w:val="sr-Cyrl-CS"/>
              </w:rPr>
              <w:t xml:space="preserve"> AП Војводина</w:t>
            </w:r>
          </w:p>
        </w:tc>
        <w:tc>
          <w:tcPr>
            <w:tcW w:w="1028" w:type="dxa"/>
            <w:tcBorders>
              <w:top w:val="nil"/>
            </w:tcBorders>
            <w:shd w:val="clear" w:color="auto" w:fill="FFFFFF" w:themeFill="background1"/>
            <w:noWrap/>
            <w:vAlign w:val="bottom"/>
            <w:hideMark/>
          </w:tcPr>
          <w:p w14:paraId="31D644FD" w14:textId="36F185AD"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0</w:t>
            </w:r>
            <w:r w:rsidR="00BC5D24" w:rsidRPr="00646254">
              <w:rPr>
                <w:rFonts w:cstheme="minorHAnsi"/>
                <w:color w:val="002060"/>
                <w:sz w:val="14"/>
                <w:szCs w:val="14"/>
                <w:lang w:val="sr-Cyrl-CS"/>
              </w:rPr>
              <w:t>,</w:t>
            </w:r>
            <w:r w:rsidRPr="00646254">
              <w:rPr>
                <w:rFonts w:cstheme="minorHAnsi"/>
                <w:color w:val="002060"/>
                <w:sz w:val="14"/>
                <w:szCs w:val="14"/>
                <w:lang w:val="sr-Cyrl-CS"/>
              </w:rPr>
              <w:t>0</w:t>
            </w:r>
          </w:p>
        </w:tc>
        <w:tc>
          <w:tcPr>
            <w:tcW w:w="1028" w:type="dxa"/>
            <w:tcBorders>
              <w:top w:val="nil"/>
            </w:tcBorders>
            <w:shd w:val="clear" w:color="auto" w:fill="FFFFFF" w:themeFill="background1"/>
            <w:noWrap/>
            <w:vAlign w:val="bottom"/>
            <w:hideMark/>
          </w:tcPr>
          <w:p w14:paraId="04216120" w14:textId="77777777"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42" w:type="dxa"/>
            <w:tcBorders>
              <w:top w:val="nil"/>
            </w:tcBorders>
            <w:shd w:val="clear" w:color="auto" w:fill="FFFFFF" w:themeFill="background1"/>
            <w:noWrap/>
            <w:vAlign w:val="bottom"/>
            <w:hideMark/>
          </w:tcPr>
          <w:p w14:paraId="0F97B97B" w14:textId="77777777"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07" w:type="dxa"/>
            <w:tcBorders>
              <w:top w:val="nil"/>
            </w:tcBorders>
            <w:shd w:val="clear" w:color="auto" w:fill="FFFFFF" w:themeFill="background1"/>
            <w:noWrap/>
            <w:vAlign w:val="bottom"/>
            <w:hideMark/>
          </w:tcPr>
          <w:p w14:paraId="4AB367A5" w14:textId="77777777"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76" w:type="dxa"/>
            <w:tcBorders>
              <w:top w:val="nil"/>
            </w:tcBorders>
            <w:shd w:val="clear" w:color="auto" w:fill="FFFFFF" w:themeFill="background1"/>
            <w:noWrap/>
            <w:vAlign w:val="bottom"/>
            <w:hideMark/>
          </w:tcPr>
          <w:p w14:paraId="5F9BF51D" w14:textId="77777777"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22" w:type="dxa"/>
            <w:tcBorders>
              <w:top w:val="nil"/>
            </w:tcBorders>
            <w:shd w:val="clear" w:color="auto" w:fill="FFFFFF" w:themeFill="background1"/>
            <w:noWrap/>
            <w:vAlign w:val="bottom"/>
            <w:hideMark/>
          </w:tcPr>
          <w:p w14:paraId="7D174102" w14:textId="77777777"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76" w:type="dxa"/>
            <w:tcBorders>
              <w:top w:val="nil"/>
            </w:tcBorders>
            <w:shd w:val="clear" w:color="auto" w:fill="FFFFFF" w:themeFill="background1"/>
            <w:noWrap/>
            <w:vAlign w:val="bottom"/>
            <w:hideMark/>
          </w:tcPr>
          <w:p w14:paraId="0025E404" w14:textId="65208761"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0</w:t>
            </w:r>
            <w:r w:rsidR="00BC5D24" w:rsidRPr="00646254">
              <w:rPr>
                <w:rFonts w:cstheme="minorHAnsi"/>
                <w:color w:val="002060"/>
                <w:sz w:val="14"/>
                <w:szCs w:val="14"/>
                <w:lang w:val="sr-Cyrl-CS"/>
              </w:rPr>
              <w:t>,</w:t>
            </w:r>
            <w:r w:rsidRPr="00646254">
              <w:rPr>
                <w:rFonts w:cstheme="minorHAnsi"/>
                <w:color w:val="002060"/>
                <w:sz w:val="14"/>
                <w:szCs w:val="14"/>
                <w:lang w:val="sr-Cyrl-CS"/>
              </w:rPr>
              <w:t>0</w:t>
            </w:r>
          </w:p>
        </w:tc>
        <w:tc>
          <w:tcPr>
            <w:tcW w:w="1076" w:type="dxa"/>
            <w:tcBorders>
              <w:top w:val="nil"/>
            </w:tcBorders>
            <w:shd w:val="clear" w:color="auto" w:fill="FFFFFF" w:themeFill="background1"/>
            <w:noWrap/>
            <w:vAlign w:val="bottom"/>
            <w:hideMark/>
          </w:tcPr>
          <w:p w14:paraId="48A90B59" w14:textId="77777777"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76" w:type="dxa"/>
            <w:tcBorders>
              <w:top w:val="nil"/>
            </w:tcBorders>
            <w:shd w:val="clear" w:color="auto" w:fill="FFFFFF" w:themeFill="background1"/>
            <w:noWrap/>
            <w:vAlign w:val="bottom"/>
            <w:hideMark/>
          </w:tcPr>
          <w:p w14:paraId="18254162" w14:textId="77777777"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76" w:type="dxa"/>
            <w:tcBorders>
              <w:top w:val="nil"/>
            </w:tcBorders>
            <w:shd w:val="clear" w:color="auto" w:fill="FFFFFF" w:themeFill="background1"/>
            <w:noWrap/>
            <w:vAlign w:val="bottom"/>
            <w:hideMark/>
          </w:tcPr>
          <w:p w14:paraId="684A0B9D" w14:textId="77777777"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76" w:type="dxa"/>
            <w:tcBorders>
              <w:top w:val="nil"/>
            </w:tcBorders>
            <w:shd w:val="clear" w:color="auto" w:fill="FFFFFF" w:themeFill="background1"/>
            <w:noWrap/>
            <w:vAlign w:val="bottom"/>
            <w:hideMark/>
          </w:tcPr>
          <w:p w14:paraId="7BAC7D05" w14:textId="77777777"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r>
      <w:tr w:rsidR="00960AC3" w:rsidRPr="00646254" w14:paraId="648B9CBA" w14:textId="77777777" w:rsidTr="00BC5D24">
        <w:trPr>
          <w:trHeight w:val="113"/>
        </w:trPr>
        <w:tc>
          <w:tcPr>
            <w:cnfStyle w:val="001000000000" w:firstRow="0" w:lastRow="0" w:firstColumn="1" w:lastColumn="0" w:oddVBand="0" w:evenVBand="0" w:oddHBand="0" w:evenHBand="0" w:firstRowFirstColumn="0" w:firstRowLastColumn="0" w:lastRowFirstColumn="0" w:lastRowLastColumn="0"/>
            <w:tcW w:w="2875" w:type="dxa"/>
            <w:tcBorders>
              <w:top w:val="nil"/>
            </w:tcBorders>
            <w:shd w:val="clear" w:color="auto" w:fill="FFFFFF" w:themeFill="background1"/>
            <w:noWrap/>
            <w:vAlign w:val="bottom"/>
            <w:hideMark/>
          </w:tcPr>
          <w:p w14:paraId="2C131B4B" w14:textId="77777777" w:rsidR="00960AC3" w:rsidRPr="00646254" w:rsidRDefault="00960AC3" w:rsidP="00BC5D24">
            <w:pPr>
              <w:tabs>
                <w:tab w:val="center" w:pos="4680"/>
                <w:tab w:val="right" w:pos="9360"/>
              </w:tabs>
              <w:rPr>
                <w:rFonts w:cstheme="minorHAnsi"/>
                <w:b w:val="0"/>
                <w:color w:val="002060"/>
                <w:sz w:val="14"/>
                <w:szCs w:val="14"/>
                <w:lang w:val="sr-Cyrl-CS"/>
              </w:rPr>
            </w:pPr>
            <w:r w:rsidRPr="00646254">
              <w:rPr>
                <w:rFonts w:cstheme="minorHAnsi"/>
                <w:b w:val="0"/>
                <w:color w:val="002060"/>
                <w:sz w:val="14"/>
                <w:szCs w:val="14"/>
                <w:lang w:val="sr-Cyrl-CS"/>
              </w:rPr>
              <w:t>Фонд ПИО</w:t>
            </w:r>
          </w:p>
        </w:tc>
        <w:tc>
          <w:tcPr>
            <w:tcW w:w="1028" w:type="dxa"/>
            <w:tcBorders>
              <w:top w:val="nil"/>
            </w:tcBorders>
            <w:shd w:val="clear" w:color="auto" w:fill="FFFFFF" w:themeFill="background1"/>
            <w:noWrap/>
            <w:vAlign w:val="bottom"/>
            <w:hideMark/>
          </w:tcPr>
          <w:p w14:paraId="740AD9B8" w14:textId="29345811"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67</w:t>
            </w:r>
            <w:r w:rsidR="00BC5D24" w:rsidRPr="00646254">
              <w:rPr>
                <w:rFonts w:cstheme="minorHAnsi"/>
                <w:color w:val="002060"/>
                <w:sz w:val="14"/>
                <w:szCs w:val="14"/>
                <w:lang w:val="sr-Cyrl-CS"/>
              </w:rPr>
              <w:t>,</w:t>
            </w:r>
            <w:r w:rsidRPr="00646254">
              <w:rPr>
                <w:rFonts w:cstheme="minorHAnsi"/>
                <w:color w:val="002060"/>
                <w:sz w:val="14"/>
                <w:szCs w:val="14"/>
                <w:lang w:val="sr-Cyrl-CS"/>
              </w:rPr>
              <w:t>2</w:t>
            </w:r>
          </w:p>
        </w:tc>
        <w:tc>
          <w:tcPr>
            <w:tcW w:w="1028" w:type="dxa"/>
            <w:tcBorders>
              <w:top w:val="nil"/>
            </w:tcBorders>
            <w:shd w:val="clear" w:color="auto" w:fill="FFFFFF" w:themeFill="background1"/>
            <w:noWrap/>
            <w:vAlign w:val="bottom"/>
            <w:hideMark/>
          </w:tcPr>
          <w:p w14:paraId="5F4F6100" w14:textId="77777777"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42" w:type="dxa"/>
            <w:tcBorders>
              <w:top w:val="nil"/>
            </w:tcBorders>
            <w:shd w:val="clear" w:color="auto" w:fill="FFFFFF" w:themeFill="background1"/>
            <w:noWrap/>
            <w:vAlign w:val="bottom"/>
            <w:hideMark/>
          </w:tcPr>
          <w:p w14:paraId="03493244" w14:textId="77777777"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07" w:type="dxa"/>
            <w:tcBorders>
              <w:top w:val="nil"/>
            </w:tcBorders>
            <w:shd w:val="clear" w:color="auto" w:fill="FFFFFF" w:themeFill="background1"/>
            <w:noWrap/>
            <w:vAlign w:val="bottom"/>
            <w:hideMark/>
          </w:tcPr>
          <w:p w14:paraId="2A1A1872" w14:textId="77777777"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76" w:type="dxa"/>
            <w:tcBorders>
              <w:top w:val="nil"/>
            </w:tcBorders>
            <w:shd w:val="clear" w:color="auto" w:fill="FFFFFF" w:themeFill="background1"/>
            <w:noWrap/>
            <w:vAlign w:val="bottom"/>
            <w:hideMark/>
          </w:tcPr>
          <w:p w14:paraId="46289AAB" w14:textId="77777777"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22" w:type="dxa"/>
            <w:tcBorders>
              <w:top w:val="nil"/>
            </w:tcBorders>
            <w:shd w:val="clear" w:color="auto" w:fill="FFFFFF" w:themeFill="background1"/>
            <w:noWrap/>
            <w:vAlign w:val="bottom"/>
            <w:hideMark/>
          </w:tcPr>
          <w:p w14:paraId="1EC26704" w14:textId="77777777"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76" w:type="dxa"/>
            <w:tcBorders>
              <w:top w:val="nil"/>
            </w:tcBorders>
            <w:shd w:val="clear" w:color="auto" w:fill="FFFFFF" w:themeFill="background1"/>
            <w:noWrap/>
            <w:vAlign w:val="bottom"/>
            <w:hideMark/>
          </w:tcPr>
          <w:p w14:paraId="22F6D694" w14:textId="5DC1094F"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67</w:t>
            </w:r>
            <w:r w:rsidR="00BC5D24" w:rsidRPr="00646254">
              <w:rPr>
                <w:rFonts w:cstheme="minorHAnsi"/>
                <w:color w:val="002060"/>
                <w:sz w:val="14"/>
                <w:szCs w:val="14"/>
                <w:lang w:val="sr-Cyrl-CS"/>
              </w:rPr>
              <w:t>,</w:t>
            </w:r>
            <w:r w:rsidRPr="00646254">
              <w:rPr>
                <w:rFonts w:cstheme="minorHAnsi"/>
                <w:color w:val="002060"/>
                <w:sz w:val="14"/>
                <w:szCs w:val="14"/>
                <w:lang w:val="sr-Cyrl-CS"/>
              </w:rPr>
              <w:t>2</w:t>
            </w:r>
          </w:p>
        </w:tc>
        <w:tc>
          <w:tcPr>
            <w:tcW w:w="1076" w:type="dxa"/>
            <w:tcBorders>
              <w:top w:val="nil"/>
            </w:tcBorders>
            <w:shd w:val="clear" w:color="auto" w:fill="FFFFFF" w:themeFill="background1"/>
            <w:noWrap/>
            <w:vAlign w:val="bottom"/>
            <w:hideMark/>
          </w:tcPr>
          <w:p w14:paraId="7292A23C" w14:textId="77777777"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color w:val="002060"/>
                <w:sz w:val="14"/>
                <w:szCs w:val="14"/>
                <w:lang w:val="sr-Cyrl-CS"/>
              </w:rPr>
            </w:pPr>
          </w:p>
        </w:tc>
        <w:tc>
          <w:tcPr>
            <w:tcW w:w="1076" w:type="dxa"/>
            <w:tcBorders>
              <w:top w:val="nil"/>
            </w:tcBorders>
            <w:shd w:val="clear" w:color="auto" w:fill="FFFFFF" w:themeFill="background1"/>
            <w:noWrap/>
            <w:vAlign w:val="bottom"/>
            <w:hideMark/>
          </w:tcPr>
          <w:p w14:paraId="7E66DA05" w14:textId="74DE9BC2"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64</w:t>
            </w:r>
            <w:r w:rsidR="00BC5D24" w:rsidRPr="00646254">
              <w:rPr>
                <w:rFonts w:cstheme="minorHAnsi"/>
                <w:color w:val="002060"/>
                <w:sz w:val="14"/>
                <w:szCs w:val="14"/>
                <w:lang w:val="sr-Cyrl-CS"/>
              </w:rPr>
              <w:t>,</w:t>
            </w:r>
            <w:r w:rsidRPr="00646254">
              <w:rPr>
                <w:rFonts w:cstheme="minorHAnsi"/>
                <w:color w:val="002060"/>
                <w:sz w:val="14"/>
                <w:szCs w:val="14"/>
                <w:lang w:val="sr-Cyrl-CS"/>
              </w:rPr>
              <w:t>6</w:t>
            </w:r>
          </w:p>
        </w:tc>
        <w:tc>
          <w:tcPr>
            <w:tcW w:w="1076" w:type="dxa"/>
            <w:tcBorders>
              <w:top w:val="nil"/>
            </w:tcBorders>
            <w:shd w:val="clear" w:color="auto" w:fill="FFFFFF" w:themeFill="background1"/>
            <w:noWrap/>
            <w:vAlign w:val="bottom"/>
          </w:tcPr>
          <w:p w14:paraId="4AC6E654" w14:textId="77777777"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color w:val="002060"/>
                <w:sz w:val="14"/>
                <w:szCs w:val="14"/>
                <w:lang w:val="sr-Cyrl-CS"/>
              </w:rPr>
            </w:pPr>
          </w:p>
        </w:tc>
        <w:tc>
          <w:tcPr>
            <w:tcW w:w="1076" w:type="dxa"/>
            <w:tcBorders>
              <w:top w:val="nil"/>
            </w:tcBorders>
            <w:shd w:val="clear" w:color="auto" w:fill="FFFFFF" w:themeFill="background1"/>
            <w:noWrap/>
            <w:vAlign w:val="bottom"/>
            <w:hideMark/>
          </w:tcPr>
          <w:p w14:paraId="4B7F0FBD" w14:textId="772A0F33"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2</w:t>
            </w:r>
            <w:r w:rsidR="00BC5D24" w:rsidRPr="00646254">
              <w:rPr>
                <w:rFonts w:cstheme="minorHAnsi"/>
                <w:color w:val="002060"/>
                <w:sz w:val="14"/>
                <w:szCs w:val="14"/>
                <w:lang w:val="sr-Cyrl-CS"/>
              </w:rPr>
              <w:t>,</w:t>
            </w:r>
            <w:r w:rsidRPr="00646254">
              <w:rPr>
                <w:rFonts w:cstheme="minorHAnsi"/>
                <w:color w:val="002060"/>
                <w:sz w:val="14"/>
                <w:szCs w:val="14"/>
                <w:lang w:val="sr-Cyrl-CS"/>
              </w:rPr>
              <w:t>6</w:t>
            </w:r>
          </w:p>
        </w:tc>
      </w:tr>
      <w:tr w:rsidR="00960AC3" w:rsidRPr="00646254" w14:paraId="794FC826" w14:textId="77777777" w:rsidTr="00BC5D24">
        <w:trPr>
          <w:cnfStyle w:val="000000100000" w:firstRow="0" w:lastRow="0" w:firstColumn="0" w:lastColumn="0" w:oddVBand="0" w:evenVBand="0" w:oddHBand="1" w:evenHBand="0" w:firstRowFirstColumn="0" w:firstRowLastColumn="0" w:lastRowFirstColumn="0" w:lastRowLastColumn="0"/>
          <w:trHeight w:val="148"/>
        </w:trPr>
        <w:tc>
          <w:tcPr>
            <w:cnfStyle w:val="001000000000" w:firstRow="0" w:lastRow="0" w:firstColumn="1" w:lastColumn="0" w:oddVBand="0" w:evenVBand="0" w:oddHBand="0" w:evenHBand="0" w:firstRowFirstColumn="0" w:firstRowLastColumn="0" w:lastRowFirstColumn="0" w:lastRowLastColumn="0"/>
            <w:tcW w:w="2875" w:type="dxa"/>
            <w:tcBorders>
              <w:top w:val="nil"/>
            </w:tcBorders>
            <w:shd w:val="clear" w:color="auto" w:fill="FFFFFF" w:themeFill="background1"/>
            <w:noWrap/>
            <w:vAlign w:val="bottom"/>
            <w:hideMark/>
          </w:tcPr>
          <w:p w14:paraId="5B0867F5" w14:textId="77777777" w:rsidR="00960AC3" w:rsidRPr="00646254" w:rsidRDefault="00960AC3" w:rsidP="00BC5D24">
            <w:pPr>
              <w:tabs>
                <w:tab w:val="center" w:pos="4680"/>
                <w:tab w:val="right" w:pos="9360"/>
              </w:tabs>
              <w:rPr>
                <w:rFonts w:cstheme="minorHAnsi"/>
                <w:b w:val="0"/>
                <w:color w:val="002060"/>
                <w:sz w:val="14"/>
                <w:szCs w:val="14"/>
                <w:lang w:val="sr-Cyrl-CS"/>
              </w:rPr>
            </w:pPr>
            <w:r w:rsidRPr="00646254">
              <w:rPr>
                <w:rFonts w:cstheme="minorHAnsi"/>
                <w:b w:val="0"/>
                <w:color w:val="002060"/>
                <w:sz w:val="14"/>
                <w:szCs w:val="14"/>
                <w:lang w:val="sr-Cyrl-CS"/>
              </w:rPr>
              <w:t>РФЗО</w:t>
            </w:r>
          </w:p>
        </w:tc>
        <w:tc>
          <w:tcPr>
            <w:tcW w:w="1028" w:type="dxa"/>
            <w:tcBorders>
              <w:top w:val="nil"/>
            </w:tcBorders>
            <w:shd w:val="clear" w:color="auto" w:fill="FFFFFF" w:themeFill="background1"/>
            <w:noWrap/>
            <w:vAlign w:val="bottom"/>
            <w:hideMark/>
          </w:tcPr>
          <w:p w14:paraId="6C88FA6B" w14:textId="5066CF43"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4</w:t>
            </w:r>
            <w:r w:rsidR="00BC5D24" w:rsidRPr="00646254">
              <w:rPr>
                <w:rFonts w:cstheme="minorHAnsi"/>
                <w:color w:val="002060"/>
                <w:sz w:val="14"/>
                <w:szCs w:val="14"/>
                <w:lang w:val="sr-Cyrl-CS"/>
              </w:rPr>
              <w:t>,</w:t>
            </w:r>
            <w:r w:rsidRPr="00646254">
              <w:rPr>
                <w:rFonts w:cstheme="minorHAnsi"/>
                <w:color w:val="002060"/>
                <w:sz w:val="14"/>
                <w:szCs w:val="14"/>
                <w:lang w:val="sr-Cyrl-CS"/>
              </w:rPr>
              <w:t>1</w:t>
            </w:r>
          </w:p>
        </w:tc>
        <w:tc>
          <w:tcPr>
            <w:tcW w:w="1028" w:type="dxa"/>
            <w:tcBorders>
              <w:top w:val="nil"/>
            </w:tcBorders>
            <w:shd w:val="clear" w:color="auto" w:fill="FFFFFF" w:themeFill="background1"/>
            <w:noWrap/>
            <w:vAlign w:val="bottom"/>
            <w:hideMark/>
          </w:tcPr>
          <w:p w14:paraId="5DFBC199" w14:textId="77777777"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42" w:type="dxa"/>
            <w:tcBorders>
              <w:top w:val="nil"/>
            </w:tcBorders>
            <w:shd w:val="clear" w:color="auto" w:fill="FFFFFF" w:themeFill="background1"/>
            <w:noWrap/>
            <w:vAlign w:val="bottom"/>
            <w:hideMark/>
          </w:tcPr>
          <w:p w14:paraId="1E3EE59F" w14:textId="77777777"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07" w:type="dxa"/>
            <w:tcBorders>
              <w:top w:val="nil"/>
            </w:tcBorders>
            <w:shd w:val="clear" w:color="auto" w:fill="FFFFFF" w:themeFill="background1"/>
            <w:noWrap/>
            <w:vAlign w:val="bottom"/>
            <w:hideMark/>
          </w:tcPr>
          <w:p w14:paraId="6DFBD2D6" w14:textId="77777777"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76" w:type="dxa"/>
            <w:tcBorders>
              <w:top w:val="nil"/>
            </w:tcBorders>
            <w:shd w:val="clear" w:color="auto" w:fill="FFFFFF" w:themeFill="background1"/>
            <w:noWrap/>
            <w:vAlign w:val="bottom"/>
            <w:hideMark/>
          </w:tcPr>
          <w:p w14:paraId="70D43FEB" w14:textId="77777777"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22" w:type="dxa"/>
            <w:tcBorders>
              <w:top w:val="nil"/>
            </w:tcBorders>
            <w:shd w:val="clear" w:color="auto" w:fill="FFFFFF" w:themeFill="background1"/>
            <w:noWrap/>
            <w:vAlign w:val="bottom"/>
            <w:hideMark/>
          </w:tcPr>
          <w:p w14:paraId="19A51508" w14:textId="77777777"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76" w:type="dxa"/>
            <w:tcBorders>
              <w:top w:val="nil"/>
            </w:tcBorders>
            <w:shd w:val="clear" w:color="auto" w:fill="FFFFFF" w:themeFill="background1"/>
            <w:noWrap/>
            <w:vAlign w:val="bottom"/>
            <w:hideMark/>
          </w:tcPr>
          <w:p w14:paraId="6D2494B7" w14:textId="53601382"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4</w:t>
            </w:r>
            <w:r w:rsidR="00BC5D24" w:rsidRPr="00646254">
              <w:rPr>
                <w:rFonts w:cstheme="minorHAnsi"/>
                <w:color w:val="002060"/>
                <w:sz w:val="14"/>
                <w:szCs w:val="14"/>
                <w:lang w:val="sr-Cyrl-CS"/>
              </w:rPr>
              <w:t>,</w:t>
            </w:r>
            <w:r w:rsidRPr="00646254">
              <w:rPr>
                <w:rFonts w:cstheme="minorHAnsi"/>
                <w:color w:val="002060"/>
                <w:sz w:val="14"/>
                <w:szCs w:val="14"/>
                <w:lang w:val="sr-Cyrl-CS"/>
              </w:rPr>
              <w:t>1</w:t>
            </w:r>
          </w:p>
        </w:tc>
        <w:tc>
          <w:tcPr>
            <w:tcW w:w="1076" w:type="dxa"/>
            <w:tcBorders>
              <w:top w:val="nil"/>
            </w:tcBorders>
            <w:shd w:val="clear" w:color="auto" w:fill="FFFFFF" w:themeFill="background1"/>
            <w:noWrap/>
            <w:vAlign w:val="bottom"/>
            <w:hideMark/>
          </w:tcPr>
          <w:p w14:paraId="2F6A3541" w14:textId="54E1FE56"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4</w:t>
            </w:r>
            <w:r w:rsidR="00BC5D24" w:rsidRPr="00646254">
              <w:rPr>
                <w:rFonts w:cstheme="minorHAnsi"/>
                <w:color w:val="002060"/>
                <w:sz w:val="14"/>
                <w:szCs w:val="14"/>
                <w:lang w:val="sr-Cyrl-CS"/>
              </w:rPr>
              <w:t>,</w:t>
            </w:r>
            <w:r w:rsidRPr="00646254">
              <w:rPr>
                <w:rFonts w:cstheme="minorHAnsi"/>
                <w:color w:val="002060"/>
                <w:sz w:val="14"/>
                <w:szCs w:val="14"/>
                <w:lang w:val="sr-Cyrl-CS"/>
              </w:rPr>
              <w:t>1</w:t>
            </w:r>
          </w:p>
        </w:tc>
        <w:tc>
          <w:tcPr>
            <w:tcW w:w="1076" w:type="dxa"/>
            <w:tcBorders>
              <w:top w:val="nil"/>
            </w:tcBorders>
            <w:shd w:val="clear" w:color="auto" w:fill="FFFFFF" w:themeFill="background1"/>
            <w:noWrap/>
            <w:vAlign w:val="bottom"/>
          </w:tcPr>
          <w:p w14:paraId="1889D35C" w14:textId="77777777"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color w:val="002060"/>
                <w:sz w:val="14"/>
                <w:szCs w:val="14"/>
                <w:lang w:val="sr-Cyrl-CS"/>
              </w:rPr>
            </w:pPr>
          </w:p>
        </w:tc>
        <w:tc>
          <w:tcPr>
            <w:tcW w:w="1076" w:type="dxa"/>
            <w:tcBorders>
              <w:top w:val="nil"/>
            </w:tcBorders>
            <w:shd w:val="clear" w:color="auto" w:fill="FFFFFF" w:themeFill="background1"/>
            <w:noWrap/>
            <w:vAlign w:val="bottom"/>
          </w:tcPr>
          <w:p w14:paraId="7A7E349A" w14:textId="77777777"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color w:val="002060"/>
                <w:sz w:val="14"/>
                <w:szCs w:val="14"/>
                <w:lang w:val="sr-Cyrl-CS"/>
              </w:rPr>
            </w:pPr>
          </w:p>
        </w:tc>
        <w:tc>
          <w:tcPr>
            <w:tcW w:w="1076" w:type="dxa"/>
            <w:tcBorders>
              <w:top w:val="nil"/>
            </w:tcBorders>
            <w:shd w:val="clear" w:color="auto" w:fill="FFFFFF" w:themeFill="background1"/>
            <w:noWrap/>
            <w:vAlign w:val="bottom"/>
          </w:tcPr>
          <w:p w14:paraId="56B50363" w14:textId="77777777"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color w:val="002060"/>
                <w:sz w:val="14"/>
                <w:szCs w:val="14"/>
                <w:lang w:val="sr-Cyrl-CS"/>
              </w:rPr>
            </w:pPr>
          </w:p>
        </w:tc>
      </w:tr>
      <w:tr w:rsidR="00960AC3" w:rsidRPr="00646254" w14:paraId="4FE20B6D" w14:textId="77777777" w:rsidTr="00BC5D24">
        <w:trPr>
          <w:trHeight w:val="87"/>
        </w:trPr>
        <w:tc>
          <w:tcPr>
            <w:cnfStyle w:val="001000000000" w:firstRow="0" w:lastRow="0" w:firstColumn="1" w:lastColumn="0" w:oddVBand="0" w:evenVBand="0" w:oddHBand="0" w:evenHBand="0" w:firstRowFirstColumn="0" w:firstRowLastColumn="0" w:lastRowFirstColumn="0" w:lastRowLastColumn="0"/>
            <w:tcW w:w="2875" w:type="dxa"/>
            <w:tcBorders>
              <w:top w:val="nil"/>
            </w:tcBorders>
            <w:shd w:val="clear" w:color="auto" w:fill="FFFFFF" w:themeFill="background1"/>
            <w:noWrap/>
            <w:vAlign w:val="bottom"/>
            <w:hideMark/>
          </w:tcPr>
          <w:p w14:paraId="04BE5C2F" w14:textId="77777777" w:rsidR="00960AC3" w:rsidRPr="00646254" w:rsidRDefault="00960AC3" w:rsidP="00BC5D24">
            <w:pPr>
              <w:tabs>
                <w:tab w:val="center" w:pos="4680"/>
                <w:tab w:val="right" w:pos="9360"/>
              </w:tabs>
              <w:rPr>
                <w:rFonts w:cstheme="minorHAnsi"/>
                <w:b w:val="0"/>
                <w:color w:val="002060"/>
                <w:sz w:val="14"/>
                <w:szCs w:val="14"/>
                <w:lang w:val="sr-Cyrl-CS"/>
              </w:rPr>
            </w:pPr>
            <w:r w:rsidRPr="00646254">
              <w:rPr>
                <w:rFonts w:cstheme="minorHAnsi"/>
                <w:b w:val="0"/>
                <w:color w:val="002060"/>
                <w:sz w:val="14"/>
                <w:szCs w:val="14"/>
                <w:lang w:val="sr-Cyrl-CS"/>
              </w:rPr>
              <w:t>НСЗ</w:t>
            </w:r>
          </w:p>
        </w:tc>
        <w:tc>
          <w:tcPr>
            <w:tcW w:w="1028" w:type="dxa"/>
            <w:tcBorders>
              <w:top w:val="nil"/>
            </w:tcBorders>
            <w:shd w:val="clear" w:color="auto" w:fill="FFFFFF" w:themeFill="background1"/>
            <w:noWrap/>
            <w:vAlign w:val="bottom"/>
            <w:hideMark/>
          </w:tcPr>
          <w:p w14:paraId="15E32CA7" w14:textId="47E391FA"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5</w:t>
            </w:r>
            <w:r w:rsidR="00BC5D24" w:rsidRPr="00646254">
              <w:rPr>
                <w:rFonts w:cstheme="minorHAnsi"/>
                <w:color w:val="002060"/>
                <w:sz w:val="14"/>
                <w:szCs w:val="14"/>
                <w:lang w:val="sr-Cyrl-CS"/>
              </w:rPr>
              <w:t>,</w:t>
            </w:r>
            <w:r w:rsidRPr="00646254">
              <w:rPr>
                <w:rFonts w:cstheme="minorHAnsi"/>
                <w:color w:val="002060"/>
                <w:sz w:val="14"/>
                <w:szCs w:val="14"/>
                <w:lang w:val="sr-Cyrl-CS"/>
              </w:rPr>
              <w:t>2</w:t>
            </w:r>
          </w:p>
        </w:tc>
        <w:tc>
          <w:tcPr>
            <w:tcW w:w="1028" w:type="dxa"/>
            <w:tcBorders>
              <w:top w:val="nil"/>
            </w:tcBorders>
            <w:shd w:val="clear" w:color="auto" w:fill="FFFFFF" w:themeFill="background1"/>
            <w:noWrap/>
            <w:vAlign w:val="bottom"/>
            <w:hideMark/>
          </w:tcPr>
          <w:p w14:paraId="4734B146" w14:textId="77777777"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42" w:type="dxa"/>
            <w:tcBorders>
              <w:top w:val="nil"/>
            </w:tcBorders>
            <w:shd w:val="clear" w:color="auto" w:fill="FFFFFF" w:themeFill="background1"/>
            <w:noWrap/>
            <w:vAlign w:val="bottom"/>
            <w:hideMark/>
          </w:tcPr>
          <w:p w14:paraId="4B81A385" w14:textId="77777777"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07" w:type="dxa"/>
            <w:tcBorders>
              <w:top w:val="nil"/>
            </w:tcBorders>
            <w:shd w:val="clear" w:color="auto" w:fill="FFFFFF" w:themeFill="background1"/>
            <w:noWrap/>
            <w:vAlign w:val="bottom"/>
            <w:hideMark/>
          </w:tcPr>
          <w:p w14:paraId="476AFE08" w14:textId="77777777"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76" w:type="dxa"/>
            <w:tcBorders>
              <w:top w:val="nil"/>
            </w:tcBorders>
            <w:shd w:val="clear" w:color="auto" w:fill="FFFFFF" w:themeFill="background1"/>
            <w:noWrap/>
            <w:vAlign w:val="bottom"/>
            <w:hideMark/>
          </w:tcPr>
          <w:p w14:paraId="6EA05524" w14:textId="77777777"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22" w:type="dxa"/>
            <w:tcBorders>
              <w:top w:val="nil"/>
            </w:tcBorders>
            <w:shd w:val="clear" w:color="auto" w:fill="FFFFFF" w:themeFill="background1"/>
            <w:noWrap/>
            <w:vAlign w:val="bottom"/>
            <w:hideMark/>
          </w:tcPr>
          <w:p w14:paraId="17EF36EC" w14:textId="77777777"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76" w:type="dxa"/>
            <w:tcBorders>
              <w:top w:val="nil"/>
            </w:tcBorders>
            <w:shd w:val="clear" w:color="auto" w:fill="FFFFFF" w:themeFill="background1"/>
            <w:noWrap/>
            <w:vAlign w:val="bottom"/>
            <w:hideMark/>
          </w:tcPr>
          <w:p w14:paraId="4F1AC47D" w14:textId="19B32F4A"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5</w:t>
            </w:r>
            <w:r w:rsidR="00BC5D24" w:rsidRPr="00646254">
              <w:rPr>
                <w:rFonts w:cstheme="minorHAnsi"/>
                <w:color w:val="002060"/>
                <w:sz w:val="14"/>
                <w:szCs w:val="14"/>
                <w:lang w:val="sr-Cyrl-CS"/>
              </w:rPr>
              <w:t>,</w:t>
            </w:r>
            <w:r w:rsidRPr="00646254">
              <w:rPr>
                <w:rFonts w:cstheme="minorHAnsi"/>
                <w:color w:val="002060"/>
                <w:sz w:val="14"/>
                <w:szCs w:val="14"/>
                <w:lang w:val="sr-Cyrl-CS"/>
              </w:rPr>
              <w:t>2</w:t>
            </w:r>
          </w:p>
        </w:tc>
        <w:tc>
          <w:tcPr>
            <w:tcW w:w="1076" w:type="dxa"/>
            <w:tcBorders>
              <w:top w:val="nil"/>
            </w:tcBorders>
            <w:shd w:val="clear" w:color="auto" w:fill="FFFFFF" w:themeFill="background1"/>
            <w:noWrap/>
            <w:vAlign w:val="bottom"/>
            <w:hideMark/>
          </w:tcPr>
          <w:p w14:paraId="50F0D78F" w14:textId="058AD688"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3</w:t>
            </w:r>
            <w:r w:rsidR="00BC5D24" w:rsidRPr="00646254">
              <w:rPr>
                <w:rFonts w:cstheme="minorHAnsi"/>
                <w:color w:val="002060"/>
                <w:sz w:val="14"/>
                <w:szCs w:val="14"/>
                <w:lang w:val="sr-Cyrl-CS"/>
              </w:rPr>
              <w:t>,</w:t>
            </w:r>
            <w:r w:rsidRPr="00646254">
              <w:rPr>
                <w:rFonts w:cstheme="minorHAnsi"/>
                <w:color w:val="002060"/>
                <w:sz w:val="14"/>
                <w:szCs w:val="14"/>
                <w:lang w:val="sr-Cyrl-CS"/>
              </w:rPr>
              <w:t>7</w:t>
            </w:r>
          </w:p>
        </w:tc>
        <w:tc>
          <w:tcPr>
            <w:tcW w:w="1076" w:type="dxa"/>
            <w:tcBorders>
              <w:top w:val="nil"/>
            </w:tcBorders>
            <w:shd w:val="clear" w:color="auto" w:fill="FFFFFF" w:themeFill="background1"/>
            <w:noWrap/>
            <w:vAlign w:val="bottom"/>
            <w:hideMark/>
          </w:tcPr>
          <w:p w14:paraId="428A7539" w14:textId="6263EABA"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1</w:t>
            </w:r>
            <w:r w:rsidR="00BC5D24" w:rsidRPr="00646254">
              <w:rPr>
                <w:rFonts w:cstheme="minorHAnsi"/>
                <w:color w:val="002060"/>
                <w:sz w:val="14"/>
                <w:szCs w:val="14"/>
                <w:lang w:val="sr-Cyrl-CS"/>
              </w:rPr>
              <w:t>,</w:t>
            </w:r>
            <w:r w:rsidRPr="00646254">
              <w:rPr>
                <w:rFonts w:cstheme="minorHAnsi"/>
                <w:color w:val="002060"/>
                <w:sz w:val="14"/>
                <w:szCs w:val="14"/>
                <w:lang w:val="sr-Cyrl-CS"/>
              </w:rPr>
              <w:t>5</w:t>
            </w:r>
          </w:p>
        </w:tc>
        <w:tc>
          <w:tcPr>
            <w:tcW w:w="1076" w:type="dxa"/>
            <w:tcBorders>
              <w:top w:val="nil"/>
            </w:tcBorders>
            <w:shd w:val="clear" w:color="auto" w:fill="FFFFFF" w:themeFill="background1"/>
            <w:noWrap/>
            <w:vAlign w:val="bottom"/>
          </w:tcPr>
          <w:p w14:paraId="54BFD13D" w14:textId="77777777"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color w:val="002060"/>
                <w:sz w:val="14"/>
                <w:szCs w:val="14"/>
                <w:lang w:val="sr-Cyrl-CS"/>
              </w:rPr>
            </w:pPr>
          </w:p>
        </w:tc>
        <w:tc>
          <w:tcPr>
            <w:tcW w:w="1076" w:type="dxa"/>
            <w:tcBorders>
              <w:top w:val="nil"/>
            </w:tcBorders>
            <w:shd w:val="clear" w:color="auto" w:fill="FFFFFF" w:themeFill="background1"/>
            <w:noWrap/>
            <w:vAlign w:val="bottom"/>
          </w:tcPr>
          <w:p w14:paraId="5DCB0094" w14:textId="77777777"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color w:val="002060"/>
                <w:sz w:val="14"/>
                <w:szCs w:val="14"/>
                <w:lang w:val="sr-Cyrl-CS"/>
              </w:rPr>
            </w:pPr>
          </w:p>
        </w:tc>
      </w:tr>
      <w:tr w:rsidR="00960AC3" w:rsidRPr="00646254" w14:paraId="188B5B7E" w14:textId="77777777" w:rsidTr="00BC5D24">
        <w:trPr>
          <w:cnfStyle w:val="000000100000" w:firstRow="0" w:lastRow="0" w:firstColumn="0" w:lastColumn="0" w:oddVBand="0" w:evenVBand="0" w:oddHBand="1" w:evenHBand="0" w:firstRowFirstColumn="0" w:firstRowLastColumn="0" w:lastRowFirstColumn="0" w:lastRowLastColumn="0"/>
          <w:trHeight w:val="113"/>
        </w:trPr>
        <w:tc>
          <w:tcPr>
            <w:cnfStyle w:val="001000000000" w:firstRow="0" w:lastRow="0" w:firstColumn="1" w:lastColumn="0" w:oddVBand="0" w:evenVBand="0" w:oddHBand="0" w:evenHBand="0" w:firstRowFirstColumn="0" w:firstRowLastColumn="0" w:lastRowFirstColumn="0" w:lastRowLastColumn="0"/>
            <w:tcW w:w="2875" w:type="dxa"/>
            <w:tcBorders>
              <w:top w:val="nil"/>
            </w:tcBorders>
            <w:shd w:val="clear" w:color="auto" w:fill="FFFFFF" w:themeFill="background1"/>
            <w:noWrap/>
            <w:vAlign w:val="bottom"/>
            <w:hideMark/>
          </w:tcPr>
          <w:p w14:paraId="2DDD3063" w14:textId="77777777" w:rsidR="00960AC3" w:rsidRPr="00646254" w:rsidRDefault="00960AC3" w:rsidP="00BC5D24">
            <w:pPr>
              <w:tabs>
                <w:tab w:val="center" w:pos="4680"/>
                <w:tab w:val="right" w:pos="9360"/>
              </w:tabs>
              <w:rPr>
                <w:rFonts w:cstheme="minorHAnsi"/>
                <w:b w:val="0"/>
                <w:color w:val="002060"/>
                <w:sz w:val="14"/>
                <w:szCs w:val="14"/>
                <w:lang w:val="sr-Cyrl-CS"/>
              </w:rPr>
            </w:pPr>
            <w:r w:rsidRPr="00646254">
              <w:rPr>
                <w:rFonts w:cstheme="minorHAnsi"/>
                <w:b w:val="0"/>
                <w:color w:val="002060"/>
                <w:sz w:val="14"/>
                <w:szCs w:val="14"/>
                <w:lang w:val="sr-Cyrl-CS"/>
              </w:rPr>
              <w:t>Фонд СОВО</w:t>
            </w:r>
          </w:p>
        </w:tc>
        <w:tc>
          <w:tcPr>
            <w:tcW w:w="1028" w:type="dxa"/>
            <w:tcBorders>
              <w:top w:val="nil"/>
            </w:tcBorders>
            <w:shd w:val="clear" w:color="auto" w:fill="FFFFFF" w:themeFill="background1"/>
            <w:noWrap/>
            <w:vAlign w:val="bottom"/>
            <w:hideMark/>
          </w:tcPr>
          <w:p w14:paraId="19960D00" w14:textId="2277EFF1"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0</w:t>
            </w:r>
            <w:r w:rsidR="00BC5D24" w:rsidRPr="00646254">
              <w:rPr>
                <w:rFonts w:cstheme="minorHAnsi"/>
                <w:color w:val="002060"/>
                <w:sz w:val="14"/>
                <w:szCs w:val="14"/>
                <w:lang w:val="sr-Cyrl-CS"/>
              </w:rPr>
              <w:t>,</w:t>
            </w:r>
            <w:r w:rsidRPr="00646254">
              <w:rPr>
                <w:rFonts w:cstheme="minorHAnsi"/>
                <w:color w:val="002060"/>
                <w:sz w:val="14"/>
                <w:szCs w:val="14"/>
                <w:lang w:val="sr-Cyrl-CS"/>
              </w:rPr>
              <w:t>0</w:t>
            </w:r>
          </w:p>
        </w:tc>
        <w:tc>
          <w:tcPr>
            <w:tcW w:w="1028" w:type="dxa"/>
            <w:tcBorders>
              <w:top w:val="nil"/>
            </w:tcBorders>
            <w:shd w:val="clear" w:color="auto" w:fill="FFFFFF" w:themeFill="background1"/>
            <w:noWrap/>
            <w:vAlign w:val="bottom"/>
            <w:hideMark/>
          </w:tcPr>
          <w:p w14:paraId="2C7D73F8" w14:textId="77777777"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42" w:type="dxa"/>
            <w:tcBorders>
              <w:top w:val="nil"/>
            </w:tcBorders>
            <w:shd w:val="clear" w:color="auto" w:fill="FFFFFF" w:themeFill="background1"/>
            <w:noWrap/>
            <w:vAlign w:val="bottom"/>
            <w:hideMark/>
          </w:tcPr>
          <w:p w14:paraId="63D6C90F" w14:textId="77777777"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07" w:type="dxa"/>
            <w:tcBorders>
              <w:top w:val="nil"/>
            </w:tcBorders>
            <w:shd w:val="clear" w:color="auto" w:fill="FFFFFF" w:themeFill="background1"/>
            <w:noWrap/>
            <w:vAlign w:val="bottom"/>
            <w:hideMark/>
          </w:tcPr>
          <w:p w14:paraId="41EC27BB" w14:textId="77777777"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76" w:type="dxa"/>
            <w:tcBorders>
              <w:top w:val="nil"/>
            </w:tcBorders>
            <w:shd w:val="clear" w:color="auto" w:fill="FFFFFF" w:themeFill="background1"/>
            <w:noWrap/>
            <w:vAlign w:val="bottom"/>
            <w:hideMark/>
          </w:tcPr>
          <w:p w14:paraId="1BBCFE43" w14:textId="77777777"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22" w:type="dxa"/>
            <w:tcBorders>
              <w:top w:val="nil"/>
            </w:tcBorders>
            <w:shd w:val="clear" w:color="auto" w:fill="FFFFFF" w:themeFill="background1"/>
            <w:noWrap/>
            <w:vAlign w:val="bottom"/>
            <w:hideMark/>
          </w:tcPr>
          <w:p w14:paraId="3C731533" w14:textId="77777777"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76" w:type="dxa"/>
            <w:tcBorders>
              <w:top w:val="nil"/>
            </w:tcBorders>
            <w:shd w:val="clear" w:color="auto" w:fill="FFFFFF" w:themeFill="background1"/>
            <w:noWrap/>
            <w:vAlign w:val="bottom"/>
            <w:hideMark/>
          </w:tcPr>
          <w:p w14:paraId="26011C99" w14:textId="2B86A303"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0</w:t>
            </w:r>
            <w:r w:rsidR="00BC5D24" w:rsidRPr="00646254">
              <w:rPr>
                <w:rFonts w:cstheme="minorHAnsi"/>
                <w:color w:val="002060"/>
                <w:sz w:val="14"/>
                <w:szCs w:val="14"/>
                <w:lang w:val="sr-Cyrl-CS"/>
              </w:rPr>
              <w:t>,</w:t>
            </w:r>
            <w:r w:rsidRPr="00646254">
              <w:rPr>
                <w:rFonts w:cstheme="minorHAnsi"/>
                <w:color w:val="002060"/>
                <w:sz w:val="14"/>
                <w:szCs w:val="14"/>
                <w:lang w:val="sr-Cyrl-CS"/>
              </w:rPr>
              <w:t>0</w:t>
            </w:r>
          </w:p>
        </w:tc>
        <w:tc>
          <w:tcPr>
            <w:tcW w:w="1076" w:type="dxa"/>
            <w:tcBorders>
              <w:top w:val="nil"/>
            </w:tcBorders>
            <w:shd w:val="clear" w:color="auto" w:fill="FFFFFF" w:themeFill="background1"/>
            <w:noWrap/>
            <w:vAlign w:val="bottom"/>
          </w:tcPr>
          <w:p w14:paraId="13B2CF9C" w14:textId="77777777"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color w:val="002060"/>
                <w:sz w:val="14"/>
                <w:szCs w:val="14"/>
                <w:lang w:val="sr-Cyrl-CS"/>
              </w:rPr>
            </w:pPr>
          </w:p>
        </w:tc>
        <w:tc>
          <w:tcPr>
            <w:tcW w:w="1076" w:type="dxa"/>
            <w:tcBorders>
              <w:top w:val="nil"/>
            </w:tcBorders>
            <w:shd w:val="clear" w:color="auto" w:fill="FFFFFF" w:themeFill="background1"/>
            <w:noWrap/>
            <w:vAlign w:val="bottom"/>
          </w:tcPr>
          <w:p w14:paraId="4DD345B9" w14:textId="77777777"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color w:val="002060"/>
                <w:sz w:val="14"/>
                <w:szCs w:val="14"/>
                <w:lang w:val="sr-Cyrl-CS"/>
              </w:rPr>
            </w:pPr>
          </w:p>
        </w:tc>
        <w:tc>
          <w:tcPr>
            <w:tcW w:w="1076" w:type="dxa"/>
            <w:tcBorders>
              <w:top w:val="nil"/>
            </w:tcBorders>
            <w:shd w:val="clear" w:color="auto" w:fill="FFFFFF" w:themeFill="background1"/>
            <w:noWrap/>
            <w:vAlign w:val="bottom"/>
          </w:tcPr>
          <w:p w14:paraId="3D26B0EF" w14:textId="77777777"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color w:val="002060"/>
                <w:sz w:val="14"/>
                <w:szCs w:val="14"/>
                <w:lang w:val="sr-Cyrl-CS"/>
              </w:rPr>
            </w:pPr>
          </w:p>
        </w:tc>
        <w:tc>
          <w:tcPr>
            <w:tcW w:w="1076" w:type="dxa"/>
            <w:tcBorders>
              <w:top w:val="nil"/>
            </w:tcBorders>
            <w:shd w:val="clear" w:color="auto" w:fill="FFFFFF" w:themeFill="background1"/>
            <w:noWrap/>
            <w:vAlign w:val="bottom"/>
          </w:tcPr>
          <w:p w14:paraId="105E9BCA" w14:textId="77777777"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color w:val="002060"/>
                <w:sz w:val="14"/>
                <w:szCs w:val="14"/>
                <w:lang w:val="sr-Cyrl-CS"/>
              </w:rPr>
            </w:pPr>
          </w:p>
        </w:tc>
      </w:tr>
      <w:tr w:rsidR="00960AC3" w:rsidRPr="00646254" w14:paraId="6E677960" w14:textId="77777777" w:rsidTr="00BC5D24">
        <w:trPr>
          <w:trHeight w:val="157"/>
        </w:trPr>
        <w:tc>
          <w:tcPr>
            <w:cnfStyle w:val="001000000000" w:firstRow="0" w:lastRow="0" w:firstColumn="1" w:lastColumn="0" w:oddVBand="0" w:evenVBand="0" w:oddHBand="0" w:evenHBand="0" w:firstRowFirstColumn="0" w:firstRowLastColumn="0" w:lastRowFirstColumn="0" w:lastRowLastColumn="0"/>
            <w:tcW w:w="2875" w:type="dxa"/>
            <w:tcBorders>
              <w:top w:val="nil"/>
            </w:tcBorders>
            <w:shd w:val="clear" w:color="auto" w:fill="FFFFFF" w:themeFill="background1"/>
            <w:noWrap/>
            <w:vAlign w:val="bottom"/>
            <w:hideMark/>
          </w:tcPr>
          <w:p w14:paraId="3541B2B6" w14:textId="77777777" w:rsidR="00960AC3" w:rsidRPr="00646254" w:rsidRDefault="00960AC3" w:rsidP="00BC5D24">
            <w:pPr>
              <w:tabs>
                <w:tab w:val="center" w:pos="4680"/>
                <w:tab w:val="right" w:pos="9360"/>
              </w:tabs>
              <w:rPr>
                <w:rFonts w:cstheme="minorHAnsi"/>
                <w:b w:val="0"/>
                <w:color w:val="002060"/>
                <w:sz w:val="14"/>
                <w:szCs w:val="14"/>
                <w:lang w:val="sr-Cyrl-CS"/>
              </w:rPr>
            </w:pPr>
            <w:r w:rsidRPr="00646254">
              <w:rPr>
                <w:rFonts w:cstheme="minorHAnsi"/>
                <w:b w:val="0"/>
                <w:color w:val="002060"/>
                <w:sz w:val="14"/>
                <w:szCs w:val="14"/>
                <w:lang w:val="sr-Cyrl-CS"/>
              </w:rPr>
              <w:t>Остали нивои</w:t>
            </w:r>
          </w:p>
        </w:tc>
        <w:tc>
          <w:tcPr>
            <w:tcW w:w="1028" w:type="dxa"/>
            <w:tcBorders>
              <w:top w:val="nil"/>
            </w:tcBorders>
            <w:shd w:val="clear" w:color="auto" w:fill="FFFFFF" w:themeFill="background1"/>
            <w:noWrap/>
            <w:vAlign w:val="bottom"/>
            <w:hideMark/>
          </w:tcPr>
          <w:p w14:paraId="3471C3F7" w14:textId="1718219F"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0</w:t>
            </w:r>
            <w:r w:rsidR="00BC5D24" w:rsidRPr="00646254">
              <w:rPr>
                <w:rFonts w:cstheme="minorHAnsi"/>
                <w:color w:val="002060"/>
                <w:sz w:val="14"/>
                <w:szCs w:val="14"/>
                <w:lang w:val="sr-Cyrl-CS"/>
              </w:rPr>
              <w:t>,</w:t>
            </w:r>
            <w:r w:rsidRPr="00646254">
              <w:rPr>
                <w:rFonts w:cstheme="minorHAnsi"/>
                <w:color w:val="002060"/>
                <w:sz w:val="14"/>
                <w:szCs w:val="14"/>
                <w:lang w:val="sr-Cyrl-CS"/>
              </w:rPr>
              <w:t>0</w:t>
            </w:r>
          </w:p>
        </w:tc>
        <w:tc>
          <w:tcPr>
            <w:tcW w:w="1028" w:type="dxa"/>
            <w:tcBorders>
              <w:top w:val="nil"/>
            </w:tcBorders>
            <w:shd w:val="clear" w:color="auto" w:fill="FFFFFF" w:themeFill="background1"/>
            <w:noWrap/>
            <w:vAlign w:val="bottom"/>
            <w:hideMark/>
          </w:tcPr>
          <w:p w14:paraId="0B779806" w14:textId="77777777"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42" w:type="dxa"/>
            <w:tcBorders>
              <w:top w:val="nil"/>
            </w:tcBorders>
            <w:shd w:val="clear" w:color="auto" w:fill="FFFFFF" w:themeFill="background1"/>
            <w:noWrap/>
            <w:vAlign w:val="bottom"/>
            <w:hideMark/>
          </w:tcPr>
          <w:p w14:paraId="060FE7FD" w14:textId="77777777"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07" w:type="dxa"/>
            <w:tcBorders>
              <w:top w:val="nil"/>
            </w:tcBorders>
            <w:shd w:val="clear" w:color="auto" w:fill="FFFFFF" w:themeFill="background1"/>
            <w:noWrap/>
            <w:vAlign w:val="bottom"/>
            <w:hideMark/>
          </w:tcPr>
          <w:p w14:paraId="2B43852A" w14:textId="77777777"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76" w:type="dxa"/>
            <w:tcBorders>
              <w:top w:val="nil"/>
            </w:tcBorders>
            <w:shd w:val="clear" w:color="auto" w:fill="FFFFFF" w:themeFill="background1"/>
            <w:noWrap/>
            <w:vAlign w:val="bottom"/>
            <w:hideMark/>
          </w:tcPr>
          <w:p w14:paraId="58587532" w14:textId="77777777"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22" w:type="dxa"/>
            <w:tcBorders>
              <w:top w:val="nil"/>
            </w:tcBorders>
            <w:shd w:val="clear" w:color="auto" w:fill="FFFFFF" w:themeFill="background1"/>
            <w:noWrap/>
            <w:vAlign w:val="bottom"/>
            <w:hideMark/>
          </w:tcPr>
          <w:p w14:paraId="5494F04E" w14:textId="77777777"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76" w:type="dxa"/>
            <w:tcBorders>
              <w:top w:val="nil"/>
            </w:tcBorders>
            <w:shd w:val="clear" w:color="auto" w:fill="FFFFFF" w:themeFill="background1"/>
            <w:noWrap/>
            <w:vAlign w:val="bottom"/>
            <w:hideMark/>
          </w:tcPr>
          <w:p w14:paraId="70D3C4D0" w14:textId="74D0A889"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0</w:t>
            </w:r>
            <w:r w:rsidR="00BC5D24" w:rsidRPr="00646254">
              <w:rPr>
                <w:rFonts w:cstheme="minorHAnsi"/>
                <w:color w:val="002060"/>
                <w:sz w:val="14"/>
                <w:szCs w:val="14"/>
                <w:lang w:val="sr-Cyrl-CS"/>
              </w:rPr>
              <w:t>,</w:t>
            </w:r>
            <w:r w:rsidRPr="00646254">
              <w:rPr>
                <w:rFonts w:cstheme="minorHAnsi"/>
                <w:color w:val="002060"/>
                <w:sz w:val="14"/>
                <w:szCs w:val="14"/>
                <w:lang w:val="sr-Cyrl-CS"/>
              </w:rPr>
              <w:t>0</w:t>
            </w:r>
          </w:p>
        </w:tc>
        <w:tc>
          <w:tcPr>
            <w:tcW w:w="1076" w:type="dxa"/>
            <w:tcBorders>
              <w:top w:val="nil"/>
            </w:tcBorders>
            <w:shd w:val="clear" w:color="auto" w:fill="FFFFFF" w:themeFill="background1"/>
            <w:noWrap/>
            <w:vAlign w:val="bottom"/>
          </w:tcPr>
          <w:p w14:paraId="07324FA9" w14:textId="77777777"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color w:val="002060"/>
                <w:sz w:val="14"/>
                <w:szCs w:val="14"/>
                <w:lang w:val="sr-Cyrl-CS"/>
              </w:rPr>
            </w:pPr>
          </w:p>
        </w:tc>
        <w:tc>
          <w:tcPr>
            <w:tcW w:w="1076" w:type="dxa"/>
            <w:tcBorders>
              <w:top w:val="nil"/>
            </w:tcBorders>
            <w:shd w:val="clear" w:color="auto" w:fill="FFFFFF" w:themeFill="background1"/>
            <w:noWrap/>
            <w:vAlign w:val="bottom"/>
          </w:tcPr>
          <w:p w14:paraId="3026AFAE" w14:textId="77777777"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color w:val="002060"/>
                <w:sz w:val="14"/>
                <w:szCs w:val="14"/>
                <w:lang w:val="sr-Cyrl-CS"/>
              </w:rPr>
            </w:pPr>
          </w:p>
        </w:tc>
        <w:tc>
          <w:tcPr>
            <w:tcW w:w="1076" w:type="dxa"/>
            <w:tcBorders>
              <w:top w:val="nil"/>
            </w:tcBorders>
            <w:shd w:val="clear" w:color="auto" w:fill="FFFFFF" w:themeFill="background1"/>
            <w:noWrap/>
            <w:vAlign w:val="bottom"/>
          </w:tcPr>
          <w:p w14:paraId="572E8345" w14:textId="77777777"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color w:val="002060"/>
                <w:sz w:val="14"/>
                <w:szCs w:val="14"/>
                <w:lang w:val="sr-Cyrl-CS"/>
              </w:rPr>
            </w:pPr>
          </w:p>
        </w:tc>
        <w:tc>
          <w:tcPr>
            <w:tcW w:w="1076" w:type="dxa"/>
            <w:tcBorders>
              <w:top w:val="nil"/>
            </w:tcBorders>
            <w:shd w:val="clear" w:color="auto" w:fill="FFFFFF" w:themeFill="background1"/>
            <w:noWrap/>
            <w:vAlign w:val="bottom"/>
          </w:tcPr>
          <w:p w14:paraId="2E6EDED6" w14:textId="77777777"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color w:val="002060"/>
                <w:sz w:val="14"/>
                <w:szCs w:val="14"/>
                <w:lang w:val="sr-Cyrl-CS"/>
              </w:rPr>
            </w:pPr>
          </w:p>
        </w:tc>
      </w:tr>
      <w:tr w:rsidR="00960AC3" w:rsidRPr="00646254" w14:paraId="1952E48D" w14:textId="77777777" w:rsidTr="00BC5D24">
        <w:trPr>
          <w:cnfStyle w:val="000000100000" w:firstRow="0" w:lastRow="0" w:firstColumn="0" w:lastColumn="0" w:oddVBand="0" w:evenVBand="0" w:oddHBand="1" w:evenHBand="0" w:firstRowFirstColumn="0" w:firstRowLastColumn="0" w:lastRowFirstColumn="0" w:lastRowLastColumn="0"/>
          <w:trHeight w:val="87"/>
        </w:trPr>
        <w:tc>
          <w:tcPr>
            <w:cnfStyle w:val="001000000000" w:firstRow="0" w:lastRow="0" w:firstColumn="1" w:lastColumn="0" w:oddVBand="0" w:evenVBand="0" w:oddHBand="0" w:evenHBand="0" w:firstRowFirstColumn="0" w:firstRowLastColumn="0" w:lastRowFirstColumn="0" w:lastRowLastColumn="0"/>
            <w:tcW w:w="2875" w:type="dxa"/>
            <w:tcBorders>
              <w:top w:val="nil"/>
            </w:tcBorders>
            <w:shd w:val="clear" w:color="auto" w:fill="FFFFFF" w:themeFill="background1"/>
            <w:noWrap/>
            <w:vAlign w:val="bottom"/>
            <w:hideMark/>
          </w:tcPr>
          <w:p w14:paraId="12A85C93" w14:textId="1DD68634" w:rsidR="00960AC3" w:rsidRPr="00646254" w:rsidRDefault="006509F4" w:rsidP="00BC5D24">
            <w:pPr>
              <w:tabs>
                <w:tab w:val="center" w:pos="4680"/>
                <w:tab w:val="right" w:pos="9360"/>
              </w:tabs>
              <w:rPr>
                <w:rFonts w:cstheme="minorHAnsi"/>
                <w:b w:val="0"/>
                <w:color w:val="002060"/>
                <w:sz w:val="14"/>
                <w:szCs w:val="14"/>
                <w:lang w:val="sr-Cyrl-CS"/>
              </w:rPr>
            </w:pPr>
            <w:r w:rsidRPr="00646254">
              <w:rPr>
                <w:rFonts w:cstheme="minorHAnsi"/>
                <w:b w:val="0"/>
                <w:color w:val="002060"/>
                <w:sz w:val="14"/>
                <w:szCs w:val="14"/>
                <w:lang w:val="sr-Cyrl-CS"/>
              </w:rPr>
              <w:t xml:space="preserve">Трансфери </w:t>
            </w:r>
            <w:r w:rsidR="00960AC3" w:rsidRPr="00646254">
              <w:rPr>
                <w:rFonts w:cstheme="minorHAnsi"/>
                <w:b w:val="0"/>
                <w:color w:val="002060"/>
                <w:sz w:val="14"/>
                <w:szCs w:val="14"/>
                <w:lang w:val="sr-Cyrl-CS"/>
              </w:rPr>
              <w:t>другим нивоима власти</w:t>
            </w:r>
          </w:p>
        </w:tc>
        <w:tc>
          <w:tcPr>
            <w:tcW w:w="1028" w:type="dxa"/>
            <w:tcBorders>
              <w:top w:val="nil"/>
            </w:tcBorders>
            <w:shd w:val="clear" w:color="auto" w:fill="FFFFFF" w:themeFill="background1"/>
            <w:noWrap/>
            <w:vAlign w:val="bottom"/>
            <w:hideMark/>
          </w:tcPr>
          <w:p w14:paraId="5FF44140" w14:textId="0BC79AE6"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411</w:t>
            </w:r>
            <w:r w:rsidR="00BC5D24" w:rsidRPr="00646254">
              <w:rPr>
                <w:rFonts w:cstheme="minorHAnsi"/>
                <w:color w:val="002060"/>
                <w:sz w:val="14"/>
                <w:szCs w:val="14"/>
                <w:lang w:val="sr-Cyrl-CS"/>
              </w:rPr>
              <w:t>,</w:t>
            </w:r>
            <w:r w:rsidRPr="00646254">
              <w:rPr>
                <w:rFonts w:cstheme="minorHAnsi"/>
                <w:color w:val="002060"/>
                <w:sz w:val="14"/>
                <w:szCs w:val="14"/>
                <w:lang w:val="sr-Cyrl-CS"/>
              </w:rPr>
              <w:t>2</w:t>
            </w:r>
          </w:p>
        </w:tc>
        <w:tc>
          <w:tcPr>
            <w:tcW w:w="1028" w:type="dxa"/>
            <w:tcBorders>
              <w:top w:val="nil"/>
            </w:tcBorders>
            <w:shd w:val="clear" w:color="auto" w:fill="FFFFFF" w:themeFill="background1"/>
            <w:noWrap/>
            <w:vAlign w:val="bottom"/>
            <w:hideMark/>
          </w:tcPr>
          <w:p w14:paraId="387829E3" w14:textId="7D64346E"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327</w:t>
            </w:r>
            <w:r w:rsidR="00BC5D24" w:rsidRPr="00646254">
              <w:rPr>
                <w:rFonts w:cstheme="minorHAnsi"/>
                <w:color w:val="002060"/>
                <w:sz w:val="14"/>
                <w:szCs w:val="14"/>
                <w:lang w:val="sr-Cyrl-CS"/>
              </w:rPr>
              <w:t>,</w:t>
            </w:r>
            <w:r w:rsidRPr="00646254">
              <w:rPr>
                <w:rFonts w:cstheme="minorHAnsi"/>
                <w:color w:val="002060"/>
                <w:sz w:val="14"/>
                <w:szCs w:val="14"/>
                <w:lang w:val="sr-Cyrl-CS"/>
              </w:rPr>
              <w:t>4</w:t>
            </w:r>
          </w:p>
        </w:tc>
        <w:tc>
          <w:tcPr>
            <w:tcW w:w="1042" w:type="dxa"/>
            <w:tcBorders>
              <w:top w:val="nil"/>
            </w:tcBorders>
            <w:shd w:val="clear" w:color="auto" w:fill="FFFFFF" w:themeFill="background1"/>
            <w:noWrap/>
            <w:vAlign w:val="bottom"/>
            <w:hideMark/>
          </w:tcPr>
          <w:p w14:paraId="74EBCA0B" w14:textId="0D6D7203"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7</w:t>
            </w:r>
            <w:r w:rsidR="00BC5D24" w:rsidRPr="00646254">
              <w:rPr>
                <w:rFonts w:cstheme="minorHAnsi"/>
                <w:color w:val="002060"/>
                <w:sz w:val="14"/>
                <w:szCs w:val="14"/>
                <w:lang w:val="sr-Cyrl-CS"/>
              </w:rPr>
              <w:t>,</w:t>
            </w:r>
            <w:r w:rsidRPr="00646254">
              <w:rPr>
                <w:rFonts w:cstheme="minorHAnsi"/>
                <w:color w:val="002060"/>
                <w:sz w:val="14"/>
                <w:szCs w:val="14"/>
                <w:lang w:val="sr-Cyrl-CS"/>
              </w:rPr>
              <w:t>4</w:t>
            </w:r>
          </w:p>
        </w:tc>
        <w:tc>
          <w:tcPr>
            <w:tcW w:w="1007" w:type="dxa"/>
            <w:tcBorders>
              <w:top w:val="nil"/>
            </w:tcBorders>
            <w:shd w:val="clear" w:color="auto" w:fill="FFFFFF" w:themeFill="background1"/>
            <w:noWrap/>
            <w:vAlign w:val="bottom"/>
            <w:hideMark/>
          </w:tcPr>
          <w:p w14:paraId="14B30D5F" w14:textId="4B82DB5F"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7</w:t>
            </w:r>
            <w:r w:rsidR="00BC5D24" w:rsidRPr="00646254">
              <w:rPr>
                <w:rFonts w:cstheme="minorHAnsi"/>
                <w:color w:val="002060"/>
                <w:sz w:val="14"/>
                <w:szCs w:val="14"/>
                <w:lang w:val="sr-Cyrl-CS"/>
              </w:rPr>
              <w:t>,</w:t>
            </w:r>
            <w:r w:rsidRPr="00646254">
              <w:rPr>
                <w:rFonts w:cstheme="minorHAnsi"/>
                <w:color w:val="002060"/>
                <w:sz w:val="14"/>
                <w:szCs w:val="14"/>
                <w:lang w:val="sr-Cyrl-CS"/>
              </w:rPr>
              <w:t>4</w:t>
            </w:r>
          </w:p>
        </w:tc>
        <w:tc>
          <w:tcPr>
            <w:tcW w:w="1076" w:type="dxa"/>
            <w:tcBorders>
              <w:top w:val="nil"/>
            </w:tcBorders>
            <w:shd w:val="clear" w:color="auto" w:fill="FFFFFF" w:themeFill="background1"/>
            <w:noWrap/>
            <w:vAlign w:val="bottom"/>
          </w:tcPr>
          <w:p w14:paraId="3414B547" w14:textId="77777777"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color w:val="002060"/>
                <w:sz w:val="14"/>
                <w:szCs w:val="14"/>
                <w:lang w:val="sr-Cyrl-CS"/>
              </w:rPr>
            </w:pPr>
          </w:p>
        </w:tc>
        <w:tc>
          <w:tcPr>
            <w:tcW w:w="1022" w:type="dxa"/>
            <w:tcBorders>
              <w:top w:val="nil"/>
            </w:tcBorders>
            <w:shd w:val="clear" w:color="auto" w:fill="FFFFFF" w:themeFill="background1"/>
            <w:noWrap/>
            <w:vAlign w:val="bottom"/>
          </w:tcPr>
          <w:p w14:paraId="197B2E60" w14:textId="77777777"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color w:val="002060"/>
                <w:sz w:val="14"/>
                <w:szCs w:val="14"/>
                <w:lang w:val="sr-Cyrl-CS"/>
              </w:rPr>
            </w:pPr>
          </w:p>
        </w:tc>
        <w:tc>
          <w:tcPr>
            <w:tcW w:w="1076" w:type="dxa"/>
            <w:tcBorders>
              <w:top w:val="nil"/>
            </w:tcBorders>
            <w:shd w:val="clear" w:color="auto" w:fill="FFFFFF" w:themeFill="background1"/>
            <w:noWrap/>
            <w:vAlign w:val="bottom"/>
            <w:hideMark/>
          </w:tcPr>
          <w:p w14:paraId="25AEDA97" w14:textId="414F3A23"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76</w:t>
            </w:r>
            <w:r w:rsidR="00BC5D24" w:rsidRPr="00646254">
              <w:rPr>
                <w:rFonts w:cstheme="minorHAnsi"/>
                <w:color w:val="002060"/>
                <w:sz w:val="14"/>
                <w:szCs w:val="14"/>
                <w:lang w:val="sr-Cyrl-CS"/>
              </w:rPr>
              <w:t>,</w:t>
            </w:r>
            <w:r w:rsidRPr="00646254">
              <w:rPr>
                <w:rFonts w:cstheme="minorHAnsi"/>
                <w:color w:val="002060"/>
                <w:sz w:val="14"/>
                <w:szCs w:val="14"/>
                <w:lang w:val="sr-Cyrl-CS"/>
              </w:rPr>
              <w:t>4</w:t>
            </w:r>
          </w:p>
        </w:tc>
        <w:tc>
          <w:tcPr>
            <w:tcW w:w="1076" w:type="dxa"/>
            <w:tcBorders>
              <w:top w:val="nil"/>
            </w:tcBorders>
            <w:shd w:val="clear" w:color="auto" w:fill="FFFFFF" w:themeFill="background1"/>
            <w:noWrap/>
            <w:vAlign w:val="bottom"/>
            <w:hideMark/>
          </w:tcPr>
          <w:p w14:paraId="400491CC" w14:textId="2C98CC42"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67</w:t>
            </w:r>
            <w:r w:rsidR="00BC5D24" w:rsidRPr="00646254">
              <w:rPr>
                <w:rFonts w:cstheme="minorHAnsi"/>
                <w:color w:val="002060"/>
                <w:sz w:val="14"/>
                <w:szCs w:val="14"/>
                <w:lang w:val="sr-Cyrl-CS"/>
              </w:rPr>
              <w:t>,</w:t>
            </w:r>
            <w:r w:rsidRPr="00646254">
              <w:rPr>
                <w:rFonts w:cstheme="minorHAnsi"/>
                <w:color w:val="002060"/>
                <w:sz w:val="14"/>
                <w:szCs w:val="14"/>
                <w:lang w:val="sr-Cyrl-CS"/>
              </w:rPr>
              <w:t>2</w:t>
            </w:r>
          </w:p>
        </w:tc>
        <w:tc>
          <w:tcPr>
            <w:tcW w:w="1076" w:type="dxa"/>
            <w:tcBorders>
              <w:top w:val="nil"/>
            </w:tcBorders>
            <w:shd w:val="clear" w:color="auto" w:fill="FFFFFF" w:themeFill="background1"/>
            <w:noWrap/>
            <w:vAlign w:val="bottom"/>
            <w:hideMark/>
          </w:tcPr>
          <w:p w14:paraId="0A5A08C4" w14:textId="565957E5"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4</w:t>
            </w:r>
            <w:r w:rsidR="00BC5D24" w:rsidRPr="00646254">
              <w:rPr>
                <w:rFonts w:cstheme="minorHAnsi"/>
                <w:color w:val="002060"/>
                <w:sz w:val="14"/>
                <w:szCs w:val="14"/>
                <w:lang w:val="sr-Cyrl-CS"/>
              </w:rPr>
              <w:t>,</w:t>
            </w:r>
            <w:r w:rsidRPr="00646254">
              <w:rPr>
                <w:rFonts w:cstheme="minorHAnsi"/>
                <w:color w:val="002060"/>
                <w:sz w:val="14"/>
                <w:szCs w:val="14"/>
                <w:lang w:val="sr-Cyrl-CS"/>
              </w:rPr>
              <w:t>1</w:t>
            </w:r>
          </w:p>
        </w:tc>
        <w:tc>
          <w:tcPr>
            <w:tcW w:w="1076" w:type="dxa"/>
            <w:tcBorders>
              <w:top w:val="nil"/>
            </w:tcBorders>
            <w:shd w:val="clear" w:color="auto" w:fill="FFFFFF" w:themeFill="background1"/>
            <w:noWrap/>
            <w:vAlign w:val="bottom"/>
            <w:hideMark/>
          </w:tcPr>
          <w:p w14:paraId="3B0F0FE2" w14:textId="25DBF39D"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5</w:t>
            </w:r>
            <w:r w:rsidR="00BC5D24" w:rsidRPr="00646254">
              <w:rPr>
                <w:rFonts w:cstheme="minorHAnsi"/>
                <w:color w:val="002060"/>
                <w:sz w:val="14"/>
                <w:szCs w:val="14"/>
                <w:lang w:val="sr-Cyrl-CS"/>
              </w:rPr>
              <w:t>,</w:t>
            </w:r>
            <w:r w:rsidRPr="00646254">
              <w:rPr>
                <w:rFonts w:cstheme="minorHAnsi"/>
                <w:color w:val="002060"/>
                <w:sz w:val="14"/>
                <w:szCs w:val="14"/>
                <w:lang w:val="sr-Cyrl-CS"/>
              </w:rPr>
              <w:t>2</w:t>
            </w:r>
          </w:p>
        </w:tc>
        <w:tc>
          <w:tcPr>
            <w:tcW w:w="1076" w:type="dxa"/>
            <w:tcBorders>
              <w:top w:val="nil"/>
            </w:tcBorders>
            <w:shd w:val="clear" w:color="auto" w:fill="FFFFFF" w:themeFill="background1"/>
            <w:noWrap/>
            <w:vAlign w:val="bottom"/>
          </w:tcPr>
          <w:p w14:paraId="4BE13248" w14:textId="77777777"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color w:val="002060"/>
                <w:sz w:val="14"/>
                <w:szCs w:val="14"/>
                <w:lang w:val="sr-Cyrl-CS"/>
              </w:rPr>
            </w:pPr>
          </w:p>
        </w:tc>
      </w:tr>
      <w:tr w:rsidR="00960AC3" w:rsidRPr="00646254" w14:paraId="61074D4B" w14:textId="77777777" w:rsidTr="00BC5D24">
        <w:trPr>
          <w:trHeight w:val="113"/>
        </w:trPr>
        <w:tc>
          <w:tcPr>
            <w:cnfStyle w:val="001000000000" w:firstRow="0" w:lastRow="0" w:firstColumn="1" w:lastColumn="0" w:oddVBand="0" w:evenVBand="0" w:oddHBand="0" w:evenHBand="0" w:firstRowFirstColumn="0" w:firstRowLastColumn="0" w:lastRowFirstColumn="0" w:lastRowLastColumn="0"/>
            <w:tcW w:w="2875" w:type="dxa"/>
            <w:tcBorders>
              <w:top w:val="nil"/>
            </w:tcBorders>
            <w:shd w:val="clear" w:color="auto" w:fill="FFFFFF" w:themeFill="background1"/>
            <w:noWrap/>
            <w:vAlign w:val="bottom"/>
            <w:hideMark/>
          </w:tcPr>
          <w:p w14:paraId="1C16BA62" w14:textId="77777777" w:rsidR="00960AC3" w:rsidRPr="00646254" w:rsidRDefault="00960AC3" w:rsidP="00BC5D24">
            <w:pPr>
              <w:tabs>
                <w:tab w:val="center" w:pos="4680"/>
                <w:tab w:val="right" w:pos="9360"/>
              </w:tabs>
              <w:rPr>
                <w:rFonts w:cstheme="minorHAnsi"/>
                <w:b w:val="0"/>
                <w:color w:val="002060"/>
                <w:sz w:val="14"/>
                <w:szCs w:val="14"/>
                <w:lang w:val="sr-Cyrl-CS"/>
              </w:rPr>
            </w:pPr>
            <w:r w:rsidRPr="00646254">
              <w:rPr>
                <w:rFonts w:cstheme="minorHAnsi"/>
                <w:b w:val="0"/>
                <w:color w:val="002060"/>
                <w:sz w:val="14"/>
                <w:szCs w:val="14"/>
                <w:lang w:val="sr-Cyrl-CS"/>
              </w:rPr>
              <w:t>Буџет Републике</w:t>
            </w:r>
          </w:p>
        </w:tc>
        <w:tc>
          <w:tcPr>
            <w:tcW w:w="1028" w:type="dxa"/>
            <w:tcBorders>
              <w:top w:val="nil"/>
            </w:tcBorders>
            <w:shd w:val="clear" w:color="auto" w:fill="FFFFFF" w:themeFill="background1"/>
            <w:noWrap/>
            <w:vAlign w:val="bottom"/>
            <w:hideMark/>
          </w:tcPr>
          <w:p w14:paraId="2EF90E2E" w14:textId="45DDD822"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7</w:t>
            </w:r>
            <w:r w:rsidR="00BC5D24" w:rsidRPr="00646254">
              <w:rPr>
                <w:rFonts w:cstheme="minorHAnsi"/>
                <w:color w:val="002060"/>
                <w:sz w:val="14"/>
                <w:szCs w:val="14"/>
                <w:lang w:val="sr-Cyrl-CS"/>
              </w:rPr>
              <w:t>,</w:t>
            </w:r>
            <w:r w:rsidRPr="00646254">
              <w:rPr>
                <w:rFonts w:cstheme="minorHAnsi"/>
                <w:color w:val="002060"/>
                <w:sz w:val="14"/>
                <w:szCs w:val="14"/>
                <w:lang w:val="sr-Cyrl-CS"/>
              </w:rPr>
              <w:t>4</w:t>
            </w:r>
          </w:p>
        </w:tc>
        <w:tc>
          <w:tcPr>
            <w:tcW w:w="1028" w:type="dxa"/>
            <w:tcBorders>
              <w:top w:val="nil"/>
            </w:tcBorders>
            <w:shd w:val="clear" w:color="auto" w:fill="FFFFFF" w:themeFill="background1"/>
            <w:noWrap/>
            <w:vAlign w:val="bottom"/>
            <w:hideMark/>
          </w:tcPr>
          <w:p w14:paraId="23A1C69E" w14:textId="77777777"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color w:val="002060"/>
                <w:sz w:val="14"/>
                <w:szCs w:val="14"/>
                <w:lang w:val="sr-Cyrl-CS"/>
              </w:rPr>
            </w:pPr>
          </w:p>
        </w:tc>
        <w:tc>
          <w:tcPr>
            <w:tcW w:w="1042" w:type="dxa"/>
            <w:tcBorders>
              <w:top w:val="nil"/>
            </w:tcBorders>
            <w:shd w:val="clear" w:color="auto" w:fill="FFFFFF" w:themeFill="background1"/>
            <w:noWrap/>
            <w:vAlign w:val="bottom"/>
            <w:hideMark/>
          </w:tcPr>
          <w:p w14:paraId="104D4EF4" w14:textId="68482A29"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7</w:t>
            </w:r>
            <w:r w:rsidR="00BC5D24" w:rsidRPr="00646254">
              <w:rPr>
                <w:rFonts w:cstheme="minorHAnsi"/>
                <w:color w:val="002060"/>
                <w:sz w:val="14"/>
                <w:szCs w:val="14"/>
                <w:lang w:val="sr-Cyrl-CS"/>
              </w:rPr>
              <w:t>,</w:t>
            </w:r>
            <w:r w:rsidRPr="00646254">
              <w:rPr>
                <w:rFonts w:cstheme="minorHAnsi"/>
                <w:color w:val="002060"/>
                <w:sz w:val="14"/>
                <w:szCs w:val="14"/>
                <w:lang w:val="sr-Cyrl-CS"/>
              </w:rPr>
              <w:t>4</w:t>
            </w:r>
          </w:p>
        </w:tc>
        <w:tc>
          <w:tcPr>
            <w:tcW w:w="1007" w:type="dxa"/>
            <w:tcBorders>
              <w:top w:val="nil"/>
            </w:tcBorders>
            <w:shd w:val="clear" w:color="auto" w:fill="FFFFFF" w:themeFill="background1"/>
            <w:noWrap/>
            <w:vAlign w:val="bottom"/>
            <w:hideMark/>
          </w:tcPr>
          <w:p w14:paraId="00DA98EC" w14:textId="43A1791C"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7</w:t>
            </w:r>
            <w:r w:rsidR="00BC5D24" w:rsidRPr="00646254">
              <w:rPr>
                <w:rFonts w:cstheme="minorHAnsi"/>
                <w:color w:val="002060"/>
                <w:sz w:val="14"/>
                <w:szCs w:val="14"/>
                <w:lang w:val="sr-Cyrl-CS"/>
              </w:rPr>
              <w:t>,</w:t>
            </w:r>
            <w:r w:rsidRPr="00646254">
              <w:rPr>
                <w:rFonts w:cstheme="minorHAnsi"/>
                <w:color w:val="002060"/>
                <w:sz w:val="14"/>
                <w:szCs w:val="14"/>
                <w:lang w:val="sr-Cyrl-CS"/>
              </w:rPr>
              <w:t>4</w:t>
            </w:r>
          </w:p>
        </w:tc>
        <w:tc>
          <w:tcPr>
            <w:tcW w:w="1076" w:type="dxa"/>
            <w:tcBorders>
              <w:top w:val="nil"/>
            </w:tcBorders>
            <w:shd w:val="clear" w:color="auto" w:fill="FFFFFF" w:themeFill="background1"/>
            <w:noWrap/>
            <w:vAlign w:val="bottom"/>
            <w:hideMark/>
          </w:tcPr>
          <w:p w14:paraId="5D2944A3" w14:textId="77777777"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22" w:type="dxa"/>
            <w:tcBorders>
              <w:top w:val="nil"/>
            </w:tcBorders>
            <w:shd w:val="clear" w:color="auto" w:fill="FFFFFF" w:themeFill="background1"/>
            <w:noWrap/>
            <w:vAlign w:val="bottom"/>
            <w:hideMark/>
          </w:tcPr>
          <w:p w14:paraId="133B162F" w14:textId="77777777"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76" w:type="dxa"/>
            <w:tcBorders>
              <w:top w:val="nil"/>
            </w:tcBorders>
            <w:shd w:val="clear" w:color="auto" w:fill="FFFFFF" w:themeFill="background1"/>
            <w:noWrap/>
            <w:vAlign w:val="bottom"/>
            <w:hideMark/>
          </w:tcPr>
          <w:p w14:paraId="5CCEB668" w14:textId="1148A910"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0</w:t>
            </w:r>
            <w:r w:rsidR="00BC5D24" w:rsidRPr="00646254">
              <w:rPr>
                <w:rFonts w:cstheme="minorHAnsi"/>
                <w:color w:val="002060"/>
                <w:sz w:val="14"/>
                <w:szCs w:val="14"/>
                <w:lang w:val="sr-Cyrl-CS"/>
              </w:rPr>
              <w:t>,</w:t>
            </w:r>
            <w:r w:rsidRPr="00646254">
              <w:rPr>
                <w:rFonts w:cstheme="minorHAnsi"/>
                <w:color w:val="002060"/>
                <w:sz w:val="14"/>
                <w:szCs w:val="14"/>
                <w:lang w:val="sr-Cyrl-CS"/>
              </w:rPr>
              <w:t>0</w:t>
            </w:r>
          </w:p>
        </w:tc>
        <w:tc>
          <w:tcPr>
            <w:tcW w:w="1076" w:type="dxa"/>
            <w:tcBorders>
              <w:top w:val="nil"/>
            </w:tcBorders>
            <w:shd w:val="clear" w:color="auto" w:fill="FFFFFF" w:themeFill="background1"/>
            <w:noWrap/>
            <w:vAlign w:val="bottom"/>
            <w:hideMark/>
          </w:tcPr>
          <w:p w14:paraId="01388981" w14:textId="77777777"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76" w:type="dxa"/>
            <w:tcBorders>
              <w:top w:val="nil"/>
            </w:tcBorders>
            <w:shd w:val="clear" w:color="auto" w:fill="FFFFFF" w:themeFill="background1"/>
            <w:noWrap/>
            <w:vAlign w:val="bottom"/>
            <w:hideMark/>
          </w:tcPr>
          <w:p w14:paraId="70FFC58B" w14:textId="77777777"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76" w:type="dxa"/>
            <w:tcBorders>
              <w:top w:val="nil"/>
            </w:tcBorders>
            <w:shd w:val="clear" w:color="auto" w:fill="FFFFFF" w:themeFill="background1"/>
            <w:noWrap/>
            <w:vAlign w:val="bottom"/>
            <w:hideMark/>
          </w:tcPr>
          <w:p w14:paraId="1F4A61BB" w14:textId="77777777"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76" w:type="dxa"/>
            <w:tcBorders>
              <w:top w:val="nil"/>
            </w:tcBorders>
            <w:shd w:val="clear" w:color="auto" w:fill="FFFFFF" w:themeFill="background1"/>
            <w:noWrap/>
            <w:vAlign w:val="bottom"/>
            <w:hideMark/>
          </w:tcPr>
          <w:p w14:paraId="03940819" w14:textId="77777777"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r>
      <w:tr w:rsidR="00960AC3" w:rsidRPr="00646254" w14:paraId="37372D91" w14:textId="77777777" w:rsidTr="00BC5D24">
        <w:trPr>
          <w:cnfStyle w:val="000000100000" w:firstRow="0" w:lastRow="0" w:firstColumn="0" w:lastColumn="0" w:oddVBand="0" w:evenVBand="0" w:oddHBand="1" w:evenHBand="0" w:firstRowFirstColumn="0" w:firstRowLastColumn="0" w:lastRowFirstColumn="0" w:lastRowLastColumn="0"/>
          <w:trHeight w:val="77"/>
        </w:trPr>
        <w:tc>
          <w:tcPr>
            <w:cnfStyle w:val="001000000000" w:firstRow="0" w:lastRow="0" w:firstColumn="1" w:lastColumn="0" w:oddVBand="0" w:evenVBand="0" w:oddHBand="0" w:evenHBand="0" w:firstRowFirstColumn="0" w:firstRowLastColumn="0" w:lastRowFirstColumn="0" w:lastRowLastColumn="0"/>
            <w:tcW w:w="2875" w:type="dxa"/>
            <w:tcBorders>
              <w:top w:val="nil"/>
            </w:tcBorders>
            <w:shd w:val="clear" w:color="auto" w:fill="FFFFFF" w:themeFill="background1"/>
            <w:noWrap/>
            <w:vAlign w:val="bottom"/>
            <w:hideMark/>
          </w:tcPr>
          <w:p w14:paraId="702D2882" w14:textId="77777777" w:rsidR="00960AC3" w:rsidRPr="00646254" w:rsidRDefault="00960AC3" w:rsidP="00BC5D24">
            <w:pPr>
              <w:tabs>
                <w:tab w:val="center" w:pos="4680"/>
                <w:tab w:val="right" w:pos="9360"/>
              </w:tabs>
              <w:rPr>
                <w:rFonts w:cstheme="minorHAnsi"/>
                <w:b w:val="0"/>
                <w:color w:val="002060"/>
                <w:sz w:val="14"/>
                <w:szCs w:val="14"/>
                <w:lang w:val="sr-Cyrl-CS"/>
              </w:rPr>
            </w:pPr>
            <w:r w:rsidRPr="00646254">
              <w:rPr>
                <w:rFonts w:cstheme="minorHAnsi"/>
                <w:b w:val="0"/>
                <w:color w:val="002060"/>
                <w:sz w:val="14"/>
                <w:szCs w:val="14"/>
                <w:lang w:val="sr-Cyrl-CS"/>
              </w:rPr>
              <w:t>Градови и општине</w:t>
            </w:r>
          </w:p>
        </w:tc>
        <w:tc>
          <w:tcPr>
            <w:tcW w:w="1028" w:type="dxa"/>
            <w:tcBorders>
              <w:top w:val="nil"/>
            </w:tcBorders>
            <w:shd w:val="clear" w:color="auto" w:fill="FFFFFF" w:themeFill="background1"/>
            <w:noWrap/>
            <w:vAlign w:val="bottom"/>
            <w:hideMark/>
          </w:tcPr>
          <w:p w14:paraId="0F780382" w14:textId="7DD06F62"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61</w:t>
            </w:r>
            <w:r w:rsidR="00BC5D24" w:rsidRPr="00646254">
              <w:rPr>
                <w:rFonts w:cstheme="minorHAnsi"/>
                <w:color w:val="002060"/>
                <w:sz w:val="14"/>
                <w:szCs w:val="14"/>
                <w:lang w:val="sr-Cyrl-CS"/>
              </w:rPr>
              <w:t>,</w:t>
            </w:r>
            <w:r w:rsidRPr="00646254">
              <w:rPr>
                <w:rFonts w:cstheme="minorHAnsi"/>
                <w:color w:val="002060"/>
                <w:sz w:val="14"/>
                <w:szCs w:val="14"/>
                <w:lang w:val="sr-Cyrl-CS"/>
              </w:rPr>
              <w:t>6</w:t>
            </w:r>
          </w:p>
        </w:tc>
        <w:tc>
          <w:tcPr>
            <w:tcW w:w="1028" w:type="dxa"/>
            <w:tcBorders>
              <w:top w:val="nil"/>
            </w:tcBorders>
            <w:shd w:val="clear" w:color="auto" w:fill="FFFFFF" w:themeFill="background1"/>
            <w:noWrap/>
            <w:vAlign w:val="bottom"/>
            <w:hideMark/>
          </w:tcPr>
          <w:p w14:paraId="0A2B4482" w14:textId="0C610411"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61</w:t>
            </w:r>
            <w:r w:rsidR="00BC5D24" w:rsidRPr="00646254">
              <w:rPr>
                <w:rFonts w:cstheme="minorHAnsi"/>
                <w:color w:val="002060"/>
                <w:sz w:val="14"/>
                <w:szCs w:val="14"/>
                <w:lang w:val="sr-Cyrl-CS"/>
              </w:rPr>
              <w:t>,</w:t>
            </w:r>
            <w:r w:rsidRPr="00646254">
              <w:rPr>
                <w:rFonts w:cstheme="minorHAnsi"/>
                <w:color w:val="002060"/>
                <w:sz w:val="14"/>
                <w:szCs w:val="14"/>
                <w:lang w:val="sr-Cyrl-CS"/>
              </w:rPr>
              <w:t>6</w:t>
            </w:r>
          </w:p>
        </w:tc>
        <w:tc>
          <w:tcPr>
            <w:tcW w:w="1042" w:type="dxa"/>
            <w:tcBorders>
              <w:top w:val="nil"/>
            </w:tcBorders>
            <w:shd w:val="clear" w:color="auto" w:fill="FFFFFF" w:themeFill="background1"/>
            <w:noWrap/>
            <w:vAlign w:val="bottom"/>
            <w:hideMark/>
          </w:tcPr>
          <w:p w14:paraId="38EFDE22" w14:textId="77777777"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07" w:type="dxa"/>
            <w:tcBorders>
              <w:top w:val="nil"/>
            </w:tcBorders>
            <w:shd w:val="clear" w:color="auto" w:fill="FFFFFF" w:themeFill="background1"/>
            <w:noWrap/>
            <w:vAlign w:val="bottom"/>
            <w:hideMark/>
          </w:tcPr>
          <w:p w14:paraId="65298CF3" w14:textId="77777777"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76" w:type="dxa"/>
            <w:tcBorders>
              <w:top w:val="nil"/>
            </w:tcBorders>
            <w:shd w:val="clear" w:color="auto" w:fill="FFFFFF" w:themeFill="background1"/>
            <w:noWrap/>
            <w:vAlign w:val="bottom"/>
            <w:hideMark/>
          </w:tcPr>
          <w:p w14:paraId="061134E0" w14:textId="77777777"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22" w:type="dxa"/>
            <w:tcBorders>
              <w:top w:val="nil"/>
            </w:tcBorders>
            <w:shd w:val="clear" w:color="auto" w:fill="FFFFFF" w:themeFill="background1"/>
            <w:noWrap/>
            <w:vAlign w:val="bottom"/>
            <w:hideMark/>
          </w:tcPr>
          <w:p w14:paraId="5D262CBF" w14:textId="77777777"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76" w:type="dxa"/>
            <w:tcBorders>
              <w:top w:val="nil"/>
            </w:tcBorders>
            <w:shd w:val="clear" w:color="auto" w:fill="FFFFFF" w:themeFill="background1"/>
            <w:noWrap/>
            <w:vAlign w:val="bottom"/>
            <w:hideMark/>
          </w:tcPr>
          <w:p w14:paraId="1C8F7E25" w14:textId="066F07C0"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0</w:t>
            </w:r>
            <w:r w:rsidR="00BC5D24" w:rsidRPr="00646254">
              <w:rPr>
                <w:rFonts w:cstheme="minorHAnsi"/>
                <w:color w:val="002060"/>
                <w:sz w:val="14"/>
                <w:szCs w:val="14"/>
                <w:lang w:val="sr-Cyrl-CS"/>
              </w:rPr>
              <w:t>,</w:t>
            </w:r>
            <w:r w:rsidRPr="00646254">
              <w:rPr>
                <w:rFonts w:cstheme="minorHAnsi"/>
                <w:color w:val="002060"/>
                <w:sz w:val="14"/>
                <w:szCs w:val="14"/>
                <w:lang w:val="sr-Cyrl-CS"/>
              </w:rPr>
              <w:t>0</w:t>
            </w:r>
          </w:p>
        </w:tc>
        <w:tc>
          <w:tcPr>
            <w:tcW w:w="1076" w:type="dxa"/>
            <w:tcBorders>
              <w:top w:val="nil"/>
            </w:tcBorders>
            <w:shd w:val="clear" w:color="auto" w:fill="FFFFFF" w:themeFill="background1"/>
            <w:noWrap/>
            <w:vAlign w:val="bottom"/>
            <w:hideMark/>
          </w:tcPr>
          <w:p w14:paraId="47E7145A" w14:textId="77777777"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76" w:type="dxa"/>
            <w:tcBorders>
              <w:top w:val="nil"/>
            </w:tcBorders>
            <w:shd w:val="clear" w:color="auto" w:fill="FFFFFF" w:themeFill="background1"/>
            <w:noWrap/>
            <w:vAlign w:val="bottom"/>
            <w:hideMark/>
          </w:tcPr>
          <w:p w14:paraId="0704A268" w14:textId="77777777"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76" w:type="dxa"/>
            <w:tcBorders>
              <w:top w:val="nil"/>
            </w:tcBorders>
            <w:shd w:val="clear" w:color="auto" w:fill="FFFFFF" w:themeFill="background1"/>
            <w:noWrap/>
            <w:vAlign w:val="bottom"/>
            <w:hideMark/>
          </w:tcPr>
          <w:p w14:paraId="57D71DDC" w14:textId="77777777"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76" w:type="dxa"/>
            <w:tcBorders>
              <w:top w:val="nil"/>
            </w:tcBorders>
            <w:shd w:val="clear" w:color="auto" w:fill="FFFFFF" w:themeFill="background1"/>
            <w:noWrap/>
            <w:vAlign w:val="bottom"/>
            <w:hideMark/>
          </w:tcPr>
          <w:p w14:paraId="72A175F5" w14:textId="77777777"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r>
      <w:tr w:rsidR="00960AC3" w:rsidRPr="00646254" w14:paraId="13FF6A6E" w14:textId="77777777" w:rsidTr="00BC5D24">
        <w:trPr>
          <w:trHeight w:val="104"/>
        </w:trPr>
        <w:tc>
          <w:tcPr>
            <w:cnfStyle w:val="001000000000" w:firstRow="0" w:lastRow="0" w:firstColumn="1" w:lastColumn="0" w:oddVBand="0" w:evenVBand="0" w:oddHBand="0" w:evenHBand="0" w:firstRowFirstColumn="0" w:firstRowLastColumn="0" w:lastRowFirstColumn="0" w:lastRowLastColumn="0"/>
            <w:tcW w:w="2875" w:type="dxa"/>
            <w:tcBorders>
              <w:top w:val="nil"/>
            </w:tcBorders>
            <w:shd w:val="clear" w:color="auto" w:fill="FFFFFF" w:themeFill="background1"/>
            <w:noWrap/>
            <w:vAlign w:val="bottom"/>
            <w:hideMark/>
          </w:tcPr>
          <w:p w14:paraId="5ADBED5D" w14:textId="77777777" w:rsidR="00960AC3" w:rsidRPr="00646254" w:rsidRDefault="00960AC3" w:rsidP="00BC5D24">
            <w:pPr>
              <w:tabs>
                <w:tab w:val="center" w:pos="4680"/>
                <w:tab w:val="right" w:pos="9360"/>
              </w:tabs>
              <w:rPr>
                <w:rFonts w:cstheme="minorHAnsi"/>
                <w:b w:val="0"/>
                <w:color w:val="002060"/>
                <w:sz w:val="14"/>
                <w:szCs w:val="14"/>
                <w:lang w:val="sr-Cyrl-CS"/>
              </w:rPr>
            </w:pPr>
            <w:r w:rsidRPr="00646254">
              <w:rPr>
                <w:rFonts w:cstheme="minorHAnsi"/>
                <w:b w:val="0"/>
                <w:color w:val="002060"/>
                <w:sz w:val="14"/>
                <w:szCs w:val="14"/>
                <w:lang w:val="sr-Cyrl-CS"/>
              </w:rPr>
              <w:t xml:space="preserve"> AП Војводина</w:t>
            </w:r>
          </w:p>
        </w:tc>
        <w:tc>
          <w:tcPr>
            <w:tcW w:w="1028" w:type="dxa"/>
            <w:tcBorders>
              <w:top w:val="nil"/>
            </w:tcBorders>
            <w:shd w:val="clear" w:color="auto" w:fill="FFFFFF" w:themeFill="background1"/>
            <w:noWrap/>
            <w:vAlign w:val="bottom"/>
            <w:hideMark/>
          </w:tcPr>
          <w:p w14:paraId="422DF2E2" w14:textId="5F48E42D"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40</w:t>
            </w:r>
            <w:r w:rsidR="00BC5D24" w:rsidRPr="00646254">
              <w:rPr>
                <w:rFonts w:cstheme="minorHAnsi"/>
                <w:color w:val="002060"/>
                <w:sz w:val="14"/>
                <w:szCs w:val="14"/>
                <w:lang w:val="sr-Cyrl-CS"/>
              </w:rPr>
              <w:t>,</w:t>
            </w:r>
            <w:r w:rsidRPr="00646254">
              <w:rPr>
                <w:rFonts w:cstheme="minorHAnsi"/>
                <w:color w:val="002060"/>
                <w:sz w:val="14"/>
                <w:szCs w:val="14"/>
                <w:lang w:val="sr-Cyrl-CS"/>
              </w:rPr>
              <w:t>6</w:t>
            </w:r>
          </w:p>
        </w:tc>
        <w:tc>
          <w:tcPr>
            <w:tcW w:w="1028" w:type="dxa"/>
            <w:tcBorders>
              <w:top w:val="nil"/>
            </w:tcBorders>
            <w:shd w:val="clear" w:color="auto" w:fill="FFFFFF" w:themeFill="background1"/>
            <w:noWrap/>
            <w:vAlign w:val="bottom"/>
            <w:hideMark/>
          </w:tcPr>
          <w:p w14:paraId="77CBA9BB" w14:textId="1AD4CB1F"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40</w:t>
            </w:r>
            <w:r w:rsidR="00BC5D24" w:rsidRPr="00646254">
              <w:rPr>
                <w:rFonts w:cstheme="minorHAnsi"/>
                <w:color w:val="002060"/>
                <w:sz w:val="14"/>
                <w:szCs w:val="14"/>
                <w:lang w:val="sr-Cyrl-CS"/>
              </w:rPr>
              <w:t>,</w:t>
            </w:r>
            <w:r w:rsidRPr="00646254">
              <w:rPr>
                <w:rFonts w:cstheme="minorHAnsi"/>
                <w:color w:val="002060"/>
                <w:sz w:val="14"/>
                <w:szCs w:val="14"/>
                <w:lang w:val="sr-Cyrl-CS"/>
              </w:rPr>
              <w:t>6</w:t>
            </w:r>
          </w:p>
        </w:tc>
        <w:tc>
          <w:tcPr>
            <w:tcW w:w="1042" w:type="dxa"/>
            <w:tcBorders>
              <w:top w:val="nil"/>
            </w:tcBorders>
            <w:shd w:val="clear" w:color="auto" w:fill="FFFFFF" w:themeFill="background1"/>
            <w:noWrap/>
            <w:vAlign w:val="bottom"/>
            <w:hideMark/>
          </w:tcPr>
          <w:p w14:paraId="5B3B5EC5" w14:textId="77777777"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07" w:type="dxa"/>
            <w:tcBorders>
              <w:top w:val="nil"/>
            </w:tcBorders>
            <w:shd w:val="clear" w:color="auto" w:fill="FFFFFF" w:themeFill="background1"/>
            <w:noWrap/>
            <w:vAlign w:val="bottom"/>
            <w:hideMark/>
          </w:tcPr>
          <w:p w14:paraId="0FAFA4E1" w14:textId="77777777"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76" w:type="dxa"/>
            <w:tcBorders>
              <w:top w:val="nil"/>
            </w:tcBorders>
            <w:shd w:val="clear" w:color="auto" w:fill="FFFFFF" w:themeFill="background1"/>
            <w:noWrap/>
            <w:vAlign w:val="bottom"/>
            <w:hideMark/>
          </w:tcPr>
          <w:p w14:paraId="60550222" w14:textId="77777777"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22" w:type="dxa"/>
            <w:tcBorders>
              <w:top w:val="nil"/>
            </w:tcBorders>
            <w:shd w:val="clear" w:color="auto" w:fill="FFFFFF" w:themeFill="background1"/>
            <w:noWrap/>
            <w:vAlign w:val="bottom"/>
            <w:hideMark/>
          </w:tcPr>
          <w:p w14:paraId="383FCD9C" w14:textId="77777777"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76" w:type="dxa"/>
            <w:tcBorders>
              <w:top w:val="nil"/>
            </w:tcBorders>
            <w:shd w:val="clear" w:color="auto" w:fill="FFFFFF" w:themeFill="background1"/>
            <w:noWrap/>
            <w:vAlign w:val="bottom"/>
            <w:hideMark/>
          </w:tcPr>
          <w:p w14:paraId="02BFABCC" w14:textId="2818CA0D"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0</w:t>
            </w:r>
            <w:r w:rsidR="00BC5D24" w:rsidRPr="00646254">
              <w:rPr>
                <w:rFonts w:cstheme="minorHAnsi"/>
                <w:color w:val="002060"/>
                <w:sz w:val="14"/>
                <w:szCs w:val="14"/>
                <w:lang w:val="sr-Cyrl-CS"/>
              </w:rPr>
              <w:t>,</w:t>
            </w:r>
            <w:r w:rsidRPr="00646254">
              <w:rPr>
                <w:rFonts w:cstheme="minorHAnsi"/>
                <w:color w:val="002060"/>
                <w:sz w:val="14"/>
                <w:szCs w:val="14"/>
                <w:lang w:val="sr-Cyrl-CS"/>
              </w:rPr>
              <w:t>0</w:t>
            </w:r>
          </w:p>
        </w:tc>
        <w:tc>
          <w:tcPr>
            <w:tcW w:w="1076" w:type="dxa"/>
            <w:tcBorders>
              <w:top w:val="nil"/>
            </w:tcBorders>
            <w:shd w:val="clear" w:color="auto" w:fill="FFFFFF" w:themeFill="background1"/>
            <w:noWrap/>
            <w:vAlign w:val="bottom"/>
            <w:hideMark/>
          </w:tcPr>
          <w:p w14:paraId="0E2E6796" w14:textId="77777777"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76" w:type="dxa"/>
            <w:tcBorders>
              <w:top w:val="nil"/>
            </w:tcBorders>
            <w:shd w:val="clear" w:color="auto" w:fill="FFFFFF" w:themeFill="background1"/>
            <w:noWrap/>
            <w:vAlign w:val="bottom"/>
            <w:hideMark/>
          </w:tcPr>
          <w:p w14:paraId="25489AFF" w14:textId="77777777"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76" w:type="dxa"/>
            <w:tcBorders>
              <w:top w:val="nil"/>
            </w:tcBorders>
            <w:shd w:val="clear" w:color="auto" w:fill="FFFFFF" w:themeFill="background1"/>
            <w:noWrap/>
            <w:vAlign w:val="bottom"/>
            <w:hideMark/>
          </w:tcPr>
          <w:p w14:paraId="6D6EE746" w14:textId="77777777"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76" w:type="dxa"/>
            <w:tcBorders>
              <w:top w:val="nil"/>
            </w:tcBorders>
            <w:shd w:val="clear" w:color="auto" w:fill="FFFFFF" w:themeFill="background1"/>
            <w:noWrap/>
            <w:vAlign w:val="bottom"/>
            <w:hideMark/>
          </w:tcPr>
          <w:p w14:paraId="52AB62F0" w14:textId="77777777"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r>
      <w:tr w:rsidR="00960AC3" w:rsidRPr="00646254" w14:paraId="759A07ED" w14:textId="77777777" w:rsidTr="00BC5D24">
        <w:trPr>
          <w:cnfStyle w:val="000000100000" w:firstRow="0" w:lastRow="0" w:firstColumn="0" w:lastColumn="0" w:oddVBand="0" w:evenVBand="0" w:oddHBand="1" w:evenHBand="0" w:firstRowFirstColumn="0" w:firstRowLastColumn="0" w:lastRowFirstColumn="0" w:lastRowLastColumn="0"/>
          <w:trHeight w:val="130"/>
        </w:trPr>
        <w:tc>
          <w:tcPr>
            <w:cnfStyle w:val="001000000000" w:firstRow="0" w:lastRow="0" w:firstColumn="1" w:lastColumn="0" w:oddVBand="0" w:evenVBand="0" w:oddHBand="0" w:evenHBand="0" w:firstRowFirstColumn="0" w:firstRowLastColumn="0" w:lastRowFirstColumn="0" w:lastRowLastColumn="0"/>
            <w:tcW w:w="2875" w:type="dxa"/>
            <w:tcBorders>
              <w:top w:val="nil"/>
            </w:tcBorders>
            <w:shd w:val="clear" w:color="auto" w:fill="FFFFFF" w:themeFill="background1"/>
            <w:noWrap/>
            <w:vAlign w:val="bottom"/>
            <w:hideMark/>
          </w:tcPr>
          <w:p w14:paraId="48A2BE40" w14:textId="77777777" w:rsidR="00960AC3" w:rsidRPr="00646254" w:rsidRDefault="00960AC3" w:rsidP="00BC5D24">
            <w:pPr>
              <w:tabs>
                <w:tab w:val="center" w:pos="4680"/>
                <w:tab w:val="right" w:pos="9360"/>
              </w:tabs>
              <w:rPr>
                <w:rFonts w:cstheme="minorHAnsi"/>
                <w:b w:val="0"/>
                <w:color w:val="002060"/>
                <w:sz w:val="14"/>
                <w:szCs w:val="14"/>
                <w:lang w:val="sr-Cyrl-CS"/>
              </w:rPr>
            </w:pPr>
            <w:r w:rsidRPr="00646254">
              <w:rPr>
                <w:rFonts w:cstheme="minorHAnsi"/>
                <w:b w:val="0"/>
                <w:color w:val="002060"/>
                <w:sz w:val="14"/>
                <w:szCs w:val="14"/>
                <w:lang w:val="sr-Cyrl-CS"/>
              </w:rPr>
              <w:t>Фонд ПИО</w:t>
            </w:r>
          </w:p>
        </w:tc>
        <w:tc>
          <w:tcPr>
            <w:tcW w:w="1028" w:type="dxa"/>
            <w:tcBorders>
              <w:top w:val="nil"/>
            </w:tcBorders>
            <w:shd w:val="clear" w:color="auto" w:fill="FFFFFF" w:themeFill="background1"/>
            <w:noWrap/>
            <w:vAlign w:val="bottom"/>
            <w:hideMark/>
          </w:tcPr>
          <w:p w14:paraId="2669713F" w14:textId="1EDC2D93"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133</w:t>
            </w:r>
            <w:r w:rsidR="00BC5D24" w:rsidRPr="00646254">
              <w:rPr>
                <w:rFonts w:cstheme="minorHAnsi"/>
                <w:color w:val="002060"/>
                <w:sz w:val="14"/>
                <w:szCs w:val="14"/>
                <w:lang w:val="sr-Cyrl-CS"/>
              </w:rPr>
              <w:t>,</w:t>
            </w:r>
            <w:r w:rsidRPr="00646254">
              <w:rPr>
                <w:rFonts w:cstheme="minorHAnsi"/>
                <w:color w:val="002060"/>
                <w:sz w:val="14"/>
                <w:szCs w:val="14"/>
                <w:lang w:val="sr-Cyrl-CS"/>
              </w:rPr>
              <w:t>7</w:t>
            </w:r>
          </w:p>
        </w:tc>
        <w:tc>
          <w:tcPr>
            <w:tcW w:w="1028" w:type="dxa"/>
            <w:tcBorders>
              <w:top w:val="nil"/>
            </w:tcBorders>
            <w:shd w:val="clear" w:color="auto" w:fill="FFFFFF" w:themeFill="background1"/>
            <w:noWrap/>
            <w:vAlign w:val="bottom"/>
            <w:hideMark/>
          </w:tcPr>
          <w:p w14:paraId="362A491E" w14:textId="7CF008D5"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126</w:t>
            </w:r>
            <w:r w:rsidR="00BC5D24" w:rsidRPr="00646254">
              <w:rPr>
                <w:rFonts w:cstheme="minorHAnsi"/>
                <w:color w:val="002060"/>
                <w:sz w:val="14"/>
                <w:szCs w:val="14"/>
                <w:lang w:val="sr-Cyrl-CS"/>
              </w:rPr>
              <w:t>,</w:t>
            </w:r>
            <w:r w:rsidRPr="00646254">
              <w:rPr>
                <w:rFonts w:cstheme="minorHAnsi"/>
                <w:color w:val="002060"/>
                <w:sz w:val="14"/>
                <w:szCs w:val="14"/>
                <w:lang w:val="sr-Cyrl-CS"/>
              </w:rPr>
              <w:t>0</w:t>
            </w:r>
          </w:p>
        </w:tc>
        <w:tc>
          <w:tcPr>
            <w:tcW w:w="1042" w:type="dxa"/>
            <w:tcBorders>
              <w:top w:val="nil"/>
            </w:tcBorders>
            <w:shd w:val="clear" w:color="auto" w:fill="FFFFFF" w:themeFill="background1"/>
            <w:noWrap/>
            <w:vAlign w:val="bottom"/>
            <w:hideMark/>
          </w:tcPr>
          <w:p w14:paraId="0F43C577" w14:textId="77777777"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07" w:type="dxa"/>
            <w:tcBorders>
              <w:top w:val="nil"/>
            </w:tcBorders>
            <w:shd w:val="clear" w:color="auto" w:fill="FFFFFF" w:themeFill="background1"/>
            <w:noWrap/>
            <w:vAlign w:val="bottom"/>
            <w:hideMark/>
          </w:tcPr>
          <w:p w14:paraId="35FB173C" w14:textId="77777777"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76" w:type="dxa"/>
            <w:tcBorders>
              <w:top w:val="nil"/>
            </w:tcBorders>
            <w:shd w:val="clear" w:color="auto" w:fill="FFFFFF" w:themeFill="background1"/>
            <w:noWrap/>
            <w:vAlign w:val="bottom"/>
            <w:hideMark/>
          </w:tcPr>
          <w:p w14:paraId="7CB72AB1" w14:textId="77777777"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22" w:type="dxa"/>
            <w:tcBorders>
              <w:top w:val="nil"/>
            </w:tcBorders>
            <w:shd w:val="clear" w:color="auto" w:fill="FFFFFF" w:themeFill="background1"/>
            <w:noWrap/>
            <w:vAlign w:val="bottom"/>
            <w:hideMark/>
          </w:tcPr>
          <w:p w14:paraId="19EDB699" w14:textId="77777777"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76" w:type="dxa"/>
            <w:tcBorders>
              <w:top w:val="nil"/>
            </w:tcBorders>
            <w:shd w:val="clear" w:color="auto" w:fill="FFFFFF" w:themeFill="background1"/>
            <w:noWrap/>
            <w:vAlign w:val="bottom"/>
            <w:hideMark/>
          </w:tcPr>
          <w:p w14:paraId="4F82CD72" w14:textId="6C61451D"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7</w:t>
            </w:r>
            <w:r w:rsidR="00BC5D24" w:rsidRPr="00646254">
              <w:rPr>
                <w:rFonts w:cstheme="minorHAnsi"/>
                <w:color w:val="002060"/>
                <w:sz w:val="14"/>
                <w:szCs w:val="14"/>
                <w:lang w:val="sr-Cyrl-CS"/>
              </w:rPr>
              <w:t>,</w:t>
            </w:r>
            <w:r w:rsidRPr="00646254">
              <w:rPr>
                <w:rFonts w:cstheme="minorHAnsi"/>
                <w:color w:val="002060"/>
                <w:sz w:val="14"/>
                <w:szCs w:val="14"/>
                <w:lang w:val="sr-Cyrl-CS"/>
              </w:rPr>
              <w:t>8</w:t>
            </w:r>
          </w:p>
        </w:tc>
        <w:tc>
          <w:tcPr>
            <w:tcW w:w="1076" w:type="dxa"/>
            <w:tcBorders>
              <w:top w:val="nil"/>
            </w:tcBorders>
            <w:shd w:val="clear" w:color="auto" w:fill="FFFFFF" w:themeFill="background1"/>
            <w:noWrap/>
            <w:vAlign w:val="bottom"/>
          </w:tcPr>
          <w:p w14:paraId="68105B4A" w14:textId="77777777"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color w:val="002060"/>
                <w:sz w:val="14"/>
                <w:szCs w:val="14"/>
                <w:lang w:val="sr-Cyrl-CS"/>
              </w:rPr>
            </w:pPr>
          </w:p>
        </w:tc>
        <w:tc>
          <w:tcPr>
            <w:tcW w:w="1076" w:type="dxa"/>
            <w:tcBorders>
              <w:top w:val="nil"/>
            </w:tcBorders>
            <w:shd w:val="clear" w:color="auto" w:fill="FFFFFF" w:themeFill="background1"/>
            <w:noWrap/>
            <w:vAlign w:val="bottom"/>
            <w:hideMark/>
          </w:tcPr>
          <w:p w14:paraId="568B0DA8" w14:textId="6540FBB7"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4</w:t>
            </w:r>
            <w:r w:rsidR="00BC5D24" w:rsidRPr="00646254">
              <w:rPr>
                <w:rFonts w:cstheme="minorHAnsi"/>
                <w:color w:val="002060"/>
                <w:sz w:val="14"/>
                <w:szCs w:val="14"/>
                <w:lang w:val="sr-Cyrl-CS"/>
              </w:rPr>
              <w:t>,</w:t>
            </w:r>
            <w:r w:rsidRPr="00646254">
              <w:rPr>
                <w:rFonts w:cstheme="minorHAnsi"/>
                <w:color w:val="002060"/>
                <w:sz w:val="14"/>
                <w:szCs w:val="14"/>
                <w:lang w:val="sr-Cyrl-CS"/>
              </w:rPr>
              <w:t>1</w:t>
            </w:r>
          </w:p>
        </w:tc>
        <w:tc>
          <w:tcPr>
            <w:tcW w:w="1076" w:type="dxa"/>
            <w:tcBorders>
              <w:top w:val="nil"/>
            </w:tcBorders>
            <w:shd w:val="clear" w:color="auto" w:fill="FFFFFF" w:themeFill="background1"/>
            <w:noWrap/>
            <w:vAlign w:val="bottom"/>
            <w:hideMark/>
          </w:tcPr>
          <w:p w14:paraId="2F97D5D3" w14:textId="344F9B7C"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3</w:t>
            </w:r>
            <w:r w:rsidR="00BC5D24" w:rsidRPr="00646254">
              <w:rPr>
                <w:rFonts w:cstheme="minorHAnsi"/>
                <w:color w:val="002060"/>
                <w:sz w:val="14"/>
                <w:szCs w:val="14"/>
                <w:lang w:val="sr-Cyrl-CS"/>
              </w:rPr>
              <w:t>,</w:t>
            </w:r>
            <w:r w:rsidRPr="00646254">
              <w:rPr>
                <w:rFonts w:cstheme="minorHAnsi"/>
                <w:color w:val="002060"/>
                <w:sz w:val="14"/>
                <w:szCs w:val="14"/>
                <w:lang w:val="sr-Cyrl-CS"/>
              </w:rPr>
              <w:t>7</w:t>
            </w:r>
          </w:p>
        </w:tc>
        <w:tc>
          <w:tcPr>
            <w:tcW w:w="1076" w:type="dxa"/>
            <w:tcBorders>
              <w:top w:val="nil"/>
            </w:tcBorders>
            <w:shd w:val="clear" w:color="auto" w:fill="FFFFFF" w:themeFill="background1"/>
            <w:noWrap/>
            <w:vAlign w:val="bottom"/>
          </w:tcPr>
          <w:p w14:paraId="6EF2D9CA" w14:textId="77777777"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color w:val="002060"/>
                <w:sz w:val="14"/>
                <w:szCs w:val="14"/>
                <w:lang w:val="sr-Cyrl-CS"/>
              </w:rPr>
            </w:pPr>
          </w:p>
        </w:tc>
      </w:tr>
      <w:tr w:rsidR="00960AC3" w:rsidRPr="00646254" w14:paraId="0170D225" w14:textId="77777777" w:rsidTr="00BC5D24">
        <w:trPr>
          <w:trHeight w:val="77"/>
        </w:trPr>
        <w:tc>
          <w:tcPr>
            <w:cnfStyle w:val="001000000000" w:firstRow="0" w:lastRow="0" w:firstColumn="1" w:lastColumn="0" w:oddVBand="0" w:evenVBand="0" w:oddHBand="0" w:evenHBand="0" w:firstRowFirstColumn="0" w:firstRowLastColumn="0" w:lastRowFirstColumn="0" w:lastRowLastColumn="0"/>
            <w:tcW w:w="2875" w:type="dxa"/>
            <w:tcBorders>
              <w:top w:val="nil"/>
            </w:tcBorders>
            <w:shd w:val="clear" w:color="auto" w:fill="FFFFFF" w:themeFill="background1"/>
            <w:noWrap/>
            <w:vAlign w:val="bottom"/>
            <w:hideMark/>
          </w:tcPr>
          <w:p w14:paraId="312EFE84" w14:textId="77777777" w:rsidR="00960AC3" w:rsidRPr="00646254" w:rsidRDefault="00960AC3" w:rsidP="00BC5D24">
            <w:pPr>
              <w:tabs>
                <w:tab w:val="center" w:pos="4680"/>
                <w:tab w:val="right" w:pos="9360"/>
              </w:tabs>
              <w:rPr>
                <w:rFonts w:cstheme="minorHAnsi"/>
                <w:b w:val="0"/>
                <w:color w:val="002060"/>
                <w:sz w:val="14"/>
                <w:szCs w:val="14"/>
                <w:lang w:val="sr-Cyrl-CS"/>
              </w:rPr>
            </w:pPr>
            <w:r w:rsidRPr="00646254">
              <w:rPr>
                <w:rFonts w:cstheme="minorHAnsi"/>
                <w:b w:val="0"/>
                <w:color w:val="002060"/>
                <w:sz w:val="14"/>
                <w:szCs w:val="14"/>
                <w:lang w:val="sr-Cyrl-CS"/>
              </w:rPr>
              <w:t>РФЗО</w:t>
            </w:r>
          </w:p>
        </w:tc>
        <w:tc>
          <w:tcPr>
            <w:tcW w:w="1028" w:type="dxa"/>
            <w:tcBorders>
              <w:top w:val="nil"/>
            </w:tcBorders>
            <w:shd w:val="clear" w:color="auto" w:fill="FFFFFF" w:themeFill="background1"/>
            <w:noWrap/>
            <w:vAlign w:val="bottom"/>
            <w:hideMark/>
          </w:tcPr>
          <w:p w14:paraId="72E6EBB0" w14:textId="1A8A79E9"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139</w:t>
            </w:r>
            <w:r w:rsidR="00BC5D24" w:rsidRPr="00646254">
              <w:rPr>
                <w:rFonts w:cstheme="minorHAnsi"/>
                <w:color w:val="002060"/>
                <w:sz w:val="14"/>
                <w:szCs w:val="14"/>
                <w:lang w:val="sr-Cyrl-CS"/>
              </w:rPr>
              <w:t>,</w:t>
            </w:r>
            <w:r w:rsidRPr="00646254">
              <w:rPr>
                <w:rFonts w:cstheme="minorHAnsi"/>
                <w:color w:val="002060"/>
                <w:sz w:val="14"/>
                <w:szCs w:val="14"/>
                <w:lang w:val="sr-Cyrl-CS"/>
              </w:rPr>
              <w:t>7</w:t>
            </w:r>
          </w:p>
        </w:tc>
        <w:tc>
          <w:tcPr>
            <w:tcW w:w="1028" w:type="dxa"/>
            <w:tcBorders>
              <w:top w:val="nil"/>
            </w:tcBorders>
            <w:shd w:val="clear" w:color="auto" w:fill="FFFFFF" w:themeFill="background1"/>
            <w:noWrap/>
            <w:vAlign w:val="bottom"/>
            <w:hideMark/>
          </w:tcPr>
          <w:p w14:paraId="1FECA1B2" w14:textId="672D4EEE"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73</w:t>
            </w:r>
            <w:r w:rsidR="00BC5D24" w:rsidRPr="00646254">
              <w:rPr>
                <w:rFonts w:cstheme="minorHAnsi"/>
                <w:color w:val="002060"/>
                <w:sz w:val="14"/>
                <w:szCs w:val="14"/>
                <w:lang w:val="sr-Cyrl-CS"/>
              </w:rPr>
              <w:t>,</w:t>
            </w:r>
            <w:r w:rsidRPr="00646254">
              <w:rPr>
                <w:rFonts w:cstheme="minorHAnsi"/>
                <w:color w:val="002060"/>
                <w:sz w:val="14"/>
                <w:szCs w:val="14"/>
                <w:lang w:val="sr-Cyrl-CS"/>
              </w:rPr>
              <w:t>6</w:t>
            </w:r>
          </w:p>
        </w:tc>
        <w:tc>
          <w:tcPr>
            <w:tcW w:w="1042" w:type="dxa"/>
            <w:tcBorders>
              <w:top w:val="nil"/>
            </w:tcBorders>
            <w:shd w:val="clear" w:color="auto" w:fill="FFFFFF" w:themeFill="background1"/>
            <w:noWrap/>
            <w:vAlign w:val="bottom"/>
            <w:hideMark/>
          </w:tcPr>
          <w:p w14:paraId="5403ECB9" w14:textId="77777777"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07" w:type="dxa"/>
            <w:tcBorders>
              <w:top w:val="nil"/>
            </w:tcBorders>
            <w:shd w:val="clear" w:color="auto" w:fill="FFFFFF" w:themeFill="background1"/>
            <w:noWrap/>
            <w:vAlign w:val="bottom"/>
            <w:hideMark/>
          </w:tcPr>
          <w:p w14:paraId="359D64DA" w14:textId="77777777"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76" w:type="dxa"/>
            <w:tcBorders>
              <w:top w:val="nil"/>
            </w:tcBorders>
            <w:shd w:val="clear" w:color="auto" w:fill="FFFFFF" w:themeFill="background1"/>
            <w:noWrap/>
            <w:vAlign w:val="bottom"/>
            <w:hideMark/>
          </w:tcPr>
          <w:p w14:paraId="7232CB65" w14:textId="77777777"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22" w:type="dxa"/>
            <w:tcBorders>
              <w:top w:val="nil"/>
            </w:tcBorders>
            <w:shd w:val="clear" w:color="auto" w:fill="FFFFFF" w:themeFill="background1"/>
            <w:noWrap/>
            <w:vAlign w:val="bottom"/>
            <w:hideMark/>
          </w:tcPr>
          <w:p w14:paraId="21B1D77B" w14:textId="77777777"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76" w:type="dxa"/>
            <w:tcBorders>
              <w:top w:val="nil"/>
            </w:tcBorders>
            <w:shd w:val="clear" w:color="auto" w:fill="FFFFFF" w:themeFill="background1"/>
            <w:noWrap/>
            <w:vAlign w:val="bottom"/>
            <w:hideMark/>
          </w:tcPr>
          <w:p w14:paraId="3EA451D7" w14:textId="5980AABA"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66</w:t>
            </w:r>
            <w:r w:rsidR="00BC5D24" w:rsidRPr="00646254">
              <w:rPr>
                <w:rFonts w:cstheme="minorHAnsi"/>
                <w:color w:val="002060"/>
                <w:sz w:val="14"/>
                <w:szCs w:val="14"/>
                <w:lang w:val="sr-Cyrl-CS"/>
              </w:rPr>
              <w:t>,</w:t>
            </w:r>
            <w:r w:rsidRPr="00646254">
              <w:rPr>
                <w:rFonts w:cstheme="minorHAnsi"/>
                <w:color w:val="002060"/>
                <w:sz w:val="14"/>
                <w:szCs w:val="14"/>
                <w:lang w:val="sr-Cyrl-CS"/>
              </w:rPr>
              <w:t>1</w:t>
            </w:r>
          </w:p>
        </w:tc>
        <w:tc>
          <w:tcPr>
            <w:tcW w:w="1076" w:type="dxa"/>
            <w:tcBorders>
              <w:top w:val="nil"/>
            </w:tcBorders>
            <w:shd w:val="clear" w:color="auto" w:fill="FFFFFF" w:themeFill="background1"/>
            <w:noWrap/>
            <w:vAlign w:val="bottom"/>
            <w:hideMark/>
          </w:tcPr>
          <w:p w14:paraId="40E47BDF" w14:textId="1DCE3DDA"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64</w:t>
            </w:r>
            <w:r w:rsidR="00BC5D24" w:rsidRPr="00646254">
              <w:rPr>
                <w:rFonts w:cstheme="minorHAnsi"/>
                <w:color w:val="002060"/>
                <w:sz w:val="14"/>
                <w:szCs w:val="14"/>
                <w:lang w:val="sr-Cyrl-CS"/>
              </w:rPr>
              <w:t>,</w:t>
            </w:r>
            <w:r w:rsidRPr="00646254">
              <w:rPr>
                <w:rFonts w:cstheme="minorHAnsi"/>
                <w:color w:val="002060"/>
                <w:sz w:val="14"/>
                <w:szCs w:val="14"/>
                <w:lang w:val="sr-Cyrl-CS"/>
              </w:rPr>
              <w:t>6</w:t>
            </w:r>
          </w:p>
        </w:tc>
        <w:tc>
          <w:tcPr>
            <w:tcW w:w="1076" w:type="dxa"/>
            <w:tcBorders>
              <w:top w:val="nil"/>
            </w:tcBorders>
            <w:shd w:val="clear" w:color="auto" w:fill="FFFFFF" w:themeFill="background1"/>
            <w:noWrap/>
            <w:vAlign w:val="bottom"/>
          </w:tcPr>
          <w:p w14:paraId="187100E4" w14:textId="77777777"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color w:val="002060"/>
                <w:sz w:val="14"/>
                <w:szCs w:val="14"/>
                <w:lang w:val="sr-Cyrl-CS"/>
              </w:rPr>
            </w:pPr>
          </w:p>
        </w:tc>
        <w:tc>
          <w:tcPr>
            <w:tcW w:w="1076" w:type="dxa"/>
            <w:tcBorders>
              <w:top w:val="nil"/>
            </w:tcBorders>
            <w:shd w:val="clear" w:color="auto" w:fill="FFFFFF" w:themeFill="background1"/>
            <w:noWrap/>
            <w:vAlign w:val="bottom"/>
            <w:hideMark/>
          </w:tcPr>
          <w:p w14:paraId="423BED5D" w14:textId="686C2B07"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1</w:t>
            </w:r>
            <w:r w:rsidR="00BC5D24" w:rsidRPr="00646254">
              <w:rPr>
                <w:rFonts w:cstheme="minorHAnsi"/>
                <w:color w:val="002060"/>
                <w:sz w:val="14"/>
                <w:szCs w:val="14"/>
                <w:lang w:val="sr-Cyrl-CS"/>
              </w:rPr>
              <w:t>,</w:t>
            </w:r>
            <w:r w:rsidRPr="00646254">
              <w:rPr>
                <w:rFonts w:cstheme="minorHAnsi"/>
                <w:color w:val="002060"/>
                <w:sz w:val="14"/>
                <w:szCs w:val="14"/>
                <w:lang w:val="sr-Cyrl-CS"/>
              </w:rPr>
              <w:t>5</w:t>
            </w:r>
          </w:p>
        </w:tc>
        <w:tc>
          <w:tcPr>
            <w:tcW w:w="1076" w:type="dxa"/>
            <w:tcBorders>
              <w:top w:val="nil"/>
            </w:tcBorders>
            <w:shd w:val="clear" w:color="auto" w:fill="FFFFFF" w:themeFill="background1"/>
            <w:noWrap/>
            <w:vAlign w:val="bottom"/>
          </w:tcPr>
          <w:p w14:paraId="100DEE04" w14:textId="77777777"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color w:val="002060"/>
                <w:sz w:val="14"/>
                <w:szCs w:val="14"/>
                <w:lang w:val="sr-Cyrl-CS"/>
              </w:rPr>
            </w:pPr>
          </w:p>
        </w:tc>
      </w:tr>
      <w:tr w:rsidR="00960AC3" w:rsidRPr="00646254" w14:paraId="25A6E130" w14:textId="77777777" w:rsidTr="00BC5D24">
        <w:trPr>
          <w:cnfStyle w:val="000000100000" w:firstRow="0" w:lastRow="0" w:firstColumn="0" w:lastColumn="0" w:oddVBand="0" w:evenVBand="0" w:oddHBand="1" w:evenHBand="0" w:firstRowFirstColumn="0" w:firstRowLastColumn="0" w:lastRowFirstColumn="0" w:lastRowLastColumn="0"/>
          <w:trHeight w:val="104"/>
        </w:trPr>
        <w:tc>
          <w:tcPr>
            <w:cnfStyle w:val="001000000000" w:firstRow="0" w:lastRow="0" w:firstColumn="1" w:lastColumn="0" w:oddVBand="0" w:evenVBand="0" w:oddHBand="0" w:evenHBand="0" w:firstRowFirstColumn="0" w:firstRowLastColumn="0" w:lastRowFirstColumn="0" w:lastRowLastColumn="0"/>
            <w:tcW w:w="2875" w:type="dxa"/>
            <w:tcBorders>
              <w:top w:val="nil"/>
            </w:tcBorders>
            <w:shd w:val="clear" w:color="auto" w:fill="FFFFFF" w:themeFill="background1"/>
            <w:noWrap/>
            <w:vAlign w:val="bottom"/>
            <w:hideMark/>
          </w:tcPr>
          <w:p w14:paraId="603A7BE1" w14:textId="77777777" w:rsidR="00960AC3" w:rsidRPr="00646254" w:rsidRDefault="00960AC3" w:rsidP="00BC5D24">
            <w:pPr>
              <w:tabs>
                <w:tab w:val="center" w:pos="4680"/>
                <w:tab w:val="right" w:pos="9360"/>
              </w:tabs>
              <w:rPr>
                <w:rFonts w:cstheme="minorHAnsi"/>
                <w:b w:val="0"/>
                <w:color w:val="002060"/>
                <w:sz w:val="14"/>
                <w:szCs w:val="14"/>
                <w:lang w:val="sr-Cyrl-CS"/>
              </w:rPr>
            </w:pPr>
            <w:r w:rsidRPr="00646254">
              <w:rPr>
                <w:rFonts w:cstheme="minorHAnsi"/>
                <w:b w:val="0"/>
                <w:color w:val="002060"/>
                <w:sz w:val="14"/>
                <w:szCs w:val="14"/>
                <w:lang w:val="sr-Cyrl-CS"/>
              </w:rPr>
              <w:t>НСЗ</w:t>
            </w:r>
          </w:p>
        </w:tc>
        <w:tc>
          <w:tcPr>
            <w:tcW w:w="1028" w:type="dxa"/>
            <w:tcBorders>
              <w:top w:val="nil"/>
            </w:tcBorders>
            <w:shd w:val="clear" w:color="auto" w:fill="FFFFFF" w:themeFill="background1"/>
            <w:noWrap/>
            <w:vAlign w:val="bottom"/>
            <w:hideMark/>
          </w:tcPr>
          <w:p w14:paraId="3EAF478C" w14:textId="6F1539F5"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6</w:t>
            </w:r>
            <w:r w:rsidR="00BC5D24" w:rsidRPr="00646254">
              <w:rPr>
                <w:rFonts w:cstheme="minorHAnsi"/>
                <w:color w:val="002060"/>
                <w:sz w:val="14"/>
                <w:szCs w:val="14"/>
                <w:lang w:val="sr-Cyrl-CS"/>
              </w:rPr>
              <w:t>,</w:t>
            </w:r>
            <w:r w:rsidRPr="00646254">
              <w:rPr>
                <w:rFonts w:cstheme="minorHAnsi"/>
                <w:color w:val="002060"/>
                <w:sz w:val="14"/>
                <w:szCs w:val="14"/>
                <w:lang w:val="sr-Cyrl-CS"/>
              </w:rPr>
              <w:t>3</w:t>
            </w:r>
          </w:p>
        </w:tc>
        <w:tc>
          <w:tcPr>
            <w:tcW w:w="1028" w:type="dxa"/>
            <w:tcBorders>
              <w:top w:val="nil"/>
            </w:tcBorders>
            <w:shd w:val="clear" w:color="auto" w:fill="FFFFFF" w:themeFill="background1"/>
            <w:noWrap/>
            <w:vAlign w:val="bottom"/>
            <w:hideMark/>
          </w:tcPr>
          <w:p w14:paraId="65589EDF" w14:textId="45DC4CB6"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6</w:t>
            </w:r>
            <w:r w:rsidR="00BC5D24" w:rsidRPr="00646254">
              <w:rPr>
                <w:rFonts w:cstheme="minorHAnsi"/>
                <w:color w:val="002060"/>
                <w:sz w:val="14"/>
                <w:szCs w:val="14"/>
                <w:lang w:val="sr-Cyrl-CS"/>
              </w:rPr>
              <w:t>,</w:t>
            </w:r>
            <w:r w:rsidRPr="00646254">
              <w:rPr>
                <w:rFonts w:cstheme="minorHAnsi"/>
                <w:color w:val="002060"/>
                <w:sz w:val="14"/>
                <w:szCs w:val="14"/>
                <w:lang w:val="sr-Cyrl-CS"/>
              </w:rPr>
              <w:t>3</w:t>
            </w:r>
          </w:p>
        </w:tc>
        <w:tc>
          <w:tcPr>
            <w:tcW w:w="1042" w:type="dxa"/>
            <w:tcBorders>
              <w:top w:val="nil"/>
            </w:tcBorders>
            <w:shd w:val="clear" w:color="auto" w:fill="FFFFFF" w:themeFill="background1"/>
            <w:noWrap/>
            <w:vAlign w:val="bottom"/>
            <w:hideMark/>
          </w:tcPr>
          <w:p w14:paraId="13D3C920" w14:textId="77777777"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07" w:type="dxa"/>
            <w:tcBorders>
              <w:top w:val="nil"/>
            </w:tcBorders>
            <w:shd w:val="clear" w:color="auto" w:fill="FFFFFF" w:themeFill="background1"/>
            <w:noWrap/>
            <w:vAlign w:val="bottom"/>
            <w:hideMark/>
          </w:tcPr>
          <w:p w14:paraId="3ED78A9F" w14:textId="77777777"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76" w:type="dxa"/>
            <w:tcBorders>
              <w:top w:val="nil"/>
            </w:tcBorders>
            <w:shd w:val="clear" w:color="auto" w:fill="FFFFFF" w:themeFill="background1"/>
            <w:noWrap/>
            <w:vAlign w:val="bottom"/>
            <w:hideMark/>
          </w:tcPr>
          <w:p w14:paraId="6DEDBFDD" w14:textId="77777777"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22" w:type="dxa"/>
            <w:tcBorders>
              <w:top w:val="nil"/>
            </w:tcBorders>
            <w:shd w:val="clear" w:color="auto" w:fill="FFFFFF" w:themeFill="background1"/>
            <w:noWrap/>
            <w:vAlign w:val="bottom"/>
            <w:hideMark/>
          </w:tcPr>
          <w:p w14:paraId="54E673C6" w14:textId="77777777"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76" w:type="dxa"/>
            <w:tcBorders>
              <w:top w:val="nil"/>
            </w:tcBorders>
            <w:shd w:val="clear" w:color="auto" w:fill="FFFFFF" w:themeFill="background1"/>
            <w:noWrap/>
            <w:vAlign w:val="bottom"/>
            <w:hideMark/>
          </w:tcPr>
          <w:p w14:paraId="27F461C0" w14:textId="1CE5F509"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0</w:t>
            </w:r>
            <w:r w:rsidR="00BC5D24" w:rsidRPr="00646254">
              <w:rPr>
                <w:rFonts w:cstheme="minorHAnsi"/>
                <w:color w:val="002060"/>
                <w:sz w:val="14"/>
                <w:szCs w:val="14"/>
                <w:lang w:val="sr-Cyrl-CS"/>
              </w:rPr>
              <w:t>,</w:t>
            </w:r>
            <w:r w:rsidRPr="00646254">
              <w:rPr>
                <w:rFonts w:cstheme="minorHAnsi"/>
                <w:color w:val="002060"/>
                <w:sz w:val="14"/>
                <w:szCs w:val="14"/>
                <w:lang w:val="sr-Cyrl-CS"/>
              </w:rPr>
              <w:t>0</w:t>
            </w:r>
          </w:p>
        </w:tc>
        <w:tc>
          <w:tcPr>
            <w:tcW w:w="1076" w:type="dxa"/>
            <w:tcBorders>
              <w:top w:val="nil"/>
            </w:tcBorders>
            <w:shd w:val="clear" w:color="auto" w:fill="FFFFFF" w:themeFill="background1"/>
            <w:noWrap/>
            <w:vAlign w:val="bottom"/>
          </w:tcPr>
          <w:p w14:paraId="6556CF06" w14:textId="77777777"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color w:val="002060"/>
                <w:sz w:val="14"/>
                <w:szCs w:val="14"/>
                <w:lang w:val="sr-Cyrl-CS"/>
              </w:rPr>
            </w:pPr>
          </w:p>
        </w:tc>
        <w:tc>
          <w:tcPr>
            <w:tcW w:w="1076" w:type="dxa"/>
            <w:tcBorders>
              <w:top w:val="nil"/>
            </w:tcBorders>
            <w:shd w:val="clear" w:color="auto" w:fill="FFFFFF" w:themeFill="background1"/>
            <w:noWrap/>
            <w:vAlign w:val="bottom"/>
          </w:tcPr>
          <w:p w14:paraId="4E5115EF" w14:textId="77777777"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color w:val="002060"/>
                <w:sz w:val="14"/>
                <w:szCs w:val="14"/>
                <w:lang w:val="sr-Cyrl-CS"/>
              </w:rPr>
            </w:pPr>
          </w:p>
        </w:tc>
        <w:tc>
          <w:tcPr>
            <w:tcW w:w="1076" w:type="dxa"/>
            <w:tcBorders>
              <w:top w:val="nil"/>
            </w:tcBorders>
            <w:shd w:val="clear" w:color="auto" w:fill="FFFFFF" w:themeFill="background1"/>
            <w:noWrap/>
            <w:vAlign w:val="bottom"/>
          </w:tcPr>
          <w:p w14:paraId="17C35C3A" w14:textId="77777777"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color w:val="002060"/>
                <w:sz w:val="14"/>
                <w:szCs w:val="14"/>
                <w:lang w:val="sr-Cyrl-CS"/>
              </w:rPr>
            </w:pPr>
          </w:p>
        </w:tc>
        <w:tc>
          <w:tcPr>
            <w:tcW w:w="1076" w:type="dxa"/>
            <w:tcBorders>
              <w:top w:val="nil"/>
            </w:tcBorders>
            <w:shd w:val="clear" w:color="auto" w:fill="FFFFFF" w:themeFill="background1"/>
            <w:noWrap/>
            <w:vAlign w:val="bottom"/>
          </w:tcPr>
          <w:p w14:paraId="3CB5CDD9" w14:textId="77777777"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color w:val="002060"/>
                <w:sz w:val="14"/>
                <w:szCs w:val="14"/>
                <w:lang w:val="sr-Cyrl-CS"/>
              </w:rPr>
            </w:pPr>
          </w:p>
        </w:tc>
      </w:tr>
      <w:tr w:rsidR="00960AC3" w:rsidRPr="00646254" w14:paraId="62029846" w14:textId="77777777" w:rsidTr="00BC5D24">
        <w:trPr>
          <w:trHeight w:val="130"/>
        </w:trPr>
        <w:tc>
          <w:tcPr>
            <w:cnfStyle w:val="001000000000" w:firstRow="0" w:lastRow="0" w:firstColumn="1" w:lastColumn="0" w:oddVBand="0" w:evenVBand="0" w:oddHBand="0" w:evenHBand="0" w:firstRowFirstColumn="0" w:firstRowLastColumn="0" w:lastRowFirstColumn="0" w:lastRowLastColumn="0"/>
            <w:tcW w:w="2875" w:type="dxa"/>
            <w:tcBorders>
              <w:top w:val="nil"/>
            </w:tcBorders>
            <w:shd w:val="clear" w:color="auto" w:fill="FFFFFF" w:themeFill="background1"/>
            <w:noWrap/>
            <w:vAlign w:val="bottom"/>
            <w:hideMark/>
          </w:tcPr>
          <w:p w14:paraId="0E19C2BC" w14:textId="77777777" w:rsidR="00960AC3" w:rsidRPr="00646254" w:rsidRDefault="00960AC3" w:rsidP="00BC5D24">
            <w:pPr>
              <w:tabs>
                <w:tab w:val="center" w:pos="4680"/>
                <w:tab w:val="right" w:pos="9360"/>
              </w:tabs>
              <w:rPr>
                <w:rFonts w:cstheme="minorHAnsi"/>
                <w:b w:val="0"/>
                <w:color w:val="002060"/>
                <w:sz w:val="14"/>
                <w:szCs w:val="14"/>
                <w:lang w:val="sr-Cyrl-CS"/>
              </w:rPr>
            </w:pPr>
            <w:r w:rsidRPr="00646254">
              <w:rPr>
                <w:rFonts w:cstheme="minorHAnsi"/>
                <w:b w:val="0"/>
                <w:color w:val="002060"/>
                <w:sz w:val="14"/>
                <w:szCs w:val="14"/>
                <w:lang w:val="sr-Cyrl-CS"/>
              </w:rPr>
              <w:t>Фонд СОВО</w:t>
            </w:r>
          </w:p>
        </w:tc>
        <w:tc>
          <w:tcPr>
            <w:tcW w:w="1028" w:type="dxa"/>
            <w:tcBorders>
              <w:top w:val="nil"/>
            </w:tcBorders>
            <w:shd w:val="clear" w:color="auto" w:fill="FFFFFF" w:themeFill="background1"/>
            <w:noWrap/>
            <w:vAlign w:val="bottom"/>
            <w:hideMark/>
          </w:tcPr>
          <w:p w14:paraId="0D50670A" w14:textId="489F315B"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3</w:t>
            </w:r>
            <w:r w:rsidR="00BC5D24" w:rsidRPr="00646254">
              <w:rPr>
                <w:rFonts w:cstheme="minorHAnsi"/>
                <w:color w:val="002060"/>
                <w:sz w:val="14"/>
                <w:szCs w:val="14"/>
                <w:lang w:val="sr-Cyrl-CS"/>
              </w:rPr>
              <w:t>,</w:t>
            </w:r>
            <w:r w:rsidRPr="00646254">
              <w:rPr>
                <w:rFonts w:cstheme="minorHAnsi"/>
                <w:color w:val="002060"/>
                <w:sz w:val="14"/>
                <w:szCs w:val="14"/>
                <w:lang w:val="sr-Cyrl-CS"/>
              </w:rPr>
              <w:t>1</w:t>
            </w:r>
          </w:p>
        </w:tc>
        <w:tc>
          <w:tcPr>
            <w:tcW w:w="1028" w:type="dxa"/>
            <w:tcBorders>
              <w:top w:val="nil"/>
            </w:tcBorders>
            <w:shd w:val="clear" w:color="auto" w:fill="FFFFFF" w:themeFill="background1"/>
            <w:noWrap/>
            <w:vAlign w:val="bottom"/>
            <w:hideMark/>
          </w:tcPr>
          <w:p w14:paraId="608D9BB6" w14:textId="00158F10"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0</w:t>
            </w:r>
            <w:r w:rsidR="00BC5D24" w:rsidRPr="00646254">
              <w:rPr>
                <w:rFonts w:cstheme="minorHAnsi"/>
                <w:color w:val="002060"/>
                <w:sz w:val="14"/>
                <w:szCs w:val="14"/>
                <w:lang w:val="sr-Cyrl-CS"/>
              </w:rPr>
              <w:t>,</w:t>
            </w:r>
            <w:r w:rsidRPr="00646254">
              <w:rPr>
                <w:rFonts w:cstheme="minorHAnsi"/>
                <w:color w:val="002060"/>
                <w:sz w:val="14"/>
                <w:szCs w:val="14"/>
                <w:lang w:val="sr-Cyrl-CS"/>
              </w:rPr>
              <w:t>5</w:t>
            </w:r>
          </w:p>
        </w:tc>
        <w:tc>
          <w:tcPr>
            <w:tcW w:w="1042" w:type="dxa"/>
            <w:tcBorders>
              <w:top w:val="nil"/>
            </w:tcBorders>
            <w:shd w:val="clear" w:color="auto" w:fill="FFFFFF" w:themeFill="background1"/>
            <w:noWrap/>
            <w:vAlign w:val="bottom"/>
            <w:hideMark/>
          </w:tcPr>
          <w:p w14:paraId="339B6DFC" w14:textId="77777777"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07" w:type="dxa"/>
            <w:tcBorders>
              <w:top w:val="nil"/>
            </w:tcBorders>
            <w:shd w:val="clear" w:color="auto" w:fill="FFFFFF" w:themeFill="background1"/>
            <w:noWrap/>
            <w:vAlign w:val="bottom"/>
            <w:hideMark/>
          </w:tcPr>
          <w:p w14:paraId="6CD7205B" w14:textId="77777777"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76" w:type="dxa"/>
            <w:tcBorders>
              <w:top w:val="nil"/>
            </w:tcBorders>
            <w:shd w:val="clear" w:color="auto" w:fill="FFFFFF" w:themeFill="background1"/>
            <w:noWrap/>
            <w:vAlign w:val="bottom"/>
            <w:hideMark/>
          </w:tcPr>
          <w:p w14:paraId="14012BA9" w14:textId="77777777"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22" w:type="dxa"/>
            <w:tcBorders>
              <w:top w:val="nil"/>
            </w:tcBorders>
            <w:shd w:val="clear" w:color="auto" w:fill="FFFFFF" w:themeFill="background1"/>
            <w:noWrap/>
            <w:vAlign w:val="bottom"/>
            <w:hideMark/>
          </w:tcPr>
          <w:p w14:paraId="0BF4BBC1" w14:textId="77777777"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76" w:type="dxa"/>
            <w:tcBorders>
              <w:top w:val="nil"/>
            </w:tcBorders>
            <w:shd w:val="clear" w:color="auto" w:fill="FFFFFF" w:themeFill="background1"/>
            <w:noWrap/>
            <w:vAlign w:val="bottom"/>
            <w:hideMark/>
          </w:tcPr>
          <w:p w14:paraId="46D387EC" w14:textId="5A5CDDF6"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2</w:t>
            </w:r>
            <w:r w:rsidR="00BC5D24" w:rsidRPr="00646254">
              <w:rPr>
                <w:rFonts w:cstheme="minorHAnsi"/>
                <w:color w:val="002060"/>
                <w:sz w:val="14"/>
                <w:szCs w:val="14"/>
                <w:lang w:val="sr-Cyrl-CS"/>
              </w:rPr>
              <w:t>,</w:t>
            </w:r>
            <w:r w:rsidRPr="00646254">
              <w:rPr>
                <w:rFonts w:cstheme="minorHAnsi"/>
                <w:color w:val="002060"/>
                <w:sz w:val="14"/>
                <w:szCs w:val="14"/>
                <w:lang w:val="sr-Cyrl-CS"/>
              </w:rPr>
              <w:t>6</w:t>
            </w:r>
          </w:p>
        </w:tc>
        <w:tc>
          <w:tcPr>
            <w:tcW w:w="1076" w:type="dxa"/>
            <w:tcBorders>
              <w:top w:val="nil"/>
            </w:tcBorders>
            <w:shd w:val="clear" w:color="auto" w:fill="FFFFFF" w:themeFill="background1"/>
            <w:noWrap/>
            <w:vAlign w:val="bottom"/>
            <w:hideMark/>
          </w:tcPr>
          <w:p w14:paraId="3C12340A" w14:textId="419A6BD9"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2</w:t>
            </w:r>
            <w:r w:rsidR="00BC5D24" w:rsidRPr="00646254">
              <w:rPr>
                <w:rFonts w:cstheme="minorHAnsi"/>
                <w:color w:val="002060"/>
                <w:sz w:val="14"/>
                <w:szCs w:val="14"/>
                <w:lang w:val="sr-Cyrl-CS"/>
              </w:rPr>
              <w:t>,</w:t>
            </w:r>
            <w:r w:rsidRPr="00646254">
              <w:rPr>
                <w:rFonts w:cstheme="minorHAnsi"/>
                <w:color w:val="002060"/>
                <w:sz w:val="14"/>
                <w:szCs w:val="14"/>
                <w:lang w:val="sr-Cyrl-CS"/>
              </w:rPr>
              <w:t>6</w:t>
            </w:r>
          </w:p>
        </w:tc>
        <w:tc>
          <w:tcPr>
            <w:tcW w:w="1076" w:type="dxa"/>
            <w:tcBorders>
              <w:top w:val="nil"/>
            </w:tcBorders>
            <w:shd w:val="clear" w:color="auto" w:fill="FFFFFF" w:themeFill="background1"/>
            <w:noWrap/>
            <w:vAlign w:val="bottom"/>
          </w:tcPr>
          <w:p w14:paraId="21632C2A" w14:textId="77777777"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color w:val="002060"/>
                <w:sz w:val="14"/>
                <w:szCs w:val="14"/>
                <w:lang w:val="sr-Cyrl-CS"/>
              </w:rPr>
            </w:pPr>
          </w:p>
        </w:tc>
        <w:tc>
          <w:tcPr>
            <w:tcW w:w="1076" w:type="dxa"/>
            <w:tcBorders>
              <w:top w:val="nil"/>
            </w:tcBorders>
            <w:shd w:val="clear" w:color="auto" w:fill="FFFFFF" w:themeFill="background1"/>
            <w:noWrap/>
            <w:vAlign w:val="bottom"/>
          </w:tcPr>
          <w:p w14:paraId="74A21A80" w14:textId="77777777"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color w:val="002060"/>
                <w:sz w:val="14"/>
                <w:szCs w:val="14"/>
                <w:lang w:val="sr-Cyrl-CS"/>
              </w:rPr>
            </w:pPr>
          </w:p>
        </w:tc>
        <w:tc>
          <w:tcPr>
            <w:tcW w:w="1076" w:type="dxa"/>
            <w:tcBorders>
              <w:top w:val="nil"/>
            </w:tcBorders>
            <w:shd w:val="clear" w:color="auto" w:fill="FFFFFF" w:themeFill="background1"/>
            <w:noWrap/>
            <w:vAlign w:val="bottom"/>
          </w:tcPr>
          <w:p w14:paraId="09DF9923" w14:textId="77777777"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color w:val="002060"/>
                <w:sz w:val="14"/>
                <w:szCs w:val="14"/>
                <w:lang w:val="sr-Cyrl-CS"/>
              </w:rPr>
            </w:pPr>
          </w:p>
        </w:tc>
      </w:tr>
      <w:tr w:rsidR="00960AC3" w:rsidRPr="00646254" w14:paraId="6736F79D" w14:textId="77777777" w:rsidTr="00BC5D24">
        <w:trPr>
          <w:cnfStyle w:val="000000100000" w:firstRow="0" w:lastRow="0" w:firstColumn="0" w:lastColumn="0" w:oddVBand="0" w:evenVBand="0" w:oddHBand="1" w:evenHBand="0" w:firstRowFirstColumn="0" w:firstRowLastColumn="0" w:lastRowFirstColumn="0" w:lastRowLastColumn="0"/>
          <w:trHeight w:val="174"/>
        </w:trPr>
        <w:tc>
          <w:tcPr>
            <w:cnfStyle w:val="001000000000" w:firstRow="0" w:lastRow="0" w:firstColumn="1" w:lastColumn="0" w:oddVBand="0" w:evenVBand="0" w:oddHBand="0" w:evenHBand="0" w:firstRowFirstColumn="0" w:firstRowLastColumn="0" w:lastRowFirstColumn="0" w:lastRowLastColumn="0"/>
            <w:tcW w:w="2875" w:type="dxa"/>
            <w:tcBorders>
              <w:top w:val="nil"/>
            </w:tcBorders>
            <w:shd w:val="clear" w:color="auto" w:fill="FFFFFF" w:themeFill="background1"/>
            <w:noWrap/>
            <w:vAlign w:val="bottom"/>
            <w:hideMark/>
          </w:tcPr>
          <w:p w14:paraId="189896FD" w14:textId="77777777" w:rsidR="00960AC3" w:rsidRPr="00646254" w:rsidRDefault="00960AC3" w:rsidP="00BC5D24">
            <w:pPr>
              <w:tabs>
                <w:tab w:val="center" w:pos="4680"/>
                <w:tab w:val="right" w:pos="9360"/>
              </w:tabs>
              <w:rPr>
                <w:rFonts w:cstheme="minorHAnsi"/>
                <w:b w:val="0"/>
                <w:color w:val="002060"/>
                <w:sz w:val="14"/>
                <w:szCs w:val="14"/>
                <w:lang w:val="sr-Cyrl-CS"/>
              </w:rPr>
            </w:pPr>
            <w:r w:rsidRPr="00646254">
              <w:rPr>
                <w:rFonts w:cstheme="minorHAnsi"/>
                <w:b w:val="0"/>
                <w:color w:val="002060"/>
                <w:sz w:val="14"/>
                <w:szCs w:val="14"/>
                <w:lang w:val="sr-Cyrl-CS"/>
              </w:rPr>
              <w:t>Остали нивои</w:t>
            </w:r>
          </w:p>
        </w:tc>
        <w:tc>
          <w:tcPr>
            <w:tcW w:w="1028" w:type="dxa"/>
            <w:tcBorders>
              <w:top w:val="nil"/>
            </w:tcBorders>
            <w:shd w:val="clear" w:color="auto" w:fill="FFFFFF" w:themeFill="background1"/>
            <w:noWrap/>
            <w:vAlign w:val="bottom"/>
            <w:hideMark/>
          </w:tcPr>
          <w:p w14:paraId="30E52E6B" w14:textId="112006A6"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18</w:t>
            </w:r>
            <w:r w:rsidR="00BC5D24" w:rsidRPr="00646254">
              <w:rPr>
                <w:rFonts w:cstheme="minorHAnsi"/>
                <w:color w:val="002060"/>
                <w:sz w:val="14"/>
                <w:szCs w:val="14"/>
                <w:lang w:val="sr-Cyrl-CS"/>
              </w:rPr>
              <w:t>,</w:t>
            </w:r>
            <w:r w:rsidRPr="00646254">
              <w:rPr>
                <w:rFonts w:cstheme="minorHAnsi"/>
                <w:color w:val="002060"/>
                <w:sz w:val="14"/>
                <w:szCs w:val="14"/>
                <w:lang w:val="sr-Cyrl-CS"/>
              </w:rPr>
              <w:t>9</w:t>
            </w:r>
          </w:p>
        </w:tc>
        <w:tc>
          <w:tcPr>
            <w:tcW w:w="1028" w:type="dxa"/>
            <w:tcBorders>
              <w:top w:val="nil"/>
            </w:tcBorders>
            <w:shd w:val="clear" w:color="auto" w:fill="FFFFFF" w:themeFill="background1"/>
            <w:noWrap/>
            <w:vAlign w:val="bottom"/>
            <w:hideMark/>
          </w:tcPr>
          <w:p w14:paraId="633295C9" w14:textId="1C050987"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18</w:t>
            </w:r>
            <w:r w:rsidR="00BC5D24" w:rsidRPr="00646254">
              <w:rPr>
                <w:rFonts w:cstheme="minorHAnsi"/>
                <w:color w:val="002060"/>
                <w:sz w:val="14"/>
                <w:szCs w:val="14"/>
                <w:lang w:val="sr-Cyrl-CS"/>
              </w:rPr>
              <w:t>,</w:t>
            </w:r>
            <w:r w:rsidRPr="00646254">
              <w:rPr>
                <w:rFonts w:cstheme="minorHAnsi"/>
                <w:color w:val="002060"/>
                <w:sz w:val="14"/>
                <w:szCs w:val="14"/>
                <w:lang w:val="sr-Cyrl-CS"/>
              </w:rPr>
              <w:t>9</w:t>
            </w:r>
          </w:p>
        </w:tc>
        <w:tc>
          <w:tcPr>
            <w:tcW w:w="1042" w:type="dxa"/>
            <w:tcBorders>
              <w:top w:val="nil"/>
            </w:tcBorders>
            <w:shd w:val="clear" w:color="auto" w:fill="FFFFFF" w:themeFill="background1"/>
            <w:noWrap/>
            <w:vAlign w:val="bottom"/>
            <w:hideMark/>
          </w:tcPr>
          <w:p w14:paraId="26A934D6" w14:textId="77777777"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07" w:type="dxa"/>
            <w:tcBorders>
              <w:top w:val="nil"/>
            </w:tcBorders>
            <w:shd w:val="clear" w:color="auto" w:fill="FFFFFF" w:themeFill="background1"/>
            <w:noWrap/>
            <w:vAlign w:val="bottom"/>
            <w:hideMark/>
          </w:tcPr>
          <w:p w14:paraId="445CB009" w14:textId="77777777"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76" w:type="dxa"/>
            <w:tcBorders>
              <w:top w:val="nil"/>
            </w:tcBorders>
            <w:shd w:val="clear" w:color="auto" w:fill="FFFFFF" w:themeFill="background1"/>
            <w:noWrap/>
            <w:vAlign w:val="bottom"/>
            <w:hideMark/>
          </w:tcPr>
          <w:p w14:paraId="32DA2F40" w14:textId="77777777"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22" w:type="dxa"/>
            <w:tcBorders>
              <w:top w:val="nil"/>
            </w:tcBorders>
            <w:shd w:val="clear" w:color="auto" w:fill="FFFFFF" w:themeFill="background1"/>
            <w:noWrap/>
            <w:vAlign w:val="bottom"/>
            <w:hideMark/>
          </w:tcPr>
          <w:p w14:paraId="775365E4" w14:textId="77777777"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76" w:type="dxa"/>
            <w:tcBorders>
              <w:top w:val="nil"/>
            </w:tcBorders>
            <w:shd w:val="clear" w:color="auto" w:fill="FFFFFF" w:themeFill="background1"/>
            <w:noWrap/>
            <w:vAlign w:val="bottom"/>
            <w:hideMark/>
          </w:tcPr>
          <w:p w14:paraId="5578CC25" w14:textId="4CB2F10F"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0</w:t>
            </w:r>
            <w:r w:rsidR="00BC5D24" w:rsidRPr="00646254">
              <w:rPr>
                <w:rFonts w:cstheme="minorHAnsi"/>
                <w:color w:val="002060"/>
                <w:sz w:val="14"/>
                <w:szCs w:val="14"/>
                <w:lang w:val="sr-Cyrl-CS"/>
              </w:rPr>
              <w:t>,</w:t>
            </w:r>
            <w:r w:rsidRPr="00646254">
              <w:rPr>
                <w:rFonts w:cstheme="minorHAnsi"/>
                <w:color w:val="002060"/>
                <w:sz w:val="14"/>
                <w:szCs w:val="14"/>
                <w:lang w:val="sr-Cyrl-CS"/>
              </w:rPr>
              <w:t>0</w:t>
            </w:r>
          </w:p>
        </w:tc>
        <w:tc>
          <w:tcPr>
            <w:tcW w:w="1076" w:type="dxa"/>
            <w:tcBorders>
              <w:top w:val="nil"/>
            </w:tcBorders>
            <w:shd w:val="clear" w:color="auto" w:fill="FFFFFF" w:themeFill="background1"/>
            <w:noWrap/>
            <w:vAlign w:val="bottom"/>
          </w:tcPr>
          <w:p w14:paraId="163C8C13" w14:textId="77777777"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color w:val="002060"/>
                <w:sz w:val="14"/>
                <w:szCs w:val="14"/>
                <w:lang w:val="sr-Cyrl-CS"/>
              </w:rPr>
            </w:pPr>
          </w:p>
        </w:tc>
        <w:tc>
          <w:tcPr>
            <w:tcW w:w="1076" w:type="dxa"/>
            <w:tcBorders>
              <w:top w:val="nil"/>
            </w:tcBorders>
            <w:shd w:val="clear" w:color="auto" w:fill="FFFFFF" w:themeFill="background1"/>
            <w:noWrap/>
            <w:vAlign w:val="bottom"/>
          </w:tcPr>
          <w:p w14:paraId="2BD66635" w14:textId="77777777"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color w:val="002060"/>
                <w:sz w:val="14"/>
                <w:szCs w:val="14"/>
                <w:lang w:val="sr-Cyrl-CS"/>
              </w:rPr>
            </w:pPr>
          </w:p>
        </w:tc>
        <w:tc>
          <w:tcPr>
            <w:tcW w:w="1076" w:type="dxa"/>
            <w:tcBorders>
              <w:top w:val="nil"/>
            </w:tcBorders>
            <w:shd w:val="clear" w:color="auto" w:fill="FFFFFF" w:themeFill="background1"/>
            <w:noWrap/>
            <w:vAlign w:val="bottom"/>
          </w:tcPr>
          <w:p w14:paraId="5B1BC6A9" w14:textId="77777777"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color w:val="002060"/>
                <w:sz w:val="14"/>
                <w:szCs w:val="14"/>
                <w:lang w:val="sr-Cyrl-CS"/>
              </w:rPr>
            </w:pPr>
          </w:p>
        </w:tc>
        <w:tc>
          <w:tcPr>
            <w:tcW w:w="1076" w:type="dxa"/>
            <w:tcBorders>
              <w:top w:val="nil"/>
            </w:tcBorders>
            <w:shd w:val="clear" w:color="auto" w:fill="FFFFFF" w:themeFill="background1"/>
            <w:noWrap/>
            <w:vAlign w:val="bottom"/>
          </w:tcPr>
          <w:p w14:paraId="53A11F34" w14:textId="77777777"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color w:val="002060"/>
                <w:sz w:val="14"/>
                <w:szCs w:val="14"/>
                <w:lang w:val="sr-Cyrl-CS"/>
              </w:rPr>
            </w:pPr>
          </w:p>
        </w:tc>
      </w:tr>
      <w:tr w:rsidR="00960AC3" w:rsidRPr="00646254" w14:paraId="3A39F183" w14:textId="77777777" w:rsidTr="00BC5D24">
        <w:trPr>
          <w:trHeight w:val="87"/>
        </w:trPr>
        <w:tc>
          <w:tcPr>
            <w:cnfStyle w:val="001000000000" w:firstRow="0" w:lastRow="0" w:firstColumn="1" w:lastColumn="0" w:oddVBand="0" w:evenVBand="0" w:oddHBand="0" w:evenHBand="0" w:firstRowFirstColumn="0" w:firstRowLastColumn="0" w:lastRowFirstColumn="0" w:lastRowLastColumn="0"/>
            <w:tcW w:w="2875" w:type="dxa"/>
            <w:tcBorders>
              <w:top w:val="nil"/>
            </w:tcBorders>
            <w:shd w:val="clear" w:color="auto" w:fill="FFFFFF" w:themeFill="background1"/>
            <w:noWrap/>
            <w:vAlign w:val="bottom"/>
            <w:hideMark/>
          </w:tcPr>
          <w:p w14:paraId="42C62730" w14:textId="77777777" w:rsidR="00960AC3" w:rsidRPr="00646254" w:rsidRDefault="00960AC3" w:rsidP="00BC5D24">
            <w:pPr>
              <w:tabs>
                <w:tab w:val="center" w:pos="4680"/>
                <w:tab w:val="right" w:pos="9360"/>
              </w:tabs>
              <w:rPr>
                <w:rFonts w:cstheme="minorHAnsi"/>
                <w:b w:val="0"/>
                <w:color w:val="002060"/>
                <w:sz w:val="14"/>
                <w:szCs w:val="14"/>
                <w:lang w:val="sr-Cyrl-CS"/>
              </w:rPr>
            </w:pPr>
            <w:r w:rsidRPr="00646254">
              <w:rPr>
                <w:rFonts w:cstheme="minorHAnsi"/>
                <w:b w:val="0"/>
                <w:color w:val="002060"/>
                <w:sz w:val="14"/>
                <w:szCs w:val="14"/>
                <w:lang w:val="sr-Cyrl-CS"/>
              </w:rPr>
              <w:t>Нето трансфери другим нивоима власти</w:t>
            </w:r>
          </w:p>
        </w:tc>
        <w:tc>
          <w:tcPr>
            <w:tcW w:w="1028" w:type="dxa"/>
            <w:tcBorders>
              <w:top w:val="nil"/>
            </w:tcBorders>
            <w:shd w:val="clear" w:color="auto" w:fill="FFFFFF" w:themeFill="background1"/>
            <w:noWrap/>
            <w:vAlign w:val="bottom"/>
            <w:hideMark/>
          </w:tcPr>
          <w:p w14:paraId="46DA3E85" w14:textId="51D2C9C0"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0</w:t>
            </w:r>
            <w:r w:rsidR="00BC5D24" w:rsidRPr="00646254">
              <w:rPr>
                <w:rFonts w:cstheme="minorHAnsi"/>
                <w:color w:val="002060"/>
                <w:sz w:val="14"/>
                <w:szCs w:val="14"/>
                <w:lang w:val="sr-Cyrl-CS"/>
              </w:rPr>
              <w:t>,</w:t>
            </w:r>
            <w:r w:rsidRPr="00646254">
              <w:rPr>
                <w:rFonts w:cstheme="minorHAnsi"/>
                <w:color w:val="002060"/>
                <w:sz w:val="14"/>
                <w:szCs w:val="14"/>
                <w:lang w:val="sr-Cyrl-CS"/>
              </w:rPr>
              <w:t>0</w:t>
            </w:r>
          </w:p>
        </w:tc>
        <w:tc>
          <w:tcPr>
            <w:tcW w:w="1028" w:type="dxa"/>
            <w:tcBorders>
              <w:top w:val="nil"/>
            </w:tcBorders>
            <w:shd w:val="clear" w:color="auto" w:fill="FFFFFF" w:themeFill="background1"/>
            <w:noWrap/>
            <w:vAlign w:val="bottom"/>
            <w:hideMark/>
          </w:tcPr>
          <w:p w14:paraId="3D9D453D" w14:textId="7CC94F1E"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-320</w:t>
            </w:r>
            <w:r w:rsidR="00BC5D24" w:rsidRPr="00646254">
              <w:rPr>
                <w:rFonts w:cstheme="minorHAnsi"/>
                <w:color w:val="002060"/>
                <w:sz w:val="14"/>
                <w:szCs w:val="14"/>
                <w:lang w:val="sr-Cyrl-CS"/>
              </w:rPr>
              <w:t>,</w:t>
            </w:r>
            <w:r w:rsidRPr="00646254">
              <w:rPr>
                <w:rFonts w:cstheme="minorHAnsi"/>
                <w:color w:val="002060"/>
                <w:sz w:val="14"/>
                <w:szCs w:val="14"/>
                <w:lang w:val="sr-Cyrl-CS"/>
              </w:rPr>
              <w:t>1</w:t>
            </w:r>
          </w:p>
        </w:tc>
        <w:tc>
          <w:tcPr>
            <w:tcW w:w="1042" w:type="dxa"/>
            <w:tcBorders>
              <w:top w:val="nil"/>
            </w:tcBorders>
            <w:shd w:val="clear" w:color="auto" w:fill="FFFFFF" w:themeFill="background1"/>
            <w:noWrap/>
            <w:vAlign w:val="bottom"/>
            <w:hideMark/>
          </w:tcPr>
          <w:p w14:paraId="55761598" w14:textId="110A1F67"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94</w:t>
            </w:r>
            <w:r w:rsidR="00BC5D24" w:rsidRPr="00646254">
              <w:rPr>
                <w:rFonts w:cstheme="minorHAnsi"/>
                <w:color w:val="002060"/>
                <w:sz w:val="14"/>
                <w:szCs w:val="14"/>
                <w:lang w:val="sr-Cyrl-CS"/>
              </w:rPr>
              <w:t>,</w:t>
            </w:r>
            <w:r w:rsidRPr="00646254">
              <w:rPr>
                <w:rFonts w:cstheme="minorHAnsi"/>
                <w:color w:val="002060"/>
                <w:sz w:val="14"/>
                <w:szCs w:val="14"/>
                <w:lang w:val="sr-Cyrl-CS"/>
              </w:rPr>
              <w:t>8</w:t>
            </w:r>
          </w:p>
        </w:tc>
        <w:tc>
          <w:tcPr>
            <w:tcW w:w="1007" w:type="dxa"/>
            <w:tcBorders>
              <w:top w:val="nil"/>
            </w:tcBorders>
            <w:shd w:val="clear" w:color="auto" w:fill="FFFFFF" w:themeFill="background1"/>
            <w:noWrap/>
            <w:vAlign w:val="bottom"/>
            <w:hideMark/>
          </w:tcPr>
          <w:p w14:paraId="2E27394B" w14:textId="1E795AA6"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54</w:t>
            </w:r>
            <w:r w:rsidR="00BC5D24" w:rsidRPr="00646254">
              <w:rPr>
                <w:rFonts w:cstheme="minorHAnsi"/>
                <w:color w:val="002060"/>
                <w:sz w:val="14"/>
                <w:szCs w:val="14"/>
                <w:lang w:val="sr-Cyrl-CS"/>
              </w:rPr>
              <w:t>,</w:t>
            </w:r>
            <w:r w:rsidRPr="00646254">
              <w:rPr>
                <w:rFonts w:cstheme="minorHAnsi"/>
                <w:color w:val="002060"/>
                <w:sz w:val="14"/>
                <w:szCs w:val="14"/>
                <w:lang w:val="sr-Cyrl-CS"/>
              </w:rPr>
              <w:t>3</w:t>
            </w:r>
          </w:p>
        </w:tc>
        <w:tc>
          <w:tcPr>
            <w:tcW w:w="1076" w:type="dxa"/>
            <w:tcBorders>
              <w:top w:val="nil"/>
            </w:tcBorders>
            <w:shd w:val="clear" w:color="auto" w:fill="FFFFFF" w:themeFill="background1"/>
            <w:noWrap/>
            <w:vAlign w:val="bottom"/>
            <w:hideMark/>
          </w:tcPr>
          <w:p w14:paraId="31CDBA41" w14:textId="3699389D"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40</w:t>
            </w:r>
            <w:r w:rsidR="00BC5D24" w:rsidRPr="00646254">
              <w:rPr>
                <w:rFonts w:cstheme="minorHAnsi"/>
                <w:color w:val="002060"/>
                <w:sz w:val="14"/>
                <w:szCs w:val="14"/>
                <w:lang w:val="sr-Cyrl-CS"/>
              </w:rPr>
              <w:t>,</w:t>
            </w:r>
            <w:r w:rsidRPr="00646254">
              <w:rPr>
                <w:rFonts w:cstheme="minorHAnsi"/>
                <w:color w:val="002060"/>
                <w:sz w:val="14"/>
                <w:szCs w:val="14"/>
                <w:lang w:val="sr-Cyrl-CS"/>
              </w:rPr>
              <w:t>6</w:t>
            </w:r>
          </w:p>
        </w:tc>
        <w:tc>
          <w:tcPr>
            <w:tcW w:w="1022" w:type="dxa"/>
            <w:tcBorders>
              <w:top w:val="nil"/>
            </w:tcBorders>
            <w:shd w:val="clear" w:color="auto" w:fill="FFFFFF" w:themeFill="background1"/>
            <w:noWrap/>
            <w:vAlign w:val="bottom"/>
            <w:hideMark/>
          </w:tcPr>
          <w:p w14:paraId="3C6F1872" w14:textId="20C06CC4"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18</w:t>
            </w:r>
            <w:r w:rsidR="00BC5D24" w:rsidRPr="00646254">
              <w:rPr>
                <w:rFonts w:cstheme="minorHAnsi"/>
                <w:color w:val="002060"/>
                <w:sz w:val="14"/>
                <w:szCs w:val="14"/>
                <w:lang w:val="sr-Cyrl-CS"/>
              </w:rPr>
              <w:t>,</w:t>
            </w:r>
            <w:r w:rsidRPr="00646254">
              <w:rPr>
                <w:rFonts w:cstheme="minorHAnsi"/>
                <w:color w:val="002060"/>
                <w:sz w:val="14"/>
                <w:szCs w:val="14"/>
                <w:lang w:val="sr-Cyrl-CS"/>
              </w:rPr>
              <w:t>9</w:t>
            </w:r>
          </w:p>
        </w:tc>
        <w:tc>
          <w:tcPr>
            <w:tcW w:w="1076" w:type="dxa"/>
            <w:tcBorders>
              <w:top w:val="nil"/>
            </w:tcBorders>
            <w:shd w:val="clear" w:color="auto" w:fill="FFFFFF" w:themeFill="background1"/>
            <w:noWrap/>
            <w:vAlign w:val="bottom"/>
            <w:hideMark/>
          </w:tcPr>
          <w:p w14:paraId="0D09962C" w14:textId="16F9EC33"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206</w:t>
            </w:r>
            <w:r w:rsidR="00BC5D24" w:rsidRPr="00646254">
              <w:rPr>
                <w:rFonts w:cstheme="minorHAnsi"/>
                <w:color w:val="002060"/>
                <w:sz w:val="14"/>
                <w:szCs w:val="14"/>
                <w:lang w:val="sr-Cyrl-CS"/>
              </w:rPr>
              <w:t>,</w:t>
            </w:r>
            <w:r w:rsidRPr="00646254">
              <w:rPr>
                <w:rFonts w:cstheme="minorHAnsi"/>
                <w:color w:val="002060"/>
                <w:sz w:val="14"/>
                <w:szCs w:val="14"/>
                <w:lang w:val="sr-Cyrl-CS"/>
              </w:rPr>
              <w:t>4</w:t>
            </w:r>
          </w:p>
        </w:tc>
        <w:tc>
          <w:tcPr>
            <w:tcW w:w="1076" w:type="dxa"/>
            <w:tcBorders>
              <w:top w:val="nil"/>
            </w:tcBorders>
            <w:shd w:val="clear" w:color="auto" w:fill="FFFFFF" w:themeFill="background1"/>
            <w:noWrap/>
            <w:vAlign w:val="bottom"/>
            <w:hideMark/>
          </w:tcPr>
          <w:p w14:paraId="43D2D7C6" w14:textId="192ACE33"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66</w:t>
            </w:r>
            <w:r w:rsidR="00BC5D24" w:rsidRPr="00646254">
              <w:rPr>
                <w:rFonts w:cstheme="minorHAnsi"/>
                <w:color w:val="002060"/>
                <w:sz w:val="14"/>
                <w:szCs w:val="14"/>
                <w:lang w:val="sr-Cyrl-CS"/>
              </w:rPr>
              <w:t>,</w:t>
            </w:r>
            <w:r w:rsidRPr="00646254">
              <w:rPr>
                <w:rFonts w:cstheme="minorHAnsi"/>
                <w:color w:val="002060"/>
                <w:sz w:val="14"/>
                <w:szCs w:val="14"/>
                <w:lang w:val="sr-Cyrl-CS"/>
              </w:rPr>
              <w:t>6</w:t>
            </w:r>
          </w:p>
        </w:tc>
        <w:tc>
          <w:tcPr>
            <w:tcW w:w="1076" w:type="dxa"/>
            <w:tcBorders>
              <w:top w:val="nil"/>
            </w:tcBorders>
            <w:shd w:val="clear" w:color="auto" w:fill="FFFFFF" w:themeFill="background1"/>
            <w:noWrap/>
            <w:vAlign w:val="bottom"/>
            <w:hideMark/>
          </w:tcPr>
          <w:p w14:paraId="0AAC8CD7" w14:textId="0809ED52"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135</w:t>
            </w:r>
            <w:r w:rsidR="00BC5D24" w:rsidRPr="00646254">
              <w:rPr>
                <w:rFonts w:cstheme="minorHAnsi"/>
                <w:color w:val="002060"/>
                <w:sz w:val="14"/>
                <w:szCs w:val="14"/>
                <w:lang w:val="sr-Cyrl-CS"/>
              </w:rPr>
              <w:t>,</w:t>
            </w:r>
            <w:r w:rsidRPr="00646254">
              <w:rPr>
                <w:rFonts w:cstheme="minorHAnsi"/>
                <w:color w:val="002060"/>
                <w:sz w:val="14"/>
                <w:szCs w:val="14"/>
                <w:lang w:val="sr-Cyrl-CS"/>
              </w:rPr>
              <w:t>6</w:t>
            </w:r>
          </w:p>
        </w:tc>
        <w:tc>
          <w:tcPr>
            <w:tcW w:w="1076" w:type="dxa"/>
            <w:tcBorders>
              <w:top w:val="nil"/>
            </w:tcBorders>
            <w:shd w:val="clear" w:color="auto" w:fill="FFFFFF" w:themeFill="background1"/>
            <w:noWrap/>
            <w:vAlign w:val="bottom"/>
            <w:hideMark/>
          </w:tcPr>
          <w:p w14:paraId="18A3D9A4" w14:textId="1E662CEC"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1</w:t>
            </w:r>
            <w:r w:rsidR="00BC5D24" w:rsidRPr="00646254">
              <w:rPr>
                <w:rFonts w:cstheme="minorHAnsi"/>
                <w:color w:val="002060"/>
                <w:sz w:val="14"/>
                <w:szCs w:val="14"/>
                <w:lang w:val="sr-Cyrl-CS"/>
              </w:rPr>
              <w:t>,</w:t>
            </w:r>
            <w:r w:rsidRPr="00646254">
              <w:rPr>
                <w:rFonts w:cstheme="minorHAnsi"/>
                <w:color w:val="002060"/>
                <w:sz w:val="14"/>
                <w:szCs w:val="14"/>
                <w:lang w:val="sr-Cyrl-CS"/>
              </w:rPr>
              <w:t>1</w:t>
            </w:r>
          </w:p>
        </w:tc>
        <w:tc>
          <w:tcPr>
            <w:tcW w:w="1076" w:type="dxa"/>
            <w:tcBorders>
              <w:top w:val="nil"/>
            </w:tcBorders>
            <w:shd w:val="clear" w:color="auto" w:fill="FFFFFF" w:themeFill="background1"/>
            <w:noWrap/>
            <w:vAlign w:val="bottom"/>
            <w:hideMark/>
          </w:tcPr>
          <w:p w14:paraId="60E131A2" w14:textId="41214721"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3</w:t>
            </w:r>
            <w:r w:rsidR="00BC5D24" w:rsidRPr="00646254">
              <w:rPr>
                <w:rFonts w:cstheme="minorHAnsi"/>
                <w:color w:val="002060"/>
                <w:sz w:val="14"/>
                <w:szCs w:val="14"/>
                <w:lang w:val="sr-Cyrl-CS"/>
              </w:rPr>
              <w:t>,</w:t>
            </w:r>
            <w:r w:rsidRPr="00646254">
              <w:rPr>
                <w:rFonts w:cstheme="minorHAnsi"/>
                <w:color w:val="002060"/>
                <w:sz w:val="14"/>
                <w:szCs w:val="14"/>
                <w:lang w:val="sr-Cyrl-CS"/>
              </w:rPr>
              <w:t>1</w:t>
            </w:r>
          </w:p>
        </w:tc>
      </w:tr>
      <w:tr w:rsidR="00960AC3" w:rsidRPr="00646254" w14:paraId="0CEEFD89" w14:textId="77777777" w:rsidTr="00BC5D24">
        <w:trPr>
          <w:cnfStyle w:val="000000100000" w:firstRow="0" w:lastRow="0" w:firstColumn="0" w:lastColumn="0" w:oddVBand="0" w:evenVBand="0" w:oddHBand="1" w:evenHBand="0" w:firstRowFirstColumn="0" w:firstRowLastColumn="0" w:lastRowFirstColumn="0" w:lastRowLastColumn="0"/>
          <w:trHeight w:val="113"/>
        </w:trPr>
        <w:tc>
          <w:tcPr>
            <w:cnfStyle w:val="001000000000" w:firstRow="0" w:lastRow="0" w:firstColumn="1" w:lastColumn="0" w:oddVBand="0" w:evenVBand="0" w:oddHBand="0" w:evenHBand="0" w:firstRowFirstColumn="0" w:firstRowLastColumn="0" w:lastRowFirstColumn="0" w:lastRowLastColumn="0"/>
            <w:tcW w:w="2875" w:type="dxa"/>
            <w:tcBorders>
              <w:top w:val="nil"/>
            </w:tcBorders>
            <w:shd w:val="clear" w:color="auto" w:fill="FFFFFF" w:themeFill="background1"/>
            <w:noWrap/>
            <w:vAlign w:val="bottom"/>
            <w:hideMark/>
          </w:tcPr>
          <w:p w14:paraId="5BF30A60" w14:textId="77777777" w:rsidR="00960AC3" w:rsidRPr="00646254" w:rsidRDefault="00960AC3" w:rsidP="00BC5D24">
            <w:pPr>
              <w:tabs>
                <w:tab w:val="center" w:pos="4680"/>
                <w:tab w:val="right" w:pos="9360"/>
              </w:tabs>
              <w:rPr>
                <w:rFonts w:cstheme="minorHAnsi"/>
                <w:b w:val="0"/>
                <w:color w:val="002060"/>
                <w:sz w:val="14"/>
                <w:szCs w:val="14"/>
                <w:lang w:val="sr-Cyrl-CS"/>
              </w:rPr>
            </w:pPr>
            <w:r w:rsidRPr="00646254">
              <w:rPr>
                <w:rFonts w:cstheme="minorHAnsi"/>
                <w:b w:val="0"/>
                <w:color w:val="002060"/>
                <w:sz w:val="14"/>
                <w:szCs w:val="14"/>
                <w:lang w:val="sr-Cyrl-CS"/>
              </w:rPr>
              <w:t>Нераспоређени фискални простор</w:t>
            </w:r>
          </w:p>
        </w:tc>
        <w:tc>
          <w:tcPr>
            <w:tcW w:w="1028" w:type="dxa"/>
            <w:tcBorders>
              <w:top w:val="nil"/>
            </w:tcBorders>
            <w:shd w:val="clear" w:color="auto" w:fill="FFFFFF" w:themeFill="background1"/>
            <w:noWrap/>
            <w:vAlign w:val="bottom"/>
            <w:hideMark/>
          </w:tcPr>
          <w:p w14:paraId="15E1F246" w14:textId="44C9783C"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0</w:t>
            </w:r>
            <w:r w:rsidR="00BC5D24" w:rsidRPr="00646254">
              <w:rPr>
                <w:rFonts w:cstheme="minorHAnsi"/>
                <w:color w:val="002060"/>
                <w:sz w:val="14"/>
                <w:szCs w:val="14"/>
                <w:lang w:val="sr-Cyrl-CS"/>
              </w:rPr>
              <w:t>,</w:t>
            </w:r>
            <w:r w:rsidRPr="00646254">
              <w:rPr>
                <w:rFonts w:cstheme="minorHAnsi"/>
                <w:color w:val="002060"/>
                <w:sz w:val="14"/>
                <w:szCs w:val="14"/>
                <w:lang w:val="sr-Cyrl-CS"/>
              </w:rPr>
              <w:t>0</w:t>
            </w:r>
          </w:p>
        </w:tc>
        <w:tc>
          <w:tcPr>
            <w:tcW w:w="1028" w:type="dxa"/>
            <w:tcBorders>
              <w:top w:val="nil"/>
            </w:tcBorders>
            <w:shd w:val="clear" w:color="auto" w:fill="FFFFFF" w:themeFill="background1"/>
            <w:noWrap/>
            <w:vAlign w:val="bottom"/>
          </w:tcPr>
          <w:p w14:paraId="18182267" w14:textId="77777777"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color w:val="002060"/>
                <w:sz w:val="14"/>
                <w:szCs w:val="14"/>
                <w:lang w:val="sr-Cyrl-CS"/>
              </w:rPr>
            </w:pPr>
          </w:p>
        </w:tc>
        <w:tc>
          <w:tcPr>
            <w:tcW w:w="1042" w:type="dxa"/>
            <w:tcBorders>
              <w:top w:val="nil"/>
            </w:tcBorders>
            <w:shd w:val="clear" w:color="auto" w:fill="FFFFFF" w:themeFill="background1"/>
            <w:noWrap/>
            <w:vAlign w:val="bottom"/>
          </w:tcPr>
          <w:p w14:paraId="70EC7B05" w14:textId="79D0BA59"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0</w:t>
            </w:r>
            <w:r w:rsidR="00BC5D24" w:rsidRPr="00646254">
              <w:rPr>
                <w:rFonts w:cstheme="minorHAnsi"/>
                <w:color w:val="002060"/>
                <w:sz w:val="14"/>
                <w:szCs w:val="14"/>
                <w:lang w:val="sr-Cyrl-CS"/>
              </w:rPr>
              <w:t>,</w:t>
            </w:r>
            <w:r w:rsidRPr="00646254">
              <w:rPr>
                <w:rFonts w:cstheme="minorHAnsi"/>
                <w:color w:val="002060"/>
                <w:sz w:val="14"/>
                <w:szCs w:val="14"/>
                <w:lang w:val="sr-Cyrl-CS"/>
              </w:rPr>
              <w:t>0</w:t>
            </w:r>
          </w:p>
        </w:tc>
        <w:tc>
          <w:tcPr>
            <w:tcW w:w="1007" w:type="dxa"/>
            <w:tcBorders>
              <w:top w:val="nil"/>
            </w:tcBorders>
            <w:shd w:val="clear" w:color="auto" w:fill="FFFFFF" w:themeFill="background1"/>
            <w:noWrap/>
            <w:vAlign w:val="bottom"/>
            <w:hideMark/>
          </w:tcPr>
          <w:p w14:paraId="3B385219" w14:textId="77777777"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76" w:type="dxa"/>
            <w:tcBorders>
              <w:top w:val="nil"/>
            </w:tcBorders>
            <w:shd w:val="clear" w:color="auto" w:fill="FFFFFF" w:themeFill="background1"/>
            <w:noWrap/>
            <w:vAlign w:val="bottom"/>
            <w:hideMark/>
          </w:tcPr>
          <w:p w14:paraId="7AB2567B" w14:textId="77777777"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22" w:type="dxa"/>
            <w:tcBorders>
              <w:top w:val="nil"/>
            </w:tcBorders>
            <w:shd w:val="clear" w:color="auto" w:fill="FFFFFF" w:themeFill="background1"/>
            <w:noWrap/>
            <w:vAlign w:val="bottom"/>
            <w:hideMark/>
          </w:tcPr>
          <w:p w14:paraId="26AC9EE0" w14:textId="77777777"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76" w:type="dxa"/>
            <w:tcBorders>
              <w:top w:val="nil"/>
            </w:tcBorders>
            <w:shd w:val="clear" w:color="auto" w:fill="FFFFFF" w:themeFill="background1"/>
            <w:noWrap/>
            <w:vAlign w:val="bottom"/>
            <w:hideMark/>
          </w:tcPr>
          <w:p w14:paraId="4757CA52" w14:textId="5D6ED466"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0</w:t>
            </w:r>
            <w:r w:rsidR="00BC5D24" w:rsidRPr="00646254">
              <w:rPr>
                <w:rFonts w:cstheme="minorHAnsi"/>
                <w:color w:val="002060"/>
                <w:sz w:val="14"/>
                <w:szCs w:val="14"/>
                <w:lang w:val="sr-Cyrl-CS"/>
              </w:rPr>
              <w:t>,</w:t>
            </w:r>
            <w:r w:rsidRPr="00646254">
              <w:rPr>
                <w:rFonts w:cstheme="minorHAnsi"/>
                <w:color w:val="002060"/>
                <w:sz w:val="14"/>
                <w:szCs w:val="14"/>
                <w:lang w:val="sr-Cyrl-CS"/>
              </w:rPr>
              <w:t>0</w:t>
            </w:r>
          </w:p>
        </w:tc>
        <w:tc>
          <w:tcPr>
            <w:tcW w:w="1076" w:type="dxa"/>
            <w:tcBorders>
              <w:top w:val="nil"/>
            </w:tcBorders>
            <w:shd w:val="clear" w:color="auto" w:fill="FFFFFF" w:themeFill="background1"/>
            <w:noWrap/>
            <w:vAlign w:val="bottom"/>
            <w:hideMark/>
          </w:tcPr>
          <w:p w14:paraId="0DF9888E" w14:textId="77777777"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76" w:type="dxa"/>
            <w:tcBorders>
              <w:top w:val="nil"/>
            </w:tcBorders>
            <w:shd w:val="clear" w:color="auto" w:fill="FFFFFF" w:themeFill="background1"/>
            <w:noWrap/>
            <w:vAlign w:val="bottom"/>
            <w:hideMark/>
          </w:tcPr>
          <w:p w14:paraId="38F85E1E" w14:textId="77777777"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76" w:type="dxa"/>
            <w:tcBorders>
              <w:top w:val="nil"/>
            </w:tcBorders>
            <w:shd w:val="clear" w:color="auto" w:fill="FFFFFF" w:themeFill="background1"/>
            <w:noWrap/>
            <w:vAlign w:val="bottom"/>
            <w:hideMark/>
          </w:tcPr>
          <w:p w14:paraId="2B3F7705" w14:textId="77777777"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c>
          <w:tcPr>
            <w:tcW w:w="1076" w:type="dxa"/>
            <w:tcBorders>
              <w:top w:val="nil"/>
            </w:tcBorders>
            <w:shd w:val="clear" w:color="auto" w:fill="FFFFFF" w:themeFill="background1"/>
            <w:noWrap/>
            <w:vAlign w:val="bottom"/>
            <w:hideMark/>
          </w:tcPr>
          <w:p w14:paraId="3CC5D7A7" w14:textId="77777777" w:rsidR="00960AC3" w:rsidRPr="00646254" w:rsidRDefault="00960AC3" w:rsidP="00BC5D24">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646254">
              <w:rPr>
                <w:rFonts w:cstheme="minorHAnsi"/>
                <w:color w:val="002060"/>
                <w:sz w:val="14"/>
                <w:szCs w:val="14"/>
                <w:lang w:val="sr-Cyrl-CS"/>
              </w:rPr>
              <w:t> </w:t>
            </w:r>
          </w:p>
        </w:tc>
      </w:tr>
      <w:tr w:rsidR="00960AC3" w:rsidRPr="00646254" w14:paraId="1D46166A" w14:textId="77777777" w:rsidTr="00960AC3">
        <w:trPr>
          <w:trHeight w:val="57"/>
        </w:trPr>
        <w:tc>
          <w:tcPr>
            <w:cnfStyle w:val="001000000000" w:firstRow="0" w:lastRow="0" w:firstColumn="1" w:lastColumn="0" w:oddVBand="0" w:evenVBand="0" w:oddHBand="0" w:evenHBand="0" w:firstRowFirstColumn="0" w:firstRowLastColumn="0" w:lastRowFirstColumn="0" w:lastRowLastColumn="0"/>
            <w:tcW w:w="2875" w:type="dxa"/>
            <w:tcBorders>
              <w:top w:val="nil"/>
              <w:bottom w:val="single" w:sz="4" w:space="0" w:color="auto"/>
            </w:tcBorders>
            <w:shd w:val="clear" w:color="auto" w:fill="BFBFBF" w:themeFill="background1" w:themeFillShade="BF"/>
            <w:noWrap/>
            <w:vAlign w:val="bottom"/>
            <w:hideMark/>
          </w:tcPr>
          <w:p w14:paraId="47811868" w14:textId="77777777" w:rsidR="00960AC3" w:rsidRPr="00646254" w:rsidRDefault="00960AC3" w:rsidP="00BC5D24">
            <w:pPr>
              <w:tabs>
                <w:tab w:val="center" w:pos="4680"/>
                <w:tab w:val="right" w:pos="9360"/>
              </w:tabs>
              <w:rPr>
                <w:rFonts w:cstheme="minorHAnsi"/>
                <w:color w:val="002060"/>
                <w:sz w:val="14"/>
                <w:szCs w:val="14"/>
                <w:lang w:val="sr-Cyrl-CS"/>
              </w:rPr>
            </w:pPr>
            <w:r w:rsidRPr="00646254">
              <w:rPr>
                <w:rFonts w:cstheme="minorHAnsi"/>
                <w:color w:val="002060"/>
                <w:sz w:val="14"/>
                <w:szCs w:val="14"/>
                <w:lang w:val="sr-Cyrl-CS"/>
              </w:rPr>
              <w:t>Фискални резултат</w:t>
            </w:r>
          </w:p>
        </w:tc>
        <w:tc>
          <w:tcPr>
            <w:tcW w:w="1028" w:type="dxa"/>
            <w:tcBorders>
              <w:top w:val="nil"/>
              <w:bottom w:val="single" w:sz="4" w:space="0" w:color="auto"/>
            </w:tcBorders>
            <w:shd w:val="clear" w:color="auto" w:fill="BFBFBF" w:themeFill="background1" w:themeFillShade="BF"/>
            <w:noWrap/>
            <w:vAlign w:val="bottom"/>
            <w:hideMark/>
          </w:tcPr>
          <w:p w14:paraId="3E922AFE" w14:textId="7CF045DE"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b/>
                <w:bCs/>
                <w:color w:val="002060"/>
                <w:sz w:val="14"/>
                <w:szCs w:val="14"/>
                <w:lang w:val="sr-Cyrl-CS"/>
              </w:rPr>
            </w:pPr>
            <w:r w:rsidRPr="00646254">
              <w:rPr>
                <w:rFonts w:cstheme="minorHAnsi"/>
                <w:b/>
                <w:bCs/>
                <w:color w:val="002060"/>
                <w:sz w:val="14"/>
                <w:szCs w:val="14"/>
                <w:lang w:val="sr-Cyrl-CS"/>
              </w:rPr>
              <w:t>-200</w:t>
            </w:r>
            <w:r w:rsidR="00BC5D24" w:rsidRPr="00646254">
              <w:rPr>
                <w:rFonts w:cstheme="minorHAnsi"/>
                <w:b/>
                <w:bCs/>
                <w:color w:val="002060"/>
                <w:sz w:val="14"/>
                <w:szCs w:val="14"/>
                <w:lang w:val="sr-Cyrl-CS"/>
              </w:rPr>
              <w:t>,</w:t>
            </w:r>
            <w:r w:rsidRPr="00646254">
              <w:rPr>
                <w:rFonts w:cstheme="minorHAnsi"/>
                <w:b/>
                <w:bCs/>
                <w:color w:val="002060"/>
                <w:sz w:val="14"/>
                <w:szCs w:val="14"/>
                <w:lang w:val="sr-Cyrl-CS"/>
              </w:rPr>
              <w:t>2</w:t>
            </w:r>
          </w:p>
        </w:tc>
        <w:tc>
          <w:tcPr>
            <w:tcW w:w="1028" w:type="dxa"/>
            <w:tcBorders>
              <w:top w:val="nil"/>
              <w:bottom w:val="single" w:sz="4" w:space="0" w:color="auto"/>
            </w:tcBorders>
            <w:shd w:val="clear" w:color="auto" w:fill="BFBFBF" w:themeFill="background1" w:themeFillShade="BF"/>
            <w:noWrap/>
            <w:vAlign w:val="bottom"/>
            <w:hideMark/>
          </w:tcPr>
          <w:p w14:paraId="08882A9E" w14:textId="4EDC6741"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b/>
                <w:bCs/>
                <w:color w:val="002060"/>
                <w:sz w:val="14"/>
                <w:szCs w:val="14"/>
                <w:lang w:val="sr-Cyrl-CS"/>
              </w:rPr>
            </w:pPr>
            <w:r w:rsidRPr="00646254">
              <w:rPr>
                <w:rFonts w:cstheme="minorHAnsi"/>
                <w:b/>
                <w:bCs/>
                <w:color w:val="002060"/>
                <w:sz w:val="14"/>
                <w:szCs w:val="14"/>
                <w:lang w:val="sr-Cyrl-CS"/>
              </w:rPr>
              <w:t>-200</w:t>
            </w:r>
            <w:r w:rsidR="00BC5D24" w:rsidRPr="00646254">
              <w:rPr>
                <w:rFonts w:cstheme="minorHAnsi"/>
                <w:b/>
                <w:bCs/>
                <w:color w:val="002060"/>
                <w:sz w:val="14"/>
                <w:szCs w:val="14"/>
                <w:lang w:val="sr-Cyrl-CS"/>
              </w:rPr>
              <w:t>,</w:t>
            </w:r>
            <w:r w:rsidRPr="00646254">
              <w:rPr>
                <w:rFonts w:cstheme="minorHAnsi"/>
                <w:b/>
                <w:bCs/>
                <w:color w:val="002060"/>
                <w:sz w:val="14"/>
                <w:szCs w:val="14"/>
                <w:lang w:val="sr-Cyrl-CS"/>
              </w:rPr>
              <w:t>2</w:t>
            </w:r>
          </w:p>
        </w:tc>
        <w:tc>
          <w:tcPr>
            <w:tcW w:w="1042" w:type="dxa"/>
            <w:tcBorders>
              <w:top w:val="nil"/>
              <w:bottom w:val="single" w:sz="4" w:space="0" w:color="auto"/>
            </w:tcBorders>
            <w:shd w:val="clear" w:color="auto" w:fill="BFBFBF" w:themeFill="background1" w:themeFillShade="BF"/>
            <w:noWrap/>
            <w:vAlign w:val="bottom"/>
            <w:hideMark/>
          </w:tcPr>
          <w:p w14:paraId="6AD7A8CB" w14:textId="48481426"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b/>
                <w:bCs/>
                <w:color w:val="002060"/>
                <w:sz w:val="14"/>
                <w:szCs w:val="14"/>
                <w:lang w:val="sr-Cyrl-CS"/>
              </w:rPr>
            </w:pPr>
            <w:r w:rsidRPr="00646254">
              <w:rPr>
                <w:rFonts w:cstheme="minorHAnsi"/>
                <w:b/>
                <w:bCs/>
                <w:color w:val="002060"/>
                <w:sz w:val="14"/>
                <w:szCs w:val="14"/>
                <w:lang w:val="sr-Cyrl-CS"/>
              </w:rPr>
              <w:t>0</w:t>
            </w:r>
            <w:r w:rsidR="00BC5D24" w:rsidRPr="00646254">
              <w:rPr>
                <w:rFonts w:cstheme="minorHAnsi"/>
                <w:b/>
                <w:bCs/>
                <w:color w:val="002060"/>
                <w:sz w:val="14"/>
                <w:szCs w:val="14"/>
                <w:lang w:val="sr-Cyrl-CS"/>
              </w:rPr>
              <w:t>,</w:t>
            </w:r>
            <w:r w:rsidRPr="00646254">
              <w:rPr>
                <w:rFonts w:cstheme="minorHAnsi"/>
                <w:b/>
                <w:bCs/>
                <w:color w:val="002060"/>
                <w:sz w:val="14"/>
                <w:szCs w:val="14"/>
                <w:lang w:val="sr-Cyrl-CS"/>
              </w:rPr>
              <w:t>0</w:t>
            </w:r>
          </w:p>
        </w:tc>
        <w:tc>
          <w:tcPr>
            <w:tcW w:w="1007" w:type="dxa"/>
            <w:tcBorders>
              <w:top w:val="nil"/>
              <w:bottom w:val="single" w:sz="4" w:space="0" w:color="auto"/>
            </w:tcBorders>
            <w:shd w:val="clear" w:color="auto" w:fill="BFBFBF" w:themeFill="background1" w:themeFillShade="BF"/>
            <w:noWrap/>
            <w:vAlign w:val="bottom"/>
            <w:hideMark/>
          </w:tcPr>
          <w:p w14:paraId="6E7352D4" w14:textId="16556DCE"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b/>
                <w:bCs/>
                <w:color w:val="002060"/>
                <w:sz w:val="14"/>
                <w:szCs w:val="14"/>
                <w:lang w:val="sr-Cyrl-CS"/>
              </w:rPr>
            </w:pPr>
            <w:r w:rsidRPr="00646254">
              <w:rPr>
                <w:rFonts w:cstheme="minorHAnsi"/>
                <w:b/>
                <w:bCs/>
                <w:color w:val="002060"/>
                <w:sz w:val="14"/>
                <w:szCs w:val="14"/>
                <w:lang w:val="sr-Cyrl-CS"/>
              </w:rPr>
              <w:t>0</w:t>
            </w:r>
            <w:r w:rsidR="00BC5D24" w:rsidRPr="00646254">
              <w:rPr>
                <w:rFonts w:cstheme="minorHAnsi"/>
                <w:b/>
                <w:bCs/>
                <w:color w:val="002060"/>
                <w:sz w:val="14"/>
                <w:szCs w:val="14"/>
                <w:lang w:val="sr-Cyrl-CS"/>
              </w:rPr>
              <w:t>,</w:t>
            </w:r>
            <w:r w:rsidRPr="00646254">
              <w:rPr>
                <w:rFonts w:cstheme="minorHAnsi"/>
                <w:b/>
                <w:bCs/>
                <w:color w:val="002060"/>
                <w:sz w:val="14"/>
                <w:szCs w:val="14"/>
                <w:lang w:val="sr-Cyrl-CS"/>
              </w:rPr>
              <w:t>0</w:t>
            </w:r>
          </w:p>
        </w:tc>
        <w:tc>
          <w:tcPr>
            <w:tcW w:w="1076" w:type="dxa"/>
            <w:tcBorders>
              <w:top w:val="nil"/>
              <w:bottom w:val="single" w:sz="4" w:space="0" w:color="auto"/>
            </w:tcBorders>
            <w:shd w:val="clear" w:color="auto" w:fill="BFBFBF" w:themeFill="background1" w:themeFillShade="BF"/>
            <w:noWrap/>
            <w:vAlign w:val="bottom"/>
            <w:hideMark/>
          </w:tcPr>
          <w:p w14:paraId="593D7C2F" w14:textId="5F46EC2E"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b/>
                <w:bCs/>
                <w:color w:val="002060"/>
                <w:sz w:val="14"/>
                <w:szCs w:val="14"/>
                <w:lang w:val="sr-Cyrl-CS"/>
              </w:rPr>
            </w:pPr>
            <w:r w:rsidRPr="00646254">
              <w:rPr>
                <w:rFonts w:cstheme="minorHAnsi"/>
                <w:b/>
                <w:bCs/>
                <w:color w:val="002060"/>
                <w:sz w:val="14"/>
                <w:szCs w:val="14"/>
                <w:lang w:val="sr-Cyrl-CS"/>
              </w:rPr>
              <w:t>0</w:t>
            </w:r>
            <w:r w:rsidR="00BC5D24" w:rsidRPr="00646254">
              <w:rPr>
                <w:rFonts w:cstheme="minorHAnsi"/>
                <w:b/>
                <w:bCs/>
                <w:color w:val="002060"/>
                <w:sz w:val="14"/>
                <w:szCs w:val="14"/>
                <w:lang w:val="sr-Cyrl-CS"/>
              </w:rPr>
              <w:t>,</w:t>
            </w:r>
            <w:r w:rsidRPr="00646254">
              <w:rPr>
                <w:rFonts w:cstheme="minorHAnsi"/>
                <w:b/>
                <w:bCs/>
                <w:color w:val="002060"/>
                <w:sz w:val="14"/>
                <w:szCs w:val="14"/>
                <w:lang w:val="sr-Cyrl-CS"/>
              </w:rPr>
              <w:t>0</w:t>
            </w:r>
          </w:p>
        </w:tc>
        <w:tc>
          <w:tcPr>
            <w:tcW w:w="1022" w:type="dxa"/>
            <w:tcBorders>
              <w:top w:val="nil"/>
              <w:bottom w:val="single" w:sz="4" w:space="0" w:color="auto"/>
            </w:tcBorders>
            <w:shd w:val="clear" w:color="auto" w:fill="BFBFBF" w:themeFill="background1" w:themeFillShade="BF"/>
            <w:noWrap/>
            <w:vAlign w:val="bottom"/>
            <w:hideMark/>
          </w:tcPr>
          <w:p w14:paraId="26D209F1" w14:textId="22725699"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b/>
                <w:bCs/>
                <w:color w:val="002060"/>
                <w:sz w:val="14"/>
                <w:szCs w:val="14"/>
                <w:lang w:val="sr-Cyrl-CS"/>
              </w:rPr>
            </w:pPr>
            <w:r w:rsidRPr="00646254">
              <w:rPr>
                <w:rFonts w:cstheme="minorHAnsi"/>
                <w:b/>
                <w:bCs/>
                <w:color w:val="002060"/>
                <w:sz w:val="14"/>
                <w:szCs w:val="14"/>
                <w:lang w:val="sr-Cyrl-CS"/>
              </w:rPr>
              <w:t>0</w:t>
            </w:r>
            <w:r w:rsidR="00BC5D24" w:rsidRPr="00646254">
              <w:rPr>
                <w:rFonts w:cstheme="minorHAnsi"/>
                <w:b/>
                <w:bCs/>
                <w:color w:val="002060"/>
                <w:sz w:val="14"/>
                <w:szCs w:val="14"/>
                <w:lang w:val="sr-Cyrl-CS"/>
              </w:rPr>
              <w:t>,</w:t>
            </w:r>
            <w:r w:rsidRPr="00646254">
              <w:rPr>
                <w:rFonts w:cstheme="minorHAnsi"/>
                <w:b/>
                <w:bCs/>
                <w:color w:val="002060"/>
                <w:sz w:val="14"/>
                <w:szCs w:val="14"/>
                <w:lang w:val="sr-Cyrl-CS"/>
              </w:rPr>
              <w:t>0</w:t>
            </w:r>
          </w:p>
        </w:tc>
        <w:tc>
          <w:tcPr>
            <w:tcW w:w="1076" w:type="dxa"/>
            <w:tcBorders>
              <w:top w:val="nil"/>
              <w:bottom w:val="single" w:sz="4" w:space="0" w:color="auto"/>
            </w:tcBorders>
            <w:shd w:val="clear" w:color="auto" w:fill="BFBFBF" w:themeFill="background1" w:themeFillShade="BF"/>
            <w:noWrap/>
            <w:vAlign w:val="bottom"/>
            <w:hideMark/>
          </w:tcPr>
          <w:p w14:paraId="62D4277C" w14:textId="6337F0F1"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b/>
                <w:bCs/>
                <w:color w:val="002060"/>
                <w:sz w:val="14"/>
                <w:szCs w:val="14"/>
                <w:lang w:val="sr-Cyrl-CS"/>
              </w:rPr>
            </w:pPr>
            <w:r w:rsidRPr="00646254">
              <w:rPr>
                <w:rFonts w:cstheme="minorHAnsi"/>
                <w:b/>
                <w:bCs/>
                <w:color w:val="002060"/>
                <w:sz w:val="14"/>
                <w:szCs w:val="14"/>
                <w:lang w:val="sr-Cyrl-CS"/>
              </w:rPr>
              <w:t>0</w:t>
            </w:r>
            <w:r w:rsidR="00BC5D24" w:rsidRPr="00646254">
              <w:rPr>
                <w:rFonts w:cstheme="minorHAnsi"/>
                <w:b/>
                <w:bCs/>
                <w:color w:val="002060"/>
                <w:sz w:val="14"/>
                <w:szCs w:val="14"/>
                <w:lang w:val="sr-Cyrl-CS"/>
              </w:rPr>
              <w:t>,</w:t>
            </w:r>
            <w:r w:rsidRPr="00646254">
              <w:rPr>
                <w:rFonts w:cstheme="minorHAnsi"/>
                <w:b/>
                <w:bCs/>
                <w:color w:val="002060"/>
                <w:sz w:val="14"/>
                <w:szCs w:val="14"/>
                <w:lang w:val="sr-Cyrl-CS"/>
              </w:rPr>
              <w:t>0</w:t>
            </w:r>
          </w:p>
        </w:tc>
        <w:tc>
          <w:tcPr>
            <w:tcW w:w="1076" w:type="dxa"/>
            <w:tcBorders>
              <w:top w:val="nil"/>
              <w:bottom w:val="single" w:sz="4" w:space="0" w:color="auto"/>
            </w:tcBorders>
            <w:shd w:val="clear" w:color="auto" w:fill="BFBFBF" w:themeFill="background1" w:themeFillShade="BF"/>
            <w:noWrap/>
            <w:vAlign w:val="bottom"/>
            <w:hideMark/>
          </w:tcPr>
          <w:p w14:paraId="7FFB9E14" w14:textId="0817860D"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b/>
                <w:bCs/>
                <w:color w:val="002060"/>
                <w:sz w:val="14"/>
                <w:szCs w:val="14"/>
                <w:lang w:val="sr-Cyrl-CS"/>
              </w:rPr>
            </w:pPr>
            <w:r w:rsidRPr="00646254">
              <w:rPr>
                <w:rFonts w:cstheme="minorHAnsi"/>
                <w:b/>
                <w:bCs/>
                <w:color w:val="002060"/>
                <w:sz w:val="14"/>
                <w:szCs w:val="14"/>
                <w:lang w:val="sr-Cyrl-CS"/>
              </w:rPr>
              <w:t>0</w:t>
            </w:r>
            <w:r w:rsidR="00BC5D24" w:rsidRPr="00646254">
              <w:rPr>
                <w:rFonts w:cstheme="minorHAnsi"/>
                <w:b/>
                <w:bCs/>
                <w:color w:val="002060"/>
                <w:sz w:val="14"/>
                <w:szCs w:val="14"/>
                <w:lang w:val="sr-Cyrl-CS"/>
              </w:rPr>
              <w:t>,</w:t>
            </w:r>
            <w:r w:rsidRPr="00646254">
              <w:rPr>
                <w:rFonts w:cstheme="minorHAnsi"/>
                <w:b/>
                <w:bCs/>
                <w:color w:val="002060"/>
                <w:sz w:val="14"/>
                <w:szCs w:val="14"/>
                <w:lang w:val="sr-Cyrl-CS"/>
              </w:rPr>
              <w:t>0</w:t>
            </w:r>
          </w:p>
        </w:tc>
        <w:tc>
          <w:tcPr>
            <w:tcW w:w="1076" w:type="dxa"/>
            <w:tcBorders>
              <w:top w:val="nil"/>
              <w:bottom w:val="single" w:sz="4" w:space="0" w:color="auto"/>
            </w:tcBorders>
            <w:shd w:val="clear" w:color="auto" w:fill="BFBFBF" w:themeFill="background1" w:themeFillShade="BF"/>
            <w:noWrap/>
            <w:vAlign w:val="bottom"/>
            <w:hideMark/>
          </w:tcPr>
          <w:p w14:paraId="72EC63E4" w14:textId="4C829071"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b/>
                <w:bCs/>
                <w:color w:val="002060"/>
                <w:sz w:val="14"/>
                <w:szCs w:val="14"/>
                <w:lang w:val="sr-Cyrl-CS"/>
              </w:rPr>
            </w:pPr>
            <w:r w:rsidRPr="00646254">
              <w:rPr>
                <w:rFonts w:cstheme="minorHAnsi"/>
                <w:b/>
                <w:bCs/>
                <w:color w:val="002060"/>
                <w:sz w:val="14"/>
                <w:szCs w:val="14"/>
                <w:lang w:val="sr-Cyrl-CS"/>
              </w:rPr>
              <w:t>0</w:t>
            </w:r>
            <w:r w:rsidR="00BC5D24" w:rsidRPr="00646254">
              <w:rPr>
                <w:rFonts w:cstheme="minorHAnsi"/>
                <w:b/>
                <w:bCs/>
                <w:color w:val="002060"/>
                <w:sz w:val="14"/>
                <w:szCs w:val="14"/>
                <w:lang w:val="sr-Cyrl-CS"/>
              </w:rPr>
              <w:t>,</w:t>
            </w:r>
            <w:r w:rsidRPr="00646254">
              <w:rPr>
                <w:rFonts w:cstheme="minorHAnsi"/>
                <w:b/>
                <w:bCs/>
                <w:color w:val="002060"/>
                <w:sz w:val="14"/>
                <w:szCs w:val="14"/>
                <w:lang w:val="sr-Cyrl-CS"/>
              </w:rPr>
              <w:t>0</w:t>
            </w:r>
          </w:p>
        </w:tc>
        <w:tc>
          <w:tcPr>
            <w:tcW w:w="1076" w:type="dxa"/>
            <w:tcBorders>
              <w:top w:val="nil"/>
              <w:bottom w:val="single" w:sz="4" w:space="0" w:color="auto"/>
            </w:tcBorders>
            <w:shd w:val="clear" w:color="auto" w:fill="BFBFBF" w:themeFill="background1" w:themeFillShade="BF"/>
            <w:noWrap/>
            <w:vAlign w:val="bottom"/>
            <w:hideMark/>
          </w:tcPr>
          <w:p w14:paraId="71C12121" w14:textId="4A2FD5B8"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b/>
                <w:bCs/>
                <w:color w:val="002060"/>
                <w:sz w:val="14"/>
                <w:szCs w:val="14"/>
                <w:lang w:val="sr-Cyrl-CS"/>
              </w:rPr>
            </w:pPr>
            <w:r w:rsidRPr="00646254">
              <w:rPr>
                <w:rFonts w:cstheme="minorHAnsi"/>
                <w:b/>
                <w:bCs/>
                <w:color w:val="002060"/>
                <w:sz w:val="14"/>
                <w:szCs w:val="14"/>
                <w:lang w:val="sr-Cyrl-CS"/>
              </w:rPr>
              <w:t>0</w:t>
            </w:r>
            <w:r w:rsidR="00BC5D24" w:rsidRPr="00646254">
              <w:rPr>
                <w:rFonts w:cstheme="minorHAnsi"/>
                <w:b/>
                <w:bCs/>
                <w:color w:val="002060"/>
                <w:sz w:val="14"/>
                <w:szCs w:val="14"/>
                <w:lang w:val="sr-Cyrl-CS"/>
              </w:rPr>
              <w:t>,</w:t>
            </w:r>
            <w:r w:rsidRPr="00646254">
              <w:rPr>
                <w:rFonts w:cstheme="minorHAnsi"/>
                <w:b/>
                <w:bCs/>
                <w:color w:val="002060"/>
                <w:sz w:val="14"/>
                <w:szCs w:val="14"/>
                <w:lang w:val="sr-Cyrl-CS"/>
              </w:rPr>
              <w:t>0</w:t>
            </w:r>
          </w:p>
        </w:tc>
        <w:tc>
          <w:tcPr>
            <w:tcW w:w="1076" w:type="dxa"/>
            <w:tcBorders>
              <w:top w:val="nil"/>
              <w:bottom w:val="single" w:sz="4" w:space="0" w:color="auto"/>
            </w:tcBorders>
            <w:shd w:val="clear" w:color="auto" w:fill="BFBFBF" w:themeFill="background1" w:themeFillShade="BF"/>
            <w:noWrap/>
            <w:vAlign w:val="bottom"/>
            <w:hideMark/>
          </w:tcPr>
          <w:p w14:paraId="1920E035" w14:textId="761A684F" w:rsidR="00960AC3" w:rsidRPr="00646254" w:rsidRDefault="00960AC3" w:rsidP="00BC5D24">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b/>
                <w:bCs/>
                <w:color w:val="002060"/>
                <w:sz w:val="14"/>
                <w:szCs w:val="14"/>
                <w:lang w:val="sr-Cyrl-CS"/>
              </w:rPr>
            </w:pPr>
            <w:r w:rsidRPr="00646254">
              <w:rPr>
                <w:rFonts w:cstheme="minorHAnsi"/>
                <w:b/>
                <w:bCs/>
                <w:color w:val="002060"/>
                <w:sz w:val="14"/>
                <w:szCs w:val="14"/>
                <w:lang w:val="sr-Cyrl-CS"/>
              </w:rPr>
              <w:t>0</w:t>
            </w:r>
            <w:r w:rsidR="00BC5D24" w:rsidRPr="00646254">
              <w:rPr>
                <w:rFonts w:cstheme="minorHAnsi"/>
                <w:b/>
                <w:bCs/>
                <w:color w:val="002060"/>
                <w:sz w:val="14"/>
                <w:szCs w:val="14"/>
                <w:lang w:val="sr-Cyrl-CS"/>
              </w:rPr>
              <w:t>,</w:t>
            </w:r>
            <w:r w:rsidRPr="00646254">
              <w:rPr>
                <w:rFonts w:cstheme="minorHAnsi"/>
                <w:b/>
                <w:bCs/>
                <w:color w:val="002060"/>
                <w:sz w:val="14"/>
                <w:szCs w:val="14"/>
                <w:lang w:val="sr-Cyrl-CS"/>
              </w:rPr>
              <w:t>0</w:t>
            </w:r>
          </w:p>
        </w:tc>
      </w:tr>
    </w:tbl>
    <w:p w14:paraId="24D6AD16" w14:textId="77777777" w:rsidR="00960AC3" w:rsidRPr="00646254" w:rsidRDefault="00960AC3" w:rsidP="00BC5D24">
      <w:pPr>
        <w:tabs>
          <w:tab w:val="center" w:pos="4680"/>
          <w:tab w:val="right" w:pos="9360"/>
        </w:tabs>
        <w:spacing w:before="40" w:after="60" w:line="240" w:lineRule="auto"/>
        <w:ind w:right="340"/>
        <w:rPr>
          <w:rFonts w:cstheme="minorHAnsi"/>
          <w:sz w:val="16"/>
          <w:szCs w:val="16"/>
          <w:lang w:val="sr-Cyrl-CS"/>
        </w:rPr>
      </w:pPr>
      <w:r w:rsidRPr="00646254">
        <w:rPr>
          <w:rFonts w:cstheme="minorHAnsi"/>
          <w:sz w:val="16"/>
          <w:szCs w:val="16"/>
          <w:lang w:val="sr-Cyrl-CS"/>
        </w:rPr>
        <w:t>У табели је приказан оквирни износ прихода и расхода у 2022. години који је у већој мери заснован на статистичкој методологији рачуна јавних финансија него на рачуноводственој. Будући да током буџетског процеса може доћи до измена у висини и структури појединих категорија, ови износи нису законски обавезујући.</w:t>
      </w:r>
    </w:p>
    <w:p w14:paraId="4707078F" w14:textId="6235535B" w:rsidR="00586723" w:rsidRPr="00646254" w:rsidRDefault="00960AC3" w:rsidP="00282E6F">
      <w:pPr>
        <w:tabs>
          <w:tab w:val="center" w:pos="4680"/>
          <w:tab w:val="right" w:pos="9360"/>
        </w:tabs>
        <w:spacing w:before="40" w:after="60" w:line="240" w:lineRule="auto"/>
        <w:ind w:right="340"/>
        <w:rPr>
          <w:rFonts w:cstheme="minorHAnsi"/>
          <w:sz w:val="16"/>
          <w:szCs w:val="16"/>
          <w:lang w:val="sr-Cyrl-CS"/>
        </w:rPr>
      </w:pPr>
      <w:r w:rsidRPr="00646254">
        <w:rPr>
          <w:rFonts w:cstheme="minorHAnsi"/>
          <w:sz w:val="16"/>
          <w:szCs w:val="16"/>
          <w:lang w:val="sr-Cyrl-CS"/>
        </w:rPr>
        <w:t>* Буџет је приказан без дела сопствених прихода индиректних буџетских корисника и из њих финансираних расхода, који нису обухваћени информационим системом извршења буџета.</w:t>
      </w:r>
    </w:p>
    <w:sectPr w:rsidR="00586723" w:rsidRPr="00646254" w:rsidSect="002E2D44">
      <w:pgSz w:w="15840" w:h="12240" w:orient="landscape" w:code="1"/>
      <w:pgMar w:top="680" w:right="567" w:bottom="680" w:left="567" w:header="510" w:footer="39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B08EA0" w14:textId="77777777" w:rsidR="00610E42" w:rsidRDefault="00610E42" w:rsidP="00BF7F6A">
      <w:pPr>
        <w:spacing w:after="0" w:line="240" w:lineRule="auto"/>
      </w:pPr>
      <w:r>
        <w:separator/>
      </w:r>
    </w:p>
  </w:endnote>
  <w:endnote w:type="continuationSeparator" w:id="0">
    <w:p w14:paraId="4FFF039A" w14:textId="77777777" w:rsidR="00610E42" w:rsidRDefault="00610E42" w:rsidP="00BF7F6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50326505"/>
      <w:docPartObj>
        <w:docPartGallery w:val="Page Numbers (Bottom of Page)"/>
        <w:docPartUnique/>
      </w:docPartObj>
    </w:sdtPr>
    <w:sdtEndPr>
      <w:rPr>
        <w:noProof/>
      </w:rPr>
    </w:sdtEndPr>
    <w:sdtContent>
      <w:p w14:paraId="7609C542" w14:textId="56A05D3D" w:rsidR="0048172C" w:rsidRDefault="00610E42">
        <w:pPr>
          <w:pStyle w:val="Footer"/>
        </w:pPr>
      </w:p>
    </w:sdtContent>
  </w:sdt>
  <w:p w14:paraId="5FE27688" w14:textId="77777777" w:rsidR="0048172C" w:rsidRDefault="0048172C">
    <w:pPr>
      <w:pStyle w:val="Foote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4398396"/>
      <w:docPartObj>
        <w:docPartGallery w:val="Page Numbers (Bottom of Page)"/>
        <w:docPartUnique/>
      </w:docPartObj>
    </w:sdtPr>
    <w:sdtEndPr>
      <w:rPr>
        <w:noProof/>
      </w:rPr>
    </w:sdtEndPr>
    <w:sdtContent>
      <w:p w14:paraId="23DE0736" w14:textId="77777777" w:rsidR="0048172C" w:rsidRDefault="0048172C" w:rsidP="00D20C27">
        <w:pPr>
          <w:pStyle w:val="Footer"/>
          <w:jc w:val="right"/>
        </w:pPr>
        <w:r>
          <w:fldChar w:fldCharType="begin"/>
        </w:r>
        <w:r>
          <w:instrText xml:space="preserve"> PAGE   \* MERGEFORMAT </w:instrText>
        </w:r>
        <w:r>
          <w:fldChar w:fldCharType="separate"/>
        </w:r>
        <w:r>
          <w:rPr>
            <w:noProof/>
          </w:rPr>
          <w:t>22</w:t>
        </w:r>
        <w:r>
          <w:rPr>
            <w:noProof/>
          </w:rPr>
          <w:fldChar w:fldCharType="end"/>
        </w:r>
      </w:p>
    </w:sdtContent>
  </w:sdt>
  <w:p w14:paraId="17C75D97" w14:textId="77777777" w:rsidR="0048172C" w:rsidRDefault="0048172C">
    <w:pPr>
      <w:pStyle w:val="Foote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952442920"/>
      <w:docPartObj>
        <w:docPartGallery w:val="Page Numbers (Bottom of Page)"/>
        <w:docPartUnique/>
      </w:docPartObj>
    </w:sdtPr>
    <w:sdtEndPr>
      <w:rPr>
        <w:noProof/>
      </w:rPr>
    </w:sdtEndPr>
    <w:sdtContent>
      <w:p w14:paraId="73503AC8" w14:textId="21D9EC8B" w:rsidR="0048172C" w:rsidRDefault="0048172C">
        <w:pPr>
          <w:pStyle w:val="Footer"/>
        </w:pPr>
        <w:r>
          <w:fldChar w:fldCharType="begin"/>
        </w:r>
        <w:r>
          <w:instrText xml:space="preserve"> PAGE   \* MERGEFORMAT </w:instrText>
        </w:r>
        <w:r>
          <w:fldChar w:fldCharType="separate"/>
        </w:r>
        <w:r w:rsidR="00460428">
          <w:rPr>
            <w:noProof/>
          </w:rPr>
          <w:t>26</w:t>
        </w:r>
        <w:r>
          <w:rPr>
            <w:noProof/>
          </w:rPr>
          <w:fldChar w:fldCharType="end"/>
        </w:r>
      </w:p>
    </w:sdtContent>
  </w:sdt>
  <w:p w14:paraId="67EBFE58" w14:textId="77777777" w:rsidR="0048172C" w:rsidRDefault="0048172C">
    <w:pPr>
      <w:pStyle w:val="Footer"/>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70244971"/>
      <w:docPartObj>
        <w:docPartGallery w:val="Page Numbers (Bottom of Page)"/>
        <w:docPartUnique/>
      </w:docPartObj>
    </w:sdtPr>
    <w:sdtEndPr>
      <w:rPr>
        <w:noProof/>
      </w:rPr>
    </w:sdtEndPr>
    <w:sdtContent>
      <w:p w14:paraId="766BBBC5" w14:textId="77777777" w:rsidR="0048172C" w:rsidRDefault="0048172C" w:rsidP="00D20C27">
        <w:pPr>
          <w:pStyle w:val="Footer"/>
          <w:jc w:val="right"/>
        </w:pPr>
        <w:r>
          <w:fldChar w:fldCharType="begin"/>
        </w:r>
        <w:r>
          <w:instrText xml:space="preserve"> PAGE   \* MERGEFORMAT </w:instrText>
        </w:r>
        <w:r>
          <w:fldChar w:fldCharType="separate"/>
        </w:r>
        <w:r>
          <w:rPr>
            <w:noProof/>
          </w:rPr>
          <w:t>28</w:t>
        </w:r>
        <w:r>
          <w:rPr>
            <w:noProof/>
          </w:rPr>
          <w:fldChar w:fldCharType="end"/>
        </w:r>
      </w:p>
    </w:sdtContent>
  </w:sdt>
  <w:p w14:paraId="1E0F6A95" w14:textId="77777777" w:rsidR="0048172C" w:rsidRDefault="0048172C">
    <w:pPr>
      <w:pStyle w:val="Footer"/>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49482075"/>
      <w:docPartObj>
        <w:docPartGallery w:val="Page Numbers (Bottom of Page)"/>
        <w:docPartUnique/>
      </w:docPartObj>
    </w:sdtPr>
    <w:sdtEndPr>
      <w:rPr>
        <w:noProof/>
      </w:rPr>
    </w:sdtEndPr>
    <w:sdtContent>
      <w:p w14:paraId="3BC24B4A" w14:textId="00B4201A" w:rsidR="0048172C" w:rsidRDefault="0048172C">
        <w:pPr>
          <w:pStyle w:val="Footer"/>
        </w:pPr>
        <w:r>
          <w:fldChar w:fldCharType="begin"/>
        </w:r>
        <w:r>
          <w:instrText xml:space="preserve"> PAGE   \* MERGEFORMAT </w:instrText>
        </w:r>
        <w:r>
          <w:fldChar w:fldCharType="separate"/>
        </w:r>
        <w:r w:rsidR="00460428">
          <w:rPr>
            <w:noProof/>
          </w:rPr>
          <w:t>27</w:t>
        </w:r>
        <w:r>
          <w:rPr>
            <w:noProof/>
          </w:rPr>
          <w:fldChar w:fldCharType="end"/>
        </w:r>
      </w:p>
    </w:sdtContent>
  </w:sdt>
  <w:p w14:paraId="27CF39C4" w14:textId="77777777" w:rsidR="0048172C" w:rsidRDefault="0048172C">
    <w:pPr>
      <w:pStyle w:val="Footer"/>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0836293"/>
      <w:docPartObj>
        <w:docPartGallery w:val="Page Numbers (Bottom of Page)"/>
        <w:docPartUnique/>
      </w:docPartObj>
    </w:sdtPr>
    <w:sdtEndPr>
      <w:rPr>
        <w:noProof/>
      </w:rPr>
    </w:sdtEndPr>
    <w:sdtContent>
      <w:p w14:paraId="13CED76C" w14:textId="77777777" w:rsidR="0048172C" w:rsidRPr="001B7E15" w:rsidRDefault="0048172C" w:rsidP="00D20C27">
        <w:pPr>
          <w:pStyle w:val="Footer"/>
          <w:jc w:val="right"/>
        </w:pPr>
        <w:r w:rsidRPr="001B7E15">
          <w:fldChar w:fldCharType="begin"/>
        </w:r>
        <w:r w:rsidRPr="001B7E15">
          <w:instrText xml:space="preserve"> PAGE   \* MERGEFORMAT </w:instrText>
        </w:r>
        <w:r w:rsidRPr="001B7E15">
          <w:fldChar w:fldCharType="separate"/>
        </w:r>
        <w:r>
          <w:rPr>
            <w:noProof/>
          </w:rPr>
          <w:t>28</w:t>
        </w:r>
        <w:r w:rsidRPr="001B7E15">
          <w:rPr>
            <w:noProof/>
          </w:rPr>
          <w:fldChar w:fldCharType="end"/>
        </w:r>
      </w:p>
    </w:sdtContent>
  </w:sdt>
  <w:p w14:paraId="012B0788" w14:textId="77777777" w:rsidR="0048172C" w:rsidRPr="001B7E15" w:rsidRDefault="0048172C">
    <w:pPr>
      <w:pStyle w:val="Footer"/>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45523031"/>
      <w:docPartObj>
        <w:docPartGallery w:val="Page Numbers (Bottom of Page)"/>
        <w:docPartUnique/>
      </w:docPartObj>
    </w:sdtPr>
    <w:sdtEndPr/>
    <w:sdtContent>
      <w:sdt>
        <w:sdtPr>
          <w:id w:val="112323529"/>
          <w:docPartObj>
            <w:docPartGallery w:val="Page Numbers (Bottom of Page)"/>
            <w:docPartUnique/>
          </w:docPartObj>
        </w:sdtPr>
        <w:sdtEndPr/>
        <w:sdtContent>
          <w:p w14:paraId="44B74E73" w14:textId="4D0C896C" w:rsidR="0048172C" w:rsidRPr="001476C8" w:rsidRDefault="0048172C" w:rsidP="007F1E4F">
            <w:pPr>
              <w:pStyle w:val="Footer"/>
              <w:jc w:val="left"/>
            </w:pPr>
            <w:r w:rsidRPr="001476C8">
              <w:fldChar w:fldCharType="begin"/>
            </w:r>
            <w:r w:rsidRPr="001476C8">
              <w:instrText xml:space="preserve"> PAGE   \* MERGEFORMAT </w:instrText>
            </w:r>
            <w:r w:rsidRPr="001476C8">
              <w:fldChar w:fldCharType="separate"/>
            </w:r>
            <w:r w:rsidR="00460428">
              <w:rPr>
                <w:noProof/>
              </w:rPr>
              <w:t>28</w:t>
            </w:r>
            <w:r w:rsidRPr="001476C8">
              <w:fldChar w:fldCharType="end"/>
            </w:r>
          </w:p>
        </w:sdtContent>
      </w:sdt>
    </w:sdtContent>
  </w:sdt>
  <w:p w14:paraId="47497642" w14:textId="77777777" w:rsidR="0048172C" w:rsidRPr="004F72C4" w:rsidRDefault="0048172C" w:rsidP="004F72C4">
    <w:pPr>
      <w:pStyle w:val="Footer"/>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33422665"/>
      <w:docPartObj>
        <w:docPartGallery w:val="Page Numbers (Bottom of Page)"/>
        <w:docPartUnique/>
      </w:docPartObj>
    </w:sdtPr>
    <w:sdtEndPr>
      <w:rPr>
        <w:noProof/>
      </w:rPr>
    </w:sdtEndPr>
    <w:sdtContent>
      <w:sdt>
        <w:sdtPr>
          <w:id w:val="2124424384"/>
          <w:docPartObj>
            <w:docPartGallery w:val="Page Numbers (Bottom of Page)"/>
            <w:docPartUnique/>
          </w:docPartObj>
        </w:sdtPr>
        <w:sdtEndPr>
          <w:rPr>
            <w:noProof/>
          </w:rPr>
        </w:sdtEndPr>
        <w:sdtContent>
          <w:p w14:paraId="496E2393" w14:textId="77777777" w:rsidR="0048172C" w:rsidRPr="00F061F2" w:rsidRDefault="0048172C" w:rsidP="00C130D2">
            <w:pPr>
              <w:pStyle w:val="Footer"/>
              <w:jc w:val="right"/>
            </w:pPr>
            <w:r w:rsidRPr="001B7E15">
              <w:fldChar w:fldCharType="begin"/>
            </w:r>
            <w:r w:rsidRPr="001B7E15">
              <w:instrText xml:space="preserve"> PAGE   \* MERGEFORMAT </w:instrText>
            </w:r>
            <w:r w:rsidRPr="001B7E15">
              <w:fldChar w:fldCharType="separate"/>
            </w:r>
            <w:r>
              <w:rPr>
                <w:noProof/>
              </w:rPr>
              <w:t>88</w:t>
            </w:r>
            <w:r w:rsidRPr="001B7E15">
              <w:rPr>
                <w:noProof/>
              </w:rPr>
              <w:fldChar w:fldCharType="end"/>
            </w:r>
          </w:p>
        </w:sdtContent>
      </w:sdt>
    </w:sdtContent>
  </w:sdt>
  <w:p w14:paraId="21579998" w14:textId="77777777" w:rsidR="0048172C" w:rsidRDefault="0048172C" w:rsidP="00542CA2">
    <w:pPr>
      <w:spacing w:after="0"/>
    </w:pP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91072008"/>
      <w:docPartObj>
        <w:docPartGallery w:val="Page Numbers (Bottom of Page)"/>
        <w:docPartUnique/>
      </w:docPartObj>
    </w:sdtPr>
    <w:sdtEndPr>
      <w:rPr>
        <w:noProof/>
      </w:rPr>
    </w:sdtEndPr>
    <w:sdtContent>
      <w:sdt>
        <w:sdtPr>
          <w:id w:val="-1240482936"/>
          <w:docPartObj>
            <w:docPartGallery w:val="Page Numbers (Bottom of Page)"/>
            <w:docPartUnique/>
          </w:docPartObj>
        </w:sdtPr>
        <w:sdtEndPr>
          <w:rPr>
            <w:noProof/>
          </w:rPr>
        </w:sdtEndPr>
        <w:sdtContent>
          <w:p w14:paraId="3C364D96" w14:textId="5EE0A9DC" w:rsidR="0048172C" w:rsidRPr="00F061F2" w:rsidRDefault="0048172C" w:rsidP="00C130D2">
            <w:pPr>
              <w:pStyle w:val="Footer"/>
              <w:rPr>
                <w:noProof/>
              </w:rPr>
            </w:pPr>
            <w:r w:rsidRPr="001B7E15">
              <w:fldChar w:fldCharType="begin"/>
            </w:r>
            <w:r w:rsidRPr="001B7E15">
              <w:instrText xml:space="preserve"> PAGE   \* MERGEFORMAT </w:instrText>
            </w:r>
            <w:r w:rsidRPr="001B7E15">
              <w:fldChar w:fldCharType="separate"/>
            </w:r>
            <w:r>
              <w:rPr>
                <w:noProof/>
              </w:rPr>
              <w:t>30</w:t>
            </w:r>
            <w:r w:rsidRPr="001B7E15">
              <w:rPr>
                <w:noProof/>
              </w:rPr>
              <w:fldChar w:fldCharType="end"/>
            </w:r>
          </w:p>
        </w:sdtContent>
      </w:sdt>
    </w:sdtContent>
  </w:sdt>
  <w:p w14:paraId="0A4B4877" w14:textId="77777777" w:rsidR="0048172C" w:rsidRDefault="0048172C" w:rsidP="00542CA2">
    <w:pPr>
      <w:spacing w:after="0"/>
    </w:pP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68862087"/>
      <w:docPartObj>
        <w:docPartGallery w:val="Page Numbers (Bottom of Page)"/>
        <w:docPartUnique/>
      </w:docPartObj>
    </w:sdtPr>
    <w:sdtEndPr>
      <w:rPr>
        <w:noProof/>
      </w:rPr>
    </w:sdtEndPr>
    <w:sdtContent>
      <w:p w14:paraId="657E9122" w14:textId="77777777" w:rsidR="0048172C" w:rsidRPr="001B7E15" w:rsidRDefault="0048172C" w:rsidP="00C130D2">
        <w:pPr>
          <w:pStyle w:val="Footer"/>
          <w:jc w:val="right"/>
        </w:pPr>
        <w:r w:rsidRPr="001B7E15">
          <w:fldChar w:fldCharType="begin"/>
        </w:r>
        <w:r w:rsidRPr="001B7E15">
          <w:instrText xml:space="preserve"> PAGE   \* MERGEFORMAT </w:instrText>
        </w:r>
        <w:r w:rsidRPr="001B7E15">
          <w:fldChar w:fldCharType="separate"/>
        </w:r>
        <w:r>
          <w:rPr>
            <w:noProof/>
          </w:rPr>
          <w:t>2</w:t>
        </w:r>
        <w:r w:rsidRPr="001B7E15">
          <w:rPr>
            <w:noProof/>
          </w:rPr>
          <w:fldChar w:fldCharType="end"/>
        </w:r>
      </w:p>
    </w:sdtContent>
  </w:sdt>
  <w:p w14:paraId="4392A70F" w14:textId="77777777" w:rsidR="0048172C" w:rsidRPr="00231623" w:rsidRDefault="0048172C" w:rsidP="00231623">
    <w:pPr>
      <w:pStyle w:val="Footer"/>
    </w:pP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74654684"/>
      <w:docPartObj>
        <w:docPartGallery w:val="Page Numbers (Bottom of Page)"/>
        <w:docPartUnique/>
      </w:docPartObj>
    </w:sdtPr>
    <w:sdtEndPr>
      <w:rPr>
        <w:noProof/>
      </w:rPr>
    </w:sdtEndPr>
    <w:sdtContent>
      <w:p w14:paraId="18EB25DE" w14:textId="3C027429" w:rsidR="0048172C" w:rsidRPr="001B7E15" w:rsidRDefault="0048172C" w:rsidP="00C130D2">
        <w:pPr>
          <w:pStyle w:val="Footer"/>
        </w:pPr>
        <w:r w:rsidRPr="001B7E15">
          <w:fldChar w:fldCharType="begin"/>
        </w:r>
        <w:r w:rsidRPr="001B7E15">
          <w:instrText xml:space="preserve"> PAGE   \* MERGEFORMAT </w:instrText>
        </w:r>
        <w:r w:rsidRPr="001B7E15">
          <w:fldChar w:fldCharType="separate"/>
        </w:r>
        <w:r w:rsidR="00460428">
          <w:rPr>
            <w:noProof/>
          </w:rPr>
          <w:t>29</w:t>
        </w:r>
        <w:r w:rsidRPr="001B7E15">
          <w:rPr>
            <w:noProof/>
          </w:rPr>
          <w:fldChar w:fldCharType="end"/>
        </w:r>
      </w:p>
    </w:sdtContent>
  </w:sdt>
  <w:p w14:paraId="10188500" w14:textId="77777777" w:rsidR="0048172C" w:rsidRPr="00725FF8" w:rsidRDefault="0048172C" w:rsidP="00C130D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96429346"/>
      <w:docPartObj>
        <w:docPartGallery w:val="Page Numbers (Bottom of Page)"/>
        <w:docPartUnique/>
      </w:docPartObj>
    </w:sdtPr>
    <w:sdtEndPr>
      <w:rPr>
        <w:noProof/>
      </w:rPr>
    </w:sdtEndPr>
    <w:sdtContent>
      <w:p w14:paraId="770A2BC8" w14:textId="3400D4BA" w:rsidR="0048172C" w:rsidRDefault="0048172C">
        <w:pPr>
          <w:pStyle w:val="Footer"/>
        </w:pPr>
        <w:r>
          <w:fldChar w:fldCharType="begin"/>
        </w:r>
        <w:r>
          <w:instrText xml:space="preserve"> PAGE   \* MERGEFORMAT </w:instrText>
        </w:r>
        <w:r>
          <w:fldChar w:fldCharType="separate"/>
        </w:r>
        <w:r w:rsidR="00460428">
          <w:rPr>
            <w:noProof/>
          </w:rPr>
          <w:t>3</w:t>
        </w:r>
        <w:r>
          <w:rPr>
            <w:noProof/>
          </w:rPr>
          <w:fldChar w:fldCharType="end"/>
        </w:r>
      </w:p>
    </w:sdtContent>
  </w:sdt>
  <w:p w14:paraId="5C3E8A85" w14:textId="77777777" w:rsidR="0048172C" w:rsidRDefault="0048172C">
    <w:pPr>
      <w:pStyle w:val="Footer"/>
    </w:pP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45130734"/>
      <w:docPartObj>
        <w:docPartGallery w:val="Page Numbers (Bottom of Page)"/>
        <w:docPartUnique/>
      </w:docPartObj>
    </w:sdtPr>
    <w:sdtEndPr>
      <w:rPr>
        <w:noProof/>
      </w:rPr>
    </w:sdtEndPr>
    <w:sdtContent>
      <w:p w14:paraId="7017898E" w14:textId="77777777" w:rsidR="0048172C" w:rsidRPr="001B7E15" w:rsidRDefault="0048172C" w:rsidP="00C130D2">
        <w:pPr>
          <w:pStyle w:val="Footer"/>
          <w:jc w:val="right"/>
        </w:pPr>
        <w:r w:rsidRPr="001B7E15">
          <w:fldChar w:fldCharType="begin"/>
        </w:r>
        <w:r w:rsidRPr="001B7E15">
          <w:instrText xml:space="preserve"> PAGE   \* MERGEFORMAT </w:instrText>
        </w:r>
        <w:r w:rsidRPr="001B7E15">
          <w:fldChar w:fldCharType="separate"/>
        </w:r>
        <w:r>
          <w:rPr>
            <w:noProof/>
          </w:rPr>
          <w:t>36</w:t>
        </w:r>
        <w:r w:rsidRPr="001B7E15">
          <w:rPr>
            <w:noProof/>
          </w:rPr>
          <w:fldChar w:fldCharType="end"/>
        </w:r>
      </w:p>
    </w:sdtContent>
  </w:sdt>
  <w:p w14:paraId="52050B24" w14:textId="77777777" w:rsidR="0048172C" w:rsidRPr="00231623" w:rsidRDefault="0048172C" w:rsidP="00231623">
    <w:pPr>
      <w:pStyle w:val="Footer"/>
    </w:pP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90930438"/>
      <w:docPartObj>
        <w:docPartGallery w:val="Page Numbers (Bottom of Page)"/>
        <w:docPartUnique/>
      </w:docPartObj>
    </w:sdtPr>
    <w:sdtEndPr>
      <w:rPr>
        <w:noProof/>
      </w:rPr>
    </w:sdtEndPr>
    <w:sdtContent>
      <w:p w14:paraId="78E87FC0" w14:textId="10FCB743" w:rsidR="0048172C" w:rsidRPr="001B7E15" w:rsidRDefault="0048172C" w:rsidP="00C130D2">
        <w:pPr>
          <w:pStyle w:val="Footer"/>
        </w:pPr>
        <w:r w:rsidRPr="001B7E15">
          <w:fldChar w:fldCharType="begin"/>
        </w:r>
        <w:r w:rsidRPr="001B7E15">
          <w:instrText xml:space="preserve"> PAGE   \* MERGEFORMAT </w:instrText>
        </w:r>
        <w:r w:rsidRPr="001B7E15">
          <w:fldChar w:fldCharType="separate"/>
        </w:r>
        <w:r w:rsidR="00460428">
          <w:rPr>
            <w:noProof/>
          </w:rPr>
          <w:t>31</w:t>
        </w:r>
        <w:r w:rsidRPr="001B7E15">
          <w:rPr>
            <w:noProof/>
          </w:rPr>
          <w:fldChar w:fldCharType="end"/>
        </w:r>
      </w:p>
    </w:sdtContent>
  </w:sdt>
  <w:p w14:paraId="0A79D0FB" w14:textId="77777777" w:rsidR="0048172C" w:rsidRPr="00725FF8" w:rsidRDefault="0048172C" w:rsidP="00C130D2">
    <w:pPr>
      <w:pStyle w:val="Footer"/>
    </w:pP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25624489"/>
      <w:docPartObj>
        <w:docPartGallery w:val="Page Numbers (Bottom of Page)"/>
        <w:docPartUnique/>
      </w:docPartObj>
    </w:sdtPr>
    <w:sdtEndPr>
      <w:rPr>
        <w:noProof/>
      </w:rPr>
    </w:sdtEndPr>
    <w:sdtContent>
      <w:p w14:paraId="140F2A1A" w14:textId="77777777" w:rsidR="0048172C" w:rsidRPr="001B7E15" w:rsidRDefault="0048172C" w:rsidP="00C130D2">
        <w:pPr>
          <w:pStyle w:val="Footer"/>
          <w:jc w:val="right"/>
        </w:pPr>
        <w:r w:rsidRPr="001B7E15">
          <w:fldChar w:fldCharType="begin"/>
        </w:r>
        <w:r w:rsidRPr="001B7E15">
          <w:instrText xml:space="preserve"> PAGE   \* MERGEFORMAT </w:instrText>
        </w:r>
        <w:r w:rsidRPr="001B7E15">
          <w:fldChar w:fldCharType="separate"/>
        </w:r>
        <w:r>
          <w:rPr>
            <w:noProof/>
          </w:rPr>
          <w:t>10</w:t>
        </w:r>
        <w:r w:rsidRPr="001B7E15">
          <w:rPr>
            <w:noProof/>
          </w:rPr>
          <w:fldChar w:fldCharType="end"/>
        </w:r>
      </w:p>
    </w:sdtContent>
  </w:sdt>
  <w:p w14:paraId="24CEE351" w14:textId="77777777" w:rsidR="0048172C" w:rsidRPr="00231623" w:rsidRDefault="0048172C" w:rsidP="00231623">
    <w:pPr>
      <w:pStyle w:val="Footer"/>
    </w:pP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30719118"/>
      <w:docPartObj>
        <w:docPartGallery w:val="Page Numbers (Bottom of Page)"/>
        <w:docPartUnique/>
      </w:docPartObj>
    </w:sdtPr>
    <w:sdtEndPr>
      <w:rPr>
        <w:noProof/>
      </w:rPr>
    </w:sdtEndPr>
    <w:sdtContent>
      <w:p w14:paraId="24C0FFED" w14:textId="767B4383" w:rsidR="0048172C" w:rsidRPr="001B7E15" w:rsidRDefault="0048172C" w:rsidP="00C130D2">
        <w:pPr>
          <w:pStyle w:val="Footer"/>
        </w:pPr>
        <w:r w:rsidRPr="001B7E15">
          <w:fldChar w:fldCharType="begin"/>
        </w:r>
        <w:r w:rsidRPr="001B7E15">
          <w:instrText xml:space="preserve"> PAGE   \* MERGEFORMAT </w:instrText>
        </w:r>
        <w:r w:rsidRPr="001B7E15">
          <w:fldChar w:fldCharType="separate"/>
        </w:r>
        <w:r w:rsidR="00460428">
          <w:rPr>
            <w:noProof/>
          </w:rPr>
          <w:t>34</w:t>
        </w:r>
        <w:r w:rsidRPr="001B7E15">
          <w:rPr>
            <w:noProof/>
          </w:rPr>
          <w:fldChar w:fldCharType="end"/>
        </w:r>
      </w:p>
    </w:sdtContent>
  </w:sdt>
  <w:p w14:paraId="1B26F8EC" w14:textId="77777777" w:rsidR="0048172C" w:rsidRPr="00725FF8" w:rsidRDefault="0048172C" w:rsidP="00C130D2">
    <w:pPr>
      <w:pStyle w:val="Footer"/>
    </w:pP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56631356"/>
      <w:docPartObj>
        <w:docPartGallery w:val="Page Numbers (Bottom of Page)"/>
        <w:docPartUnique/>
      </w:docPartObj>
    </w:sdtPr>
    <w:sdtEndPr>
      <w:rPr>
        <w:noProof/>
      </w:rPr>
    </w:sdtEndPr>
    <w:sdtContent>
      <w:p w14:paraId="6AE71D13" w14:textId="77777777" w:rsidR="0048172C" w:rsidRPr="001B7E15" w:rsidRDefault="0048172C" w:rsidP="00C130D2">
        <w:pPr>
          <w:pStyle w:val="Footer"/>
          <w:jc w:val="right"/>
        </w:pPr>
        <w:r w:rsidRPr="001B7E15">
          <w:fldChar w:fldCharType="begin"/>
        </w:r>
        <w:r w:rsidRPr="001B7E15">
          <w:instrText xml:space="preserve"> PAGE   \* MERGEFORMAT </w:instrText>
        </w:r>
        <w:r w:rsidRPr="001B7E15">
          <w:fldChar w:fldCharType="separate"/>
        </w:r>
        <w:r>
          <w:rPr>
            <w:noProof/>
          </w:rPr>
          <w:t>8</w:t>
        </w:r>
        <w:r w:rsidRPr="001B7E15">
          <w:rPr>
            <w:noProof/>
          </w:rPr>
          <w:fldChar w:fldCharType="end"/>
        </w:r>
      </w:p>
    </w:sdtContent>
  </w:sdt>
  <w:p w14:paraId="3F5352AB" w14:textId="77777777" w:rsidR="0048172C" w:rsidRPr="00231623" w:rsidRDefault="0048172C" w:rsidP="00231623">
    <w:pPr>
      <w:pStyle w:val="Footer"/>
    </w:pPr>
  </w:p>
  <w:p w14:paraId="7A975231" w14:textId="77777777" w:rsidR="0048172C" w:rsidRDefault="0048172C"/>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25234439"/>
      <w:docPartObj>
        <w:docPartGallery w:val="Page Numbers (Bottom of Page)"/>
        <w:docPartUnique/>
      </w:docPartObj>
    </w:sdtPr>
    <w:sdtEndPr>
      <w:rPr>
        <w:noProof/>
      </w:rPr>
    </w:sdtEndPr>
    <w:sdtContent>
      <w:p w14:paraId="1E921E40" w14:textId="77777777" w:rsidR="0048172C" w:rsidRPr="001B7E15" w:rsidRDefault="0048172C" w:rsidP="00C130D2">
        <w:pPr>
          <w:pStyle w:val="Footer"/>
        </w:pPr>
        <w:r w:rsidRPr="001B7E15">
          <w:fldChar w:fldCharType="begin"/>
        </w:r>
        <w:r w:rsidRPr="001B7E15">
          <w:instrText xml:space="preserve"> PAGE   \* MERGEFORMAT </w:instrText>
        </w:r>
        <w:r w:rsidRPr="001B7E15">
          <w:fldChar w:fldCharType="separate"/>
        </w:r>
        <w:r>
          <w:rPr>
            <w:noProof/>
          </w:rPr>
          <w:t>8</w:t>
        </w:r>
        <w:r w:rsidRPr="001B7E15">
          <w:rPr>
            <w:noProof/>
          </w:rPr>
          <w:fldChar w:fldCharType="end"/>
        </w:r>
      </w:p>
    </w:sdtContent>
  </w:sdt>
  <w:p w14:paraId="669F45EE" w14:textId="77777777" w:rsidR="0048172C" w:rsidRPr="00725FF8" w:rsidRDefault="0048172C" w:rsidP="00C130D2">
    <w:pPr>
      <w:pStyle w:val="Footer"/>
    </w:pPr>
  </w:p>
  <w:p w14:paraId="074A9CA6" w14:textId="77777777" w:rsidR="0048172C" w:rsidRDefault="0048172C"/>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124798950"/>
      <w:docPartObj>
        <w:docPartGallery w:val="Page Numbers (Bottom of Page)"/>
        <w:docPartUnique/>
      </w:docPartObj>
    </w:sdtPr>
    <w:sdtEndPr>
      <w:rPr>
        <w:noProof/>
      </w:rPr>
    </w:sdtEndPr>
    <w:sdtContent>
      <w:p w14:paraId="775DFDF4" w14:textId="77777777" w:rsidR="0048172C" w:rsidRPr="001B7E15" w:rsidRDefault="0048172C" w:rsidP="00C130D2">
        <w:pPr>
          <w:pStyle w:val="Footer"/>
          <w:jc w:val="right"/>
        </w:pPr>
        <w:r w:rsidRPr="001B7E15">
          <w:fldChar w:fldCharType="begin"/>
        </w:r>
        <w:r w:rsidRPr="001B7E15">
          <w:instrText xml:space="preserve"> PAGE   \* MERGEFORMAT </w:instrText>
        </w:r>
        <w:r w:rsidRPr="001B7E15">
          <w:fldChar w:fldCharType="separate"/>
        </w:r>
        <w:r>
          <w:rPr>
            <w:noProof/>
          </w:rPr>
          <w:t>10</w:t>
        </w:r>
        <w:r w:rsidRPr="001B7E15">
          <w:rPr>
            <w:noProof/>
          </w:rPr>
          <w:fldChar w:fldCharType="end"/>
        </w:r>
      </w:p>
    </w:sdtContent>
  </w:sdt>
  <w:p w14:paraId="6BE4847B" w14:textId="77777777" w:rsidR="0048172C" w:rsidRPr="00231623" w:rsidRDefault="0048172C" w:rsidP="00C130D2">
    <w:pPr>
      <w:pStyle w:val="Footer"/>
    </w:pPr>
  </w:p>
</w:ftr>
</file>

<file path=word/footer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94502654"/>
      <w:docPartObj>
        <w:docPartGallery w:val="Page Numbers (Bottom of Page)"/>
        <w:docPartUnique/>
      </w:docPartObj>
    </w:sdtPr>
    <w:sdtEndPr>
      <w:rPr>
        <w:noProof/>
      </w:rPr>
    </w:sdtEndPr>
    <w:sdtContent>
      <w:p w14:paraId="05664BE4" w14:textId="77777777" w:rsidR="0048172C" w:rsidRDefault="0048172C" w:rsidP="00C130D2">
        <w:pPr>
          <w:pStyle w:val="Footer"/>
          <w:rPr>
            <w:noProof/>
          </w:rPr>
        </w:pPr>
        <w:r w:rsidRPr="001B7E15">
          <w:fldChar w:fldCharType="begin"/>
        </w:r>
        <w:r w:rsidRPr="001B7E15">
          <w:instrText xml:space="preserve"> PAGE   \* MERGEFORMAT </w:instrText>
        </w:r>
        <w:r w:rsidRPr="001B7E15">
          <w:fldChar w:fldCharType="separate"/>
        </w:r>
        <w:r>
          <w:rPr>
            <w:noProof/>
          </w:rPr>
          <w:t>8</w:t>
        </w:r>
        <w:r w:rsidRPr="001B7E15">
          <w:rPr>
            <w:noProof/>
          </w:rPr>
          <w:fldChar w:fldCharType="end"/>
        </w:r>
      </w:p>
    </w:sdtContent>
  </w:sdt>
  <w:p w14:paraId="407A2360" w14:textId="77777777" w:rsidR="0048172C" w:rsidRPr="00956C60" w:rsidRDefault="0048172C" w:rsidP="00956C60">
    <w:pPr>
      <w:pStyle w:val="Footer"/>
    </w:pPr>
  </w:p>
</w:ftr>
</file>

<file path=word/footer2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02387496"/>
      <w:docPartObj>
        <w:docPartGallery w:val="Page Numbers (Bottom of Page)"/>
        <w:docPartUnique/>
      </w:docPartObj>
    </w:sdtPr>
    <w:sdtEndPr>
      <w:rPr>
        <w:noProof/>
      </w:rPr>
    </w:sdtEndPr>
    <w:sdtContent>
      <w:p w14:paraId="4B8BFB9F" w14:textId="77777777" w:rsidR="0048172C" w:rsidRPr="001B7E15" w:rsidRDefault="0048172C" w:rsidP="00C130D2">
        <w:pPr>
          <w:pStyle w:val="Footer"/>
          <w:jc w:val="right"/>
        </w:pPr>
        <w:r w:rsidRPr="001B7E15">
          <w:fldChar w:fldCharType="begin"/>
        </w:r>
        <w:r w:rsidRPr="001B7E15">
          <w:instrText xml:space="preserve"> PAGE   \* MERGEFORMAT </w:instrText>
        </w:r>
        <w:r w:rsidRPr="001B7E15">
          <w:fldChar w:fldCharType="separate"/>
        </w:r>
        <w:r>
          <w:rPr>
            <w:noProof/>
          </w:rPr>
          <w:t>50</w:t>
        </w:r>
        <w:r w:rsidRPr="001B7E15">
          <w:rPr>
            <w:noProof/>
          </w:rPr>
          <w:fldChar w:fldCharType="end"/>
        </w:r>
      </w:p>
    </w:sdtContent>
  </w:sdt>
  <w:p w14:paraId="5440F0C1" w14:textId="77777777" w:rsidR="0048172C" w:rsidRPr="00231623" w:rsidRDefault="0048172C" w:rsidP="00C130D2">
    <w:pPr>
      <w:pStyle w:val="Footer"/>
    </w:pPr>
  </w:p>
</w:ftr>
</file>

<file path=word/footer2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0044287"/>
      <w:docPartObj>
        <w:docPartGallery w:val="Page Numbers (Bottom of Page)"/>
        <w:docPartUnique/>
      </w:docPartObj>
    </w:sdtPr>
    <w:sdtEndPr>
      <w:rPr>
        <w:noProof/>
      </w:rPr>
    </w:sdtEndPr>
    <w:sdtContent>
      <w:p w14:paraId="5882B860" w14:textId="4F4D5665" w:rsidR="0048172C" w:rsidRDefault="0048172C" w:rsidP="00C130D2">
        <w:pPr>
          <w:pStyle w:val="Footer"/>
          <w:rPr>
            <w:noProof/>
          </w:rPr>
        </w:pPr>
        <w:r w:rsidRPr="001B7E15">
          <w:fldChar w:fldCharType="begin"/>
        </w:r>
        <w:r w:rsidRPr="001B7E15">
          <w:instrText xml:space="preserve"> PAGE   \* MERGEFORMAT </w:instrText>
        </w:r>
        <w:r w:rsidRPr="001B7E15">
          <w:fldChar w:fldCharType="separate"/>
        </w:r>
        <w:r w:rsidR="00460428">
          <w:rPr>
            <w:noProof/>
          </w:rPr>
          <w:t>40</w:t>
        </w:r>
        <w:r w:rsidRPr="001B7E15">
          <w:rPr>
            <w:noProof/>
          </w:rPr>
          <w:fldChar w:fldCharType="end"/>
        </w:r>
      </w:p>
    </w:sdtContent>
  </w:sdt>
  <w:p w14:paraId="29E82127" w14:textId="77777777" w:rsidR="0048172C" w:rsidRPr="00956C60" w:rsidRDefault="0048172C" w:rsidP="00956C6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146688203"/>
      <w:docPartObj>
        <w:docPartGallery w:val="Page Numbers (Bottom of Page)"/>
        <w:docPartUnique/>
      </w:docPartObj>
    </w:sdtPr>
    <w:sdtEndPr>
      <w:rPr>
        <w:noProof/>
      </w:rPr>
    </w:sdtEndPr>
    <w:sdtContent>
      <w:p w14:paraId="19142B52" w14:textId="77777777" w:rsidR="0048172C" w:rsidRDefault="0048172C">
        <w:pPr>
          <w:pStyle w:val="Footer"/>
          <w:jc w:val="right"/>
        </w:pPr>
        <w:r>
          <w:fldChar w:fldCharType="begin"/>
        </w:r>
        <w:r>
          <w:instrText xml:space="preserve"> PAGE   \* MERGEFORMAT </w:instrText>
        </w:r>
        <w:r>
          <w:fldChar w:fldCharType="separate"/>
        </w:r>
        <w:r>
          <w:rPr>
            <w:noProof/>
          </w:rPr>
          <w:t>6</w:t>
        </w:r>
        <w:r>
          <w:rPr>
            <w:noProof/>
          </w:rPr>
          <w:fldChar w:fldCharType="end"/>
        </w:r>
      </w:p>
    </w:sdtContent>
  </w:sdt>
  <w:p w14:paraId="35CE98AB" w14:textId="77777777" w:rsidR="0048172C" w:rsidRDefault="0048172C">
    <w:pPr>
      <w:pStyle w:val="Footer"/>
    </w:pPr>
  </w:p>
</w:ftr>
</file>

<file path=word/footer3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17582342"/>
      <w:docPartObj>
        <w:docPartGallery w:val="Page Numbers (Bottom of Page)"/>
        <w:docPartUnique/>
      </w:docPartObj>
    </w:sdtPr>
    <w:sdtEndPr>
      <w:rPr>
        <w:noProof/>
      </w:rPr>
    </w:sdtEndPr>
    <w:sdtContent>
      <w:p w14:paraId="26D9234C" w14:textId="77777777" w:rsidR="0048172C" w:rsidRPr="001B7E15" w:rsidRDefault="0048172C" w:rsidP="00C130D2">
        <w:pPr>
          <w:pStyle w:val="Footer"/>
          <w:jc w:val="right"/>
        </w:pPr>
        <w:r w:rsidRPr="001B7E15">
          <w:fldChar w:fldCharType="begin"/>
        </w:r>
        <w:r w:rsidRPr="001B7E15">
          <w:instrText xml:space="preserve"> PAGE   \* MERGEFORMAT </w:instrText>
        </w:r>
        <w:r w:rsidRPr="001B7E15">
          <w:fldChar w:fldCharType="separate"/>
        </w:r>
        <w:r>
          <w:rPr>
            <w:noProof/>
          </w:rPr>
          <w:t>4</w:t>
        </w:r>
        <w:r w:rsidRPr="001B7E15">
          <w:rPr>
            <w:noProof/>
          </w:rPr>
          <w:fldChar w:fldCharType="end"/>
        </w:r>
      </w:p>
    </w:sdtContent>
  </w:sdt>
  <w:p w14:paraId="732BEF6D" w14:textId="77777777" w:rsidR="0048172C" w:rsidRPr="00231623" w:rsidRDefault="0048172C" w:rsidP="00C130D2">
    <w:pPr>
      <w:pStyle w:val="Footer"/>
    </w:pPr>
  </w:p>
</w:ftr>
</file>

<file path=word/footer3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16519983"/>
      <w:docPartObj>
        <w:docPartGallery w:val="Page Numbers (Bottom of Page)"/>
        <w:docPartUnique/>
      </w:docPartObj>
    </w:sdtPr>
    <w:sdtEndPr>
      <w:rPr>
        <w:noProof/>
      </w:rPr>
    </w:sdtEndPr>
    <w:sdtContent>
      <w:p w14:paraId="7B2FAB90" w14:textId="1FE0BA99" w:rsidR="0048172C" w:rsidRDefault="0048172C" w:rsidP="00C130D2">
        <w:pPr>
          <w:pStyle w:val="Footer"/>
          <w:rPr>
            <w:noProof/>
          </w:rPr>
        </w:pPr>
        <w:r w:rsidRPr="001B7E15">
          <w:fldChar w:fldCharType="begin"/>
        </w:r>
        <w:r w:rsidRPr="001B7E15">
          <w:instrText xml:space="preserve"> PAGE   \* MERGEFORMAT </w:instrText>
        </w:r>
        <w:r w:rsidRPr="001B7E15">
          <w:fldChar w:fldCharType="separate"/>
        </w:r>
        <w:r w:rsidR="00460428">
          <w:rPr>
            <w:noProof/>
          </w:rPr>
          <w:t>44</w:t>
        </w:r>
        <w:r w:rsidRPr="001B7E15">
          <w:rPr>
            <w:noProof/>
          </w:rPr>
          <w:fldChar w:fldCharType="end"/>
        </w:r>
      </w:p>
    </w:sdtContent>
  </w:sdt>
  <w:p w14:paraId="6ED5BC34" w14:textId="77777777" w:rsidR="0048172C" w:rsidRPr="00956C60" w:rsidRDefault="0048172C" w:rsidP="00956C60">
    <w:pPr>
      <w:pStyle w:val="Footer"/>
    </w:pPr>
  </w:p>
</w:ftr>
</file>

<file path=word/footer3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85015620"/>
      <w:docPartObj>
        <w:docPartGallery w:val="Page Numbers (Bottom of Page)"/>
        <w:docPartUnique/>
      </w:docPartObj>
    </w:sdtPr>
    <w:sdtEndPr>
      <w:rPr>
        <w:noProof/>
      </w:rPr>
    </w:sdtEndPr>
    <w:sdtContent>
      <w:p w14:paraId="49038EED" w14:textId="77777777" w:rsidR="0048172C" w:rsidRPr="001B7E15" w:rsidRDefault="0048172C" w:rsidP="00C130D2">
        <w:pPr>
          <w:pStyle w:val="Footer"/>
          <w:jc w:val="right"/>
        </w:pPr>
        <w:r w:rsidRPr="001B7E15">
          <w:fldChar w:fldCharType="begin"/>
        </w:r>
        <w:r w:rsidRPr="001B7E15">
          <w:instrText xml:space="preserve"> PAGE   \* MERGEFORMAT </w:instrText>
        </w:r>
        <w:r w:rsidRPr="001B7E15">
          <w:fldChar w:fldCharType="separate"/>
        </w:r>
        <w:r>
          <w:rPr>
            <w:noProof/>
          </w:rPr>
          <w:t>4</w:t>
        </w:r>
        <w:r w:rsidRPr="001B7E15">
          <w:rPr>
            <w:noProof/>
          </w:rPr>
          <w:fldChar w:fldCharType="end"/>
        </w:r>
      </w:p>
    </w:sdtContent>
  </w:sdt>
  <w:p w14:paraId="288EFC55" w14:textId="77777777" w:rsidR="0048172C" w:rsidRPr="00231623" w:rsidRDefault="0048172C" w:rsidP="00C130D2">
    <w:pPr>
      <w:pStyle w:val="Footer"/>
    </w:pPr>
  </w:p>
</w:ftr>
</file>

<file path=word/footer3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47412886"/>
      <w:docPartObj>
        <w:docPartGallery w:val="Page Numbers (Bottom of Page)"/>
        <w:docPartUnique/>
      </w:docPartObj>
    </w:sdtPr>
    <w:sdtEndPr>
      <w:rPr>
        <w:noProof/>
      </w:rPr>
    </w:sdtEndPr>
    <w:sdtContent>
      <w:p w14:paraId="27089811" w14:textId="79906243" w:rsidR="0048172C" w:rsidRDefault="0048172C" w:rsidP="00C130D2">
        <w:pPr>
          <w:pStyle w:val="Footer"/>
          <w:rPr>
            <w:noProof/>
          </w:rPr>
        </w:pPr>
        <w:r w:rsidRPr="001B7E15">
          <w:fldChar w:fldCharType="begin"/>
        </w:r>
        <w:r w:rsidRPr="001B7E15">
          <w:instrText xml:space="preserve"> PAGE   \* MERGEFORMAT </w:instrText>
        </w:r>
        <w:r w:rsidRPr="001B7E15">
          <w:fldChar w:fldCharType="separate"/>
        </w:r>
        <w:r w:rsidR="00460428">
          <w:rPr>
            <w:noProof/>
          </w:rPr>
          <w:t>45</w:t>
        </w:r>
        <w:r w:rsidRPr="001B7E15">
          <w:rPr>
            <w:noProof/>
          </w:rPr>
          <w:fldChar w:fldCharType="end"/>
        </w:r>
      </w:p>
    </w:sdtContent>
  </w:sdt>
  <w:p w14:paraId="0FBE9600" w14:textId="77777777" w:rsidR="0048172C" w:rsidRPr="00956C60" w:rsidRDefault="0048172C" w:rsidP="00956C60">
    <w:pPr>
      <w:pStyle w:val="Footer"/>
    </w:pPr>
  </w:p>
</w:ftr>
</file>

<file path=word/footer3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10079123"/>
      <w:docPartObj>
        <w:docPartGallery w:val="Page Numbers (Bottom of Page)"/>
        <w:docPartUnique/>
      </w:docPartObj>
    </w:sdtPr>
    <w:sdtEndPr>
      <w:rPr>
        <w:noProof/>
      </w:rPr>
    </w:sdtEndPr>
    <w:sdtContent>
      <w:p w14:paraId="4B0F0B8C" w14:textId="77777777" w:rsidR="0048172C" w:rsidRPr="001B7E15" w:rsidRDefault="0048172C" w:rsidP="00C130D2">
        <w:pPr>
          <w:pStyle w:val="Footer"/>
          <w:jc w:val="right"/>
        </w:pPr>
        <w:r w:rsidRPr="001B7E15">
          <w:fldChar w:fldCharType="begin"/>
        </w:r>
        <w:r w:rsidRPr="001B7E15">
          <w:instrText xml:space="preserve"> PAGE   \* MERGEFORMAT </w:instrText>
        </w:r>
        <w:r w:rsidRPr="001B7E15">
          <w:fldChar w:fldCharType="separate"/>
        </w:r>
        <w:r>
          <w:rPr>
            <w:noProof/>
          </w:rPr>
          <w:t>4</w:t>
        </w:r>
        <w:r w:rsidRPr="001B7E15">
          <w:rPr>
            <w:noProof/>
          </w:rPr>
          <w:fldChar w:fldCharType="end"/>
        </w:r>
      </w:p>
    </w:sdtContent>
  </w:sdt>
  <w:p w14:paraId="1B3AE130" w14:textId="77777777" w:rsidR="0048172C" w:rsidRPr="00231623" w:rsidRDefault="0048172C" w:rsidP="00C130D2">
    <w:pPr>
      <w:pStyle w:val="Footer"/>
    </w:pPr>
  </w:p>
</w:ftr>
</file>

<file path=word/footer3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71499808"/>
      <w:docPartObj>
        <w:docPartGallery w:val="Page Numbers (Bottom of Page)"/>
        <w:docPartUnique/>
      </w:docPartObj>
    </w:sdtPr>
    <w:sdtEndPr>
      <w:rPr>
        <w:noProof/>
      </w:rPr>
    </w:sdtEndPr>
    <w:sdtContent>
      <w:p w14:paraId="205F5FBD" w14:textId="34DC59A8" w:rsidR="0048172C" w:rsidRDefault="0048172C" w:rsidP="00C130D2">
        <w:pPr>
          <w:pStyle w:val="Footer"/>
          <w:rPr>
            <w:noProof/>
          </w:rPr>
        </w:pPr>
        <w:r w:rsidRPr="001B7E15">
          <w:fldChar w:fldCharType="begin"/>
        </w:r>
        <w:r w:rsidRPr="001B7E15">
          <w:instrText xml:space="preserve"> PAGE   \* MERGEFORMAT </w:instrText>
        </w:r>
        <w:r w:rsidRPr="001B7E15">
          <w:fldChar w:fldCharType="separate"/>
        </w:r>
        <w:r w:rsidR="00460428">
          <w:rPr>
            <w:noProof/>
          </w:rPr>
          <w:t>51</w:t>
        </w:r>
        <w:r w:rsidRPr="001B7E15">
          <w:rPr>
            <w:noProof/>
          </w:rPr>
          <w:fldChar w:fldCharType="end"/>
        </w:r>
      </w:p>
    </w:sdtContent>
  </w:sdt>
  <w:p w14:paraId="05E89A99" w14:textId="77777777" w:rsidR="0048172C" w:rsidRPr="00956C60" w:rsidRDefault="0048172C" w:rsidP="00956C60">
    <w:pPr>
      <w:pStyle w:val="Footer"/>
    </w:pPr>
  </w:p>
</w:ftr>
</file>

<file path=word/footer3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31866873"/>
      <w:docPartObj>
        <w:docPartGallery w:val="Page Numbers (Bottom of Page)"/>
        <w:docPartUnique/>
      </w:docPartObj>
    </w:sdtPr>
    <w:sdtEndPr>
      <w:rPr>
        <w:noProof/>
      </w:rPr>
    </w:sdtEndPr>
    <w:sdtContent>
      <w:p w14:paraId="7C001CB5" w14:textId="77777777" w:rsidR="0048172C" w:rsidRPr="001B7E15" w:rsidRDefault="0048172C" w:rsidP="00C130D2">
        <w:pPr>
          <w:pStyle w:val="Footer"/>
          <w:jc w:val="right"/>
        </w:pPr>
        <w:r w:rsidRPr="001B7E15">
          <w:fldChar w:fldCharType="begin"/>
        </w:r>
        <w:r w:rsidRPr="001B7E15">
          <w:instrText xml:space="preserve"> PAGE   \* MERGEFORMAT </w:instrText>
        </w:r>
        <w:r w:rsidRPr="001B7E15">
          <w:fldChar w:fldCharType="separate"/>
        </w:r>
        <w:r>
          <w:rPr>
            <w:noProof/>
          </w:rPr>
          <w:t>50</w:t>
        </w:r>
        <w:r w:rsidRPr="001B7E15">
          <w:rPr>
            <w:noProof/>
          </w:rPr>
          <w:fldChar w:fldCharType="end"/>
        </w:r>
      </w:p>
    </w:sdtContent>
  </w:sdt>
  <w:p w14:paraId="2B5A492F" w14:textId="77777777" w:rsidR="0048172C" w:rsidRPr="00231623" w:rsidRDefault="0048172C" w:rsidP="00C130D2">
    <w:pPr>
      <w:pStyle w:val="Footer"/>
    </w:pPr>
  </w:p>
</w:ftr>
</file>

<file path=word/footer3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49751144"/>
      <w:docPartObj>
        <w:docPartGallery w:val="Page Numbers (Bottom of Page)"/>
        <w:docPartUnique/>
      </w:docPartObj>
    </w:sdtPr>
    <w:sdtEndPr>
      <w:rPr>
        <w:noProof/>
      </w:rPr>
    </w:sdtEndPr>
    <w:sdtContent>
      <w:p w14:paraId="0E718307" w14:textId="611400C1" w:rsidR="0048172C" w:rsidRDefault="0048172C" w:rsidP="00C130D2">
        <w:pPr>
          <w:pStyle w:val="Footer"/>
          <w:rPr>
            <w:noProof/>
          </w:rPr>
        </w:pPr>
        <w:r w:rsidRPr="001B7E15">
          <w:fldChar w:fldCharType="begin"/>
        </w:r>
        <w:r w:rsidRPr="001B7E15">
          <w:instrText xml:space="preserve"> PAGE   \* MERGEFORMAT </w:instrText>
        </w:r>
        <w:r w:rsidRPr="001B7E15">
          <w:fldChar w:fldCharType="separate"/>
        </w:r>
        <w:r w:rsidR="00460428">
          <w:rPr>
            <w:noProof/>
          </w:rPr>
          <w:t>60</w:t>
        </w:r>
        <w:r w:rsidRPr="001B7E15">
          <w:rPr>
            <w:noProof/>
          </w:rPr>
          <w:fldChar w:fldCharType="end"/>
        </w:r>
      </w:p>
    </w:sdtContent>
  </w:sdt>
  <w:p w14:paraId="33BC5BAA" w14:textId="77777777" w:rsidR="0048172C" w:rsidRPr="00956C60" w:rsidRDefault="0048172C" w:rsidP="00956C60">
    <w:pPr>
      <w:pStyle w:val="Footer"/>
    </w:pPr>
  </w:p>
</w:ftr>
</file>

<file path=word/footer3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60594641"/>
      <w:docPartObj>
        <w:docPartGallery w:val="Page Numbers (Bottom of Page)"/>
        <w:docPartUnique/>
      </w:docPartObj>
    </w:sdtPr>
    <w:sdtEndPr>
      <w:rPr>
        <w:noProof/>
      </w:rPr>
    </w:sdtEndPr>
    <w:sdtContent>
      <w:p w14:paraId="2E90816B" w14:textId="77777777" w:rsidR="0048172C" w:rsidRPr="001B7E15" w:rsidRDefault="0048172C" w:rsidP="00C130D2">
        <w:pPr>
          <w:pStyle w:val="Footer"/>
          <w:jc w:val="right"/>
        </w:pPr>
        <w:r w:rsidRPr="001B7E15">
          <w:fldChar w:fldCharType="begin"/>
        </w:r>
        <w:r w:rsidRPr="001B7E15">
          <w:instrText xml:space="preserve"> PAGE   \* MERGEFORMAT </w:instrText>
        </w:r>
        <w:r w:rsidRPr="001B7E15">
          <w:fldChar w:fldCharType="separate"/>
        </w:r>
        <w:r>
          <w:rPr>
            <w:noProof/>
          </w:rPr>
          <w:t>58</w:t>
        </w:r>
        <w:r w:rsidRPr="001B7E15">
          <w:rPr>
            <w:noProof/>
          </w:rPr>
          <w:fldChar w:fldCharType="end"/>
        </w:r>
      </w:p>
    </w:sdtContent>
  </w:sdt>
  <w:p w14:paraId="78C1C327" w14:textId="77777777" w:rsidR="0048172C" w:rsidRPr="00231623" w:rsidRDefault="0048172C" w:rsidP="00C130D2">
    <w:pPr>
      <w:pStyle w:val="Footer"/>
    </w:pPr>
  </w:p>
</w:ftr>
</file>

<file path=word/footer3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31081999"/>
      <w:docPartObj>
        <w:docPartGallery w:val="Page Numbers (Bottom of Page)"/>
        <w:docPartUnique/>
      </w:docPartObj>
    </w:sdtPr>
    <w:sdtEndPr>
      <w:rPr>
        <w:noProof/>
      </w:rPr>
    </w:sdtEndPr>
    <w:sdtContent>
      <w:p w14:paraId="17EE77BF" w14:textId="2E68F89A" w:rsidR="0048172C" w:rsidRDefault="0048172C" w:rsidP="00C130D2">
        <w:pPr>
          <w:pStyle w:val="Footer"/>
          <w:rPr>
            <w:noProof/>
          </w:rPr>
        </w:pPr>
        <w:r w:rsidRPr="001B7E15">
          <w:fldChar w:fldCharType="begin"/>
        </w:r>
        <w:r w:rsidRPr="001B7E15">
          <w:instrText xml:space="preserve"> PAGE   \* MERGEFORMAT </w:instrText>
        </w:r>
        <w:r w:rsidRPr="001B7E15">
          <w:fldChar w:fldCharType="separate"/>
        </w:r>
        <w:r w:rsidR="00460428">
          <w:rPr>
            <w:noProof/>
          </w:rPr>
          <w:t>61</w:t>
        </w:r>
        <w:r w:rsidRPr="001B7E15">
          <w:rPr>
            <w:noProof/>
          </w:rPr>
          <w:fldChar w:fldCharType="end"/>
        </w:r>
      </w:p>
    </w:sdtContent>
  </w:sdt>
  <w:p w14:paraId="3274937C" w14:textId="77777777" w:rsidR="0048172C" w:rsidRPr="00956C60" w:rsidRDefault="0048172C" w:rsidP="00956C60">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63908428"/>
      <w:docPartObj>
        <w:docPartGallery w:val="Page Numbers (Bottom of Page)"/>
        <w:docPartUnique/>
      </w:docPartObj>
    </w:sdtPr>
    <w:sdtEndPr>
      <w:rPr>
        <w:noProof/>
      </w:rPr>
    </w:sdtEndPr>
    <w:sdtContent>
      <w:p w14:paraId="5BF39783" w14:textId="5A1B2119" w:rsidR="0048172C" w:rsidRDefault="0048172C" w:rsidP="00521A99">
        <w:pPr>
          <w:pStyle w:val="Footer"/>
          <w:jc w:val="left"/>
        </w:pPr>
        <w:r>
          <w:fldChar w:fldCharType="begin"/>
        </w:r>
        <w:r>
          <w:instrText xml:space="preserve"> PAGE   \* MERGEFORMAT </w:instrText>
        </w:r>
        <w:r>
          <w:fldChar w:fldCharType="separate"/>
        </w:r>
        <w:r w:rsidR="00460428">
          <w:rPr>
            <w:noProof/>
          </w:rPr>
          <w:t>5</w:t>
        </w:r>
        <w:r>
          <w:rPr>
            <w:noProof/>
          </w:rPr>
          <w:fldChar w:fldCharType="end"/>
        </w:r>
      </w:p>
    </w:sdtContent>
  </w:sdt>
  <w:p w14:paraId="2B085F32" w14:textId="77777777" w:rsidR="0048172C" w:rsidRDefault="0048172C">
    <w:pPr>
      <w:pStyle w:val="Footer"/>
    </w:pPr>
  </w:p>
</w:ftr>
</file>

<file path=word/footer4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41031986"/>
      <w:docPartObj>
        <w:docPartGallery w:val="Page Numbers (Bottom of Page)"/>
        <w:docPartUnique/>
      </w:docPartObj>
    </w:sdtPr>
    <w:sdtEndPr>
      <w:rPr>
        <w:noProof/>
      </w:rPr>
    </w:sdtEndPr>
    <w:sdtContent>
      <w:p w14:paraId="3F087AA7" w14:textId="77777777" w:rsidR="0048172C" w:rsidRPr="001B7E15" w:rsidRDefault="0048172C" w:rsidP="00C130D2">
        <w:pPr>
          <w:pStyle w:val="Footer"/>
          <w:jc w:val="right"/>
        </w:pPr>
        <w:r w:rsidRPr="001B7E15">
          <w:fldChar w:fldCharType="begin"/>
        </w:r>
        <w:r w:rsidRPr="001B7E15">
          <w:instrText xml:space="preserve"> PAGE   \* MERGEFORMAT </w:instrText>
        </w:r>
        <w:r w:rsidRPr="001B7E15">
          <w:fldChar w:fldCharType="separate"/>
        </w:r>
        <w:r>
          <w:rPr>
            <w:noProof/>
          </w:rPr>
          <w:t>12</w:t>
        </w:r>
        <w:r w:rsidRPr="001B7E15">
          <w:rPr>
            <w:noProof/>
          </w:rPr>
          <w:fldChar w:fldCharType="end"/>
        </w:r>
      </w:p>
    </w:sdtContent>
  </w:sdt>
  <w:p w14:paraId="435635F4" w14:textId="77777777" w:rsidR="0048172C" w:rsidRPr="00231623" w:rsidRDefault="0048172C" w:rsidP="00C130D2">
    <w:pPr>
      <w:pStyle w:val="Footer"/>
    </w:pPr>
  </w:p>
</w:ftr>
</file>

<file path=word/footer4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47707117"/>
      <w:docPartObj>
        <w:docPartGallery w:val="Page Numbers (Bottom of Page)"/>
        <w:docPartUnique/>
      </w:docPartObj>
    </w:sdtPr>
    <w:sdtEndPr>
      <w:rPr>
        <w:noProof/>
      </w:rPr>
    </w:sdtEndPr>
    <w:sdtContent>
      <w:p w14:paraId="617135EA" w14:textId="4879B127" w:rsidR="0048172C" w:rsidRDefault="0048172C" w:rsidP="00C130D2">
        <w:pPr>
          <w:pStyle w:val="Footer"/>
          <w:rPr>
            <w:noProof/>
          </w:rPr>
        </w:pPr>
        <w:r w:rsidRPr="001B7E15">
          <w:fldChar w:fldCharType="begin"/>
        </w:r>
        <w:r w:rsidRPr="001B7E15">
          <w:instrText xml:space="preserve"> PAGE   \* MERGEFORMAT </w:instrText>
        </w:r>
        <w:r w:rsidRPr="001B7E15">
          <w:fldChar w:fldCharType="separate"/>
        </w:r>
        <w:r w:rsidR="00460428">
          <w:rPr>
            <w:noProof/>
          </w:rPr>
          <w:t>73</w:t>
        </w:r>
        <w:r w:rsidRPr="001B7E15">
          <w:rPr>
            <w:noProof/>
          </w:rPr>
          <w:fldChar w:fldCharType="end"/>
        </w:r>
      </w:p>
    </w:sdtContent>
  </w:sdt>
  <w:p w14:paraId="4F2E3177" w14:textId="77777777" w:rsidR="0048172C" w:rsidRPr="00956C60" w:rsidRDefault="0048172C" w:rsidP="00956C60">
    <w:pPr>
      <w:pStyle w:val="Footer"/>
    </w:pPr>
  </w:p>
</w:ftr>
</file>

<file path=word/footer4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37753289"/>
      <w:docPartObj>
        <w:docPartGallery w:val="Page Numbers (Bottom of Page)"/>
        <w:docPartUnique/>
      </w:docPartObj>
    </w:sdtPr>
    <w:sdtEndPr>
      <w:rPr>
        <w:noProof/>
      </w:rPr>
    </w:sdtEndPr>
    <w:sdtContent>
      <w:sdt>
        <w:sdtPr>
          <w:id w:val="-1234151694"/>
          <w:docPartObj>
            <w:docPartGallery w:val="Page Numbers (Bottom of Page)"/>
            <w:docPartUnique/>
          </w:docPartObj>
        </w:sdtPr>
        <w:sdtEndPr>
          <w:rPr>
            <w:noProof/>
          </w:rPr>
        </w:sdtEndPr>
        <w:sdtContent>
          <w:p w14:paraId="51E1EBE7" w14:textId="77777777" w:rsidR="0048172C" w:rsidRPr="00F061F2" w:rsidRDefault="0048172C" w:rsidP="00C130D2">
            <w:pPr>
              <w:pStyle w:val="Footer"/>
              <w:jc w:val="right"/>
            </w:pPr>
            <w:r w:rsidRPr="001B7E15">
              <w:fldChar w:fldCharType="begin"/>
            </w:r>
            <w:r w:rsidRPr="001B7E15">
              <w:instrText xml:space="preserve"> PAGE   \* MERGEFORMAT </w:instrText>
            </w:r>
            <w:r w:rsidRPr="001B7E15">
              <w:fldChar w:fldCharType="separate"/>
            </w:r>
            <w:r>
              <w:rPr>
                <w:noProof/>
              </w:rPr>
              <w:t>88</w:t>
            </w:r>
            <w:r w:rsidRPr="001B7E15">
              <w:rPr>
                <w:noProof/>
              </w:rPr>
              <w:fldChar w:fldCharType="end"/>
            </w:r>
          </w:p>
        </w:sdtContent>
      </w:sdt>
    </w:sdtContent>
  </w:sdt>
  <w:p w14:paraId="6323E225" w14:textId="77777777" w:rsidR="0048172C" w:rsidRDefault="0048172C" w:rsidP="00542CA2">
    <w:pPr>
      <w:spacing w:after="0"/>
    </w:pPr>
  </w:p>
  <w:p w14:paraId="72A78E7D" w14:textId="77777777" w:rsidR="0048172C" w:rsidRDefault="0048172C"/>
</w:ftr>
</file>

<file path=word/footer4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93656640"/>
      <w:docPartObj>
        <w:docPartGallery w:val="Page Numbers (Bottom of Page)"/>
        <w:docPartUnique/>
      </w:docPartObj>
    </w:sdtPr>
    <w:sdtEndPr>
      <w:rPr>
        <w:noProof/>
      </w:rPr>
    </w:sdtEndPr>
    <w:sdtContent>
      <w:sdt>
        <w:sdtPr>
          <w:id w:val="-430739521"/>
          <w:docPartObj>
            <w:docPartGallery w:val="Page Numbers (Bottom of Page)"/>
            <w:docPartUnique/>
          </w:docPartObj>
        </w:sdtPr>
        <w:sdtEndPr>
          <w:rPr>
            <w:noProof/>
          </w:rPr>
        </w:sdtEndPr>
        <w:sdtContent>
          <w:p w14:paraId="54DD9C49" w14:textId="3A4D8BB1" w:rsidR="0048172C" w:rsidRPr="00F061F2" w:rsidRDefault="0048172C" w:rsidP="00C130D2">
            <w:pPr>
              <w:pStyle w:val="Footer"/>
              <w:rPr>
                <w:noProof/>
              </w:rPr>
            </w:pPr>
            <w:r w:rsidRPr="001B7E15">
              <w:fldChar w:fldCharType="begin"/>
            </w:r>
            <w:r w:rsidRPr="001B7E15">
              <w:instrText xml:space="preserve"> PAGE   \* MERGEFORMAT </w:instrText>
            </w:r>
            <w:r w:rsidRPr="001B7E15">
              <w:fldChar w:fldCharType="separate"/>
            </w:r>
            <w:r w:rsidR="00460428">
              <w:rPr>
                <w:noProof/>
              </w:rPr>
              <w:t>92</w:t>
            </w:r>
            <w:r w:rsidRPr="001B7E15">
              <w:rPr>
                <w:noProof/>
              </w:rPr>
              <w:fldChar w:fldCharType="end"/>
            </w:r>
          </w:p>
        </w:sdtContent>
      </w:sdt>
    </w:sdtContent>
  </w:sdt>
  <w:p w14:paraId="54C1710A" w14:textId="77777777" w:rsidR="0048172C" w:rsidRDefault="0048172C"/>
</w:ftr>
</file>

<file path=word/footer4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56682961"/>
      <w:docPartObj>
        <w:docPartGallery w:val="Page Numbers (Bottom of Page)"/>
        <w:docPartUnique/>
      </w:docPartObj>
    </w:sdtPr>
    <w:sdtEndPr>
      <w:rPr>
        <w:noProof/>
      </w:rPr>
    </w:sdtEndPr>
    <w:sdtContent>
      <w:p w14:paraId="5680BA3C" w14:textId="77777777" w:rsidR="0048172C" w:rsidRPr="001B7E15" w:rsidRDefault="0048172C" w:rsidP="00C130D2">
        <w:pPr>
          <w:pStyle w:val="Footer"/>
          <w:jc w:val="right"/>
        </w:pPr>
        <w:r w:rsidRPr="001B7E15">
          <w:fldChar w:fldCharType="begin"/>
        </w:r>
        <w:r w:rsidRPr="001B7E15">
          <w:instrText xml:space="preserve"> PAGE   \* MERGEFORMAT </w:instrText>
        </w:r>
        <w:r w:rsidRPr="001B7E15">
          <w:fldChar w:fldCharType="separate"/>
        </w:r>
        <w:r>
          <w:rPr>
            <w:noProof/>
          </w:rPr>
          <w:t>50</w:t>
        </w:r>
        <w:r w:rsidRPr="001B7E15">
          <w:rPr>
            <w:noProof/>
          </w:rPr>
          <w:fldChar w:fldCharType="end"/>
        </w:r>
      </w:p>
    </w:sdtContent>
  </w:sdt>
  <w:p w14:paraId="237582E4" w14:textId="77777777" w:rsidR="0048172C" w:rsidRPr="00231623" w:rsidRDefault="0048172C" w:rsidP="00C130D2">
    <w:pPr>
      <w:pStyle w:val="Footer"/>
    </w:pPr>
  </w:p>
</w:ftr>
</file>

<file path=word/footer4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81336439"/>
      <w:docPartObj>
        <w:docPartGallery w:val="Page Numbers (Bottom of Page)"/>
        <w:docPartUnique/>
      </w:docPartObj>
    </w:sdtPr>
    <w:sdtEndPr>
      <w:rPr>
        <w:noProof/>
      </w:rPr>
    </w:sdtEndPr>
    <w:sdtContent>
      <w:p w14:paraId="06503A03" w14:textId="0E60359C" w:rsidR="0048172C" w:rsidRDefault="0048172C" w:rsidP="00C130D2">
        <w:pPr>
          <w:pStyle w:val="Footer"/>
          <w:rPr>
            <w:noProof/>
          </w:rPr>
        </w:pPr>
        <w:r w:rsidRPr="001B7E15">
          <w:fldChar w:fldCharType="begin"/>
        </w:r>
        <w:r w:rsidRPr="001B7E15">
          <w:instrText xml:space="preserve"> PAGE   \* MERGEFORMAT </w:instrText>
        </w:r>
        <w:r w:rsidRPr="001B7E15">
          <w:fldChar w:fldCharType="separate"/>
        </w:r>
        <w:r w:rsidR="00460428">
          <w:rPr>
            <w:noProof/>
          </w:rPr>
          <w:t>93</w:t>
        </w:r>
        <w:r w:rsidRPr="001B7E15">
          <w:rPr>
            <w:noProof/>
          </w:rPr>
          <w:fldChar w:fldCharType="end"/>
        </w:r>
      </w:p>
    </w:sdtContent>
  </w:sdt>
  <w:p w14:paraId="4ECE3844" w14:textId="77777777" w:rsidR="0048172C" w:rsidRPr="00956C60" w:rsidRDefault="0048172C" w:rsidP="00956C60">
    <w:pPr>
      <w:pStyle w:val="Footer"/>
    </w:pPr>
  </w:p>
</w:ftr>
</file>

<file path=word/footer4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390821"/>
      <w:docPartObj>
        <w:docPartGallery w:val="Page Numbers (Bottom of Page)"/>
        <w:docPartUnique/>
      </w:docPartObj>
    </w:sdtPr>
    <w:sdtEndPr>
      <w:rPr>
        <w:noProof/>
      </w:rPr>
    </w:sdtEndPr>
    <w:sdtContent>
      <w:p w14:paraId="55B00813" w14:textId="087DE3A8" w:rsidR="0048172C" w:rsidRDefault="0048172C">
        <w:pPr>
          <w:pStyle w:val="Footer"/>
        </w:pPr>
        <w:r>
          <w:fldChar w:fldCharType="begin"/>
        </w:r>
        <w:r>
          <w:instrText xml:space="preserve"> PAGE   \* MERGEFORMAT </w:instrText>
        </w:r>
        <w:r>
          <w:fldChar w:fldCharType="separate"/>
        </w:r>
        <w:r w:rsidR="00460428">
          <w:rPr>
            <w:noProof/>
          </w:rPr>
          <w:t>95</w:t>
        </w:r>
        <w:r>
          <w:rPr>
            <w:noProof/>
          </w:rPr>
          <w:fldChar w:fldCharType="end"/>
        </w:r>
      </w:p>
    </w:sdtContent>
  </w:sdt>
  <w:p w14:paraId="7998BE9F" w14:textId="77777777" w:rsidR="0048172C" w:rsidRPr="00287EFB" w:rsidRDefault="0048172C" w:rsidP="00C130D2">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18068856"/>
      <w:docPartObj>
        <w:docPartGallery w:val="Page Numbers (Bottom of Page)"/>
        <w:docPartUnique/>
      </w:docPartObj>
    </w:sdtPr>
    <w:sdtEndPr>
      <w:rPr>
        <w:noProof/>
      </w:rPr>
    </w:sdtEndPr>
    <w:sdtContent>
      <w:p w14:paraId="159C89B5" w14:textId="77777777" w:rsidR="0048172C" w:rsidRDefault="0048172C">
        <w:pPr>
          <w:pStyle w:val="Footer"/>
          <w:jc w:val="right"/>
        </w:pPr>
        <w:r>
          <w:fldChar w:fldCharType="begin"/>
        </w:r>
        <w:r>
          <w:instrText xml:space="preserve"> PAGE   \* MERGEFORMAT </w:instrText>
        </w:r>
        <w:r>
          <w:fldChar w:fldCharType="separate"/>
        </w:r>
        <w:r>
          <w:rPr>
            <w:noProof/>
          </w:rPr>
          <w:t>14</w:t>
        </w:r>
        <w:r>
          <w:rPr>
            <w:noProof/>
          </w:rPr>
          <w:fldChar w:fldCharType="end"/>
        </w:r>
      </w:p>
    </w:sdtContent>
  </w:sdt>
  <w:p w14:paraId="315BA98A" w14:textId="77777777" w:rsidR="0048172C" w:rsidRDefault="0048172C">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21341562"/>
      <w:docPartObj>
        <w:docPartGallery w:val="Page Numbers (Bottom of Page)"/>
        <w:docPartUnique/>
      </w:docPartObj>
    </w:sdtPr>
    <w:sdtEndPr>
      <w:rPr>
        <w:noProof/>
      </w:rPr>
    </w:sdtEndPr>
    <w:sdtContent>
      <w:p w14:paraId="72B12EF0" w14:textId="13302527" w:rsidR="0048172C" w:rsidRDefault="0048172C" w:rsidP="00521A99">
        <w:pPr>
          <w:pStyle w:val="Footer"/>
          <w:jc w:val="left"/>
        </w:pPr>
        <w:r>
          <w:fldChar w:fldCharType="begin"/>
        </w:r>
        <w:r>
          <w:instrText xml:space="preserve"> PAGE   \* MERGEFORMAT </w:instrText>
        </w:r>
        <w:r>
          <w:fldChar w:fldCharType="separate"/>
        </w:r>
        <w:r w:rsidR="00460428">
          <w:rPr>
            <w:noProof/>
          </w:rPr>
          <w:t>15</w:t>
        </w:r>
        <w:r>
          <w:rPr>
            <w:noProof/>
          </w:rPr>
          <w:fldChar w:fldCharType="end"/>
        </w:r>
      </w:p>
    </w:sdtContent>
  </w:sdt>
  <w:p w14:paraId="1262AB98" w14:textId="77777777" w:rsidR="0048172C" w:rsidRDefault="0048172C">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24371492"/>
      <w:docPartObj>
        <w:docPartGallery w:val="Page Numbers (Bottom of Page)"/>
        <w:docPartUnique/>
      </w:docPartObj>
    </w:sdtPr>
    <w:sdtEndPr>
      <w:rPr>
        <w:noProof/>
      </w:rPr>
    </w:sdtEndPr>
    <w:sdtContent>
      <w:p w14:paraId="1E05CF20" w14:textId="77777777" w:rsidR="0048172C" w:rsidRDefault="0048172C" w:rsidP="00D20C27">
        <w:pPr>
          <w:pStyle w:val="Footer"/>
          <w:jc w:val="right"/>
        </w:pPr>
        <w:r>
          <w:fldChar w:fldCharType="begin"/>
        </w:r>
        <w:r>
          <w:instrText xml:space="preserve"> PAGE   \* MERGEFORMAT </w:instrText>
        </w:r>
        <w:r>
          <w:fldChar w:fldCharType="separate"/>
        </w:r>
        <w:r>
          <w:rPr>
            <w:noProof/>
          </w:rPr>
          <w:t>16</w:t>
        </w:r>
        <w:r>
          <w:rPr>
            <w:noProof/>
          </w:rPr>
          <w:fldChar w:fldCharType="end"/>
        </w:r>
      </w:p>
    </w:sdtContent>
  </w:sdt>
  <w:p w14:paraId="5FE7C86E" w14:textId="77777777" w:rsidR="0048172C" w:rsidRDefault="0048172C">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92726492"/>
      <w:docPartObj>
        <w:docPartGallery w:val="Page Numbers (Bottom of Page)"/>
        <w:docPartUnique/>
      </w:docPartObj>
    </w:sdtPr>
    <w:sdtEndPr>
      <w:rPr>
        <w:noProof/>
      </w:rPr>
    </w:sdtEndPr>
    <w:sdtContent>
      <w:p w14:paraId="7299D8B4" w14:textId="6B487917" w:rsidR="0048172C" w:rsidRDefault="0048172C">
        <w:pPr>
          <w:pStyle w:val="Footer"/>
        </w:pPr>
        <w:r>
          <w:fldChar w:fldCharType="begin"/>
        </w:r>
        <w:r>
          <w:instrText xml:space="preserve"> PAGE   \* MERGEFORMAT </w:instrText>
        </w:r>
        <w:r>
          <w:fldChar w:fldCharType="separate"/>
        </w:r>
        <w:r w:rsidR="00460428">
          <w:rPr>
            <w:noProof/>
          </w:rPr>
          <w:t>16</w:t>
        </w:r>
        <w:r>
          <w:rPr>
            <w:noProof/>
          </w:rPr>
          <w:fldChar w:fldCharType="end"/>
        </w:r>
      </w:p>
    </w:sdtContent>
  </w:sdt>
  <w:p w14:paraId="131B6289" w14:textId="77777777" w:rsidR="0048172C" w:rsidRDefault="0048172C">
    <w:pPr>
      <w:pStyle w:val="Foote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8334181"/>
      <w:docPartObj>
        <w:docPartGallery w:val="Page Numbers (Bottom of Page)"/>
        <w:docPartUnique/>
      </w:docPartObj>
    </w:sdtPr>
    <w:sdtEndPr>
      <w:rPr>
        <w:noProof/>
      </w:rPr>
    </w:sdtEndPr>
    <w:sdtContent>
      <w:p w14:paraId="3776E545" w14:textId="51A11329" w:rsidR="0048172C" w:rsidRDefault="0048172C">
        <w:pPr>
          <w:pStyle w:val="Footer"/>
        </w:pPr>
        <w:r>
          <w:fldChar w:fldCharType="begin"/>
        </w:r>
        <w:r>
          <w:instrText xml:space="preserve"> PAGE   \* MERGEFORMAT </w:instrText>
        </w:r>
        <w:r>
          <w:fldChar w:fldCharType="separate"/>
        </w:r>
        <w:r w:rsidR="00460428">
          <w:rPr>
            <w:noProof/>
          </w:rPr>
          <w:t>19</w:t>
        </w:r>
        <w:r>
          <w:rPr>
            <w:noProof/>
          </w:rPr>
          <w:fldChar w:fldCharType="end"/>
        </w:r>
      </w:p>
    </w:sdtContent>
  </w:sdt>
  <w:p w14:paraId="674646DB" w14:textId="77777777" w:rsidR="0048172C" w:rsidRPr="00287EFB" w:rsidRDefault="0048172C" w:rsidP="00C130D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684172" w14:textId="77777777" w:rsidR="00610E42" w:rsidRDefault="00610E42" w:rsidP="00BF7F6A">
      <w:pPr>
        <w:spacing w:after="0" w:line="240" w:lineRule="auto"/>
      </w:pPr>
      <w:r>
        <w:separator/>
      </w:r>
    </w:p>
  </w:footnote>
  <w:footnote w:type="continuationSeparator" w:id="0">
    <w:p w14:paraId="4B45B6ED" w14:textId="77777777" w:rsidR="00610E42" w:rsidRDefault="00610E42" w:rsidP="00BF7F6A">
      <w:pPr>
        <w:spacing w:after="0" w:line="240" w:lineRule="auto"/>
      </w:pPr>
      <w:r>
        <w:continuationSeparator/>
      </w:r>
    </w:p>
  </w:footnote>
  <w:footnote w:id="1">
    <w:p w14:paraId="47173C5E" w14:textId="77777777" w:rsidR="0048172C" w:rsidRPr="00CC3320" w:rsidRDefault="0048172C" w:rsidP="00426178">
      <w:pPr>
        <w:pStyle w:val="FootnoteText"/>
        <w:rPr>
          <w:lang w:val="sr-Cyrl-RS"/>
        </w:rPr>
      </w:pPr>
      <w:r>
        <w:rPr>
          <w:rStyle w:val="FootnoteReference"/>
        </w:rPr>
        <w:footnoteRef/>
      </w:r>
      <w:r>
        <w:t xml:space="preserve"> </w:t>
      </w:r>
      <w:r w:rsidRPr="00495147">
        <w:rPr>
          <w:spacing w:val="-2"/>
          <w:sz w:val="16"/>
          <w:lang w:val="sr-Cyrl-RS"/>
        </w:rPr>
        <w:t xml:space="preserve">За детаљна методолошка објашњења видети </w:t>
      </w:r>
      <w:hyperlink r:id="rId1" w:history="1">
        <w:r w:rsidRPr="002B6A07">
          <w:rPr>
            <w:rStyle w:val="Hyperlink"/>
            <w:spacing w:val="-2"/>
            <w:sz w:val="16"/>
            <w:lang w:val="sr-Cyrl-RS"/>
          </w:rPr>
          <w:t>https://www.mfin.gov.rs//upload/media/ZzkTpV_601696edb3a9a.pdf</w:t>
        </w:r>
      </w:hyperlink>
      <w:r>
        <w:rPr>
          <w:spacing w:val="-2"/>
          <w:sz w:val="16"/>
          <w:lang w:val="sr-Cyrl-RS"/>
        </w:rPr>
        <w:t xml:space="preserve"> </w:t>
      </w:r>
    </w:p>
  </w:footnote>
  <w:footnote w:id="2">
    <w:p w14:paraId="6173CAD2" w14:textId="77777777" w:rsidR="0048172C" w:rsidRPr="0027669E" w:rsidRDefault="0048172C">
      <w:pPr>
        <w:pStyle w:val="FootnoteText"/>
        <w:rPr>
          <w:sz w:val="16"/>
          <w:lang w:val="sr-Cyrl-RS"/>
        </w:rPr>
      </w:pPr>
      <w:r w:rsidRPr="0027669E">
        <w:rPr>
          <w:rStyle w:val="FootnoteReference"/>
          <w:sz w:val="16"/>
          <w:lang w:val="sr-Cyrl-RS"/>
        </w:rPr>
        <w:footnoteRef/>
      </w:r>
      <w:r>
        <w:rPr>
          <w:sz w:val="16"/>
          <w:lang w:val="sr-Cyrl-RS"/>
        </w:rPr>
        <w:t xml:space="preserve"> G-I – Трговина</w:t>
      </w:r>
      <w:r w:rsidRPr="0027669E">
        <w:rPr>
          <w:sz w:val="16"/>
          <w:lang w:val="sr-Cyrl-RS"/>
        </w:rPr>
        <w:t>; Саобраћај и складиштење; Услуге смештаја и исхране | J – Информисање и комуникације | K – Фин</w:t>
      </w:r>
      <w:r>
        <w:rPr>
          <w:sz w:val="16"/>
          <w:lang w:val="sr-Cyrl-RS"/>
        </w:rPr>
        <w:t xml:space="preserve">ансијске делатности и </w:t>
      </w:r>
      <w:r w:rsidRPr="0027669E">
        <w:rPr>
          <w:sz w:val="16"/>
          <w:lang w:val="sr-Cyrl-RS"/>
        </w:rPr>
        <w:t>осигу</w:t>
      </w:r>
      <w:r>
        <w:rPr>
          <w:sz w:val="16"/>
          <w:lang w:val="sr-Cyrl-RS"/>
        </w:rPr>
        <w:t>рање</w:t>
      </w:r>
      <w:r w:rsidRPr="0027669E">
        <w:rPr>
          <w:sz w:val="16"/>
          <w:lang w:val="sr-Cyrl-RS"/>
        </w:rPr>
        <w:t xml:space="preserve"> | L – Пословање некретнинама | M-N – Стручне, научне, иновационе и техничке делатности; А</w:t>
      </w:r>
      <w:r>
        <w:rPr>
          <w:sz w:val="16"/>
          <w:lang w:val="sr-Cyrl-RS"/>
        </w:rPr>
        <w:t>дминистративне и помоћне</w:t>
      </w:r>
      <w:r w:rsidRPr="0027669E">
        <w:rPr>
          <w:sz w:val="16"/>
          <w:lang w:val="sr-Cyrl-RS"/>
        </w:rPr>
        <w:t xml:space="preserve"> делатности | O-Q – Државна управ</w:t>
      </w:r>
      <w:r>
        <w:rPr>
          <w:sz w:val="16"/>
          <w:lang w:val="sr-Cyrl-RS"/>
        </w:rPr>
        <w:t>а</w:t>
      </w:r>
      <w:r w:rsidRPr="0027669E">
        <w:rPr>
          <w:sz w:val="16"/>
          <w:lang w:val="sr-Cyrl-RS"/>
        </w:rPr>
        <w:t>; Образовање;</w:t>
      </w:r>
      <w:r>
        <w:rPr>
          <w:sz w:val="16"/>
          <w:lang w:val="sr-Cyrl-RS"/>
        </w:rPr>
        <w:t xml:space="preserve"> Здравство</w:t>
      </w:r>
      <w:r w:rsidRPr="0027669E">
        <w:rPr>
          <w:sz w:val="16"/>
          <w:lang w:val="sr-Cyrl-RS"/>
        </w:rPr>
        <w:t xml:space="preserve"> | R-T – Уметност, з</w:t>
      </w:r>
      <w:r>
        <w:rPr>
          <w:sz w:val="16"/>
          <w:lang w:val="sr-Cyrl-RS"/>
        </w:rPr>
        <w:t>абава и рекреација и остале услужне делатности</w:t>
      </w:r>
    </w:p>
  </w:footnote>
  <w:footnote w:id="3">
    <w:p w14:paraId="64F81480" w14:textId="77777777" w:rsidR="0048172C" w:rsidRPr="00BE00B8" w:rsidRDefault="0048172C">
      <w:pPr>
        <w:pStyle w:val="FootnoteText"/>
        <w:rPr>
          <w:lang w:val="sr-Cyrl-RS"/>
        </w:rPr>
      </w:pPr>
      <w:r w:rsidRPr="00BE00B8">
        <w:rPr>
          <w:rStyle w:val="FootnoteReference"/>
          <w:sz w:val="16"/>
          <w:szCs w:val="16"/>
          <w:lang w:val="sr-Cyrl-RS"/>
        </w:rPr>
        <w:footnoteRef/>
      </w:r>
      <w:r w:rsidRPr="00BE00B8">
        <w:rPr>
          <w:sz w:val="16"/>
          <w:szCs w:val="16"/>
          <w:lang w:val="sr-Cyrl-RS"/>
        </w:rPr>
        <w:t xml:space="preserve"> Подаци се односе збирно за Народну Републику Кину, Хон</w:t>
      </w:r>
      <w:r>
        <w:rPr>
          <w:sz w:val="16"/>
          <w:szCs w:val="16"/>
          <w:lang w:val="sr-Cyrl-RS"/>
        </w:rPr>
        <w:t>г</w:t>
      </w:r>
      <w:r w:rsidRPr="00BE00B8">
        <w:rPr>
          <w:sz w:val="16"/>
          <w:szCs w:val="16"/>
          <w:lang w:val="sr-Cyrl-RS"/>
        </w:rPr>
        <w:t xml:space="preserve"> Конг и Кинеску Провинцију Тајван.</w:t>
      </w:r>
    </w:p>
  </w:footnote>
  <w:footnote w:id="4">
    <w:p w14:paraId="1C374E37" w14:textId="77777777" w:rsidR="0048172C" w:rsidRPr="00BE00B8" w:rsidRDefault="0048172C">
      <w:pPr>
        <w:pStyle w:val="FootnoteText"/>
        <w:rPr>
          <w:sz w:val="16"/>
          <w:szCs w:val="16"/>
          <w:lang w:val="sr-Cyrl-RS"/>
        </w:rPr>
      </w:pPr>
      <w:r w:rsidRPr="00BE00B8">
        <w:rPr>
          <w:rStyle w:val="FootnoteReference"/>
          <w:sz w:val="16"/>
          <w:szCs w:val="16"/>
          <w:lang w:val="sr-Cyrl-RS"/>
        </w:rPr>
        <w:footnoteRef/>
      </w:r>
      <w:r w:rsidRPr="00BE00B8">
        <w:rPr>
          <w:sz w:val="16"/>
          <w:szCs w:val="16"/>
          <w:lang w:val="sr-Cyrl-RS"/>
        </w:rPr>
        <w:t xml:space="preserve"> У индекс су укључене три динарске бенчмарк обвезнице са доспећем 11. јануара 2026. године (RSMFRSD89592), 6. фебруара 2028. године (RSMFRSD55940) и 20. августа 2032. године (RSMFRSD86176).</w:t>
      </w:r>
    </w:p>
  </w:footnote>
  <w:footnote w:id="5">
    <w:p w14:paraId="37C4717D" w14:textId="77777777" w:rsidR="0048172C" w:rsidRPr="00455EB5" w:rsidRDefault="0048172C" w:rsidP="00132FA9">
      <w:pPr>
        <w:pStyle w:val="FootnoteText"/>
        <w:rPr>
          <w:rFonts w:cstheme="minorHAnsi"/>
          <w:spacing w:val="-2"/>
          <w:sz w:val="16"/>
          <w:szCs w:val="16"/>
          <w:lang w:val="sr-Cyrl-RS"/>
        </w:rPr>
      </w:pPr>
      <w:r w:rsidRPr="00455EB5">
        <w:rPr>
          <w:rStyle w:val="FootnoteReference"/>
          <w:rFonts w:cstheme="minorHAnsi"/>
          <w:spacing w:val="-2"/>
          <w:sz w:val="16"/>
          <w:szCs w:val="16"/>
          <w:lang w:val="sr-Cyrl-RS"/>
        </w:rPr>
        <w:footnoteRef/>
      </w:r>
      <w:r w:rsidRPr="00455EB5">
        <w:rPr>
          <w:rFonts w:cstheme="minorHAnsi"/>
          <w:spacing w:val="-2"/>
          <w:sz w:val="16"/>
          <w:szCs w:val="16"/>
          <w:lang w:val="sr-Cyrl-RS"/>
        </w:rPr>
        <w:t xml:space="preserve"> Детаљнији приказ структурних реформи по приоритетним областима је саставни део Програма економских реформи у периоду 20</w:t>
      </w:r>
      <w:r>
        <w:rPr>
          <w:rFonts w:cstheme="minorHAnsi"/>
          <w:spacing w:val="-2"/>
          <w:sz w:val="16"/>
          <w:szCs w:val="16"/>
          <w:lang w:val="sr-Cyrl-RS"/>
        </w:rPr>
        <w:t>21</w:t>
      </w:r>
      <w:r w:rsidRPr="00455EB5">
        <w:rPr>
          <w:rFonts w:cstheme="minorHAnsi"/>
          <w:spacing w:val="-2"/>
          <w:sz w:val="16"/>
          <w:szCs w:val="16"/>
          <w:lang w:val="sr-Cyrl-RS"/>
        </w:rPr>
        <w:t>–202</w:t>
      </w:r>
      <w:r>
        <w:rPr>
          <w:rFonts w:cstheme="minorHAnsi"/>
          <w:spacing w:val="-2"/>
          <w:sz w:val="16"/>
          <w:szCs w:val="16"/>
          <w:lang w:val="sr-Cyrl-RS"/>
        </w:rPr>
        <w:t>3</w:t>
      </w:r>
      <w:r w:rsidRPr="00455EB5">
        <w:rPr>
          <w:rFonts w:cstheme="minorHAnsi"/>
          <w:spacing w:val="-2"/>
          <w:sz w:val="16"/>
          <w:szCs w:val="16"/>
          <w:lang w:val="sr-Cyrl-RS"/>
        </w:rPr>
        <w:t>.</w:t>
      </w:r>
    </w:p>
  </w:footnote>
  <w:footnote w:id="6">
    <w:p w14:paraId="7391FF73" w14:textId="77777777" w:rsidR="0048172C" w:rsidRPr="00C336AD" w:rsidRDefault="0048172C" w:rsidP="001A5BCF">
      <w:pPr>
        <w:pStyle w:val="FootnoteText"/>
        <w:rPr>
          <w:rFonts w:cstheme="minorHAnsi"/>
          <w:sz w:val="16"/>
          <w:szCs w:val="16"/>
          <w:lang w:val="sr-Cyrl-RS"/>
        </w:rPr>
      </w:pPr>
      <w:r w:rsidRPr="00C336AD">
        <w:rPr>
          <w:rStyle w:val="FootnoteReference"/>
          <w:rFonts w:cstheme="minorHAnsi"/>
          <w:sz w:val="16"/>
          <w:szCs w:val="16"/>
          <w:lang w:val="sr-Cyrl-RS"/>
        </w:rPr>
        <w:footnoteRef/>
      </w:r>
      <w:r>
        <w:rPr>
          <w:rFonts w:cstheme="minorHAnsi"/>
          <w:sz w:val="16"/>
          <w:szCs w:val="16"/>
          <w:lang w:val="sr-Cyrl-RS"/>
        </w:rPr>
        <w:t xml:space="preserve"> Фискална стратегија за 20</w:t>
      </w:r>
      <w:r>
        <w:rPr>
          <w:rFonts w:cstheme="minorHAnsi"/>
          <w:sz w:val="16"/>
          <w:szCs w:val="16"/>
        </w:rPr>
        <w:t>21</w:t>
      </w:r>
      <w:r>
        <w:rPr>
          <w:rFonts w:cstheme="minorHAnsi"/>
          <w:sz w:val="16"/>
          <w:szCs w:val="16"/>
          <w:lang w:val="sr-Cyrl-RS"/>
        </w:rPr>
        <w:t>. годину са пројекцијама за 2022. и 202</w:t>
      </w:r>
      <w:r>
        <w:rPr>
          <w:rFonts w:cstheme="minorHAnsi"/>
          <w:sz w:val="16"/>
          <w:szCs w:val="16"/>
        </w:rPr>
        <w:t>3</w:t>
      </w:r>
      <w:r w:rsidRPr="00C336AD">
        <w:rPr>
          <w:rFonts w:cstheme="minorHAnsi"/>
          <w:sz w:val="16"/>
          <w:szCs w:val="16"/>
          <w:lang w:val="sr-Cyrl-RS"/>
        </w:rPr>
        <w:t>. годину.</w:t>
      </w:r>
    </w:p>
  </w:footnote>
  <w:footnote w:id="7">
    <w:p w14:paraId="4301C967" w14:textId="77777777" w:rsidR="0048172C" w:rsidRPr="001A06AE" w:rsidRDefault="0048172C" w:rsidP="001A5BCF">
      <w:pPr>
        <w:pStyle w:val="FootnoteText"/>
        <w:rPr>
          <w:sz w:val="16"/>
          <w:lang w:val="sr-Cyrl-RS"/>
        </w:rPr>
      </w:pPr>
      <w:r w:rsidRPr="00326508">
        <w:rPr>
          <w:rStyle w:val="FootnoteReference"/>
          <w:sz w:val="16"/>
        </w:rPr>
        <w:footnoteRef/>
      </w:r>
      <w:r w:rsidRPr="00326508">
        <w:rPr>
          <w:sz w:val="16"/>
        </w:rPr>
        <w:t xml:space="preserve"> </w:t>
      </w:r>
      <w:r w:rsidRPr="00326508">
        <w:rPr>
          <w:sz w:val="16"/>
          <w:lang w:val="sr-Cyrl-RS"/>
        </w:rPr>
        <w:t>Износи су прерачунати на основу реви</w:t>
      </w:r>
      <w:r>
        <w:rPr>
          <w:sz w:val="16"/>
          <w:lang w:val="sr-Cyrl-RS"/>
        </w:rPr>
        <w:t>зије података серије БДП</w:t>
      </w:r>
      <w:r w:rsidRPr="00326508">
        <w:rPr>
          <w:sz w:val="16"/>
          <w:lang w:val="sr-Cyrl-RS"/>
        </w:rPr>
        <w:t>.</w:t>
      </w:r>
    </w:p>
  </w:footnote>
  <w:footnote w:id="8">
    <w:p w14:paraId="3D34C537" w14:textId="216BC9BD" w:rsidR="0048172C" w:rsidRPr="00C336AD" w:rsidRDefault="0048172C" w:rsidP="008265F0">
      <w:pPr>
        <w:pStyle w:val="FootnoteText"/>
        <w:rPr>
          <w:rFonts w:cstheme="minorHAnsi"/>
          <w:sz w:val="16"/>
          <w:szCs w:val="16"/>
          <w:lang w:val="sr-Cyrl-RS"/>
        </w:rPr>
      </w:pPr>
      <w:r w:rsidRPr="00C336AD">
        <w:rPr>
          <w:rStyle w:val="FootnoteReference"/>
          <w:rFonts w:cstheme="minorHAnsi"/>
          <w:sz w:val="16"/>
          <w:szCs w:val="16"/>
          <w:lang w:val="sr-Cyrl-RS"/>
        </w:rPr>
        <w:footnoteRef/>
      </w:r>
      <w:r w:rsidRPr="00C336AD">
        <w:rPr>
          <w:rFonts w:cstheme="minorHAnsi"/>
          <w:sz w:val="16"/>
          <w:szCs w:val="16"/>
          <w:lang w:val="sr-Cyrl-RS"/>
        </w:rPr>
        <w:t xml:space="preserve"> Закон о јавном дугу </w:t>
      </w:r>
      <w:r>
        <w:rPr>
          <w:rFonts w:cstheme="minorHAnsi"/>
          <w:sz w:val="16"/>
          <w:szCs w:val="16"/>
          <w:lang w:val="sr-Latn-RS"/>
        </w:rPr>
        <w:t>(</w:t>
      </w:r>
      <w:r>
        <w:rPr>
          <w:rFonts w:cstheme="minorHAnsi"/>
          <w:sz w:val="16"/>
          <w:szCs w:val="16"/>
          <w:lang w:val="sr-Cyrl-RS"/>
        </w:rPr>
        <w:t xml:space="preserve">„Службени </w:t>
      </w:r>
      <w:r w:rsidRPr="00C336AD">
        <w:rPr>
          <w:rFonts w:cstheme="minorHAnsi"/>
          <w:sz w:val="16"/>
          <w:szCs w:val="16"/>
          <w:lang w:val="sr-Cyrl-RS"/>
        </w:rPr>
        <w:t>гласник РС</w:t>
      </w:r>
      <w:r w:rsidRPr="00C6085C">
        <w:rPr>
          <w:rFonts w:cstheme="minorHAnsi"/>
          <w:sz w:val="16"/>
          <w:szCs w:val="16"/>
          <w:lang w:val="sr-Cyrl-RS"/>
        </w:rPr>
        <w:t>”</w:t>
      </w:r>
      <w:r w:rsidRPr="00C336AD">
        <w:rPr>
          <w:rFonts w:cstheme="minorHAnsi"/>
          <w:sz w:val="16"/>
          <w:szCs w:val="16"/>
          <w:lang w:val="sr-Cyrl-RS"/>
        </w:rPr>
        <w:t>, бр.</w:t>
      </w:r>
      <w:r>
        <w:rPr>
          <w:rFonts w:cstheme="minorHAnsi"/>
          <w:sz w:val="16"/>
          <w:szCs w:val="16"/>
          <w:lang w:val="sr-Cyrl-RS"/>
        </w:rPr>
        <w:t xml:space="preserve"> </w:t>
      </w:r>
      <w:r w:rsidRPr="00C336AD">
        <w:rPr>
          <w:rFonts w:cstheme="minorHAnsi"/>
          <w:sz w:val="16"/>
          <w:szCs w:val="16"/>
          <w:lang w:val="sr-Cyrl-RS"/>
        </w:rPr>
        <w:t>61/05, 107/09, 78/11</w:t>
      </w:r>
      <w:r>
        <w:rPr>
          <w:rFonts w:cstheme="minorHAnsi"/>
          <w:sz w:val="16"/>
          <w:szCs w:val="16"/>
          <w:lang w:val="sr-Cyrl-RS"/>
        </w:rPr>
        <w:t>,</w:t>
      </w:r>
      <w:r w:rsidRPr="00C336AD">
        <w:rPr>
          <w:rFonts w:cstheme="minorHAnsi"/>
          <w:sz w:val="16"/>
          <w:szCs w:val="16"/>
          <w:lang w:val="sr-Cyrl-RS"/>
        </w:rPr>
        <w:t xml:space="preserve"> 68/15</w:t>
      </w:r>
      <w:r>
        <w:rPr>
          <w:rFonts w:cstheme="minorHAnsi"/>
          <w:sz w:val="16"/>
          <w:szCs w:val="16"/>
          <w:lang w:val="sr-Cyrl-RS"/>
        </w:rPr>
        <w:t>, 95/18, 91/19 и 149/20</w:t>
      </w:r>
      <w:r>
        <w:rPr>
          <w:rFonts w:cstheme="minorHAnsi"/>
          <w:sz w:val="16"/>
          <w:szCs w:val="16"/>
          <w:lang w:val="sr-Latn-RS"/>
        </w:rPr>
        <w:t>)</w:t>
      </w:r>
      <w:r>
        <w:rPr>
          <w:rFonts w:cstheme="minorHAnsi"/>
          <w:sz w:val="16"/>
          <w:szCs w:val="16"/>
          <w:lang w:val="sr-Cyrl-RS"/>
        </w:rPr>
        <w:t>.</w:t>
      </w:r>
    </w:p>
  </w:footnote>
  <w:footnote w:id="9">
    <w:p w14:paraId="2C7EA6F3" w14:textId="77777777" w:rsidR="0048172C" w:rsidRPr="00C336AD" w:rsidRDefault="0048172C" w:rsidP="002C06AB">
      <w:pPr>
        <w:pStyle w:val="FootnoteText"/>
        <w:rPr>
          <w:rFonts w:cstheme="minorHAnsi"/>
          <w:sz w:val="16"/>
          <w:szCs w:val="16"/>
          <w:lang w:val="sr-Cyrl-RS"/>
        </w:rPr>
      </w:pPr>
      <w:r w:rsidRPr="00DD2774">
        <w:rPr>
          <w:rStyle w:val="FootnoteReference"/>
          <w:rFonts w:cstheme="minorHAnsi"/>
          <w:sz w:val="16"/>
          <w:szCs w:val="16"/>
          <w:lang w:val="sr-Cyrl-RS"/>
        </w:rPr>
        <w:footnoteRef/>
      </w:r>
      <w:r w:rsidRPr="00DD2774">
        <w:rPr>
          <w:rFonts w:cstheme="minorHAnsi"/>
          <w:sz w:val="16"/>
          <w:szCs w:val="16"/>
          <w:lang w:val="sr-Cyrl-RS"/>
        </w:rPr>
        <w:t xml:space="preserve"> Дефиниција дуга, према критеријумима из Мастрихта, између осталог, различито третира издате гаранције, у односу на дефиницију јавног дуга према домаћем законодавству. У јавни дуг (дуг опште државе) улазе, према критеријумима из Мастрихта, само активиране гаранције. Домаће законодавство, по овом питању има конзервативнији приступ, и све издате гаранције укључује у јавни дуг.</w:t>
      </w:r>
    </w:p>
  </w:footnote>
  <w:footnote w:id="10">
    <w:p w14:paraId="11D77532" w14:textId="77777777" w:rsidR="0048172C" w:rsidRPr="004564BD" w:rsidRDefault="0048172C" w:rsidP="008265F0">
      <w:pPr>
        <w:pStyle w:val="FootnoteText"/>
        <w:spacing w:after="40"/>
        <w:rPr>
          <w:rFonts w:cstheme="minorHAnsi"/>
          <w:sz w:val="16"/>
          <w:szCs w:val="16"/>
          <w:lang w:val="sr-Cyrl-RS"/>
        </w:rPr>
      </w:pPr>
      <w:r w:rsidRPr="00C336AD">
        <w:rPr>
          <w:rStyle w:val="FootnoteReference"/>
          <w:rFonts w:cstheme="minorHAnsi"/>
          <w:sz w:val="16"/>
          <w:szCs w:val="16"/>
          <w:lang w:val="sr-Cyrl-RS"/>
        </w:rPr>
        <w:footnoteRef/>
      </w:r>
      <w:r w:rsidRPr="00C336AD">
        <w:rPr>
          <w:rFonts w:cstheme="minorHAnsi"/>
          <w:sz w:val="16"/>
          <w:szCs w:val="16"/>
          <w:lang w:val="sr-Cyrl-RS"/>
        </w:rPr>
        <w:t xml:space="preserve"> </w:t>
      </w:r>
      <w:r w:rsidRPr="004564BD">
        <w:rPr>
          <w:rFonts w:cstheme="minorHAnsi"/>
          <w:sz w:val="16"/>
          <w:szCs w:val="16"/>
          <w:lang w:val="sr-Cyrl-RS"/>
        </w:rPr>
        <w:t>Отплата по основу гаранција из републичког буџета је у расходе укључена по готовинској основи. Међународни стандарди, који се заснивају на обрачунској основи, у расходе укључују цео износ преосталог дуга, у моменту активирања гаранције, док се сама отплата дуга по том основу третира као финансијска трансакција.</w:t>
      </w:r>
    </w:p>
  </w:footnote>
  <w:footnote w:id="11">
    <w:p w14:paraId="11B7CC7E" w14:textId="77777777" w:rsidR="0048172C" w:rsidRPr="00C336AD" w:rsidRDefault="0048172C" w:rsidP="008265F0">
      <w:pPr>
        <w:pStyle w:val="FootnoteText"/>
        <w:rPr>
          <w:rFonts w:cstheme="minorHAnsi"/>
          <w:sz w:val="16"/>
          <w:szCs w:val="16"/>
          <w:lang w:val="sr-Cyrl-RS"/>
        </w:rPr>
      </w:pPr>
      <w:r w:rsidRPr="004564BD">
        <w:rPr>
          <w:rStyle w:val="FootnoteReference"/>
          <w:rFonts w:cstheme="minorHAnsi"/>
          <w:sz w:val="16"/>
          <w:szCs w:val="16"/>
          <w:lang w:val="sr-Cyrl-RS"/>
        </w:rPr>
        <w:footnoteRef/>
      </w:r>
      <w:r w:rsidRPr="004564BD">
        <w:rPr>
          <w:rFonts w:cstheme="minorHAnsi"/>
          <w:sz w:val="16"/>
          <w:szCs w:val="16"/>
          <w:lang w:val="sr-Cyrl-RS"/>
        </w:rPr>
        <w:t xml:space="preserve"> Део расхода по основу отплате по гаранцијама за ЈП „Путеви Србије</w:t>
      </w:r>
      <w:r w:rsidRPr="00C6085C">
        <w:rPr>
          <w:rFonts w:cstheme="minorHAnsi"/>
          <w:sz w:val="16"/>
          <w:szCs w:val="16"/>
          <w:lang w:val="sr-Cyrl-RS"/>
        </w:rPr>
        <w:t>”</w:t>
      </w:r>
      <w:r w:rsidRPr="004564BD">
        <w:rPr>
          <w:rFonts w:cstheme="minorHAnsi"/>
          <w:sz w:val="16"/>
          <w:szCs w:val="16"/>
          <w:lang w:val="sr-Cyrl-RS"/>
        </w:rPr>
        <w:t xml:space="preserve"> не укључује се у расходе буџета, јер је ово предузеће део сектора опште државе, те су расходи који су финансирани гарантованим кредитима били део расхода опште државе у моменту трошења средстава, док се сама отплата третира као финансијска трансакција („испод црте</w:t>
      </w:r>
      <w:r w:rsidRPr="00C6085C">
        <w:rPr>
          <w:rFonts w:cstheme="minorHAnsi"/>
          <w:sz w:val="16"/>
          <w:szCs w:val="16"/>
          <w:lang w:val="sr-Cyrl-RS"/>
        </w:rPr>
        <w:t>”</w:t>
      </w:r>
      <w:r w:rsidRPr="004564BD">
        <w:rPr>
          <w:rFonts w:cstheme="minorHAnsi"/>
          <w:sz w:val="16"/>
          <w:szCs w:val="16"/>
          <w:lang w:val="sr-Cyrl-RS"/>
        </w:rPr>
        <w:t>).</w:t>
      </w:r>
    </w:p>
  </w:footnote>
  <w:footnote w:id="12">
    <w:p w14:paraId="532CC2A2" w14:textId="77777777" w:rsidR="0048172C" w:rsidRPr="00EB58EA" w:rsidRDefault="0048172C" w:rsidP="008E5519">
      <w:pPr>
        <w:pStyle w:val="FootnoteText"/>
        <w:rPr>
          <w:rFonts w:cs="Calibri"/>
          <w:sz w:val="16"/>
          <w:szCs w:val="16"/>
          <w:lang w:val="sr-Cyrl-RS"/>
        </w:rPr>
      </w:pPr>
      <w:r w:rsidRPr="00EB58EA">
        <w:rPr>
          <w:rStyle w:val="FootnoteReference"/>
          <w:rFonts w:cs="Calibri"/>
          <w:sz w:val="16"/>
          <w:szCs w:val="16"/>
          <w:lang w:val="sr-Cyrl-RS"/>
        </w:rPr>
        <w:footnoteRef/>
      </w:r>
      <w:r w:rsidRPr="00EB58EA">
        <w:rPr>
          <w:rFonts w:cs="Calibri"/>
          <w:sz w:val="16"/>
          <w:szCs w:val="16"/>
          <w:lang w:val="sr-Cyrl-RS"/>
        </w:rPr>
        <w:t xml:space="preserve"> Народна скупштина усвојила је измене и допуне Закона о НБС и Закона о банкама, као и нови Закон о АОД, Закон о осигурању депозита, Закон о стечају и ликвидацији банака и друштава за осигурање. Са изменом сета финансијских закона, наметнуло се и усвајање допуне Закона о министарствима.</w:t>
      </w:r>
    </w:p>
  </w:footnote>
  <w:footnote w:id="13">
    <w:p w14:paraId="773397EA" w14:textId="77777777" w:rsidR="0048172C" w:rsidRPr="00EB58EA" w:rsidRDefault="0048172C" w:rsidP="008E5519">
      <w:pPr>
        <w:pStyle w:val="FootnoteText"/>
        <w:rPr>
          <w:rFonts w:cs="Calibri"/>
          <w:sz w:val="16"/>
          <w:szCs w:val="16"/>
          <w:lang w:val="sr-Cyrl-RS"/>
        </w:rPr>
      </w:pPr>
      <w:r w:rsidRPr="00EB58EA">
        <w:rPr>
          <w:rStyle w:val="FootnoteReference"/>
          <w:rFonts w:cs="Calibri"/>
          <w:sz w:val="16"/>
          <w:szCs w:val="16"/>
          <w:lang w:val="sr-Cyrl-RS"/>
        </w:rPr>
        <w:footnoteRef/>
      </w:r>
      <w:r w:rsidRPr="00EB58EA">
        <w:rPr>
          <w:rFonts w:cs="Calibri"/>
          <w:sz w:val="16"/>
          <w:szCs w:val="16"/>
          <w:lang w:val="sr-Cyrl-RS"/>
        </w:rPr>
        <w:t xml:space="preserve"> Заштићени депоненти су: физичка лица, предузетници, микро, мала и средња правна лица, након искључења предвиђеним Законом о осигурању депозита.</w:t>
      </w:r>
    </w:p>
  </w:footnote>
  <w:footnote w:id="14">
    <w:p w14:paraId="420BFDD8" w14:textId="77777777" w:rsidR="0048172C" w:rsidRPr="00FC2852" w:rsidRDefault="0048172C" w:rsidP="008265F0">
      <w:pPr>
        <w:spacing w:after="0"/>
        <w:rPr>
          <w:rFonts w:eastAsia="Times New Roman" w:cstheme="minorHAnsi"/>
          <w:bCs/>
          <w:sz w:val="16"/>
          <w:szCs w:val="16"/>
          <w:lang w:val="sr-Cyrl-CS"/>
        </w:rPr>
      </w:pPr>
      <w:r w:rsidRPr="00FC2852">
        <w:rPr>
          <w:rStyle w:val="FootnoteReference"/>
          <w:rFonts w:cstheme="minorHAnsi"/>
          <w:sz w:val="16"/>
          <w:szCs w:val="16"/>
        </w:rPr>
        <w:footnoteRef/>
      </w:r>
      <w:r w:rsidRPr="00FC2852">
        <w:rPr>
          <w:rFonts w:cstheme="minorHAnsi"/>
          <w:sz w:val="16"/>
          <w:szCs w:val="16"/>
        </w:rPr>
        <w:t xml:space="preserve"> </w:t>
      </w:r>
      <w:r w:rsidRPr="00FC2852">
        <w:rPr>
          <w:rFonts w:eastAsia="Times New Roman" w:cstheme="minorHAnsi"/>
          <w:bCs/>
          <w:sz w:val="16"/>
          <w:szCs w:val="16"/>
          <w:lang w:val="sr-Cyrl-CS"/>
        </w:rPr>
        <w:t>Детаљнији опис коришћене методологије и резултата могу се пронаћи у Фискалној стратегији за 2013. годину са пројекцијама за 2014. и 2015. годину или путем линка</w:t>
      </w:r>
      <w:r w:rsidRPr="00FC2852">
        <w:rPr>
          <w:rFonts w:cstheme="minorHAnsi"/>
          <w:sz w:val="16"/>
          <w:szCs w:val="16"/>
          <w:lang w:val="sr-Cyrl-CS"/>
        </w:rPr>
        <w:t xml:space="preserve"> </w:t>
      </w:r>
      <w:hyperlink r:id="rId2" w:history="1">
        <w:r w:rsidRPr="00FC2852">
          <w:rPr>
            <w:rStyle w:val="Hyperlink"/>
            <w:rFonts w:eastAsia="Times New Roman" w:cstheme="minorHAnsi"/>
            <w:bCs/>
            <w:color w:val="44546A" w:themeColor="text2"/>
            <w:sz w:val="16"/>
            <w:szCs w:val="16"/>
            <w:u w:val="none"/>
            <w:lang w:val="sr-Cyrl-CS"/>
          </w:rPr>
          <w:t>http://www.mfin.gov.rs/pages/article.php?id=8626</w:t>
        </w:r>
      </w:hyperlink>
    </w:p>
  </w:footnote>
  <w:footnote w:id="15">
    <w:p w14:paraId="6116171E" w14:textId="77777777" w:rsidR="0048172C" w:rsidRPr="00C336AD" w:rsidRDefault="0048172C" w:rsidP="008265F0">
      <w:pPr>
        <w:pStyle w:val="FootnoteText"/>
        <w:rPr>
          <w:rFonts w:cstheme="minorHAnsi"/>
          <w:sz w:val="16"/>
          <w:szCs w:val="16"/>
          <w:lang w:val="sr-Cyrl-RS"/>
        </w:rPr>
      </w:pPr>
      <w:r w:rsidRPr="00C336AD">
        <w:rPr>
          <w:rStyle w:val="FootnoteReference"/>
          <w:rFonts w:cstheme="minorHAnsi"/>
          <w:sz w:val="16"/>
          <w:szCs w:val="16"/>
          <w:lang w:val="sr-Cyrl-RS"/>
        </w:rPr>
        <w:footnoteRef/>
      </w:r>
      <w:r w:rsidRPr="00C336AD">
        <w:rPr>
          <w:rFonts w:cstheme="minorHAnsi"/>
          <w:sz w:val="16"/>
          <w:szCs w:val="16"/>
          <w:lang w:val="sr-Cyrl-RS"/>
        </w:rPr>
        <w:t xml:space="preserve"> Јавни дуг у овом документу не обухвата дуг по основу реституције у складу са дефиницијом дуга</w:t>
      </w:r>
      <w:r>
        <w:rPr>
          <w:rFonts w:cstheme="minorHAnsi"/>
          <w:sz w:val="16"/>
          <w:szCs w:val="16"/>
          <w:lang w:val="sr-Cyrl-RS"/>
        </w:rPr>
        <w:t xml:space="preserve"> из Закона о буџетском систему.</w:t>
      </w:r>
    </w:p>
  </w:footnote>
  <w:footnote w:id="16">
    <w:p w14:paraId="64EE8DEF" w14:textId="77777777" w:rsidR="0048172C" w:rsidRPr="00BC3554" w:rsidRDefault="0048172C" w:rsidP="00BA266B">
      <w:pPr>
        <w:pStyle w:val="FootnoteText"/>
        <w:rPr>
          <w:rStyle w:val="FootnoteReference"/>
          <w:rFonts w:cs="Times New Roman"/>
          <w:sz w:val="16"/>
          <w:szCs w:val="16"/>
          <w:vertAlign w:val="baseline"/>
        </w:rPr>
      </w:pPr>
      <w:r w:rsidRPr="00FC2852">
        <w:rPr>
          <w:rStyle w:val="FootnoteReference"/>
          <w:sz w:val="16"/>
          <w:szCs w:val="16"/>
          <w:lang w:val="sr-Cyrl-RS"/>
        </w:rPr>
        <w:footnoteRef/>
      </w:r>
      <w:r w:rsidRPr="00BC3554">
        <w:rPr>
          <w:rStyle w:val="FootnoteReference"/>
          <w:sz w:val="16"/>
          <w:szCs w:val="16"/>
          <w:vertAlign w:val="baseline"/>
          <w:lang w:val="sr-Cyrl-RS"/>
        </w:rPr>
        <w:t xml:space="preserve"> АТМ (</w:t>
      </w:r>
      <w:r w:rsidRPr="00BC3554">
        <w:rPr>
          <w:rStyle w:val="FootnoteReference"/>
          <w:i/>
          <w:sz w:val="16"/>
          <w:szCs w:val="16"/>
          <w:vertAlign w:val="baseline"/>
          <w:lang w:val="sr-Cyrl-RS"/>
        </w:rPr>
        <w:t>Average Time to Maturity</w:t>
      </w:r>
      <w:r w:rsidRPr="00BC3554">
        <w:rPr>
          <w:rStyle w:val="FootnoteReference"/>
          <w:sz w:val="16"/>
          <w:szCs w:val="16"/>
          <w:vertAlign w:val="baseline"/>
          <w:lang w:val="sr-Cyrl-RS"/>
        </w:rPr>
        <w:t>) – енглеска скраћеница за просечно време до доспећа.</w:t>
      </w:r>
    </w:p>
  </w:footnote>
  <w:footnote w:id="17">
    <w:p w14:paraId="2EC7FCD7" w14:textId="77777777" w:rsidR="0048172C" w:rsidRPr="00BC3554" w:rsidRDefault="0048172C" w:rsidP="00BA266B">
      <w:pPr>
        <w:pStyle w:val="FootnoteText"/>
      </w:pPr>
      <w:r w:rsidRPr="00FC2852">
        <w:rPr>
          <w:rStyle w:val="FootnoteReference"/>
          <w:sz w:val="16"/>
          <w:szCs w:val="16"/>
          <w:lang w:val="sr-Cyrl-RS"/>
        </w:rPr>
        <w:footnoteRef/>
      </w:r>
      <w:r w:rsidRPr="00BC3554">
        <w:rPr>
          <w:rStyle w:val="FootnoteReference"/>
          <w:sz w:val="16"/>
          <w:szCs w:val="16"/>
          <w:vertAlign w:val="baseline"/>
          <w:lang w:val="sr-Cyrl-RS"/>
        </w:rPr>
        <w:t xml:space="preserve"> АТR (</w:t>
      </w:r>
      <w:r w:rsidRPr="00BC3554">
        <w:rPr>
          <w:rStyle w:val="FootnoteReference"/>
          <w:i/>
          <w:sz w:val="16"/>
          <w:szCs w:val="16"/>
          <w:vertAlign w:val="baseline"/>
          <w:lang w:val="sr-Cyrl-RS"/>
        </w:rPr>
        <w:t>Average Time to Refixing</w:t>
      </w:r>
      <w:r w:rsidRPr="00BC3554">
        <w:rPr>
          <w:rStyle w:val="FootnoteReference"/>
          <w:sz w:val="16"/>
          <w:szCs w:val="16"/>
          <w:vertAlign w:val="baseline"/>
          <w:lang w:val="sr-Cyrl-RS"/>
        </w:rPr>
        <w:t>) – енглеска скраћеница за просечно време до промене каматних стопа.</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269B78" w14:textId="77777777" w:rsidR="0048172C" w:rsidRPr="00E11BDA" w:rsidRDefault="0048172C" w:rsidP="00CE729E">
    <w:pPr>
      <w:pStyle w:val="Header"/>
      <w:jc w:val="center"/>
      <w:rPr>
        <w:lang w:val="sr-Cyrl-RS"/>
      </w:rPr>
    </w:pPr>
    <w:r w:rsidRPr="008F3C05">
      <w:rPr>
        <w:lang w:val="sr-Cyrl-RS"/>
      </w:rPr>
      <w:t>Ревидирана</w:t>
    </w:r>
    <w:r>
      <w:rPr>
        <w:lang w:val="en-GB"/>
      </w:rPr>
      <w:t xml:space="preserve"> </w:t>
    </w:r>
    <w:r w:rsidRPr="006C57DB">
      <w:rPr>
        <w:lang w:val="sr-Cyrl-RS"/>
      </w:rPr>
      <w:t xml:space="preserve">Фискална </w:t>
    </w:r>
    <w:r>
      <w:rPr>
        <w:lang w:val="sr-Cyrl-RS"/>
      </w:rPr>
      <w:t>стратегија за 20</w:t>
    </w:r>
    <w:r>
      <w:rPr>
        <w:lang w:val="sr-Latn-RS"/>
      </w:rPr>
      <w:t>2</w:t>
    </w:r>
    <w:r>
      <w:rPr>
        <w:lang w:val="sr-Cyrl-RS"/>
      </w:rPr>
      <w:t>2. годину са пројекцијама за 2023. и 2024. годину</w: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626BDF" w14:textId="77777777" w:rsidR="0048172C" w:rsidRPr="00BF7F6A" w:rsidRDefault="0048172C" w:rsidP="00BD7EB6">
    <w:pPr>
      <w:pStyle w:val="Header"/>
      <w:jc w:val="center"/>
      <w:rPr>
        <w:lang w:val="sr-Cyrl-RS"/>
      </w:rPr>
    </w:pPr>
    <w:r>
      <w:rPr>
        <w:lang w:val="sr-Cyrl-RS"/>
      </w:rPr>
      <w:t>Фискална стратегија за 2019. годину са пројекцијама за 2020. и 2021. годину</w:t>
    </w:r>
  </w:p>
  <w:p w14:paraId="62D10009" w14:textId="77777777" w:rsidR="0048172C" w:rsidRDefault="0048172C">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ADED4C" w14:textId="77777777" w:rsidR="0048172C" w:rsidRPr="000C433F" w:rsidRDefault="0048172C" w:rsidP="00B14FC0">
    <w:pPr>
      <w:pStyle w:val="Header"/>
      <w:jc w:val="center"/>
      <w:rPr>
        <w:lang w:val="sr-Cyrl-RS"/>
      </w:rPr>
    </w:pPr>
    <w:r w:rsidRPr="006C57DB">
      <w:rPr>
        <w:lang w:val="sr-Cyrl-RS"/>
      </w:rPr>
      <w:t xml:space="preserve">Фискална </w:t>
    </w:r>
    <w:r w:rsidRPr="000C433F">
      <w:rPr>
        <w:lang w:val="sr-Cyrl-RS"/>
      </w:rPr>
      <w:t>стратегија за 2020. годину са пројекцијама за 2021. и 2022. годину</w:t>
    </w:r>
  </w:p>
  <w:p w14:paraId="44757DF0" w14:textId="77777777" w:rsidR="0048172C" w:rsidRDefault="0048172C">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8F1049" w14:textId="3EEE9A65" w:rsidR="0048172C" w:rsidRPr="000C433F" w:rsidRDefault="0048172C" w:rsidP="00B14FC0">
    <w:pPr>
      <w:pStyle w:val="Header"/>
      <w:jc w:val="center"/>
      <w:rPr>
        <w:lang w:val="sr-Cyrl-RS"/>
      </w:rPr>
    </w:pPr>
    <w:r w:rsidRPr="00A044BB">
      <w:rPr>
        <w:lang w:val="sr-Cyrl-RS"/>
      </w:rPr>
      <w:t xml:space="preserve">Ревидирана </w:t>
    </w:r>
    <w:r>
      <w:rPr>
        <w:lang w:val="sr-Cyrl-RS"/>
      </w:rPr>
      <w:t>Фискална стратегија за 202</w:t>
    </w:r>
    <w:r>
      <w:rPr>
        <w:lang w:val="en-GB"/>
      </w:rPr>
      <w:t>2</w:t>
    </w:r>
    <w:r w:rsidRPr="000C433F">
      <w:rPr>
        <w:lang w:val="sr-Cyrl-RS"/>
      </w:rPr>
      <w:t>. годину са пројекцијама за 202</w:t>
    </w:r>
    <w:r>
      <w:rPr>
        <w:lang w:val="en-GB"/>
      </w:rPr>
      <w:t>3</w:t>
    </w:r>
    <w:r>
      <w:rPr>
        <w:lang w:val="sr-Cyrl-RS"/>
      </w:rPr>
      <w:t>. и 202</w:t>
    </w:r>
    <w:r>
      <w:rPr>
        <w:lang w:val="en-GB"/>
      </w:rPr>
      <w:t>4</w:t>
    </w:r>
    <w:r w:rsidRPr="000C433F">
      <w:rPr>
        <w:lang w:val="sr-Cyrl-RS"/>
      </w:rPr>
      <w:t>. годину</w:t>
    </w:r>
  </w:p>
  <w:p w14:paraId="2370B27D" w14:textId="77777777" w:rsidR="0048172C" w:rsidRPr="00B14FC0" w:rsidRDefault="0048172C" w:rsidP="00B14FC0">
    <w:pPr>
      <w:pStyle w:val="Heade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9F0779" w14:textId="77777777" w:rsidR="0048172C" w:rsidRPr="00BF7F6A" w:rsidRDefault="0048172C" w:rsidP="00BD7EB6">
    <w:pPr>
      <w:pStyle w:val="Header"/>
      <w:jc w:val="center"/>
      <w:rPr>
        <w:lang w:val="sr-Cyrl-RS"/>
      </w:rPr>
    </w:pPr>
    <w:r>
      <w:rPr>
        <w:lang w:val="sr-Cyrl-RS"/>
      </w:rPr>
      <w:t>Фискална стратегија за 2019. годину са пројекцијама за 2020. и 2021. годину</w:t>
    </w:r>
  </w:p>
  <w:p w14:paraId="35EEAD63" w14:textId="77777777" w:rsidR="0048172C" w:rsidRDefault="0048172C">
    <w:pPr>
      <w:pStyle w:val="Heade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81C47B" w14:textId="77777777" w:rsidR="0048172C" w:rsidRPr="001B7E15" w:rsidRDefault="0048172C" w:rsidP="00BD7EB6">
    <w:pPr>
      <w:pStyle w:val="Header"/>
      <w:jc w:val="center"/>
      <w:rPr>
        <w:lang w:val="sr-Cyrl-RS"/>
      </w:rPr>
    </w:pPr>
    <w:r w:rsidRPr="004044DC">
      <w:rPr>
        <w:lang w:val="sr-Cyrl-RS"/>
      </w:rPr>
      <w:t xml:space="preserve">Ревидирана фискална </w:t>
    </w:r>
    <w:r>
      <w:rPr>
        <w:lang w:val="sr-Cyrl-RS"/>
      </w:rPr>
      <w:t>стратегија за 2020. годину са пројекцијама за 2021. и 2022</w:t>
    </w:r>
    <w:r w:rsidRPr="001B7E15">
      <w:rPr>
        <w:lang w:val="sr-Cyrl-RS"/>
      </w:rPr>
      <w:t>. годину</w:t>
    </w:r>
  </w:p>
  <w:p w14:paraId="665B69CA" w14:textId="77777777" w:rsidR="0048172C" w:rsidRDefault="0048172C">
    <w:pPr>
      <w:pStyle w:val="Heade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DE6E68" w14:textId="77777777" w:rsidR="0048172C" w:rsidRPr="00BF7F6A" w:rsidRDefault="0048172C" w:rsidP="00BD7EB6">
    <w:pPr>
      <w:pStyle w:val="Header"/>
      <w:jc w:val="center"/>
      <w:rPr>
        <w:lang w:val="sr-Cyrl-RS"/>
      </w:rPr>
    </w:pPr>
    <w:r>
      <w:rPr>
        <w:lang w:val="sr-Cyrl-RS"/>
      </w:rPr>
      <w:t>Фискална стратегија за 2019. годину са пројекцијама за 2020. и 2021. годину</w:t>
    </w:r>
  </w:p>
  <w:p w14:paraId="063E427C" w14:textId="77777777" w:rsidR="0048172C" w:rsidRDefault="0048172C">
    <w:pPr>
      <w:pStyle w:val="Heade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2EDFF8" w14:textId="77777777" w:rsidR="0048172C" w:rsidRDefault="0048172C" w:rsidP="005158F5">
    <w:pPr>
      <w:pStyle w:val="Header"/>
      <w:jc w:val="center"/>
    </w:pPr>
    <w:r w:rsidRPr="006C57DB">
      <w:rPr>
        <w:lang w:val="sr-Cyrl-RS"/>
      </w:rPr>
      <w:t xml:space="preserve">Фискална </w:t>
    </w:r>
    <w:r>
      <w:rPr>
        <w:lang w:val="sr-Cyrl-RS"/>
      </w:rPr>
      <w:t>стратегија за 2020. годину са пројекцијама за 2021. и 2022</w:t>
    </w:r>
    <w:r w:rsidRPr="00361C29">
      <w:rPr>
        <w:lang w:val="sr-Cyrl-RS"/>
      </w:rPr>
      <w:t>. годину</w:t>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9622B8" w14:textId="77777777" w:rsidR="0048172C" w:rsidRPr="00BF7F6A" w:rsidRDefault="0048172C" w:rsidP="00BD7EB6">
    <w:pPr>
      <w:pStyle w:val="Header"/>
      <w:jc w:val="center"/>
      <w:rPr>
        <w:lang w:val="sr-Cyrl-RS"/>
      </w:rPr>
    </w:pPr>
    <w:r>
      <w:rPr>
        <w:lang w:val="sr-Cyrl-RS"/>
      </w:rPr>
      <w:t>Фискална стратегија за 2019. годину са пројекцијама за 2020. и 2021. годину</w:t>
    </w:r>
  </w:p>
  <w:p w14:paraId="40BEC915" w14:textId="77777777" w:rsidR="0048172C" w:rsidRDefault="0048172C">
    <w:pPr>
      <w:pStyle w:val="Header"/>
    </w:pPr>
  </w:p>
  <w:p w14:paraId="7234F51B" w14:textId="77777777" w:rsidR="0048172C" w:rsidRDefault="0048172C"/>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DA7D0A" w14:textId="77777777" w:rsidR="0048172C" w:rsidRPr="00F061F2" w:rsidRDefault="0048172C" w:rsidP="00C130D2">
    <w:pPr>
      <w:pStyle w:val="Header"/>
      <w:jc w:val="center"/>
    </w:pPr>
    <w:r>
      <w:rPr>
        <w:lang w:val="sr-Cyrl-RS"/>
      </w:rPr>
      <w:t>Фискална стратегија за 202</w:t>
    </w:r>
    <w:r>
      <w:t>1</w:t>
    </w:r>
    <w:r>
      <w:rPr>
        <w:lang w:val="sr-Cyrl-RS"/>
      </w:rPr>
      <w:t>. годину са пројекцијама за 202</w:t>
    </w:r>
    <w:r>
      <w:t>2</w:t>
    </w:r>
    <w:r>
      <w:rPr>
        <w:lang w:val="sr-Cyrl-RS"/>
      </w:rPr>
      <w:t>. и 202</w:t>
    </w:r>
    <w:r>
      <w:t>3</w:t>
    </w:r>
    <w:r w:rsidRPr="00F061F2">
      <w:rPr>
        <w:lang w:val="sr-Cyrl-RS"/>
      </w:rPr>
      <w:t>. годину</w:t>
    </w:r>
  </w:p>
  <w:p w14:paraId="3BFBB73C" w14:textId="77777777" w:rsidR="0048172C" w:rsidRPr="004F72C4" w:rsidRDefault="0048172C" w:rsidP="004F72C4">
    <w:pPr>
      <w:pStyle w:val="Header"/>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188748" w14:textId="77777777" w:rsidR="0048172C" w:rsidRPr="0040572C" w:rsidRDefault="0048172C" w:rsidP="00E96A1D">
    <w:pPr>
      <w:pStyle w:val="Header"/>
      <w:jc w:val="center"/>
      <w:rPr>
        <w:lang w:val="sr-Cyrl-RS"/>
      </w:rPr>
    </w:pPr>
    <w:r w:rsidRPr="00A044BB">
      <w:rPr>
        <w:lang w:val="sr-Cyrl-RS"/>
      </w:rPr>
      <w:t xml:space="preserve">Ревидирана </w:t>
    </w:r>
    <w:r w:rsidRPr="006C57DB">
      <w:rPr>
        <w:lang w:val="sr-Cyrl-RS"/>
      </w:rPr>
      <w:t xml:space="preserve">Фискална </w:t>
    </w:r>
    <w:r w:rsidRPr="000C433F">
      <w:rPr>
        <w:lang w:val="sr-Cyrl-RS"/>
      </w:rPr>
      <w:t>стратегија за 202</w:t>
    </w:r>
    <w:r>
      <w:rPr>
        <w:lang w:val="en-GB"/>
      </w:rPr>
      <w:t>2</w:t>
    </w:r>
    <w:r w:rsidRPr="000C433F">
      <w:rPr>
        <w:lang w:val="sr-Cyrl-RS"/>
      </w:rPr>
      <w:t>. годину са пројекцијама за 202</w:t>
    </w:r>
    <w:r>
      <w:rPr>
        <w:lang w:val="en-GB"/>
      </w:rPr>
      <w:t>3</w:t>
    </w:r>
    <w:r w:rsidRPr="000C433F">
      <w:rPr>
        <w:lang w:val="sr-Cyrl-RS"/>
      </w:rPr>
      <w:t>. и 202</w:t>
    </w:r>
    <w:r>
      <w:rPr>
        <w:lang w:val="en-GB"/>
      </w:rPr>
      <w:t>4</w:t>
    </w:r>
    <w:r w:rsidRPr="000C433F">
      <w:rPr>
        <w:lang w:val="sr-Cyrl-RS"/>
      </w:rPr>
      <w:t>. годину</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382FD5" w14:textId="77777777" w:rsidR="0048172C" w:rsidRPr="00521A99" w:rsidRDefault="0048172C" w:rsidP="00521A99">
    <w:pPr>
      <w:pStyle w:val="Header"/>
      <w:jc w:val="center"/>
      <w:rPr>
        <w:lang w:val="sr-Cyrl-RS"/>
      </w:rPr>
    </w:pPr>
    <w:r w:rsidRPr="006C57DB">
      <w:rPr>
        <w:lang w:val="sr-Cyrl-RS"/>
      </w:rPr>
      <w:t xml:space="preserve">Фискална </w:t>
    </w:r>
    <w:r w:rsidRPr="000C433F">
      <w:rPr>
        <w:lang w:val="sr-Cyrl-RS"/>
      </w:rPr>
      <w:t>стратегија за 2020. годину са пројекцијама за 2021. и 2022. годину</w:t>
    </w: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CD9653" w14:textId="77777777" w:rsidR="0048172C" w:rsidRPr="00BF7F6A" w:rsidRDefault="0048172C" w:rsidP="00BD7EB6">
    <w:pPr>
      <w:pStyle w:val="Header"/>
      <w:jc w:val="center"/>
      <w:rPr>
        <w:lang w:val="sr-Cyrl-RS"/>
      </w:rPr>
    </w:pPr>
    <w:r>
      <w:rPr>
        <w:lang w:val="sr-Cyrl-RS"/>
      </w:rPr>
      <w:t>Фискална стратегија за 2019. годину са пројекцијама за 2020. и 2021. годину</w:t>
    </w:r>
  </w:p>
  <w:p w14:paraId="290CD4A8" w14:textId="77777777" w:rsidR="0048172C" w:rsidRDefault="0048172C">
    <w:pPr>
      <w:pStyle w:val="Header"/>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16D8A0" w14:textId="77777777" w:rsidR="0048172C" w:rsidRPr="00F061F2" w:rsidRDefault="0048172C" w:rsidP="00C130D2">
    <w:pPr>
      <w:pStyle w:val="Header"/>
      <w:jc w:val="center"/>
    </w:pPr>
    <w:r w:rsidRPr="006C57DB">
      <w:rPr>
        <w:lang w:val="sr-Cyrl-RS"/>
      </w:rPr>
      <w:t xml:space="preserve">Фискална </w:t>
    </w:r>
    <w:r>
      <w:rPr>
        <w:lang w:val="sr-Cyrl-RS"/>
      </w:rPr>
      <w:t>стратегија за 2020. годину са пројекцијама за 2021. и 2022</w:t>
    </w:r>
    <w:r w:rsidRPr="00F061F2">
      <w:rPr>
        <w:lang w:val="sr-Cyrl-RS"/>
      </w:rPr>
      <w:t>. годину</w:t>
    </w:r>
  </w:p>
  <w:p w14:paraId="00815556" w14:textId="77777777" w:rsidR="0048172C" w:rsidRPr="004F72C4" w:rsidRDefault="0048172C" w:rsidP="004F72C4">
    <w:pPr>
      <w:pStyle w:val="Header"/>
    </w:pP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194125" w14:textId="6989F03C" w:rsidR="0048172C" w:rsidRPr="00242248" w:rsidRDefault="0048172C" w:rsidP="00E96A1D">
    <w:pPr>
      <w:pStyle w:val="Header"/>
      <w:jc w:val="center"/>
    </w:pPr>
    <w:r>
      <w:rPr>
        <w:lang w:val="sr-Cyrl-RS"/>
      </w:rPr>
      <w:t xml:space="preserve">Ревидирана </w:t>
    </w:r>
    <w:r w:rsidRPr="006C57DB">
      <w:rPr>
        <w:lang w:val="sr-Cyrl-RS"/>
      </w:rPr>
      <w:t xml:space="preserve">Фискална </w:t>
    </w:r>
    <w:r w:rsidRPr="00361C29">
      <w:rPr>
        <w:lang w:val="sr-Cyrl-RS"/>
      </w:rPr>
      <w:t>стратегија за 20</w:t>
    </w:r>
    <w:r>
      <w:rPr>
        <w:lang w:val="sr-Cyrl-RS"/>
      </w:rPr>
      <w:t>2</w:t>
    </w:r>
    <w:r>
      <w:rPr>
        <w:lang w:val="en-GB"/>
      </w:rPr>
      <w:t>2</w:t>
    </w:r>
    <w:r w:rsidRPr="00361C29">
      <w:rPr>
        <w:lang w:val="sr-Cyrl-RS"/>
      </w:rPr>
      <w:t>. годину са пројекцијама за 202</w:t>
    </w:r>
    <w:r>
      <w:rPr>
        <w:lang w:val="en-GB"/>
      </w:rPr>
      <w:t>3</w:t>
    </w:r>
    <w:r w:rsidRPr="00361C29">
      <w:rPr>
        <w:lang w:val="sr-Cyrl-RS"/>
      </w:rPr>
      <w:t>. и 202</w:t>
    </w:r>
    <w:r>
      <w:rPr>
        <w:lang w:val="en-GB"/>
      </w:rPr>
      <w:t>4</w:t>
    </w:r>
    <w:r w:rsidRPr="00361C29">
      <w:rPr>
        <w:lang w:val="sr-Cyrl-RS"/>
      </w:rPr>
      <w:t>. годину</w:t>
    </w: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931B4F" w14:textId="77777777" w:rsidR="0048172C" w:rsidRPr="00BF7F6A" w:rsidRDefault="0048172C" w:rsidP="00BD7EB6">
    <w:pPr>
      <w:pStyle w:val="Header"/>
      <w:jc w:val="center"/>
      <w:rPr>
        <w:lang w:val="sr-Cyrl-RS"/>
      </w:rPr>
    </w:pPr>
    <w:r>
      <w:rPr>
        <w:lang w:val="sr-Cyrl-RS"/>
      </w:rPr>
      <w:t>Фискална стратегија за 2019. годину са пројекцијама за 2020. и 2021. годину</w:t>
    </w:r>
  </w:p>
  <w:p w14:paraId="088B9186" w14:textId="77777777" w:rsidR="0048172C" w:rsidRDefault="0048172C">
    <w:pPr>
      <w:pStyle w:val="Header"/>
    </w:pP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8112AA" w14:textId="77777777" w:rsidR="0048172C" w:rsidRPr="00F061F2" w:rsidRDefault="0048172C" w:rsidP="005D42AC">
    <w:pPr>
      <w:pStyle w:val="Header"/>
      <w:jc w:val="center"/>
    </w:pPr>
    <w:r>
      <w:rPr>
        <w:lang w:val="sr-Cyrl-RS"/>
      </w:rPr>
      <w:t>Фискална стратегија за 202</w:t>
    </w:r>
    <w:r>
      <w:t>1</w:t>
    </w:r>
    <w:r>
      <w:rPr>
        <w:lang w:val="sr-Cyrl-RS"/>
      </w:rPr>
      <w:t>. годину са пројекцијама за 202</w:t>
    </w:r>
    <w:r>
      <w:t>2</w:t>
    </w:r>
    <w:r>
      <w:rPr>
        <w:lang w:val="sr-Cyrl-RS"/>
      </w:rPr>
      <w:t>. и 202</w:t>
    </w:r>
    <w:r>
      <w:t>3</w:t>
    </w:r>
    <w:r w:rsidRPr="00F061F2">
      <w:rPr>
        <w:lang w:val="sr-Cyrl-RS"/>
      </w:rPr>
      <w:t>. годину</w:t>
    </w:r>
  </w:p>
  <w:p w14:paraId="6DB5E7DC" w14:textId="77777777" w:rsidR="0048172C" w:rsidRPr="004F72C4" w:rsidRDefault="0048172C" w:rsidP="004F72C4">
    <w:pPr>
      <w:pStyle w:val="Header"/>
    </w:pP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C73703" w14:textId="77777777" w:rsidR="0048172C" w:rsidRPr="00BF7F6A" w:rsidRDefault="0048172C" w:rsidP="00BD7EB6">
    <w:pPr>
      <w:pStyle w:val="Header"/>
      <w:jc w:val="center"/>
      <w:rPr>
        <w:lang w:val="sr-Cyrl-RS"/>
      </w:rPr>
    </w:pPr>
    <w:r>
      <w:rPr>
        <w:lang w:val="sr-Cyrl-RS"/>
      </w:rPr>
      <w:t>Фискална стратегија за 2019. годину са пројекцијама за 2020. и 2021. годину</w:t>
    </w:r>
  </w:p>
  <w:p w14:paraId="7B963A97" w14:textId="77777777" w:rsidR="0048172C" w:rsidRDefault="0048172C">
    <w:pPr>
      <w:pStyle w:val="Header"/>
    </w:pP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8A1C33" w14:textId="77777777" w:rsidR="0048172C" w:rsidRPr="00F061F2" w:rsidRDefault="0048172C" w:rsidP="00C130D2">
    <w:pPr>
      <w:pStyle w:val="Header"/>
      <w:jc w:val="center"/>
    </w:pPr>
    <w:r w:rsidRPr="00724C89">
      <w:rPr>
        <w:lang w:val="sr-Cyrl-RS"/>
      </w:rPr>
      <w:t xml:space="preserve">Ревидирана фискална </w:t>
    </w:r>
    <w:r>
      <w:rPr>
        <w:lang w:val="sr-Cyrl-RS"/>
      </w:rPr>
      <w:t>стратегија за 2020. годину са пројекцијама за 2021. и 2022</w:t>
    </w:r>
    <w:r w:rsidRPr="00F061F2">
      <w:rPr>
        <w:lang w:val="sr-Cyrl-RS"/>
      </w:rPr>
      <w:t>. годину</w:t>
    </w:r>
  </w:p>
  <w:p w14:paraId="4E68CF28" w14:textId="77777777" w:rsidR="0048172C" w:rsidRPr="004F72C4" w:rsidRDefault="0048172C" w:rsidP="004F72C4">
    <w:pPr>
      <w:pStyle w:val="Header"/>
    </w:pPr>
  </w:p>
  <w:p w14:paraId="25E00A79" w14:textId="77777777" w:rsidR="0048172C" w:rsidRDefault="0048172C"/>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B6A6C7" w14:textId="77777777" w:rsidR="0048172C" w:rsidRPr="000766DD" w:rsidRDefault="0048172C" w:rsidP="000766DD">
    <w:pPr>
      <w:pStyle w:val="Header"/>
    </w:pPr>
  </w:p>
  <w:p w14:paraId="4828EA06" w14:textId="77777777" w:rsidR="0048172C" w:rsidRDefault="0048172C"/>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05289E" w14:textId="77777777" w:rsidR="0048172C" w:rsidRPr="00BF7F6A" w:rsidRDefault="0048172C" w:rsidP="00BD7EB6">
    <w:pPr>
      <w:pStyle w:val="Header"/>
      <w:jc w:val="center"/>
      <w:rPr>
        <w:lang w:val="sr-Cyrl-RS"/>
      </w:rPr>
    </w:pPr>
    <w:r>
      <w:rPr>
        <w:lang w:val="sr-Cyrl-RS"/>
      </w:rPr>
      <w:t>Фискална стратегија за 2019. годину са пројекцијама за 2020. и 2021. годину</w:t>
    </w:r>
  </w:p>
  <w:p w14:paraId="2CF401FA" w14:textId="77777777" w:rsidR="0048172C" w:rsidRDefault="0048172C">
    <w:pPr>
      <w:pStyle w:val="Header"/>
    </w:pPr>
  </w:p>
  <w:p w14:paraId="27FC9FB9" w14:textId="77777777" w:rsidR="0048172C" w:rsidRDefault="0048172C"/>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5CBBE8" w14:textId="77777777" w:rsidR="0048172C" w:rsidRPr="00F061F2" w:rsidRDefault="0048172C" w:rsidP="00C130D2">
    <w:pPr>
      <w:pStyle w:val="Header"/>
      <w:jc w:val="center"/>
    </w:pPr>
    <w:r w:rsidRPr="00724C89">
      <w:rPr>
        <w:lang w:val="sr-Cyrl-RS"/>
      </w:rPr>
      <w:t xml:space="preserve">Ревидирана фискална </w:t>
    </w:r>
    <w:r>
      <w:rPr>
        <w:lang w:val="sr-Cyrl-RS"/>
      </w:rPr>
      <w:t>стратегија за 2020. годину са пројекцијама за 2021. и 2022</w:t>
    </w:r>
    <w:r w:rsidRPr="00F061F2">
      <w:rPr>
        <w:lang w:val="sr-Cyrl-RS"/>
      </w:rPr>
      <w:t>. годину</w:t>
    </w:r>
  </w:p>
  <w:p w14:paraId="2EA16230" w14:textId="77777777" w:rsidR="0048172C" w:rsidRDefault="0048172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38D0FA" w14:textId="77777777" w:rsidR="0048172C" w:rsidRPr="00521A99" w:rsidRDefault="0048172C" w:rsidP="00521A99">
    <w:pPr>
      <w:pStyle w:val="Header"/>
      <w:jc w:val="center"/>
      <w:rPr>
        <w:lang w:val="sr-Cyrl-RS"/>
      </w:rPr>
    </w:pPr>
    <w:r w:rsidRPr="006C57DB">
      <w:rPr>
        <w:lang w:val="sr-Cyrl-RS"/>
      </w:rPr>
      <w:t xml:space="preserve">Фискална </w:t>
    </w:r>
    <w:r w:rsidRPr="000C433F">
      <w:rPr>
        <w:lang w:val="sr-Cyrl-RS"/>
      </w:rPr>
      <w:t>стратегија за 2020. годину са пројекцијама за 2021. и 2022. годину</w:t>
    </w: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6239DD" w14:textId="77777777" w:rsidR="0048172C" w:rsidRPr="000766DD" w:rsidRDefault="0048172C" w:rsidP="000766DD">
    <w:pPr>
      <w:pStyle w:val="Header"/>
    </w:pP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D1A642" w14:textId="77777777" w:rsidR="0048172C" w:rsidRPr="00BF7F6A" w:rsidRDefault="0048172C" w:rsidP="00BD7EB6">
    <w:pPr>
      <w:pStyle w:val="Header"/>
      <w:jc w:val="center"/>
      <w:rPr>
        <w:lang w:val="sr-Cyrl-RS"/>
      </w:rPr>
    </w:pPr>
    <w:r>
      <w:rPr>
        <w:lang w:val="sr-Cyrl-RS"/>
      </w:rPr>
      <w:t>Фискална стратегија за 2019. годину са пројекцијама за 2020. и 2021. годину</w:t>
    </w:r>
  </w:p>
  <w:p w14:paraId="59E41E8C" w14:textId="77777777" w:rsidR="0048172C" w:rsidRDefault="0048172C">
    <w:pPr>
      <w:pStyle w:val="Header"/>
    </w:pP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4D89A3" w14:textId="77777777" w:rsidR="0048172C" w:rsidRPr="00F061F2" w:rsidRDefault="0048172C" w:rsidP="00C130D2">
    <w:pPr>
      <w:pStyle w:val="Header"/>
      <w:jc w:val="center"/>
    </w:pPr>
    <w:r w:rsidRPr="006C57DB">
      <w:rPr>
        <w:lang w:val="sr-Cyrl-RS"/>
      </w:rPr>
      <w:t xml:space="preserve">Фискална </w:t>
    </w:r>
    <w:r>
      <w:rPr>
        <w:lang w:val="sr-Cyrl-RS"/>
      </w:rPr>
      <w:t>стратегија за 2020. годину са пројекцијама за 2021. и 2022</w:t>
    </w:r>
    <w:r w:rsidRPr="00F061F2">
      <w:rPr>
        <w:lang w:val="sr-Cyrl-RS"/>
      </w:rPr>
      <w:t>. годину</w:t>
    </w:r>
  </w:p>
  <w:p w14:paraId="02A61161" w14:textId="77777777" w:rsidR="0048172C" w:rsidRDefault="0048172C">
    <w:pPr>
      <w:pStyle w:val="Header"/>
    </w:pPr>
  </w:p>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13B81B" w14:textId="19AEAC2F" w:rsidR="0048172C" w:rsidRPr="00CE7D9C" w:rsidRDefault="0048172C" w:rsidP="00CE7D9C">
    <w:pPr>
      <w:pStyle w:val="Header"/>
      <w:jc w:val="center"/>
      <w:rPr>
        <w:lang w:val="sr-Cyrl-RS"/>
      </w:rPr>
    </w:pPr>
    <w:r w:rsidRPr="00A044BB">
      <w:rPr>
        <w:lang w:val="sr-Cyrl-RS"/>
      </w:rPr>
      <w:t xml:space="preserve">Ревидирана </w:t>
    </w:r>
    <w:r w:rsidRPr="006C57DB">
      <w:rPr>
        <w:lang w:val="sr-Cyrl-RS"/>
      </w:rPr>
      <w:t xml:space="preserve">Фискална </w:t>
    </w:r>
    <w:r w:rsidRPr="000C433F">
      <w:rPr>
        <w:lang w:val="sr-Cyrl-RS"/>
      </w:rPr>
      <w:t>стратегија за 202</w:t>
    </w:r>
    <w:r>
      <w:rPr>
        <w:lang w:val="en-GB"/>
      </w:rPr>
      <w:t>2</w:t>
    </w:r>
    <w:r w:rsidRPr="000C433F">
      <w:rPr>
        <w:lang w:val="sr-Cyrl-RS"/>
      </w:rPr>
      <w:t>. годину са пројекцијама за 202</w:t>
    </w:r>
    <w:r>
      <w:rPr>
        <w:lang w:val="en-GB"/>
      </w:rPr>
      <w:t>3</w:t>
    </w:r>
    <w:r w:rsidRPr="000C433F">
      <w:rPr>
        <w:lang w:val="sr-Cyrl-RS"/>
      </w:rPr>
      <w:t>. и 202</w:t>
    </w:r>
    <w:r>
      <w:rPr>
        <w:lang w:val="en-GB"/>
      </w:rPr>
      <w:t>4</w:t>
    </w:r>
    <w:r w:rsidRPr="000C433F">
      <w:rPr>
        <w:lang w:val="sr-Cyrl-RS"/>
      </w:rPr>
      <w:t>. годину</w:t>
    </w:r>
  </w:p>
</w:hdr>
</file>

<file path=word/header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899569" w14:textId="77777777" w:rsidR="0048172C" w:rsidRPr="00BF7F6A" w:rsidRDefault="0048172C" w:rsidP="00BD7EB6">
    <w:pPr>
      <w:pStyle w:val="Header"/>
      <w:jc w:val="center"/>
      <w:rPr>
        <w:lang w:val="sr-Cyrl-RS"/>
      </w:rPr>
    </w:pPr>
    <w:r>
      <w:rPr>
        <w:lang w:val="sr-Cyrl-RS"/>
      </w:rPr>
      <w:t>Фискална стратегија за 2019. годину са пројекцијама за 2020. и 2021. годину</w:t>
    </w:r>
  </w:p>
  <w:p w14:paraId="42359CD5" w14:textId="77777777" w:rsidR="0048172C" w:rsidRDefault="0048172C">
    <w:pPr>
      <w:pStyle w:val="Header"/>
    </w:pPr>
  </w:p>
</w:hdr>
</file>

<file path=word/header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0749B1" w14:textId="77777777" w:rsidR="0048172C" w:rsidRPr="0040572C" w:rsidRDefault="0048172C" w:rsidP="00E96A1D">
    <w:pPr>
      <w:pStyle w:val="Header"/>
      <w:jc w:val="center"/>
      <w:rPr>
        <w:lang w:val="sr-Cyrl-RS"/>
      </w:rPr>
    </w:pPr>
    <w:r w:rsidRPr="00A044BB">
      <w:rPr>
        <w:lang w:val="sr-Cyrl-RS"/>
      </w:rPr>
      <w:t xml:space="preserve">Ревидирана </w:t>
    </w:r>
    <w:r w:rsidRPr="006C57DB">
      <w:rPr>
        <w:lang w:val="sr-Cyrl-RS"/>
      </w:rPr>
      <w:t xml:space="preserve">Фискална </w:t>
    </w:r>
    <w:r w:rsidRPr="000C433F">
      <w:rPr>
        <w:lang w:val="sr-Cyrl-RS"/>
      </w:rPr>
      <w:t>стратегија за 202</w:t>
    </w:r>
    <w:r>
      <w:rPr>
        <w:lang w:val="en-GB"/>
      </w:rPr>
      <w:t>2</w:t>
    </w:r>
    <w:r w:rsidRPr="000C433F">
      <w:rPr>
        <w:lang w:val="sr-Cyrl-RS"/>
      </w:rPr>
      <w:t>. годину са пројекцијама за 202</w:t>
    </w:r>
    <w:r>
      <w:rPr>
        <w:lang w:val="en-GB"/>
      </w:rPr>
      <w:t>3</w:t>
    </w:r>
    <w:r w:rsidRPr="000C433F">
      <w:rPr>
        <w:lang w:val="sr-Cyrl-RS"/>
      </w:rPr>
      <w:t>. и 202</w:t>
    </w:r>
    <w:r>
      <w:rPr>
        <w:lang w:val="en-GB"/>
      </w:rPr>
      <w:t>4</w:t>
    </w:r>
    <w:r w:rsidRPr="000C433F">
      <w:rPr>
        <w:lang w:val="sr-Cyrl-RS"/>
      </w:rPr>
      <w:t>. годину</w:t>
    </w:r>
  </w:p>
</w:hdr>
</file>

<file path=word/header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8DCEC8" w14:textId="77777777" w:rsidR="0048172C" w:rsidRPr="00BF7F6A" w:rsidRDefault="0048172C" w:rsidP="00BD7EB6">
    <w:pPr>
      <w:pStyle w:val="Header"/>
      <w:jc w:val="center"/>
      <w:rPr>
        <w:lang w:val="sr-Cyrl-RS"/>
      </w:rPr>
    </w:pPr>
    <w:r>
      <w:rPr>
        <w:lang w:val="sr-Cyrl-RS"/>
      </w:rPr>
      <w:t>Фискална стратегија за 2019. годину са пројекцијама за 2020. и 2021. годину</w:t>
    </w:r>
  </w:p>
  <w:p w14:paraId="07427E77" w14:textId="77777777" w:rsidR="0048172C" w:rsidRDefault="0048172C">
    <w:pPr>
      <w:pStyle w:val="Header"/>
    </w:pPr>
  </w:p>
</w:hdr>
</file>

<file path=word/header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B54FB7" w14:textId="77777777" w:rsidR="0048172C" w:rsidRPr="00BF7F6A" w:rsidRDefault="0048172C" w:rsidP="00BD7EB6">
    <w:pPr>
      <w:pStyle w:val="Header"/>
      <w:jc w:val="center"/>
      <w:rPr>
        <w:lang w:val="sr-Cyrl-RS"/>
      </w:rPr>
    </w:pPr>
    <w:r>
      <w:rPr>
        <w:lang w:val="sr-Cyrl-RS"/>
      </w:rPr>
      <w:t>Фискална стратегија за 2019. годину са пројекцијама за 2020. и 2021. годину</w:t>
    </w:r>
  </w:p>
  <w:p w14:paraId="1CBFEBFC" w14:textId="77777777" w:rsidR="0048172C" w:rsidRDefault="0048172C">
    <w:pPr>
      <w:pStyle w:val="Header"/>
    </w:pPr>
  </w:p>
</w:hdr>
</file>

<file path=word/header3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DA70E2" w14:textId="77777777" w:rsidR="0048172C" w:rsidRPr="00BF7F6A" w:rsidRDefault="0048172C" w:rsidP="00BD7EB6">
    <w:pPr>
      <w:pStyle w:val="Header"/>
      <w:jc w:val="center"/>
      <w:rPr>
        <w:lang w:val="sr-Cyrl-RS"/>
      </w:rPr>
    </w:pPr>
    <w:r>
      <w:rPr>
        <w:lang w:val="sr-Cyrl-RS"/>
      </w:rPr>
      <w:t>Фискална стратегија за 2019. годину са пројекцијама за 2020. и 2021. годину</w:t>
    </w:r>
  </w:p>
  <w:p w14:paraId="4B294087" w14:textId="77777777" w:rsidR="0048172C" w:rsidRDefault="0048172C">
    <w:pPr>
      <w:pStyle w:val="Header"/>
    </w:pPr>
  </w:p>
</w:hdr>
</file>

<file path=word/header3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D937B9" w14:textId="77777777" w:rsidR="0048172C" w:rsidRPr="00F061F2" w:rsidRDefault="0048172C" w:rsidP="00C130D2">
    <w:pPr>
      <w:pStyle w:val="Header"/>
      <w:jc w:val="center"/>
    </w:pPr>
    <w:r w:rsidRPr="006C57DB">
      <w:rPr>
        <w:lang w:val="sr-Cyrl-RS"/>
      </w:rPr>
      <w:t xml:space="preserve">Фискална </w:t>
    </w:r>
    <w:r>
      <w:rPr>
        <w:lang w:val="sr-Cyrl-RS"/>
      </w:rPr>
      <w:t>стратегија за 2020. годину са пројекцијама за 2021. и 2022</w:t>
    </w:r>
    <w:r w:rsidRPr="00F061F2">
      <w:rPr>
        <w:lang w:val="sr-Cyrl-RS"/>
      </w:rPr>
      <w:t>. годину</w:t>
    </w:r>
  </w:p>
  <w:p w14:paraId="6C3B661B" w14:textId="77777777" w:rsidR="0048172C" w:rsidRDefault="0048172C">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DA97B1" w14:textId="77777777" w:rsidR="0048172C" w:rsidRPr="00BF7F6A" w:rsidRDefault="0048172C" w:rsidP="000C433F">
    <w:pPr>
      <w:pStyle w:val="Header"/>
      <w:jc w:val="center"/>
      <w:rPr>
        <w:lang w:val="sr-Cyrl-RS"/>
      </w:rPr>
    </w:pPr>
    <w:r w:rsidRPr="00A044BB">
      <w:rPr>
        <w:lang w:val="sr-Cyrl-RS"/>
      </w:rPr>
      <w:t xml:space="preserve">Ревидирана </w:t>
    </w:r>
    <w:r w:rsidRPr="006C57DB">
      <w:rPr>
        <w:lang w:val="sr-Cyrl-RS"/>
      </w:rPr>
      <w:t xml:space="preserve">Фискална </w:t>
    </w:r>
    <w:r w:rsidRPr="000C433F">
      <w:rPr>
        <w:lang w:val="sr-Cyrl-RS"/>
      </w:rPr>
      <w:t>стратегија за 202</w:t>
    </w:r>
    <w:r>
      <w:rPr>
        <w:lang w:val="en-GB"/>
      </w:rPr>
      <w:t>2</w:t>
    </w:r>
    <w:r w:rsidRPr="000C433F">
      <w:rPr>
        <w:lang w:val="sr-Cyrl-RS"/>
      </w:rPr>
      <w:t>. годину са пројекцијама за 202</w:t>
    </w:r>
    <w:r>
      <w:rPr>
        <w:lang w:val="en-GB"/>
      </w:rPr>
      <w:t>3</w:t>
    </w:r>
    <w:r w:rsidRPr="000C433F">
      <w:rPr>
        <w:lang w:val="sr-Cyrl-RS"/>
      </w:rPr>
      <w:t>. и 202</w:t>
    </w:r>
    <w:r>
      <w:rPr>
        <w:lang w:val="en-GB"/>
      </w:rPr>
      <w:t>4</w:t>
    </w:r>
    <w:r w:rsidRPr="000C433F">
      <w:rPr>
        <w:lang w:val="sr-Cyrl-RS"/>
      </w:rPr>
      <w:t>. годину</w:t>
    </w:r>
  </w:p>
</w:hdr>
</file>

<file path=word/header4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CF78A5" w14:textId="77777777" w:rsidR="0048172C" w:rsidRPr="00BD5CFD" w:rsidRDefault="0048172C" w:rsidP="00E96A1D">
    <w:pPr>
      <w:pStyle w:val="Header"/>
      <w:jc w:val="center"/>
      <w:rPr>
        <w:lang w:val="sr-Cyrl-RS"/>
      </w:rPr>
    </w:pPr>
    <w:r w:rsidRPr="00A044BB">
      <w:rPr>
        <w:lang w:val="sr-Cyrl-RS"/>
      </w:rPr>
      <w:t xml:space="preserve">Ревидирана </w:t>
    </w:r>
    <w:r w:rsidRPr="006C57DB">
      <w:rPr>
        <w:lang w:val="sr-Cyrl-RS"/>
      </w:rPr>
      <w:t xml:space="preserve">Фискална </w:t>
    </w:r>
    <w:r w:rsidRPr="000C433F">
      <w:rPr>
        <w:lang w:val="sr-Cyrl-RS"/>
      </w:rPr>
      <w:t>стратегија за 202</w:t>
    </w:r>
    <w:r>
      <w:rPr>
        <w:lang w:val="en-GB"/>
      </w:rPr>
      <w:t>2</w:t>
    </w:r>
    <w:r w:rsidRPr="000C433F">
      <w:rPr>
        <w:lang w:val="sr-Cyrl-RS"/>
      </w:rPr>
      <w:t>. годину са пројекцијама за 202</w:t>
    </w:r>
    <w:r>
      <w:rPr>
        <w:lang w:val="en-GB"/>
      </w:rPr>
      <w:t>3</w:t>
    </w:r>
    <w:r w:rsidRPr="000C433F">
      <w:rPr>
        <w:lang w:val="sr-Cyrl-RS"/>
      </w:rPr>
      <w:t>. и 202</w:t>
    </w:r>
    <w:r>
      <w:rPr>
        <w:lang w:val="en-GB"/>
      </w:rPr>
      <w:t>4</w:t>
    </w:r>
    <w:r w:rsidRPr="000C433F">
      <w:rPr>
        <w:lang w:val="sr-Cyrl-RS"/>
      </w:rPr>
      <w:t>. годину</w:t>
    </w:r>
  </w:p>
</w:hdr>
</file>

<file path=word/header4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BC3605" w14:textId="77777777" w:rsidR="0048172C" w:rsidRPr="00BF7F6A" w:rsidRDefault="0048172C" w:rsidP="00BD7EB6">
    <w:pPr>
      <w:pStyle w:val="Header"/>
      <w:jc w:val="center"/>
      <w:rPr>
        <w:lang w:val="sr-Cyrl-RS"/>
      </w:rPr>
    </w:pPr>
    <w:r>
      <w:rPr>
        <w:lang w:val="sr-Cyrl-RS"/>
      </w:rPr>
      <w:t>Фискална стратегија за 2019. годину са пројекцијама за 2020. и 2021. годину</w:t>
    </w:r>
  </w:p>
  <w:p w14:paraId="3E714345" w14:textId="77777777" w:rsidR="0048172C" w:rsidRDefault="0048172C">
    <w:pPr>
      <w:pStyle w:val="Header"/>
    </w:pPr>
  </w:p>
</w:hdr>
</file>

<file path=word/header4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2B7737" w14:textId="77777777" w:rsidR="0048172C" w:rsidRPr="00CE7D9C" w:rsidRDefault="0048172C" w:rsidP="00CE7D9C">
    <w:pPr>
      <w:pStyle w:val="Header"/>
      <w:jc w:val="center"/>
      <w:rPr>
        <w:lang w:val="sr-Cyrl-RS"/>
      </w:rPr>
    </w:pPr>
    <w:r>
      <w:rPr>
        <w:lang w:val="sr-Cyrl-RS"/>
      </w:rPr>
      <w:t xml:space="preserve">Ревидирана </w:t>
    </w:r>
    <w:r w:rsidRPr="006C57DB">
      <w:rPr>
        <w:lang w:val="sr-Cyrl-RS"/>
      </w:rPr>
      <w:t xml:space="preserve">Фискална </w:t>
    </w:r>
    <w:r w:rsidRPr="000C433F">
      <w:rPr>
        <w:lang w:val="sr-Cyrl-RS"/>
      </w:rPr>
      <w:t>стратегија за 202</w:t>
    </w:r>
    <w:r>
      <w:rPr>
        <w:lang w:val="en-GB"/>
      </w:rPr>
      <w:t>2</w:t>
    </w:r>
    <w:r w:rsidRPr="000C433F">
      <w:rPr>
        <w:lang w:val="sr-Cyrl-RS"/>
      </w:rPr>
      <w:t>. годину са пројекцијама за 202</w:t>
    </w:r>
    <w:r>
      <w:rPr>
        <w:lang w:val="en-GB"/>
      </w:rPr>
      <w:t>3</w:t>
    </w:r>
    <w:r w:rsidRPr="000C433F">
      <w:rPr>
        <w:lang w:val="sr-Cyrl-RS"/>
      </w:rPr>
      <w:t>. и 202</w:t>
    </w:r>
    <w:r>
      <w:rPr>
        <w:lang w:val="en-GB"/>
      </w:rPr>
      <w:t>4</w:t>
    </w:r>
    <w:r w:rsidRPr="000C433F">
      <w:rPr>
        <w:lang w:val="sr-Cyrl-RS"/>
      </w:rPr>
      <w:t>. годину</w:t>
    </w:r>
  </w:p>
</w:hdr>
</file>

<file path=word/header4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E7D16D" w14:textId="77777777" w:rsidR="0048172C" w:rsidRPr="003B6D80" w:rsidRDefault="0048172C" w:rsidP="00E4657F">
    <w:pPr>
      <w:pStyle w:val="Header"/>
      <w:jc w:val="center"/>
    </w:pPr>
    <w:r w:rsidRPr="006C57DB">
      <w:rPr>
        <w:lang w:val="sr-Cyrl-RS"/>
      </w:rPr>
      <w:t xml:space="preserve">Фискална </w:t>
    </w:r>
    <w:r w:rsidRPr="00724C89">
      <w:t>стратегија за 2020. годину са пројекцијама за 2021. и 2022. годину</w:t>
    </w:r>
  </w:p>
</w:hdr>
</file>

<file path=word/header4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8ECB88" w14:textId="052D9A29" w:rsidR="0048172C" w:rsidRPr="00CE7D9C" w:rsidRDefault="0048172C" w:rsidP="00CE7D9C">
    <w:pPr>
      <w:pStyle w:val="Header"/>
      <w:jc w:val="center"/>
      <w:rPr>
        <w:lang w:val="sr-Cyrl-RS"/>
      </w:rPr>
    </w:pPr>
    <w:r w:rsidRPr="00A044BB">
      <w:rPr>
        <w:lang w:val="sr-Cyrl-RS"/>
      </w:rPr>
      <w:t xml:space="preserve">Ревидирана </w:t>
    </w:r>
    <w:r w:rsidRPr="006C57DB">
      <w:rPr>
        <w:lang w:val="sr-Cyrl-RS"/>
      </w:rPr>
      <w:t xml:space="preserve">Фискална </w:t>
    </w:r>
    <w:r w:rsidRPr="000C433F">
      <w:rPr>
        <w:lang w:val="sr-Cyrl-RS"/>
      </w:rPr>
      <w:t>стратегија за 202</w:t>
    </w:r>
    <w:r>
      <w:rPr>
        <w:lang w:val="en-GB"/>
      </w:rPr>
      <w:t>2</w:t>
    </w:r>
    <w:r w:rsidRPr="000C433F">
      <w:rPr>
        <w:lang w:val="sr-Cyrl-RS"/>
      </w:rPr>
      <w:t>. годину са пројекцијама за 202</w:t>
    </w:r>
    <w:r>
      <w:rPr>
        <w:lang w:val="en-GB"/>
      </w:rPr>
      <w:t>3</w:t>
    </w:r>
    <w:r w:rsidRPr="000C433F">
      <w:rPr>
        <w:lang w:val="sr-Cyrl-RS"/>
      </w:rPr>
      <w:t>. и 202</w:t>
    </w:r>
    <w:r>
      <w:rPr>
        <w:lang w:val="en-GB"/>
      </w:rPr>
      <w:t>4</w:t>
    </w:r>
    <w:r w:rsidRPr="000C433F">
      <w:rPr>
        <w:lang w:val="sr-Cyrl-RS"/>
      </w:rPr>
      <w:t>. годину</w:t>
    </w:r>
  </w:p>
</w:hdr>
</file>

<file path=word/header4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981E31" w14:textId="77777777" w:rsidR="0048172C" w:rsidRPr="00BF7F6A" w:rsidRDefault="0048172C" w:rsidP="00BD7EB6">
    <w:pPr>
      <w:pStyle w:val="Header"/>
      <w:jc w:val="center"/>
      <w:rPr>
        <w:lang w:val="sr-Cyrl-RS"/>
      </w:rPr>
    </w:pPr>
    <w:r>
      <w:rPr>
        <w:lang w:val="sr-Cyrl-RS"/>
      </w:rPr>
      <w:t>Фискална стратегија за 2019. годину са пројекцијама за 2020. и 2021. годину</w:t>
    </w:r>
  </w:p>
  <w:p w14:paraId="21CB2820" w14:textId="77777777" w:rsidR="0048172C" w:rsidRDefault="0048172C">
    <w:pPr>
      <w:pStyle w:val="Header"/>
    </w:pPr>
  </w:p>
</w:hdr>
</file>

<file path=word/header4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1EE8E5" w14:textId="77777777" w:rsidR="0048172C" w:rsidRDefault="0048172C" w:rsidP="00815831">
    <w:pPr>
      <w:pStyle w:val="Header"/>
      <w:jc w:val="center"/>
    </w:pPr>
    <w:r w:rsidRPr="00724C89">
      <w:rPr>
        <w:lang w:val="sr-Cyrl-RS"/>
      </w:rPr>
      <w:t xml:space="preserve">Ревидирана фискална </w:t>
    </w:r>
    <w:r>
      <w:rPr>
        <w:lang w:val="sr-Cyrl-RS"/>
      </w:rPr>
      <w:t>стратегија за 20</w:t>
    </w:r>
    <w:r>
      <w:t>20</w:t>
    </w:r>
    <w:r>
      <w:rPr>
        <w:lang w:val="sr-Cyrl-RS"/>
      </w:rPr>
      <w:t>. годину са пројекцијама за 2021. и 2022</w:t>
    </w:r>
    <w:r w:rsidRPr="00F061F2">
      <w:rPr>
        <w:lang w:val="sr-Cyrl-RS"/>
      </w:rPr>
      <w:t>. годину</w:t>
    </w:r>
  </w:p>
</w:hdr>
</file>

<file path=word/header4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FC350D" w14:textId="77777777" w:rsidR="0048172C" w:rsidRPr="00BF7F6A" w:rsidRDefault="0048172C" w:rsidP="00BD7EB6">
    <w:pPr>
      <w:pStyle w:val="Header"/>
      <w:jc w:val="center"/>
      <w:rPr>
        <w:lang w:val="sr-Cyrl-RS"/>
      </w:rPr>
    </w:pPr>
    <w:r>
      <w:rPr>
        <w:lang w:val="sr-Cyrl-RS"/>
      </w:rPr>
      <w:t>Фискална стратегија за 2019. годину са пројекцијама за 2020. и 2021. годину</w:t>
    </w:r>
  </w:p>
  <w:p w14:paraId="3B8C1E0C" w14:textId="77777777" w:rsidR="0048172C" w:rsidRDefault="0048172C">
    <w:pPr>
      <w:pStyle w:val="Header"/>
    </w:pPr>
  </w:p>
</w:hdr>
</file>

<file path=word/header4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2FCE80" w14:textId="77777777" w:rsidR="0048172C" w:rsidRDefault="0048172C" w:rsidP="005158F5">
    <w:pPr>
      <w:pStyle w:val="Header"/>
      <w:jc w:val="center"/>
    </w:pPr>
    <w:r w:rsidRPr="006C57DB">
      <w:rPr>
        <w:lang w:val="sr-Cyrl-RS"/>
      </w:rPr>
      <w:t xml:space="preserve">Фискална </w:t>
    </w:r>
    <w:r>
      <w:rPr>
        <w:lang w:val="sr-Cyrl-RS"/>
      </w:rPr>
      <w:t>стратегија за 2020. годину са пројекцијама за 2021. и 2022</w:t>
    </w:r>
    <w:r w:rsidRPr="00361C29">
      <w:rPr>
        <w:lang w:val="sr-Cyrl-RS"/>
      </w:rPr>
      <w:t>. годину</w:t>
    </w:r>
  </w:p>
  <w:p w14:paraId="7011BB7F" w14:textId="77777777" w:rsidR="0048172C" w:rsidRDefault="0048172C"/>
</w:hdr>
</file>

<file path=word/header4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050319" w14:textId="77777777" w:rsidR="0048172C" w:rsidRPr="00D15A77" w:rsidRDefault="0048172C" w:rsidP="00BA266B">
    <w:pPr>
      <w:pStyle w:val="Header"/>
      <w:jc w:val="center"/>
      <w:rPr>
        <w:lang w:val="sr-Cyrl-RS"/>
      </w:rPr>
    </w:pPr>
    <w:r w:rsidRPr="002A6CF0">
      <w:rPr>
        <w:lang w:val="sr-Cyrl-RS"/>
      </w:rPr>
      <w:t xml:space="preserve">Ревидирана </w:t>
    </w:r>
    <w:r>
      <w:rPr>
        <w:lang w:val="sr-Cyrl-RS"/>
      </w:rPr>
      <w:t>Фискална стратегија за 20</w:t>
    </w:r>
    <w:r>
      <w:rPr>
        <w:lang w:val="sr-Latn-RS"/>
      </w:rPr>
      <w:t>22</w:t>
    </w:r>
    <w:r>
      <w:rPr>
        <w:lang w:val="sr-Cyrl-RS"/>
      </w:rPr>
      <w:t>. годину са пројекцијама за 202</w:t>
    </w:r>
    <w:r>
      <w:rPr>
        <w:lang w:val="sr-Latn-RS"/>
      </w:rPr>
      <w:t>3</w:t>
    </w:r>
    <w:r>
      <w:rPr>
        <w:lang w:val="sr-Cyrl-RS"/>
      </w:rPr>
      <w:t>. и 202</w:t>
    </w:r>
    <w:r>
      <w:rPr>
        <w:lang w:val="sr-Latn-RS"/>
      </w:rPr>
      <w:t>4</w:t>
    </w:r>
    <w:r>
      <w:rPr>
        <w:lang w:val="sr-Cyrl-RS"/>
      </w:rPr>
      <w:t>. годину</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940927" w14:textId="77777777" w:rsidR="0048172C" w:rsidRPr="000C433F" w:rsidRDefault="0048172C" w:rsidP="00B14FC0">
    <w:pPr>
      <w:pStyle w:val="Header"/>
      <w:jc w:val="center"/>
      <w:rPr>
        <w:lang w:val="sr-Cyrl-RS"/>
      </w:rPr>
    </w:pPr>
    <w:r w:rsidRPr="006C57DB">
      <w:rPr>
        <w:lang w:val="sr-Cyrl-RS"/>
      </w:rPr>
      <w:t xml:space="preserve">Фискална </w:t>
    </w:r>
    <w:r w:rsidRPr="000C433F">
      <w:rPr>
        <w:lang w:val="sr-Cyrl-RS"/>
      </w:rPr>
      <w:t>стратегија за 2020. годину са пројекцијама за 2021. и 2022. годину</w:t>
    </w:r>
  </w:p>
  <w:p w14:paraId="772FE3AC" w14:textId="77777777" w:rsidR="0048172C" w:rsidRDefault="0048172C">
    <w:pPr>
      <w:pStyle w:val="Header"/>
    </w:pPr>
  </w:p>
</w:hdr>
</file>

<file path=word/header5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3908DF" w14:textId="77777777" w:rsidR="0048172C" w:rsidRPr="00BF7F6A" w:rsidRDefault="0048172C" w:rsidP="00BD7EB6">
    <w:pPr>
      <w:pStyle w:val="Header"/>
      <w:jc w:val="center"/>
      <w:rPr>
        <w:lang w:val="sr-Cyrl-RS"/>
      </w:rPr>
    </w:pPr>
    <w:r>
      <w:rPr>
        <w:lang w:val="sr-Cyrl-RS"/>
      </w:rPr>
      <w:t>Фискална стратегија за 2019. годину са пројекцијама за 2020. и 2021. годину</w:t>
    </w:r>
  </w:p>
  <w:p w14:paraId="16162D01" w14:textId="77777777" w:rsidR="0048172C" w:rsidRDefault="0048172C">
    <w:pPr>
      <w:pStyle w:val="Header"/>
    </w:pPr>
  </w:p>
  <w:p w14:paraId="6BC9389B" w14:textId="77777777" w:rsidR="0048172C" w:rsidRDefault="0048172C"/>
  <w:p w14:paraId="218D89D2" w14:textId="77777777" w:rsidR="0048172C" w:rsidRDefault="0048172C"/>
</w:hdr>
</file>

<file path=word/header5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3F20EA" w14:textId="77777777" w:rsidR="0048172C" w:rsidRPr="00F061F2" w:rsidRDefault="0048172C" w:rsidP="00C130D2">
    <w:pPr>
      <w:pStyle w:val="Header"/>
      <w:jc w:val="center"/>
    </w:pPr>
    <w:r w:rsidRPr="006C57DB">
      <w:rPr>
        <w:lang w:val="sr-Cyrl-RS"/>
      </w:rPr>
      <w:t xml:space="preserve">Фискална </w:t>
    </w:r>
    <w:r>
      <w:rPr>
        <w:lang w:val="sr-Cyrl-RS"/>
      </w:rPr>
      <w:t>стратегија за 2020. годину са пројекцијама за 2021. и 2022</w:t>
    </w:r>
    <w:r w:rsidRPr="00F061F2">
      <w:rPr>
        <w:lang w:val="sr-Cyrl-RS"/>
      </w:rPr>
      <w:t>. годину</w:t>
    </w:r>
  </w:p>
  <w:p w14:paraId="4ADE6169" w14:textId="77777777" w:rsidR="0048172C" w:rsidRDefault="0048172C">
    <w:pPr>
      <w:pStyle w:val="Header"/>
    </w:pPr>
  </w:p>
</w:hdr>
</file>

<file path=word/header5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DE1FB9" w14:textId="77777777" w:rsidR="0048172C" w:rsidRPr="00BD5CFD" w:rsidRDefault="0048172C" w:rsidP="00E96A1D">
    <w:pPr>
      <w:pStyle w:val="Header"/>
      <w:jc w:val="center"/>
      <w:rPr>
        <w:lang w:val="sr-Cyrl-RS"/>
      </w:rPr>
    </w:pPr>
    <w:r w:rsidRPr="00A044BB">
      <w:rPr>
        <w:lang w:val="sr-Cyrl-RS"/>
      </w:rPr>
      <w:t xml:space="preserve">Ревидирана </w:t>
    </w:r>
    <w:r w:rsidRPr="006C57DB">
      <w:rPr>
        <w:lang w:val="sr-Cyrl-RS"/>
      </w:rPr>
      <w:t xml:space="preserve">Фискална </w:t>
    </w:r>
    <w:r w:rsidRPr="000C433F">
      <w:rPr>
        <w:lang w:val="sr-Cyrl-RS"/>
      </w:rPr>
      <w:t>стратегија за 202</w:t>
    </w:r>
    <w:r>
      <w:rPr>
        <w:lang w:val="en-GB"/>
      </w:rPr>
      <w:t>2</w:t>
    </w:r>
    <w:r w:rsidRPr="000C433F">
      <w:rPr>
        <w:lang w:val="sr-Cyrl-RS"/>
      </w:rPr>
      <w:t>. годину са пројекцијама за 202</w:t>
    </w:r>
    <w:r>
      <w:rPr>
        <w:lang w:val="en-GB"/>
      </w:rPr>
      <w:t>3</w:t>
    </w:r>
    <w:r w:rsidRPr="000C433F">
      <w:rPr>
        <w:lang w:val="sr-Cyrl-RS"/>
      </w:rPr>
      <w:t>. и 202</w:t>
    </w:r>
    <w:r>
      <w:rPr>
        <w:lang w:val="en-GB"/>
      </w:rPr>
      <w:t>4</w:t>
    </w:r>
    <w:r w:rsidRPr="000C433F">
      <w:rPr>
        <w:lang w:val="sr-Cyrl-RS"/>
      </w:rPr>
      <w:t>. годину</w:t>
    </w:r>
  </w:p>
</w:hdr>
</file>

<file path=word/header5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975C29" w14:textId="77777777" w:rsidR="0048172C" w:rsidRPr="00BF7F6A" w:rsidRDefault="0048172C" w:rsidP="00BD7EB6">
    <w:pPr>
      <w:pStyle w:val="Header"/>
      <w:jc w:val="center"/>
      <w:rPr>
        <w:lang w:val="sr-Cyrl-RS"/>
      </w:rPr>
    </w:pPr>
    <w:r>
      <w:rPr>
        <w:lang w:val="sr-Cyrl-RS"/>
      </w:rPr>
      <w:t>Фискална стратегија за 2019. годину са пројекцијама за 2020. и 2021. годину</w:t>
    </w:r>
  </w:p>
  <w:p w14:paraId="5AB75D9F" w14:textId="77777777" w:rsidR="0048172C" w:rsidRDefault="0048172C">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613FA8" w14:textId="77777777" w:rsidR="0048172C" w:rsidRPr="0072482F" w:rsidRDefault="0048172C" w:rsidP="00426178">
    <w:pPr>
      <w:pStyle w:val="Header"/>
      <w:jc w:val="center"/>
      <w:rPr>
        <w:lang w:val="sr-Cyrl-RS"/>
      </w:rPr>
    </w:pPr>
    <w:r w:rsidRPr="0072482F">
      <w:rPr>
        <w:lang w:val="sr-Cyrl-RS"/>
      </w:rPr>
      <w:t xml:space="preserve">Ревидирана </w:t>
    </w:r>
    <w:r>
      <w:rPr>
        <w:lang w:val="sr-Cyrl-RS"/>
      </w:rPr>
      <w:t>Фискална стратегија за 202</w:t>
    </w:r>
    <w:r>
      <w:rPr>
        <w:lang w:val="en-GB"/>
      </w:rPr>
      <w:t>2</w:t>
    </w:r>
    <w:r>
      <w:rPr>
        <w:lang w:val="sr-Cyrl-RS"/>
      </w:rPr>
      <w:t>. годину са пројекцијама за 202</w:t>
    </w:r>
    <w:r>
      <w:t>3</w:t>
    </w:r>
    <w:r>
      <w:rPr>
        <w:lang w:val="sr-Cyrl-RS"/>
      </w:rPr>
      <w:t>. и 202</w:t>
    </w:r>
    <w:r>
      <w:t>4</w:t>
    </w:r>
    <w:r>
      <w:rPr>
        <w:lang w:val="sr-Cyrl-RS"/>
      </w:rPr>
      <w:t>. годину</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6290F0" w14:textId="77777777" w:rsidR="0048172C" w:rsidRPr="00BF7F6A" w:rsidRDefault="0048172C" w:rsidP="00BD7EB6">
    <w:pPr>
      <w:pStyle w:val="Header"/>
      <w:jc w:val="center"/>
      <w:rPr>
        <w:lang w:val="sr-Cyrl-RS"/>
      </w:rPr>
    </w:pPr>
    <w:r>
      <w:rPr>
        <w:lang w:val="sr-Cyrl-RS"/>
      </w:rPr>
      <w:t>Фискална стратегија за 2019. годину са пројекцијама за 2020. и 2021. годину</w:t>
    </w:r>
  </w:p>
  <w:p w14:paraId="2C5F0E98" w14:textId="77777777" w:rsidR="0048172C" w:rsidRDefault="0048172C">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D349EB" w14:textId="77777777" w:rsidR="0048172C" w:rsidRPr="00177077" w:rsidRDefault="0048172C" w:rsidP="00B435B3">
    <w:pPr>
      <w:pStyle w:val="Header"/>
      <w:jc w:val="center"/>
      <w:rPr>
        <w:lang w:val="sr-Cyrl-RS"/>
      </w:rPr>
    </w:pPr>
    <w:r w:rsidRPr="006C57DB">
      <w:rPr>
        <w:lang w:val="sr-Cyrl-RS"/>
      </w:rPr>
      <w:t xml:space="preserve">Фискална </w:t>
    </w:r>
    <w:r>
      <w:rPr>
        <w:lang w:val="sr-Cyrl-RS"/>
      </w:rPr>
      <w:t>стратегија за 2020. годину са пројекцијама за 2021. и 2022. годину</w: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A9897D" w14:textId="477D081D" w:rsidR="0048172C" w:rsidRPr="00BF7F6A" w:rsidRDefault="0048172C" w:rsidP="00BF7F6A">
    <w:pPr>
      <w:pStyle w:val="Header"/>
      <w:jc w:val="center"/>
      <w:rPr>
        <w:lang w:val="sr-Cyrl-RS"/>
      </w:rPr>
    </w:pPr>
    <w:r w:rsidRPr="00A044BB">
      <w:rPr>
        <w:lang w:val="sr-Cyrl-RS"/>
      </w:rPr>
      <w:t xml:space="preserve">Ревидирана </w:t>
    </w:r>
    <w:r w:rsidRPr="006C57DB">
      <w:rPr>
        <w:lang w:val="sr-Cyrl-RS"/>
      </w:rPr>
      <w:t xml:space="preserve">Фискална </w:t>
    </w:r>
    <w:r>
      <w:rPr>
        <w:lang w:val="sr-Cyrl-RS"/>
      </w:rPr>
      <w:t>стратегија за 202</w:t>
    </w:r>
    <w:r>
      <w:rPr>
        <w:lang w:val="en-GB"/>
      </w:rPr>
      <w:t>2</w:t>
    </w:r>
    <w:r>
      <w:rPr>
        <w:lang w:val="sr-Cyrl-RS"/>
      </w:rPr>
      <w:t>. годину са пројекцијама за 2023. и 202</w:t>
    </w:r>
    <w:r>
      <w:rPr>
        <w:lang w:val="en-GB"/>
      </w:rPr>
      <w:t>4</w:t>
    </w:r>
    <w:r>
      <w:rPr>
        <w:lang w:val="sr-Cyrl-RS"/>
      </w:rPr>
      <w:t>. годину</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C328B3"/>
    <w:multiLevelType w:val="hybridMultilevel"/>
    <w:tmpl w:val="4B8002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FB2519C"/>
    <w:multiLevelType w:val="hybridMultilevel"/>
    <w:tmpl w:val="14EC1DC0"/>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563264B"/>
    <w:multiLevelType w:val="hybridMultilevel"/>
    <w:tmpl w:val="8FF08668"/>
    <w:lvl w:ilvl="0" w:tplc="281A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57E3294"/>
    <w:multiLevelType w:val="hybridMultilevel"/>
    <w:tmpl w:val="1354E35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5AE57C8"/>
    <w:multiLevelType w:val="hybridMultilevel"/>
    <w:tmpl w:val="97704FAE"/>
    <w:lvl w:ilvl="0" w:tplc="1DFCD06E">
      <w:start w:val="1"/>
      <w:numFmt w:val="bullet"/>
      <w:lvlText w:val=""/>
      <w:lvlJc w:val="left"/>
      <w:pPr>
        <w:ind w:left="720" w:hanging="360"/>
      </w:pPr>
      <w:rPr>
        <w:rFonts w:ascii="Wingdings" w:hAnsi="Wingdings" w:hint="default"/>
        <w:color w:val="44546A" w:themeColor="text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5B575BE"/>
    <w:multiLevelType w:val="hybridMultilevel"/>
    <w:tmpl w:val="8514C64C"/>
    <w:lvl w:ilvl="0" w:tplc="281A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 w15:restartNumberingAfterBreak="0">
    <w:nsid w:val="16196F9C"/>
    <w:multiLevelType w:val="hybridMultilevel"/>
    <w:tmpl w:val="03588D7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360" w:hanging="360"/>
      </w:pPr>
      <w:rPr>
        <w:rFonts w:ascii="Courier New" w:hAnsi="Courier New" w:cs="Courier New" w:hint="default"/>
      </w:rPr>
    </w:lvl>
    <w:lvl w:ilvl="2" w:tplc="04090005" w:tentative="1">
      <w:start w:val="1"/>
      <w:numFmt w:val="bullet"/>
      <w:lvlText w:val=""/>
      <w:lvlJc w:val="left"/>
      <w:pPr>
        <w:ind w:left="1080" w:hanging="360"/>
      </w:pPr>
      <w:rPr>
        <w:rFonts w:ascii="Wingdings" w:hAnsi="Wingdings" w:hint="default"/>
      </w:rPr>
    </w:lvl>
    <w:lvl w:ilvl="3" w:tplc="04090001" w:tentative="1">
      <w:start w:val="1"/>
      <w:numFmt w:val="bullet"/>
      <w:lvlText w:val=""/>
      <w:lvlJc w:val="left"/>
      <w:pPr>
        <w:ind w:left="1800" w:hanging="360"/>
      </w:pPr>
      <w:rPr>
        <w:rFonts w:ascii="Symbol" w:hAnsi="Symbol" w:hint="default"/>
      </w:rPr>
    </w:lvl>
    <w:lvl w:ilvl="4" w:tplc="04090003" w:tentative="1">
      <w:start w:val="1"/>
      <w:numFmt w:val="bullet"/>
      <w:lvlText w:val="o"/>
      <w:lvlJc w:val="left"/>
      <w:pPr>
        <w:ind w:left="2520" w:hanging="360"/>
      </w:pPr>
      <w:rPr>
        <w:rFonts w:ascii="Courier New" w:hAnsi="Courier New" w:cs="Courier New" w:hint="default"/>
      </w:rPr>
    </w:lvl>
    <w:lvl w:ilvl="5" w:tplc="04090005" w:tentative="1">
      <w:start w:val="1"/>
      <w:numFmt w:val="bullet"/>
      <w:lvlText w:val=""/>
      <w:lvlJc w:val="left"/>
      <w:pPr>
        <w:ind w:left="3240" w:hanging="360"/>
      </w:pPr>
      <w:rPr>
        <w:rFonts w:ascii="Wingdings" w:hAnsi="Wingdings" w:hint="default"/>
      </w:rPr>
    </w:lvl>
    <w:lvl w:ilvl="6" w:tplc="04090001" w:tentative="1">
      <w:start w:val="1"/>
      <w:numFmt w:val="bullet"/>
      <w:lvlText w:val=""/>
      <w:lvlJc w:val="left"/>
      <w:pPr>
        <w:ind w:left="3960" w:hanging="360"/>
      </w:pPr>
      <w:rPr>
        <w:rFonts w:ascii="Symbol" w:hAnsi="Symbol" w:hint="default"/>
      </w:rPr>
    </w:lvl>
    <w:lvl w:ilvl="7" w:tplc="04090003" w:tentative="1">
      <w:start w:val="1"/>
      <w:numFmt w:val="bullet"/>
      <w:lvlText w:val="o"/>
      <w:lvlJc w:val="left"/>
      <w:pPr>
        <w:ind w:left="4680" w:hanging="360"/>
      </w:pPr>
      <w:rPr>
        <w:rFonts w:ascii="Courier New" w:hAnsi="Courier New" w:cs="Courier New" w:hint="default"/>
      </w:rPr>
    </w:lvl>
    <w:lvl w:ilvl="8" w:tplc="04090005" w:tentative="1">
      <w:start w:val="1"/>
      <w:numFmt w:val="bullet"/>
      <w:lvlText w:val=""/>
      <w:lvlJc w:val="left"/>
      <w:pPr>
        <w:ind w:left="5400" w:hanging="360"/>
      </w:pPr>
      <w:rPr>
        <w:rFonts w:ascii="Wingdings" w:hAnsi="Wingdings" w:hint="default"/>
      </w:rPr>
    </w:lvl>
  </w:abstractNum>
  <w:abstractNum w:abstractNumId="7" w15:restartNumberingAfterBreak="0">
    <w:nsid w:val="1A7C45D5"/>
    <w:multiLevelType w:val="hybridMultilevel"/>
    <w:tmpl w:val="9756494C"/>
    <w:lvl w:ilvl="0" w:tplc="281A0001">
      <w:start w:val="1"/>
      <w:numFmt w:val="bullet"/>
      <w:lvlText w:val=""/>
      <w:lvlJc w:val="left"/>
      <w:pPr>
        <w:ind w:left="720" w:hanging="360"/>
      </w:pPr>
      <w:rPr>
        <w:rFonts w:ascii="Symbol" w:hAnsi="Symbol" w:hint="default"/>
      </w:rPr>
    </w:lvl>
    <w:lvl w:ilvl="1" w:tplc="281A0003" w:tentative="1">
      <w:start w:val="1"/>
      <w:numFmt w:val="bullet"/>
      <w:lvlText w:val="o"/>
      <w:lvlJc w:val="left"/>
      <w:pPr>
        <w:ind w:left="1440" w:hanging="360"/>
      </w:pPr>
      <w:rPr>
        <w:rFonts w:ascii="Courier New" w:hAnsi="Courier New" w:cs="Courier New" w:hint="default"/>
      </w:rPr>
    </w:lvl>
    <w:lvl w:ilvl="2" w:tplc="281A0005" w:tentative="1">
      <w:start w:val="1"/>
      <w:numFmt w:val="bullet"/>
      <w:lvlText w:val=""/>
      <w:lvlJc w:val="left"/>
      <w:pPr>
        <w:ind w:left="2160" w:hanging="360"/>
      </w:pPr>
      <w:rPr>
        <w:rFonts w:ascii="Wingdings" w:hAnsi="Wingdings" w:hint="default"/>
      </w:rPr>
    </w:lvl>
    <w:lvl w:ilvl="3" w:tplc="281A0001" w:tentative="1">
      <w:start w:val="1"/>
      <w:numFmt w:val="bullet"/>
      <w:lvlText w:val=""/>
      <w:lvlJc w:val="left"/>
      <w:pPr>
        <w:ind w:left="2880" w:hanging="360"/>
      </w:pPr>
      <w:rPr>
        <w:rFonts w:ascii="Symbol" w:hAnsi="Symbol" w:hint="default"/>
      </w:rPr>
    </w:lvl>
    <w:lvl w:ilvl="4" w:tplc="281A0003" w:tentative="1">
      <w:start w:val="1"/>
      <w:numFmt w:val="bullet"/>
      <w:lvlText w:val="o"/>
      <w:lvlJc w:val="left"/>
      <w:pPr>
        <w:ind w:left="3600" w:hanging="360"/>
      </w:pPr>
      <w:rPr>
        <w:rFonts w:ascii="Courier New" w:hAnsi="Courier New" w:cs="Courier New" w:hint="default"/>
      </w:rPr>
    </w:lvl>
    <w:lvl w:ilvl="5" w:tplc="281A0005" w:tentative="1">
      <w:start w:val="1"/>
      <w:numFmt w:val="bullet"/>
      <w:lvlText w:val=""/>
      <w:lvlJc w:val="left"/>
      <w:pPr>
        <w:ind w:left="4320" w:hanging="360"/>
      </w:pPr>
      <w:rPr>
        <w:rFonts w:ascii="Wingdings" w:hAnsi="Wingdings" w:hint="default"/>
      </w:rPr>
    </w:lvl>
    <w:lvl w:ilvl="6" w:tplc="281A0001" w:tentative="1">
      <w:start w:val="1"/>
      <w:numFmt w:val="bullet"/>
      <w:lvlText w:val=""/>
      <w:lvlJc w:val="left"/>
      <w:pPr>
        <w:ind w:left="5040" w:hanging="360"/>
      </w:pPr>
      <w:rPr>
        <w:rFonts w:ascii="Symbol" w:hAnsi="Symbol" w:hint="default"/>
      </w:rPr>
    </w:lvl>
    <w:lvl w:ilvl="7" w:tplc="281A0003" w:tentative="1">
      <w:start w:val="1"/>
      <w:numFmt w:val="bullet"/>
      <w:lvlText w:val="o"/>
      <w:lvlJc w:val="left"/>
      <w:pPr>
        <w:ind w:left="5760" w:hanging="360"/>
      </w:pPr>
      <w:rPr>
        <w:rFonts w:ascii="Courier New" w:hAnsi="Courier New" w:cs="Courier New" w:hint="default"/>
      </w:rPr>
    </w:lvl>
    <w:lvl w:ilvl="8" w:tplc="281A0005" w:tentative="1">
      <w:start w:val="1"/>
      <w:numFmt w:val="bullet"/>
      <w:lvlText w:val=""/>
      <w:lvlJc w:val="left"/>
      <w:pPr>
        <w:ind w:left="6480" w:hanging="360"/>
      </w:pPr>
      <w:rPr>
        <w:rFonts w:ascii="Wingdings" w:hAnsi="Wingdings" w:hint="default"/>
      </w:rPr>
    </w:lvl>
  </w:abstractNum>
  <w:abstractNum w:abstractNumId="8" w15:restartNumberingAfterBreak="0">
    <w:nsid w:val="1AA27DE4"/>
    <w:multiLevelType w:val="hybridMultilevel"/>
    <w:tmpl w:val="FA80B2E8"/>
    <w:lvl w:ilvl="0" w:tplc="71B0D9DA">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F077B37"/>
    <w:multiLevelType w:val="hybridMultilevel"/>
    <w:tmpl w:val="81503CA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0BA37CC"/>
    <w:multiLevelType w:val="hybridMultilevel"/>
    <w:tmpl w:val="BA2A7E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0FA5E91"/>
    <w:multiLevelType w:val="hybridMultilevel"/>
    <w:tmpl w:val="5DF4BD48"/>
    <w:lvl w:ilvl="0" w:tplc="04090005">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26640D2D"/>
    <w:multiLevelType w:val="hybridMultilevel"/>
    <w:tmpl w:val="B7501ECE"/>
    <w:lvl w:ilvl="0" w:tplc="06960124">
      <w:start w:val="1"/>
      <w:numFmt w:val="decimal"/>
      <w:lvlText w:val="%1)"/>
      <w:lvlJc w:val="left"/>
      <w:pPr>
        <w:ind w:left="2160" w:hanging="360"/>
      </w:pPr>
      <w:rPr>
        <w:rFonts w:ascii="Cambria" w:eastAsia="Times New Roman" w:hAnsi="Cambria" w:cs="Tahoma" w:hint="default"/>
      </w:rPr>
    </w:lvl>
    <w:lvl w:ilvl="1" w:tplc="04090019">
      <w:start w:val="1"/>
      <w:numFmt w:val="lowerLetter"/>
      <w:lvlText w:val="%2."/>
      <w:lvlJc w:val="left"/>
      <w:pPr>
        <w:ind w:left="2880" w:hanging="360"/>
      </w:pPr>
    </w:lvl>
    <w:lvl w:ilvl="2" w:tplc="0409001B">
      <w:start w:val="1"/>
      <w:numFmt w:val="lowerRoman"/>
      <w:lvlText w:val="%3."/>
      <w:lvlJc w:val="right"/>
      <w:pPr>
        <w:ind w:left="3600" w:hanging="180"/>
      </w:pPr>
    </w:lvl>
    <w:lvl w:ilvl="3" w:tplc="0409000F">
      <w:start w:val="1"/>
      <w:numFmt w:val="decimal"/>
      <w:lvlText w:val="%4."/>
      <w:lvlJc w:val="left"/>
      <w:pPr>
        <w:ind w:left="4320" w:hanging="360"/>
      </w:pPr>
    </w:lvl>
    <w:lvl w:ilvl="4" w:tplc="04090019">
      <w:start w:val="1"/>
      <w:numFmt w:val="lowerLetter"/>
      <w:lvlText w:val="%5."/>
      <w:lvlJc w:val="left"/>
      <w:pPr>
        <w:ind w:left="5040" w:hanging="360"/>
      </w:pPr>
    </w:lvl>
    <w:lvl w:ilvl="5" w:tplc="0409001B">
      <w:start w:val="1"/>
      <w:numFmt w:val="lowerRoman"/>
      <w:lvlText w:val="%6."/>
      <w:lvlJc w:val="right"/>
      <w:pPr>
        <w:ind w:left="5760" w:hanging="180"/>
      </w:pPr>
    </w:lvl>
    <w:lvl w:ilvl="6" w:tplc="0409000F">
      <w:start w:val="1"/>
      <w:numFmt w:val="decimal"/>
      <w:lvlText w:val="%7."/>
      <w:lvlJc w:val="left"/>
      <w:pPr>
        <w:ind w:left="6480" w:hanging="360"/>
      </w:pPr>
    </w:lvl>
    <w:lvl w:ilvl="7" w:tplc="04090019">
      <w:start w:val="1"/>
      <w:numFmt w:val="lowerLetter"/>
      <w:lvlText w:val="%8."/>
      <w:lvlJc w:val="left"/>
      <w:pPr>
        <w:ind w:left="7200" w:hanging="360"/>
      </w:pPr>
    </w:lvl>
    <w:lvl w:ilvl="8" w:tplc="0409001B">
      <w:start w:val="1"/>
      <w:numFmt w:val="lowerRoman"/>
      <w:lvlText w:val="%9."/>
      <w:lvlJc w:val="right"/>
      <w:pPr>
        <w:ind w:left="7920" w:hanging="180"/>
      </w:pPr>
    </w:lvl>
  </w:abstractNum>
  <w:abstractNum w:abstractNumId="13" w15:restartNumberingAfterBreak="0">
    <w:nsid w:val="269A237E"/>
    <w:multiLevelType w:val="hybridMultilevel"/>
    <w:tmpl w:val="E87A5076"/>
    <w:lvl w:ilvl="0" w:tplc="EF2AD8AC">
      <w:start w:val="7"/>
      <w:numFmt w:val="bullet"/>
      <w:lvlText w:val=""/>
      <w:lvlJc w:val="left"/>
      <w:pPr>
        <w:ind w:left="720" w:hanging="360"/>
      </w:pPr>
      <w:rPr>
        <w:rFonts w:ascii="Symbol" w:eastAsia="Calibri" w:hAnsi="Symbol"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87E3366"/>
    <w:multiLevelType w:val="hybridMultilevel"/>
    <w:tmpl w:val="4434073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5" w15:restartNumberingAfterBreak="0">
    <w:nsid w:val="29E336EA"/>
    <w:multiLevelType w:val="hybridMultilevel"/>
    <w:tmpl w:val="F5A8EA88"/>
    <w:lvl w:ilvl="0" w:tplc="5252804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311B23A4"/>
    <w:multiLevelType w:val="hybridMultilevel"/>
    <w:tmpl w:val="0F4E72EE"/>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 w15:restartNumberingAfterBreak="0">
    <w:nsid w:val="357B7631"/>
    <w:multiLevelType w:val="hybridMultilevel"/>
    <w:tmpl w:val="68EE0AFC"/>
    <w:lvl w:ilvl="0" w:tplc="A278813C">
      <w:numFmt w:val="bullet"/>
      <w:lvlText w:val=""/>
      <w:lvlJc w:val="left"/>
      <w:pPr>
        <w:ind w:left="720" w:hanging="360"/>
      </w:pPr>
      <w:rPr>
        <w:rFonts w:ascii="Symbol" w:eastAsiaTheme="minorHAnsi" w:hAnsi="Symbol" w:cstheme="minorHAnsi" w:hint="default"/>
      </w:rPr>
    </w:lvl>
    <w:lvl w:ilvl="1" w:tplc="281A0003" w:tentative="1">
      <w:start w:val="1"/>
      <w:numFmt w:val="bullet"/>
      <w:lvlText w:val="o"/>
      <w:lvlJc w:val="left"/>
      <w:pPr>
        <w:ind w:left="1440" w:hanging="360"/>
      </w:pPr>
      <w:rPr>
        <w:rFonts w:ascii="Courier New" w:hAnsi="Courier New" w:cs="Courier New" w:hint="default"/>
      </w:rPr>
    </w:lvl>
    <w:lvl w:ilvl="2" w:tplc="281A0005" w:tentative="1">
      <w:start w:val="1"/>
      <w:numFmt w:val="bullet"/>
      <w:lvlText w:val=""/>
      <w:lvlJc w:val="left"/>
      <w:pPr>
        <w:ind w:left="2160" w:hanging="360"/>
      </w:pPr>
      <w:rPr>
        <w:rFonts w:ascii="Wingdings" w:hAnsi="Wingdings" w:hint="default"/>
      </w:rPr>
    </w:lvl>
    <w:lvl w:ilvl="3" w:tplc="281A0001" w:tentative="1">
      <w:start w:val="1"/>
      <w:numFmt w:val="bullet"/>
      <w:lvlText w:val=""/>
      <w:lvlJc w:val="left"/>
      <w:pPr>
        <w:ind w:left="2880" w:hanging="360"/>
      </w:pPr>
      <w:rPr>
        <w:rFonts w:ascii="Symbol" w:hAnsi="Symbol" w:hint="default"/>
      </w:rPr>
    </w:lvl>
    <w:lvl w:ilvl="4" w:tplc="281A0003" w:tentative="1">
      <w:start w:val="1"/>
      <w:numFmt w:val="bullet"/>
      <w:lvlText w:val="o"/>
      <w:lvlJc w:val="left"/>
      <w:pPr>
        <w:ind w:left="3600" w:hanging="360"/>
      </w:pPr>
      <w:rPr>
        <w:rFonts w:ascii="Courier New" w:hAnsi="Courier New" w:cs="Courier New" w:hint="default"/>
      </w:rPr>
    </w:lvl>
    <w:lvl w:ilvl="5" w:tplc="281A0005" w:tentative="1">
      <w:start w:val="1"/>
      <w:numFmt w:val="bullet"/>
      <w:lvlText w:val=""/>
      <w:lvlJc w:val="left"/>
      <w:pPr>
        <w:ind w:left="4320" w:hanging="360"/>
      </w:pPr>
      <w:rPr>
        <w:rFonts w:ascii="Wingdings" w:hAnsi="Wingdings" w:hint="default"/>
      </w:rPr>
    </w:lvl>
    <w:lvl w:ilvl="6" w:tplc="281A0001" w:tentative="1">
      <w:start w:val="1"/>
      <w:numFmt w:val="bullet"/>
      <w:lvlText w:val=""/>
      <w:lvlJc w:val="left"/>
      <w:pPr>
        <w:ind w:left="5040" w:hanging="360"/>
      </w:pPr>
      <w:rPr>
        <w:rFonts w:ascii="Symbol" w:hAnsi="Symbol" w:hint="default"/>
      </w:rPr>
    </w:lvl>
    <w:lvl w:ilvl="7" w:tplc="281A0003" w:tentative="1">
      <w:start w:val="1"/>
      <w:numFmt w:val="bullet"/>
      <w:lvlText w:val="o"/>
      <w:lvlJc w:val="left"/>
      <w:pPr>
        <w:ind w:left="5760" w:hanging="360"/>
      </w:pPr>
      <w:rPr>
        <w:rFonts w:ascii="Courier New" w:hAnsi="Courier New" w:cs="Courier New" w:hint="default"/>
      </w:rPr>
    </w:lvl>
    <w:lvl w:ilvl="8" w:tplc="281A0005" w:tentative="1">
      <w:start w:val="1"/>
      <w:numFmt w:val="bullet"/>
      <w:lvlText w:val=""/>
      <w:lvlJc w:val="left"/>
      <w:pPr>
        <w:ind w:left="6480" w:hanging="360"/>
      </w:pPr>
      <w:rPr>
        <w:rFonts w:ascii="Wingdings" w:hAnsi="Wingdings" w:hint="default"/>
      </w:rPr>
    </w:lvl>
  </w:abstractNum>
  <w:abstractNum w:abstractNumId="18" w15:restartNumberingAfterBreak="0">
    <w:nsid w:val="364818FA"/>
    <w:multiLevelType w:val="hybridMultilevel"/>
    <w:tmpl w:val="B3DEF552"/>
    <w:lvl w:ilvl="0" w:tplc="F05C964E">
      <w:start w:val="6"/>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B5F6A1A"/>
    <w:multiLevelType w:val="hybridMultilevel"/>
    <w:tmpl w:val="6358C0B2"/>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3F974621"/>
    <w:multiLevelType w:val="hybridMultilevel"/>
    <w:tmpl w:val="3D1E1176"/>
    <w:lvl w:ilvl="0" w:tplc="04090005">
      <w:start w:val="1"/>
      <w:numFmt w:val="bullet"/>
      <w:lvlText w:val=""/>
      <w:lvlJc w:val="left"/>
      <w:pPr>
        <w:ind w:left="720" w:hanging="360"/>
      </w:pPr>
      <w:rPr>
        <w:rFonts w:ascii="Wingdings" w:hAnsi="Wingdings" w:hint="default"/>
      </w:rPr>
    </w:lvl>
    <w:lvl w:ilvl="1" w:tplc="04090005">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3817CF4"/>
    <w:multiLevelType w:val="hybridMultilevel"/>
    <w:tmpl w:val="BBAC369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4467C91"/>
    <w:multiLevelType w:val="hybridMultilevel"/>
    <w:tmpl w:val="9DAA1384"/>
    <w:lvl w:ilvl="0" w:tplc="1D3E2152">
      <w:start w:val="7"/>
      <w:numFmt w:val="bullet"/>
      <w:lvlText w:val=""/>
      <w:lvlJc w:val="left"/>
      <w:pPr>
        <w:ind w:left="720" w:hanging="360"/>
      </w:pPr>
      <w:rPr>
        <w:rFonts w:ascii="Symbol" w:eastAsia="Calibri" w:hAnsi="Symbol"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5463FD0"/>
    <w:multiLevelType w:val="hybridMultilevel"/>
    <w:tmpl w:val="8F8C832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47107BC8"/>
    <w:multiLevelType w:val="hybridMultilevel"/>
    <w:tmpl w:val="0DBA091E"/>
    <w:lvl w:ilvl="0" w:tplc="0988F754">
      <w:start w:val="5"/>
      <w:numFmt w:val="bullet"/>
      <w:lvlText w:val="-"/>
      <w:lvlJc w:val="left"/>
      <w:pPr>
        <w:ind w:left="720" w:hanging="360"/>
      </w:pPr>
      <w:rPr>
        <w:rFonts w:ascii="Arial" w:eastAsia="Times New Roman" w:hAnsi="Arial" w:cs="Arial" w:hint="default"/>
        <w:b w:val="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49E10CE8"/>
    <w:multiLevelType w:val="hybridMultilevel"/>
    <w:tmpl w:val="2EA86312"/>
    <w:lvl w:ilvl="0" w:tplc="3C18CB6A">
      <w:start w:val="6"/>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D6972A3"/>
    <w:multiLevelType w:val="hybridMultilevel"/>
    <w:tmpl w:val="3750566E"/>
    <w:lvl w:ilvl="0" w:tplc="04090005">
      <w:start w:val="1"/>
      <w:numFmt w:val="bullet"/>
      <w:lvlText w:val=""/>
      <w:lvlJc w:val="left"/>
      <w:pPr>
        <w:ind w:left="1077" w:hanging="360"/>
      </w:pPr>
      <w:rPr>
        <w:rFonts w:ascii="Wingdings" w:hAnsi="Wingdings" w:hint="default"/>
      </w:rPr>
    </w:lvl>
    <w:lvl w:ilvl="1" w:tplc="04090003">
      <w:start w:val="1"/>
      <w:numFmt w:val="bullet"/>
      <w:lvlText w:val="o"/>
      <w:lvlJc w:val="left"/>
      <w:pPr>
        <w:ind w:left="1797" w:hanging="360"/>
      </w:pPr>
      <w:rPr>
        <w:rFonts w:ascii="Courier New" w:hAnsi="Courier New" w:cs="Courier New" w:hint="default"/>
      </w:rPr>
    </w:lvl>
    <w:lvl w:ilvl="2" w:tplc="04090005">
      <w:start w:val="1"/>
      <w:numFmt w:val="bullet"/>
      <w:lvlText w:val=""/>
      <w:lvlJc w:val="left"/>
      <w:pPr>
        <w:ind w:left="2517" w:hanging="360"/>
      </w:pPr>
      <w:rPr>
        <w:rFonts w:ascii="Wingdings" w:hAnsi="Wingdings" w:hint="default"/>
      </w:rPr>
    </w:lvl>
    <w:lvl w:ilvl="3" w:tplc="04090001">
      <w:start w:val="1"/>
      <w:numFmt w:val="bullet"/>
      <w:lvlText w:val=""/>
      <w:lvlJc w:val="left"/>
      <w:pPr>
        <w:ind w:left="3237" w:hanging="360"/>
      </w:pPr>
      <w:rPr>
        <w:rFonts w:ascii="Symbol" w:hAnsi="Symbol" w:hint="default"/>
      </w:rPr>
    </w:lvl>
    <w:lvl w:ilvl="4" w:tplc="04090003">
      <w:start w:val="1"/>
      <w:numFmt w:val="bullet"/>
      <w:lvlText w:val="o"/>
      <w:lvlJc w:val="left"/>
      <w:pPr>
        <w:ind w:left="3957" w:hanging="360"/>
      </w:pPr>
      <w:rPr>
        <w:rFonts w:ascii="Courier New" w:hAnsi="Courier New" w:cs="Courier New" w:hint="default"/>
      </w:rPr>
    </w:lvl>
    <w:lvl w:ilvl="5" w:tplc="04090005">
      <w:start w:val="1"/>
      <w:numFmt w:val="bullet"/>
      <w:lvlText w:val=""/>
      <w:lvlJc w:val="left"/>
      <w:pPr>
        <w:ind w:left="4677" w:hanging="360"/>
      </w:pPr>
      <w:rPr>
        <w:rFonts w:ascii="Wingdings" w:hAnsi="Wingdings" w:hint="default"/>
      </w:rPr>
    </w:lvl>
    <w:lvl w:ilvl="6" w:tplc="04090001">
      <w:start w:val="1"/>
      <w:numFmt w:val="bullet"/>
      <w:lvlText w:val=""/>
      <w:lvlJc w:val="left"/>
      <w:pPr>
        <w:ind w:left="5397" w:hanging="360"/>
      </w:pPr>
      <w:rPr>
        <w:rFonts w:ascii="Symbol" w:hAnsi="Symbol" w:hint="default"/>
      </w:rPr>
    </w:lvl>
    <w:lvl w:ilvl="7" w:tplc="04090003">
      <w:start w:val="1"/>
      <w:numFmt w:val="bullet"/>
      <w:lvlText w:val="o"/>
      <w:lvlJc w:val="left"/>
      <w:pPr>
        <w:ind w:left="6117" w:hanging="360"/>
      </w:pPr>
      <w:rPr>
        <w:rFonts w:ascii="Courier New" w:hAnsi="Courier New" w:cs="Courier New" w:hint="default"/>
      </w:rPr>
    </w:lvl>
    <w:lvl w:ilvl="8" w:tplc="04090005">
      <w:start w:val="1"/>
      <w:numFmt w:val="bullet"/>
      <w:lvlText w:val=""/>
      <w:lvlJc w:val="left"/>
      <w:pPr>
        <w:ind w:left="6837" w:hanging="360"/>
      </w:pPr>
      <w:rPr>
        <w:rFonts w:ascii="Wingdings" w:hAnsi="Wingdings" w:hint="default"/>
      </w:rPr>
    </w:lvl>
  </w:abstractNum>
  <w:abstractNum w:abstractNumId="27" w15:restartNumberingAfterBreak="0">
    <w:nsid w:val="4E321928"/>
    <w:multiLevelType w:val="hybridMultilevel"/>
    <w:tmpl w:val="7D3273FE"/>
    <w:lvl w:ilvl="0" w:tplc="04090005">
      <w:start w:val="1"/>
      <w:numFmt w:val="bullet"/>
      <w:lvlText w:val=""/>
      <w:lvlJc w:val="left"/>
      <w:pPr>
        <w:ind w:left="1797" w:hanging="360"/>
      </w:pPr>
      <w:rPr>
        <w:rFonts w:ascii="Wingdings" w:hAnsi="Wingdings" w:hint="default"/>
      </w:rPr>
    </w:lvl>
    <w:lvl w:ilvl="1" w:tplc="04090003">
      <w:start w:val="1"/>
      <w:numFmt w:val="bullet"/>
      <w:lvlText w:val="o"/>
      <w:lvlJc w:val="left"/>
      <w:pPr>
        <w:ind w:left="2517" w:hanging="360"/>
      </w:pPr>
      <w:rPr>
        <w:rFonts w:ascii="Courier New" w:hAnsi="Courier New" w:cs="Courier New" w:hint="default"/>
      </w:rPr>
    </w:lvl>
    <w:lvl w:ilvl="2" w:tplc="04090005">
      <w:start w:val="1"/>
      <w:numFmt w:val="bullet"/>
      <w:lvlText w:val=""/>
      <w:lvlJc w:val="left"/>
      <w:pPr>
        <w:ind w:left="3237" w:hanging="360"/>
      </w:pPr>
      <w:rPr>
        <w:rFonts w:ascii="Wingdings" w:hAnsi="Wingdings" w:hint="default"/>
      </w:rPr>
    </w:lvl>
    <w:lvl w:ilvl="3" w:tplc="04090001">
      <w:start w:val="1"/>
      <w:numFmt w:val="bullet"/>
      <w:lvlText w:val=""/>
      <w:lvlJc w:val="left"/>
      <w:pPr>
        <w:ind w:left="3957" w:hanging="360"/>
      </w:pPr>
      <w:rPr>
        <w:rFonts w:ascii="Symbol" w:hAnsi="Symbol" w:hint="default"/>
      </w:rPr>
    </w:lvl>
    <w:lvl w:ilvl="4" w:tplc="04090003">
      <w:start w:val="1"/>
      <w:numFmt w:val="bullet"/>
      <w:lvlText w:val="o"/>
      <w:lvlJc w:val="left"/>
      <w:pPr>
        <w:ind w:left="4677" w:hanging="360"/>
      </w:pPr>
      <w:rPr>
        <w:rFonts w:ascii="Courier New" w:hAnsi="Courier New" w:cs="Courier New" w:hint="default"/>
      </w:rPr>
    </w:lvl>
    <w:lvl w:ilvl="5" w:tplc="04090005">
      <w:start w:val="1"/>
      <w:numFmt w:val="bullet"/>
      <w:lvlText w:val=""/>
      <w:lvlJc w:val="left"/>
      <w:pPr>
        <w:ind w:left="5397" w:hanging="360"/>
      </w:pPr>
      <w:rPr>
        <w:rFonts w:ascii="Wingdings" w:hAnsi="Wingdings" w:hint="default"/>
      </w:rPr>
    </w:lvl>
    <w:lvl w:ilvl="6" w:tplc="04090001">
      <w:start w:val="1"/>
      <w:numFmt w:val="bullet"/>
      <w:lvlText w:val=""/>
      <w:lvlJc w:val="left"/>
      <w:pPr>
        <w:ind w:left="6117" w:hanging="360"/>
      </w:pPr>
      <w:rPr>
        <w:rFonts w:ascii="Symbol" w:hAnsi="Symbol" w:hint="default"/>
      </w:rPr>
    </w:lvl>
    <w:lvl w:ilvl="7" w:tplc="04090003">
      <w:start w:val="1"/>
      <w:numFmt w:val="bullet"/>
      <w:lvlText w:val="o"/>
      <w:lvlJc w:val="left"/>
      <w:pPr>
        <w:ind w:left="6837" w:hanging="360"/>
      </w:pPr>
      <w:rPr>
        <w:rFonts w:ascii="Courier New" w:hAnsi="Courier New" w:cs="Courier New" w:hint="default"/>
      </w:rPr>
    </w:lvl>
    <w:lvl w:ilvl="8" w:tplc="04090005">
      <w:start w:val="1"/>
      <w:numFmt w:val="bullet"/>
      <w:lvlText w:val=""/>
      <w:lvlJc w:val="left"/>
      <w:pPr>
        <w:ind w:left="7557" w:hanging="360"/>
      </w:pPr>
      <w:rPr>
        <w:rFonts w:ascii="Wingdings" w:hAnsi="Wingdings" w:hint="default"/>
      </w:rPr>
    </w:lvl>
  </w:abstractNum>
  <w:abstractNum w:abstractNumId="28" w15:restartNumberingAfterBreak="0">
    <w:nsid w:val="510620D3"/>
    <w:multiLevelType w:val="hybridMultilevel"/>
    <w:tmpl w:val="0D62EB36"/>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1296732"/>
    <w:multiLevelType w:val="hybridMultilevel"/>
    <w:tmpl w:val="50008634"/>
    <w:lvl w:ilvl="0" w:tplc="08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4592C15"/>
    <w:multiLevelType w:val="hybridMultilevel"/>
    <w:tmpl w:val="CC3CD6FE"/>
    <w:lvl w:ilvl="0" w:tplc="04090005">
      <w:start w:val="1"/>
      <w:numFmt w:val="bullet"/>
      <w:lvlText w:val=""/>
      <w:lvlJc w:val="left"/>
      <w:pPr>
        <w:ind w:left="720" w:hanging="360"/>
      </w:pPr>
      <w:rPr>
        <w:rFonts w:ascii="Wingdings" w:hAnsi="Wingdings" w:hint="default"/>
      </w:rPr>
    </w:lvl>
    <w:lvl w:ilvl="1" w:tplc="04090005">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C003055"/>
    <w:multiLevelType w:val="hybridMultilevel"/>
    <w:tmpl w:val="DB8ACF72"/>
    <w:lvl w:ilvl="0" w:tplc="04090005">
      <w:start w:val="1"/>
      <w:numFmt w:val="bullet"/>
      <w:lvlText w:val=""/>
      <w:lvlJc w:val="left"/>
      <w:pPr>
        <w:ind w:left="720" w:hanging="360"/>
      </w:pPr>
      <w:rPr>
        <w:rFonts w:ascii="Wingdings" w:hAnsi="Wingdings" w:hint="default"/>
      </w:rPr>
    </w:lvl>
    <w:lvl w:ilvl="1" w:tplc="CE94C130">
      <w:start w:val="6"/>
      <w:numFmt w:val="bullet"/>
      <w:lvlText w:val="•"/>
      <w:lvlJc w:val="left"/>
      <w:pPr>
        <w:ind w:left="1440" w:hanging="360"/>
      </w:pPr>
      <w:rPr>
        <w:rFonts w:ascii="Calibri" w:eastAsiaTheme="minorHAnsi" w:hAnsi="Calibri" w:cs="Calibr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D717A3C"/>
    <w:multiLevelType w:val="hybridMultilevel"/>
    <w:tmpl w:val="4498CBF0"/>
    <w:lvl w:ilvl="0" w:tplc="1DFCD06E">
      <w:start w:val="1"/>
      <w:numFmt w:val="bullet"/>
      <w:lvlText w:val=""/>
      <w:lvlJc w:val="left"/>
      <w:pPr>
        <w:ind w:left="720" w:hanging="360"/>
      </w:pPr>
      <w:rPr>
        <w:rFonts w:ascii="Wingdings" w:hAnsi="Wingdings" w:hint="default"/>
        <w:color w:val="44546A" w:themeColor="text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D88702A"/>
    <w:multiLevelType w:val="hybridMultilevel"/>
    <w:tmpl w:val="A712D11E"/>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4" w15:restartNumberingAfterBreak="0">
    <w:nsid w:val="61597092"/>
    <w:multiLevelType w:val="hybridMultilevel"/>
    <w:tmpl w:val="DD583D30"/>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25939ED"/>
    <w:multiLevelType w:val="hybridMultilevel"/>
    <w:tmpl w:val="F9640B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5FD5C5B"/>
    <w:multiLevelType w:val="hybridMultilevel"/>
    <w:tmpl w:val="A216C010"/>
    <w:lvl w:ilvl="0" w:tplc="1DFCD06E">
      <w:start w:val="1"/>
      <w:numFmt w:val="bullet"/>
      <w:lvlText w:val=""/>
      <w:lvlJc w:val="left"/>
      <w:pPr>
        <w:ind w:left="720" w:hanging="360"/>
      </w:pPr>
      <w:rPr>
        <w:rFonts w:ascii="Wingdings" w:hAnsi="Wingdings" w:hint="default"/>
        <w:color w:val="44546A" w:themeColor="text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8A2577D"/>
    <w:multiLevelType w:val="hybridMultilevel"/>
    <w:tmpl w:val="4886BC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AA75434"/>
    <w:multiLevelType w:val="hybridMultilevel"/>
    <w:tmpl w:val="1F682A80"/>
    <w:lvl w:ilvl="0" w:tplc="1DFCD06E">
      <w:start w:val="1"/>
      <w:numFmt w:val="bullet"/>
      <w:lvlText w:val=""/>
      <w:lvlJc w:val="left"/>
      <w:pPr>
        <w:ind w:left="720" w:hanging="360"/>
      </w:pPr>
      <w:rPr>
        <w:rFonts w:ascii="Wingdings" w:hAnsi="Wingdings" w:hint="default"/>
        <w:color w:val="44546A" w:themeColor="text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BD6519D"/>
    <w:multiLevelType w:val="hybridMultilevel"/>
    <w:tmpl w:val="885EE6C6"/>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CE846ED"/>
    <w:multiLevelType w:val="hybridMultilevel"/>
    <w:tmpl w:val="7B084E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F667808"/>
    <w:multiLevelType w:val="hybridMultilevel"/>
    <w:tmpl w:val="38E0640C"/>
    <w:lvl w:ilvl="0" w:tplc="04090005">
      <w:start w:val="1"/>
      <w:numFmt w:val="bullet"/>
      <w:lvlText w:val=""/>
      <w:lvlJc w:val="left"/>
      <w:pPr>
        <w:ind w:left="720" w:hanging="360"/>
      </w:pPr>
      <w:rPr>
        <w:rFonts w:ascii="Wingdings" w:hAnsi="Wingdings" w:hint="default"/>
      </w:rPr>
    </w:lvl>
    <w:lvl w:ilvl="1" w:tplc="04090005">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4430566"/>
    <w:multiLevelType w:val="hybridMultilevel"/>
    <w:tmpl w:val="8BBC2DA0"/>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744B4078"/>
    <w:multiLevelType w:val="hybridMultilevel"/>
    <w:tmpl w:val="E1122C1A"/>
    <w:lvl w:ilvl="0" w:tplc="04090005">
      <w:start w:val="1"/>
      <w:numFmt w:val="bullet"/>
      <w:lvlText w:val=""/>
      <w:lvlJc w:val="left"/>
      <w:pPr>
        <w:ind w:left="720" w:hanging="360"/>
      </w:pPr>
      <w:rPr>
        <w:rFonts w:ascii="Wingdings" w:hAnsi="Wingdings" w:hint="default"/>
      </w:rPr>
    </w:lvl>
    <w:lvl w:ilvl="1" w:tplc="04090005">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4B74E8F"/>
    <w:multiLevelType w:val="hybridMultilevel"/>
    <w:tmpl w:val="335221A4"/>
    <w:lvl w:ilvl="0" w:tplc="04090005">
      <w:start w:val="1"/>
      <w:numFmt w:val="bullet"/>
      <w:lvlText w:val=""/>
      <w:lvlJc w:val="left"/>
      <w:pPr>
        <w:ind w:left="720" w:hanging="360"/>
      </w:pPr>
      <w:rPr>
        <w:rFonts w:ascii="Wingdings" w:hAnsi="Wingdings" w:hint="default"/>
      </w:rPr>
    </w:lvl>
    <w:lvl w:ilvl="1" w:tplc="04090005">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78869C2"/>
    <w:multiLevelType w:val="hybridMultilevel"/>
    <w:tmpl w:val="F64093A4"/>
    <w:lvl w:ilvl="0" w:tplc="04090005">
      <w:start w:val="1"/>
      <w:numFmt w:val="bullet"/>
      <w:lvlText w:val=""/>
      <w:lvlJc w:val="left"/>
      <w:pPr>
        <w:ind w:left="720" w:hanging="360"/>
      </w:pPr>
      <w:rPr>
        <w:rFonts w:ascii="Wingdings" w:hAnsi="Wingdings" w:hint="default"/>
      </w:rPr>
    </w:lvl>
    <w:lvl w:ilvl="1" w:tplc="8828E634">
      <w:start w:val="6"/>
      <w:numFmt w:val="bullet"/>
      <w:lvlText w:val="•"/>
      <w:lvlJc w:val="left"/>
      <w:pPr>
        <w:ind w:left="1440" w:hanging="360"/>
      </w:pPr>
      <w:rPr>
        <w:rFonts w:ascii="Calibri" w:eastAsiaTheme="minorHAnsi" w:hAnsi="Calibri" w:cs="Calibr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8965A39"/>
    <w:multiLevelType w:val="hybridMultilevel"/>
    <w:tmpl w:val="2056D5E8"/>
    <w:lvl w:ilvl="0" w:tplc="281A0001">
      <w:start w:val="1"/>
      <w:numFmt w:val="bullet"/>
      <w:lvlText w:val=""/>
      <w:lvlJc w:val="left"/>
      <w:pPr>
        <w:ind w:left="720" w:hanging="360"/>
      </w:pPr>
      <w:rPr>
        <w:rFonts w:ascii="Symbol" w:hAnsi="Symbol" w:hint="default"/>
      </w:rPr>
    </w:lvl>
    <w:lvl w:ilvl="1" w:tplc="281A0003" w:tentative="1">
      <w:start w:val="1"/>
      <w:numFmt w:val="bullet"/>
      <w:lvlText w:val="o"/>
      <w:lvlJc w:val="left"/>
      <w:pPr>
        <w:ind w:left="1440" w:hanging="360"/>
      </w:pPr>
      <w:rPr>
        <w:rFonts w:ascii="Courier New" w:hAnsi="Courier New" w:cs="Courier New" w:hint="default"/>
      </w:rPr>
    </w:lvl>
    <w:lvl w:ilvl="2" w:tplc="281A0005" w:tentative="1">
      <w:start w:val="1"/>
      <w:numFmt w:val="bullet"/>
      <w:lvlText w:val=""/>
      <w:lvlJc w:val="left"/>
      <w:pPr>
        <w:ind w:left="2160" w:hanging="360"/>
      </w:pPr>
      <w:rPr>
        <w:rFonts w:ascii="Wingdings" w:hAnsi="Wingdings" w:hint="default"/>
      </w:rPr>
    </w:lvl>
    <w:lvl w:ilvl="3" w:tplc="281A0001" w:tentative="1">
      <w:start w:val="1"/>
      <w:numFmt w:val="bullet"/>
      <w:lvlText w:val=""/>
      <w:lvlJc w:val="left"/>
      <w:pPr>
        <w:ind w:left="2880" w:hanging="360"/>
      </w:pPr>
      <w:rPr>
        <w:rFonts w:ascii="Symbol" w:hAnsi="Symbol" w:hint="default"/>
      </w:rPr>
    </w:lvl>
    <w:lvl w:ilvl="4" w:tplc="281A0003" w:tentative="1">
      <w:start w:val="1"/>
      <w:numFmt w:val="bullet"/>
      <w:lvlText w:val="o"/>
      <w:lvlJc w:val="left"/>
      <w:pPr>
        <w:ind w:left="3600" w:hanging="360"/>
      </w:pPr>
      <w:rPr>
        <w:rFonts w:ascii="Courier New" w:hAnsi="Courier New" w:cs="Courier New" w:hint="default"/>
      </w:rPr>
    </w:lvl>
    <w:lvl w:ilvl="5" w:tplc="281A0005" w:tentative="1">
      <w:start w:val="1"/>
      <w:numFmt w:val="bullet"/>
      <w:lvlText w:val=""/>
      <w:lvlJc w:val="left"/>
      <w:pPr>
        <w:ind w:left="4320" w:hanging="360"/>
      </w:pPr>
      <w:rPr>
        <w:rFonts w:ascii="Wingdings" w:hAnsi="Wingdings" w:hint="default"/>
      </w:rPr>
    </w:lvl>
    <w:lvl w:ilvl="6" w:tplc="281A0001" w:tentative="1">
      <w:start w:val="1"/>
      <w:numFmt w:val="bullet"/>
      <w:lvlText w:val=""/>
      <w:lvlJc w:val="left"/>
      <w:pPr>
        <w:ind w:left="5040" w:hanging="360"/>
      </w:pPr>
      <w:rPr>
        <w:rFonts w:ascii="Symbol" w:hAnsi="Symbol" w:hint="default"/>
      </w:rPr>
    </w:lvl>
    <w:lvl w:ilvl="7" w:tplc="281A0003" w:tentative="1">
      <w:start w:val="1"/>
      <w:numFmt w:val="bullet"/>
      <w:lvlText w:val="o"/>
      <w:lvlJc w:val="left"/>
      <w:pPr>
        <w:ind w:left="5760" w:hanging="360"/>
      </w:pPr>
      <w:rPr>
        <w:rFonts w:ascii="Courier New" w:hAnsi="Courier New" w:cs="Courier New" w:hint="default"/>
      </w:rPr>
    </w:lvl>
    <w:lvl w:ilvl="8" w:tplc="281A0005" w:tentative="1">
      <w:start w:val="1"/>
      <w:numFmt w:val="bullet"/>
      <w:lvlText w:val=""/>
      <w:lvlJc w:val="left"/>
      <w:pPr>
        <w:ind w:left="6480" w:hanging="360"/>
      </w:pPr>
      <w:rPr>
        <w:rFonts w:ascii="Wingdings" w:hAnsi="Wingdings" w:hint="default"/>
      </w:rPr>
    </w:lvl>
  </w:abstractNum>
  <w:abstractNum w:abstractNumId="47" w15:restartNumberingAfterBreak="0">
    <w:nsid w:val="7A9879F0"/>
    <w:multiLevelType w:val="hybridMultilevel"/>
    <w:tmpl w:val="0E260B54"/>
    <w:lvl w:ilvl="0" w:tplc="4210E704">
      <w:start w:val="6"/>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num>
  <w:num w:numId="2">
    <w:abstractNumId w:val="6"/>
  </w:num>
  <w:num w:numId="3">
    <w:abstractNumId w:val="16"/>
  </w:num>
  <w:num w:numId="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5"/>
  </w:num>
  <w:num w:numId="7">
    <w:abstractNumId w:val="14"/>
  </w:num>
  <w:num w:numId="8">
    <w:abstractNumId w:val="12"/>
  </w:num>
  <w:num w:numId="9">
    <w:abstractNumId w:val="33"/>
  </w:num>
  <w:num w:numId="10">
    <w:abstractNumId w:val="26"/>
  </w:num>
  <w:num w:numId="11">
    <w:abstractNumId w:val="27"/>
  </w:num>
  <w:num w:numId="12">
    <w:abstractNumId w:val="17"/>
  </w:num>
  <w:num w:numId="13">
    <w:abstractNumId w:val="42"/>
  </w:num>
  <w:num w:numId="14">
    <w:abstractNumId w:val="8"/>
  </w:num>
  <w:num w:numId="15">
    <w:abstractNumId w:val="3"/>
  </w:num>
  <w:num w:numId="16">
    <w:abstractNumId w:val="18"/>
  </w:num>
  <w:num w:numId="17">
    <w:abstractNumId w:val="21"/>
  </w:num>
  <w:num w:numId="18">
    <w:abstractNumId w:val="45"/>
  </w:num>
  <w:num w:numId="19">
    <w:abstractNumId w:val="25"/>
  </w:num>
  <w:num w:numId="20">
    <w:abstractNumId w:val="28"/>
  </w:num>
  <w:num w:numId="21">
    <w:abstractNumId w:val="20"/>
  </w:num>
  <w:num w:numId="22">
    <w:abstractNumId w:val="31"/>
  </w:num>
  <w:num w:numId="23">
    <w:abstractNumId w:val="47"/>
  </w:num>
  <w:num w:numId="24">
    <w:abstractNumId w:val="39"/>
  </w:num>
  <w:num w:numId="25">
    <w:abstractNumId w:val="44"/>
  </w:num>
  <w:num w:numId="26">
    <w:abstractNumId w:val="9"/>
  </w:num>
  <w:num w:numId="27">
    <w:abstractNumId w:val="30"/>
  </w:num>
  <w:num w:numId="28">
    <w:abstractNumId w:val="1"/>
  </w:num>
  <w:num w:numId="29">
    <w:abstractNumId w:val="41"/>
  </w:num>
  <w:num w:numId="30">
    <w:abstractNumId w:val="34"/>
  </w:num>
  <w:num w:numId="31">
    <w:abstractNumId w:val="43"/>
  </w:num>
  <w:num w:numId="32">
    <w:abstractNumId w:val="19"/>
  </w:num>
  <w:num w:numId="33">
    <w:abstractNumId w:val="40"/>
  </w:num>
  <w:num w:numId="34">
    <w:abstractNumId w:val="22"/>
  </w:num>
  <w:num w:numId="35">
    <w:abstractNumId w:val="13"/>
  </w:num>
  <w:num w:numId="36">
    <w:abstractNumId w:val="2"/>
  </w:num>
  <w:num w:numId="37">
    <w:abstractNumId w:val="5"/>
  </w:num>
  <w:num w:numId="38">
    <w:abstractNumId w:val="23"/>
  </w:num>
  <w:num w:numId="39">
    <w:abstractNumId w:val="24"/>
  </w:num>
  <w:num w:numId="40">
    <w:abstractNumId w:val="35"/>
  </w:num>
  <w:num w:numId="41">
    <w:abstractNumId w:val="37"/>
  </w:num>
  <w:num w:numId="42">
    <w:abstractNumId w:val="29"/>
  </w:num>
  <w:num w:numId="43">
    <w:abstractNumId w:val="36"/>
  </w:num>
  <w:num w:numId="44">
    <w:abstractNumId w:val="32"/>
  </w:num>
  <w:num w:numId="45">
    <w:abstractNumId w:val="38"/>
  </w:num>
  <w:num w:numId="46">
    <w:abstractNumId w:val="4"/>
  </w:num>
  <w:num w:numId="47">
    <w:abstractNumId w:val="7"/>
  </w:num>
  <w:num w:numId="48">
    <w:abstractNumId w:val="46"/>
  </w:num>
  <w:num w:numId="49">
    <w:abstractNumId w:val="0"/>
  </w:num>
  <w:num w:numId="50">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hideSpellingErrors/>
  <w:hideGrammaticalErrors/>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sTQzMTS2sDAxNzYwM7RU0lEKTi0uzszPAykwqQUANMp1cSwAAAA="/>
  </w:docVars>
  <w:rsids>
    <w:rsidRoot w:val="00570694"/>
    <w:rsid w:val="00000738"/>
    <w:rsid w:val="0000208A"/>
    <w:rsid w:val="000024E4"/>
    <w:rsid w:val="00003763"/>
    <w:rsid w:val="00004AB8"/>
    <w:rsid w:val="00005A98"/>
    <w:rsid w:val="00005B4B"/>
    <w:rsid w:val="00005C44"/>
    <w:rsid w:val="00007450"/>
    <w:rsid w:val="00007DCD"/>
    <w:rsid w:val="0001031F"/>
    <w:rsid w:val="0001068B"/>
    <w:rsid w:val="00010C73"/>
    <w:rsid w:val="00011F40"/>
    <w:rsid w:val="000137D6"/>
    <w:rsid w:val="000141BF"/>
    <w:rsid w:val="0001436A"/>
    <w:rsid w:val="0001456F"/>
    <w:rsid w:val="000146BD"/>
    <w:rsid w:val="0001479F"/>
    <w:rsid w:val="0001518F"/>
    <w:rsid w:val="00016599"/>
    <w:rsid w:val="000179B1"/>
    <w:rsid w:val="00017CE7"/>
    <w:rsid w:val="00017FEA"/>
    <w:rsid w:val="00020F32"/>
    <w:rsid w:val="00021D09"/>
    <w:rsid w:val="0002394D"/>
    <w:rsid w:val="00023CAD"/>
    <w:rsid w:val="00024B73"/>
    <w:rsid w:val="00025B30"/>
    <w:rsid w:val="00025DEA"/>
    <w:rsid w:val="00026799"/>
    <w:rsid w:val="00026AC7"/>
    <w:rsid w:val="00030428"/>
    <w:rsid w:val="00030ED7"/>
    <w:rsid w:val="00031215"/>
    <w:rsid w:val="000312CC"/>
    <w:rsid w:val="0003151D"/>
    <w:rsid w:val="00032283"/>
    <w:rsid w:val="0003235B"/>
    <w:rsid w:val="0003267D"/>
    <w:rsid w:val="00032ABE"/>
    <w:rsid w:val="0003395A"/>
    <w:rsid w:val="0003520F"/>
    <w:rsid w:val="00036174"/>
    <w:rsid w:val="000373BC"/>
    <w:rsid w:val="000378CD"/>
    <w:rsid w:val="00040A56"/>
    <w:rsid w:val="00040D82"/>
    <w:rsid w:val="00040FBC"/>
    <w:rsid w:val="0004265A"/>
    <w:rsid w:val="000431E7"/>
    <w:rsid w:val="00043D88"/>
    <w:rsid w:val="0004446C"/>
    <w:rsid w:val="0004447C"/>
    <w:rsid w:val="00044D80"/>
    <w:rsid w:val="00044F53"/>
    <w:rsid w:val="00047F55"/>
    <w:rsid w:val="00050702"/>
    <w:rsid w:val="00050D40"/>
    <w:rsid w:val="00050E4C"/>
    <w:rsid w:val="00051446"/>
    <w:rsid w:val="00051E16"/>
    <w:rsid w:val="000520C7"/>
    <w:rsid w:val="0005265C"/>
    <w:rsid w:val="000526AB"/>
    <w:rsid w:val="00052880"/>
    <w:rsid w:val="00053791"/>
    <w:rsid w:val="00053E30"/>
    <w:rsid w:val="00053E87"/>
    <w:rsid w:val="00054089"/>
    <w:rsid w:val="000544FF"/>
    <w:rsid w:val="00054623"/>
    <w:rsid w:val="00054A7A"/>
    <w:rsid w:val="00055075"/>
    <w:rsid w:val="000554B1"/>
    <w:rsid w:val="00055FE2"/>
    <w:rsid w:val="000566DB"/>
    <w:rsid w:val="00057424"/>
    <w:rsid w:val="000623F6"/>
    <w:rsid w:val="000628F2"/>
    <w:rsid w:val="00063E59"/>
    <w:rsid w:val="0006488B"/>
    <w:rsid w:val="000662DC"/>
    <w:rsid w:val="000676C7"/>
    <w:rsid w:val="00067B90"/>
    <w:rsid w:val="000718C2"/>
    <w:rsid w:val="000727B2"/>
    <w:rsid w:val="00073179"/>
    <w:rsid w:val="00073336"/>
    <w:rsid w:val="000766DD"/>
    <w:rsid w:val="00076F3A"/>
    <w:rsid w:val="000771A0"/>
    <w:rsid w:val="00077711"/>
    <w:rsid w:val="000814C2"/>
    <w:rsid w:val="00081C1E"/>
    <w:rsid w:val="00082497"/>
    <w:rsid w:val="00082B03"/>
    <w:rsid w:val="000836F4"/>
    <w:rsid w:val="00085D4A"/>
    <w:rsid w:val="00085ECE"/>
    <w:rsid w:val="00086B41"/>
    <w:rsid w:val="0008731A"/>
    <w:rsid w:val="00087CD9"/>
    <w:rsid w:val="000919A1"/>
    <w:rsid w:val="00092123"/>
    <w:rsid w:val="000931AB"/>
    <w:rsid w:val="00095B36"/>
    <w:rsid w:val="000964C9"/>
    <w:rsid w:val="000A00D2"/>
    <w:rsid w:val="000A0807"/>
    <w:rsid w:val="000A357F"/>
    <w:rsid w:val="000A3BA4"/>
    <w:rsid w:val="000A3DA9"/>
    <w:rsid w:val="000A46FE"/>
    <w:rsid w:val="000A55CF"/>
    <w:rsid w:val="000A5C49"/>
    <w:rsid w:val="000A72D6"/>
    <w:rsid w:val="000A772F"/>
    <w:rsid w:val="000A7CCE"/>
    <w:rsid w:val="000B05A3"/>
    <w:rsid w:val="000B062E"/>
    <w:rsid w:val="000B24C5"/>
    <w:rsid w:val="000B282B"/>
    <w:rsid w:val="000B2BAB"/>
    <w:rsid w:val="000B43F5"/>
    <w:rsid w:val="000B44BA"/>
    <w:rsid w:val="000C08A1"/>
    <w:rsid w:val="000C255B"/>
    <w:rsid w:val="000C2568"/>
    <w:rsid w:val="000C433F"/>
    <w:rsid w:val="000C7D6F"/>
    <w:rsid w:val="000D0A45"/>
    <w:rsid w:val="000D1073"/>
    <w:rsid w:val="000D2FC6"/>
    <w:rsid w:val="000D35C5"/>
    <w:rsid w:val="000D3B88"/>
    <w:rsid w:val="000D3D2B"/>
    <w:rsid w:val="000D408C"/>
    <w:rsid w:val="000D5A02"/>
    <w:rsid w:val="000D63DF"/>
    <w:rsid w:val="000D6FF5"/>
    <w:rsid w:val="000E05E0"/>
    <w:rsid w:val="000E1901"/>
    <w:rsid w:val="000E1A99"/>
    <w:rsid w:val="000E213E"/>
    <w:rsid w:val="000E2298"/>
    <w:rsid w:val="000E2AEF"/>
    <w:rsid w:val="000E343C"/>
    <w:rsid w:val="000E376B"/>
    <w:rsid w:val="000E4558"/>
    <w:rsid w:val="000E5961"/>
    <w:rsid w:val="000E608D"/>
    <w:rsid w:val="000E61F4"/>
    <w:rsid w:val="000E651E"/>
    <w:rsid w:val="000E72F0"/>
    <w:rsid w:val="000F1EB4"/>
    <w:rsid w:val="000F23C3"/>
    <w:rsid w:val="000F33F8"/>
    <w:rsid w:val="000F4BFA"/>
    <w:rsid w:val="000F4E58"/>
    <w:rsid w:val="000F4F17"/>
    <w:rsid w:val="000F58B5"/>
    <w:rsid w:val="000F6048"/>
    <w:rsid w:val="000F6E5A"/>
    <w:rsid w:val="00100B11"/>
    <w:rsid w:val="001010AA"/>
    <w:rsid w:val="00101649"/>
    <w:rsid w:val="00103068"/>
    <w:rsid w:val="00105FA7"/>
    <w:rsid w:val="00107CFA"/>
    <w:rsid w:val="00107E08"/>
    <w:rsid w:val="00110235"/>
    <w:rsid w:val="001117F3"/>
    <w:rsid w:val="00111810"/>
    <w:rsid w:val="00111833"/>
    <w:rsid w:val="00111DAF"/>
    <w:rsid w:val="0011303A"/>
    <w:rsid w:val="00113079"/>
    <w:rsid w:val="00114519"/>
    <w:rsid w:val="0011480F"/>
    <w:rsid w:val="00114C7B"/>
    <w:rsid w:val="0011606C"/>
    <w:rsid w:val="0011662D"/>
    <w:rsid w:val="00116920"/>
    <w:rsid w:val="00117192"/>
    <w:rsid w:val="00117933"/>
    <w:rsid w:val="00120CC3"/>
    <w:rsid w:val="00120DA0"/>
    <w:rsid w:val="00122265"/>
    <w:rsid w:val="0012307B"/>
    <w:rsid w:val="00123E26"/>
    <w:rsid w:val="001253B8"/>
    <w:rsid w:val="001259A9"/>
    <w:rsid w:val="00125A87"/>
    <w:rsid w:val="001275CF"/>
    <w:rsid w:val="001315A6"/>
    <w:rsid w:val="00131C9F"/>
    <w:rsid w:val="00132FA9"/>
    <w:rsid w:val="00133AB2"/>
    <w:rsid w:val="00133CD9"/>
    <w:rsid w:val="00133D9B"/>
    <w:rsid w:val="001359FB"/>
    <w:rsid w:val="00135A8B"/>
    <w:rsid w:val="00135AAB"/>
    <w:rsid w:val="001367C0"/>
    <w:rsid w:val="00137CAB"/>
    <w:rsid w:val="00140F69"/>
    <w:rsid w:val="00141A18"/>
    <w:rsid w:val="00142196"/>
    <w:rsid w:val="00142BB2"/>
    <w:rsid w:val="0014307F"/>
    <w:rsid w:val="001441C8"/>
    <w:rsid w:val="00144472"/>
    <w:rsid w:val="00144545"/>
    <w:rsid w:val="00144917"/>
    <w:rsid w:val="00144C44"/>
    <w:rsid w:val="0014561B"/>
    <w:rsid w:val="00146101"/>
    <w:rsid w:val="00146506"/>
    <w:rsid w:val="001476C8"/>
    <w:rsid w:val="00147925"/>
    <w:rsid w:val="00147C55"/>
    <w:rsid w:val="0015014A"/>
    <w:rsid w:val="00150351"/>
    <w:rsid w:val="00150B26"/>
    <w:rsid w:val="00151DA1"/>
    <w:rsid w:val="001527EE"/>
    <w:rsid w:val="0015290B"/>
    <w:rsid w:val="00152FE9"/>
    <w:rsid w:val="0015484A"/>
    <w:rsid w:val="00155570"/>
    <w:rsid w:val="00155609"/>
    <w:rsid w:val="00156088"/>
    <w:rsid w:val="00156BFA"/>
    <w:rsid w:val="001604B9"/>
    <w:rsid w:val="00161001"/>
    <w:rsid w:val="00162070"/>
    <w:rsid w:val="00162A08"/>
    <w:rsid w:val="00162F8C"/>
    <w:rsid w:val="00163ABC"/>
    <w:rsid w:val="00164283"/>
    <w:rsid w:val="0016494D"/>
    <w:rsid w:val="001654B4"/>
    <w:rsid w:val="001658DB"/>
    <w:rsid w:val="0017035F"/>
    <w:rsid w:val="00170B9E"/>
    <w:rsid w:val="0017154C"/>
    <w:rsid w:val="00171E52"/>
    <w:rsid w:val="00172478"/>
    <w:rsid w:val="00172947"/>
    <w:rsid w:val="001733E9"/>
    <w:rsid w:val="00173CF3"/>
    <w:rsid w:val="001748A7"/>
    <w:rsid w:val="00175A72"/>
    <w:rsid w:val="00176862"/>
    <w:rsid w:val="001773CD"/>
    <w:rsid w:val="00180DF6"/>
    <w:rsid w:val="00180E21"/>
    <w:rsid w:val="00182173"/>
    <w:rsid w:val="001829CE"/>
    <w:rsid w:val="00182A86"/>
    <w:rsid w:val="00183806"/>
    <w:rsid w:val="00183A2A"/>
    <w:rsid w:val="00183C60"/>
    <w:rsid w:val="00184007"/>
    <w:rsid w:val="00184566"/>
    <w:rsid w:val="00187838"/>
    <w:rsid w:val="001901A5"/>
    <w:rsid w:val="001901FC"/>
    <w:rsid w:val="00190661"/>
    <w:rsid w:val="00191645"/>
    <w:rsid w:val="00191881"/>
    <w:rsid w:val="00192CD7"/>
    <w:rsid w:val="001940DA"/>
    <w:rsid w:val="00195054"/>
    <w:rsid w:val="00195D34"/>
    <w:rsid w:val="00195EED"/>
    <w:rsid w:val="0019659D"/>
    <w:rsid w:val="00196C27"/>
    <w:rsid w:val="00196FF3"/>
    <w:rsid w:val="00197D5B"/>
    <w:rsid w:val="001A0255"/>
    <w:rsid w:val="001A0449"/>
    <w:rsid w:val="001A06AE"/>
    <w:rsid w:val="001A108B"/>
    <w:rsid w:val="001A1F53"/>
    <w:rsid w:val="001A25EA"/>
    <w:rsid w:val="001A2C4E"/>
    <w:rsid w:val="001A342B"/>
    <w:rsid w:val="001A35AD"/>
    <w:rsid w:val="001A4391"/>
    <w:rsid w:val="001A5BCF"/>
    <w:rsid w:val="001A7C3B"/>
    <w:rsid w:val="001B07FE"/>
    <w:rsid w:val="001B0D1E"/>
    <w:rsid w:val="001B0E94"/>
    <w:rsid w:val="001B200E"/>
    <w:rsid w:val="001B2B9F"/>
    <w:rsid w:val="001B3294"/>
    <w:rsid w:val="001B39B1"/>
    <w:rsid w:val="001B3F5A"/>
    <w:rsid w:val="001B4899"/>
    <w:rsid w:val="001B5231"/>
    <w:rsid w:val="001B7B6D"/>
    <w:rsid w:val="001C31E8"/>
    <w:rsid w:val="001C37C3"/>
    <w:rsid w:val="001C3EB8"/>
    <w:rsid w:val="001C5986"/>
    <w:rsid w:val="001C5C26"/>
    <w:rsid w:val="001C5E46"/>
    <w:rsid w:val="001C624A"/>
    <w:rsid w:val="001C6D5F"/>
    <w:rsid w:val="001C7486"/>
    <w:rsid w:val="001C7944"/>
    <w:rsid w:val="001D12AA"/>
    <w:rsid w:val="001D190B"/>
    <w:rsid w:val="001D1BC3"/>
    <w:rsid w:val="001D254C"/>
    <w:rsid w:val="001D2764"/>
    <w:rsid w:val="001D27BA"/>
    <w:rsid w:val="001D3241"/>
    <w:rsid w:val="001D3262"/>
    <w:rsid w:val="001D3316"/>
    <w:rsid w:val="001D3A04"/>
    <w:rsid w:val="001D4D24"/>
    <w:rsid w:val="001D528E"/>
    <w:rsid w:val="001D52A6"/>
    <w:rsid w:val="001D5B59"/>
    <w:rsid w:val="001D6890"/>
    <w:rsid w:val="001D6A22"/>
    <w:rsid w:val="001D6BAB"/>
    <w:rsid w:val="001D6C6B"/>
    <w:rsid w:val="001E0313"/>
    <w:rsid w:val="001E0603"/>
    <w:rsid w:val="001E1EFD"/>
    <w:rsid w:val="001E3C08"/>
    <w:rsid w:val="001E3E7D"/>
    <w:rsid w:val="001E43C2"/>
    <w:rsid w:val="001E499B"/>
    <w:rsid w:val="001E580D"/>
    <w:rsid w:val="001E5B42"/>
    <w:rsid w:val="001E71AB"/>
    <w:rsid w:val="001F0A52"/>
    <w:rsid w:val="001F0E72"/>
    <w:rsid w:val="001F1226"/>
    <w:rsid w:val="001F292D"/>
    <w:rsid w:val="001F4750"/>
    <w:rsid w:val="001F4A1C"/>
    <w:rsid w:val="001F4FBB"/>
    <w:rsid w:val="001F52FB"/>
    <w:rsid w:val="001F5364"/>
    <w:rsid w:val="001F5D30"/>
    <w:rsid w:val="001F646A"/>
    <w:rsid w:val="001F6AEA"/>
    <w:rsid w:val="001F72DE"/>
    <w:rsid w:val="00201099"/>
    <w:rsid w:val="00201586"/>
    <w:rsid w:val="0020165D"/>
    <w:rsid w:val="00201771"/>
    <w:rsid w:val="002023A9"/>
    <w:rsid w:val="002027E9"/>
    <w:rsid w:val="00203391"/>
    <w:rsid w:val="0020373B"/>
    <w:rsid w:val="002048DF"/>
    <w:rsid w:val="00204F22"/>
    <w:rsid w:val="00205098"/>
    <w:rsid w:val="00205636"/>
    <w:rsid w:val="00206FBA"/>
    <w:rsid w:val="0020757D"/>
    <w:rsid w:val="0020784A"/>
    <w:rsid w:val="0021016A"/>
    <w:rsid w:val="00210630"/>
    <w:rsid w:val="00213C53"/>
    <w:rsid w:val="00214CFC"/>
    <w:rsid w:val="002152C6"/>
    <w:rsid w:val="002166F8"/>
    <w:rsid w:val="00220291"/>
    <w:rsid w:val="00220B7B"/>
    <w:rsid w:val="00222C42"/>
    <w:rsid w:val="00224E76"/>
    <w:rsid w:val="00225A4E"/>
    <w:rsid w:val="00225A51"/>
    <w:rsid w:val="00226035"/>
    <w:rsid w:val="0022630A"/>
    <w:rsid w:val="0022672A"/>
    <w:rsid w:val="00226CD0"/>
    <w:rsid w:val="00227CB2"/>
    <w:rsid w:val="0023004A"/>
    <w:rsid w:val="00230F86"/>
    <w:rsid w:val="00231623"/>
    <w:rsid w:val="00231D59"/>
    <w:rsid w:val="0023268B"/>
    <w:rsid w:val="00232965"/>
    <w:rsid w:val="00236619"/>
    <w:rsid w:val="0023793B"/>
    <w:rsid w:val="0024018B"/>
    <w:rsid w:val="002408F9"/>
    <w:rsid w:val="00240E12"/>
    <w:rsid w:val="00240E2E"/>
    <w:rsid w:val="00242481"/>
    <w:rsid w:val="00242716"/>
    <w:rsid w:val="00242C1B"/>
    <w:rsid w:val="00244274"/>
    <w:rsid w:val="002478B5"/>
    <w:rsid w:val="00250469"/>
    <w:rsid w:val="002514DB"/>
    <w:rsid w:val="0025163B"/>
    <w:rsid w:val="00252092"/>
    <w:rsid w:val="002520BF"/>
    <w:rsid w:val="002520F2"/>
    <w:rsid w:val="00253BCE"/>
    <w:rsid w:val="002545C4"/>
    <w:rsid w:val="00255D7F"/>
    <w:rsid w:val="002567C7"/>
    <w:rsid w:val="00256C5B"/>
    <w:rsid w:val="00260796"/>
    <w:rsid w:val="002607ED"/>
    <w:rsid w:val="002608D1"/>
    <w:rsid w:val="00261423"/>
    <w:rsid w:val="0026168D"/>
    <w:rsid w:val="0026272F"/>
    <w:rsid w:val="00262F10"/>
    <w:rsid w:val="002646A6"/>
    <w:rsid w:val="00264858"/>
    <w:rsid w:val="00265394"/>
    <w:rsid w:val="002654A4"/>
    <w:rsid w:val="00266355"/>
    <w:rsid w:val="00267EED"/>
    <w:rsid w:val="00270556"/>
    <w:rsid w:val="00270566"/>
    <w:rsid w:val="00273E35"/>
    <w:rsid w:val="0027402D"/>
    <w:rsid w:val="002745EB"/>
    <w:rsid w:val="00274E4F"/>
    <w:rsid w:val="002754E6"/>
    <w:rsid w:val="00276FCA"/>
    <w:rsid w:val="00277E7D"/>
    <w:rsid w:val="00280B97"/>
    <w:rsid w:val="002815B4"/>
    <w:rsid w:val="00281B51"/>
    <w:rsid w:val="00282BAA"/>
    <w:rsid w:val="00282E6F"/>
    <w:rsid w:val="00285087"/>
    <w:rsid w:val="00285491"/>
    <w:rsid w:val="00285CFC"/>
    <w:rsid w:val="00285EAF"/>
    <w:rsid w:val="002863EF"/>
    <w:rsid w:val="002864D9"/>
    <w:rsid w:val="00291A64"/>
    <w:rsid w:val="00291ED0"/>
    <w:rsid w:val="00292465"/>
    <w:rsid w:val="00292A4F"/>
    <w:rsid w:val="002931F2"/>
    <w:rsid w:val="00293770"/>
    <w:rsid w:val="0029416A"/>
    <w:rsid w:val="002944BB"/>
    <w:rsid w:val="002976D7"/>
    <w:rsid w:val="002A0D22"/>
    <w:rsid w:val="002A11EE"/>
    <w:rsid w:val="002A2849"/>
    <w:rsid w:val="002A35D9"/>
    <w:rsid w:val="002A38AE"/>
    <w:rsid w:val="002A3DF9"/>
    <w:rsid w:val="002A4AC6"/>
    <w:rsid w:val="002A5D8B"/>
    <w:rsid w:val="002A65F6"/>
    <w:rsid w:val="002A6CF0"/>
    <w:rsid w:val="002A7D0E"/>
    <w:rsid w:val="002B0A81"/>
    <w:rsid w:val="002B0D7A"/>
    <w:rsid w:val="002B161B"/>
    <w:rsid w:val="002B1A52"/>
    <w:rsid w:val="002B373F"/>
    <w:rsid w:val="002B378B"/>
    <w:rsid w:val="002B46CB"/>
    <w:rsid w:val="002B60EF"/>
    <w:rsid w:val="002B644D"/>
    <w:rsid w:val="002B6E12"/>
    <w:rsid w:val="002B7144"/>
    <w:rsid w:val="002C0021"/>
    <w:rsid w:val="002C06AB"/>
    <w:rsid w:val="002C1D90"/>
    <w:rsid w:val="002C1FBC"/>
    <w:rsid w:val="002C3568"/>
    <w:rsid w:val="002C406F"/>
    <w:rsid w:val="002C5CC6"/>
    <w:rsid w:val="002C675F"/>
    <w:rsid w:val="002D0A04"/>
    <w:rsid w:val="002D0E7B"/>
    <w:rsid w:val="002D1432"/>
    <w:rsid w:val="002D29FF"/>
    <w:rsid w:val="002D37F1"/>
    <w:rsid w:val="002D5C73"/>
    <w:rsid w:val="002D6257"/>
    <w:rsid w:val="002D6307"/>
    <w:rsid w:val="002D65A5"/>
    <w:rsid w:val="002D6FE0"/>
    <w:rsid w:val="002D7900"/>
    <w:rsid w:val="002D7C40"/>
    <w:rsid w:val="002E086E"/>
    <w:rsid w:val="002E1284"/>
    <w:rsid w:val="002E1402"/>
    <w:rsid w:val="002E15A1"/>
    <w:rsid w:val="002E1612"/>
    <w:rsid w:val="002E197B"/>
    <w:rsid w:val="002E2D44"/>
    <w:rsid w:val="002E320D"/>
    <w:rsid w:val="002E3A44"/>
    <w:rsid w:val="002E4487"/>
    <w:rsid w:val="002E4662"/>
    <w:rsid w:val="002E4759"/>
    <w:rsid w:val="002E47F1"/>
    <w:rsid w:val="002E4A8C"/>
    <w:rsid w:val="002E4BCE"/>
    <w:rsid w:val="002E51AD"/>
    <w:rsid w:val="002E527B"/>
    <w:rsid w:val="002E52CA"/>
    <w:rsid w:val="002E58F2"/>
    <w:rsid w:val="002E5BAB"/>
    <w:rsid w:val="002E61D1"/>
    <w:rsid w:val="002E6657"/>
    <w:rsid w:val="002E6AEF"/>
    <w:rsid w:val="002E6EF0"/>
    <w:rsid w:val="002E7C10"/>
    <w:rsid w:val="002E7E1E"/>
    <w:rsid w:val="002F02EE"/>
    <w:rsid w:val="002F0472"/>
    <w:rsid w:val="002F2261"/>
    <w:rsid w:val="002F3901"/>
    <w:rsid w:val="002F3CE6"/>
    <w:rsid w:val="002F4083"/>
    <w:rsid w:val="002F42FE"/>
    <w:rsid w:val="002F451B"/>
    <w:rsid w:val="002F4C76"/>
    <w:rsid w:val="002F558D"/>
    <w:rsid w:val="002F5833"/>
    <w:rsid w:val="002F7235"/>
    <w:rsid w:val="00300901"/>
    <w:rsid w:val="00302ADE"/>
    <w:rsid w:val="00302B46"/>
    <w:rsid w:val="00302E90"/>
    <w:rsid w:val="0030346F"/>
    <w:rsid w:val="00303B83"/>
    <w:rsid w:val="00303C2E"/>
    <w:rsid w:val="00303D95"/>
    <w:rsid w:val="00304ECA"/>
    <w:rsid w:val="003050C6"/>
    <w:rsid w:val="00305241"/>
    <w:rsid w:val="003058D5"/>
    <w:rsid w:val="0030628E"/>
    <w:rsid w:val="00306468"/>
    <w:rsid w:val="00306BE8"/>
    <w:rsid w:val="00307F73"/>
    <w:rsid w:val="00310B14"/>
    <w:rsid w:val="00310B9F"/>
    <w:rsid w:val="00312646"/>
    <w:rsid w:val="003126F7"/>
    <w:rsid w:val="003128B5"/>
    <w:rsid w:val="00312CEA"/>
    <w:rsid w:val="00314629"/>
    <w:rsid w:val="00315856"/>
    <w:rsid w:val="00315D1D"/>
    <w:rsid w:val="00316892"/>
    <w:rsid w:val="00316C4B"/>
    <w:rsid w:val="003170C0"/>
    <w:rsid w:val="003171D3"/>
    <w:rsid w:val="0031743C"/>
    <w:rsid w:val="00317A19"/>
    <w:rsid w:val="003207C4"/>
    <w:rsid w:val="00320855"/>
    <w:rsid w:val="0032088D"/>
    <w:rsid w:val="003214DF"/>
    <w:rsid w:val="00321A46"/>
    <w:rsid w:val="00321BDF"/>
    <w:rsid w:val="00323A26"/>
    <w:rsid w:val="00324DF0"/>
    <w:rsid w:val="00326508"/>
    <w:rsid w:val="00326551"/>
    <w:rsid w:val="00327FC8"/>
    <w:rsid w:val="00330B52"/>
    <w:rsid w:val="003313B5"/>
    <w:rsid w:val="00332E3E"/>
    <w:rsid w:val="0033359D"/>
    <w:rsid w:val="00333942"/>
    <w:rsid w:val="00333B2E"/>
    <w:rsid w:val="00335B68"/>
    <w:rsid w:val="00336934"/>
    <w:rsid w:val="00337862"/>
    <w:rsid w:val="00340806"/>
    <w:rsid w:val="00341069"/>
    <w:rsid w:val="00341D14"/>
    <w:rsid w:val="00342910"/>
    <w:rsid w:val="00342D1C"/>
    <w:rsid w:val="00343872"/>
    <w:rsid w:val="003438A0"/>
    <w:rsid w:val="003438DE"/>
    <w:rsid w:val="00344AF8"/>
    <w:rsid w:val="00345423"/>
    <w:rsid w:val="00346311"/>
    <w:rsid w:val="003472D1"/>
    <w:rsid w:val="00350002"/>
    <w:rsid w:val="00350B37"/>
    <w:rsid w:val="0035103D"/>
    <w:rsid w:val="003521FD"/>
    <w:rsid w:val="003524B2"/>
    <w:rsid w:val="003528CF"/>
    <w:rsid w:val="00352961"/>
    <w:rsid w:val="00354D25"/>
    <w:rsid w:val="00354DC3"/>
    <w:rsid w:val="00356647"/>
    <w:rsid w:val="003567E9"/>
    <w:rsid w:val="00357300"/>
    <w:rsid w:val="003609A6"/>
    <w:rsid w:val="00361C29"/>
    <w:rsid w:val="00361F64"/>
    <w:rsid w:val="00363ACB"/>
    <w:rsid w:val="00363FDA"/>
    <w:rsid w:val="00363FE4"/>
    <w:rsid w:val="00365A06"/>
    <w:rsid w:val="00365A0C"/>
    <w:rsid w:val="00367B4C"/>
    <w:rsid w:val="00370F51"/>
    <w:rsid w:val="00371E4D"/>
    <w:rsid w:val="00371E6D"/>
    <w:rsid w:val="00372639"/>
    <w:rsid w:val="0037429D"/>
    <w:rsid w:val="00374B60"/>
    <w:rsid w:val="003755DE"/>
    <w:rsid w:val="0037637C"/>
    <w:rsid w:val="003763EB"/>
    <w:rsid w:val="00376746"/>
    <w:rsid w:val="00376D86"/>
    <w:rsid w:val="003804CA"/>
    <w:rsid w:val="003804DF"/>
    <w:rsid w:val="003811C4"/>
    <w:rsid w:val="003825BA"/>
    <w:rsid w:val="0038330F"/>
    <w:rsid w:val="003848B5"/>
    <w:rsid w:val="00384EC9"/>
    <w:rsid w:val="003851DF"/>
    <w:rsid w:val="0038706A"/>
    <w:rsid w:val="0039057A"/>
    <w:rsid w:val="003906A5"/>
    <w:rsid w:val="0039086C"/>
    <w:rsid w:val="0039113B"/>
    <w:rsid w:val="00391B73"/>
    <w:rsid w:val="00392D7C"/>
    <w:rsid w:val="00395F56"/>
    <w:rsid w:val="00397D63"/>
    <w:rsid w:val="003A0FB8"/>
    <w:rsid w:val="003A1553"/>
    <w:rsid w:val="003A1B75"/>
    <w:rsid w:val="003A25EF"/>
    <w:rsid w:val="003A3457"/>
    <w:rsid w:val="003A3F7F"/>
    <w:rsid w:val="003A4087"/>
    <w:rsid w:val="003A4697"/>
    <w:rsid w:val="003A4F0F"/>
    <w:rsid w:val="003A4FB0"/>
    <w:rsid w:val="003A5A50"/>
    <w:rsid w:val="003A5BB2"/>
    <w:rsid w:val="003A690D"/>
    <w:rsid w:val="003B0AE8"/>
    <w:rsid w:val="003B0E3D"/>
    <w:rsid w:val="003B1963"/>
    <w:rsid w:val="003B2341"/>
    <w:rsid w:val="003B31C0"/>
    <w:rsid w:val="003B33D2"/>
    <w:rsid w:val="003B3426"/>
    <w:rsid w:val="003B46C2"/>
    <w:rsid w:val="003B4A2C"/>
    <w:rsid w:val="003B4C3D"/>
    <w:rsid w:val="003C1760"/>
    <w:rsid w:val="003C1E44"/>
    <w:rsid w:val="003C2754"/>
    <w:rsid w:val="003C492A"/>
    <w:rsid w:val="003C6192"/>
    <w:rsid w:val="003C6B14"/>
    <w:rsid w:val="003D1BE4"/>
    <w:rsid w:val="003D2059"/>
    <w:rsid w:val="003D21F5"/>
    <w:rsid w:val="003D2901"/>
    <w:rsid w:val="003D3667"/>
    <w:rsid w:val="003D402A"/>
    <w:rsid w:val="003D4203"/>
    <w:rsid w:val="003D6D6A"/>
    <w:rsid w:val="003D6EFD"/>
    <w:rsid w:val="003D7413"/>
    <w:rsid w:val="003E09E6"/>
    <w:rsid w:val="003E0A71"/>
    <w:rsid w:val="003E10D3"/>
    <w:rsid w:val="003E166B"/>
    <w:rsid w:val="003E2525"/>
    <w:rsid w:val="003E2EFC"/>
    <w:rsid w:val="003E7579"/>
    <w:rsid w:val="003E7703"/>
    <w:rsid w:val="003F04D6"/>
    <w:rsid w:val="003F128E"/>
    <w:rsid w:val="003F1AC5"/>
    <w:rsid w:val="003F1D6A"/>
    <w:rsid w:val="003F3BF5"/>
    <w:rsid w:val="003F3C4D"/>
    <w:rsid w:val="003F3CA3"/>
    <w:rsid w:val="003F4E09"/>
    <w:rsid w:val="003F5542"/>
    <w:rsid w:val="003F59E6"/>
    <w:rsid w:val="003F5F46"/>
    <w:rsid w:val="003F7B20"/>
    <w:rsid w:val="00400E19"/>
    <w:rsid w:val="00402E3B"/>
    <w:rsid w:val="004044DC"/>
    <w:rsid w:val="0040477D"/>
    <w:rsid w:val="00404B0E"/>
    <w:rsid w:val="004057D9"/>
    <w:rsid w:val="00405B9F"/>
    <w:rsid w:val="00406314"/>
    <w:rsid w:val="0040647C"/>
    <w:rsid w:val="004065FD"/>
    <w:rsid w:val="00407313"/>
    <w:rsid w:val="00410BD3"/>
    <w:rsid w:val="00411215"/>
    <w:rsid w:val="004120FF"/>
    <w:rsid w:val="004127CC"/>
    <w:rsid w:val="004127F9"/>
    <w:rsid w:val="00412E79"/>
    <w:rsid w:val="004138CA"/>
    <w:rsid w:val="00413C89"/>
    <w:rsid w:val="00416B5D"/>
    <w:rsid w:val="004173FC"/>
    <w:rsid w:val="00417419"/>
    <w:rsid w:val="004200F6"/>
    <w:rsid w:val="004201B0"/>
    <w:rsid w:val="004209B8"/>
    <w:rsid w:val="00420C04"/>
    <w:rsid w:val="00422B7E"/>
    <w:rsid w:val="00422D28"/>
    <w:rsid w:val="00423472"/>
    <w:rsid w:val="0042379E"/>
    <w:rsid w:val="004243B9"/>
    <w:rsid w:val="0042607B"/>
    <w:rsid w:val="00426178"/>
    <w:rsid w:val="004263FC"/>
    <w:rsid w:val="00427276"/>
    <w:rsid w:val="004273B8"/>
    <w:rsid w:val="004275BE"/>
    <w:rsid w:val="00427829"/>
    <w:rsid w:val="00430AB5"/>
    <w:rsid w:val="004328E9"/>
    <w:rsid w:val="00433D97"/>
    <w:rsid w:val="00434194"/>
    <w:rsid w:val="00434D42"/>
    <w:rsid w:val="00434DCA"/>
    <w:rsid w:val="00435184"/>
    <w:rsid w:val="0043564D"/>
    <w:rsid w:val="00436726"/>
    <w:rsid w:val="00436A9B"/>
    <w:rsid w:val="00437576"/>
    <w:rsid w:val="004376E1"/>
    <w:rsid w:val="00437CD4"/>
    <w:rsid w:val="00437E7E"/>
    <w:rsid w:val="00440D31"/>
    <w:rsid w:val="00440F0C"/>
    <w:rsid w:val="00441BAD"/>
    <w:rsid w:val="00441C39"/>
    <w:rsid w:val="004437A3"/>
    <w:rsid w:val="00443C0C"/>
    <w:rsid w:val="00443E1E"/>
    <w:rsid w:val="00446736"/>
    <w:rsid w:val="00446FCF"/>
    <w:rsid w:val="00447320"/>
    <w:rsid w:val="004478A8"/>
    <w:rsid w:val="00447A83"/>
    <w:rsid w:val="00447C3A"/>
    <w:rsid w:val="00450252"/>
    <w:rsid w:val="0045088D"/>
    <w:rsid w:val="00451097"/>
    <w:rsid w:val="00451ACB"/>
    <w:rsid w:val="00451DCA"/>
    <w:rsid w:val="004523FE"/>
    <w:rsid w:val="0045264B"/>
    <w:rsid w:val="00453DB6"/>
    <w:rsid w:val="004543DA"/>
    <w:rsid w:val="0045496D"/>
    <w:rsid w:val="00454B55"/>
    <w:rsid w:val="00455783"/>
    <w:rsid w:val="0045597B"/>
    <w:rsid w:val="00455EB5"/>
    <w:rsid w:val="004562C1"/>
    <w:rsid w:val="0045670B"/>
    <w:rsid w:val="00457864"/>
    <w:rsid w:val="00460428"/>
    <w:rsid w:val="00460E5A"/>
    <w:rsid w:val="004614F8"/>
    <w:rsid w:val="00462CF3"/>
    <w:rsid w:val="0046307E"/>
    <w:rsid w:val="00463868"/>
    <w:rsid w:val="00464617"/>
    <w:rsid w:val="00465410"/>
    <w:rsid w:val="00465E4D"/>
    <w:rsid w:val="00465F14"/>
    <w:rsid w:val="00465FE6"/>
    <w:rsid w:val="004662E0"/>
    <w:rsid w:val="00467107"/>
    <w:rsid w:val="004671E9"/>
    <w:rsid w:val="0047251C"/>
    <w:rsid w:val="00472FF1"/>
    <w:rsid w:val="0047345F"/>
    <w:rsid w:val="00474B98"/>
    <w:rsid w:val="00474C78"/>
    <w:rsid w:val="00475A0F"/>
    <w:rsid w:val="00475EA2"/>
    <w:rsid w:val="00476DFD"/>
    <w:rsid w:val="00476E2A"/>
    <w:rsid w:val="004773C3"/>
    <w:rsid w:val="00480402"/>
    <w:rsid w:val="00480E7C"/>
    <w:rsid w:val="00481258"/>
    <w:rsid w:val="0048172C"/>
    <w:rsid w:val="00481D90"/>
    <w:rsid w:val="0048215F"/>
    <w:rsid w:val="004828F7"/>
    <w:rsid w:val="00483CA8"/>
    <w:rsid w:val="0048453A"/>
    <w:rsid w:val="00485382"/>
    <w:rsid w:val="00485CEA"/>
    <w:rsid w:val="00486102"/>
    <w:rsid w:val="00486812"/>
    <w:rsid w:val="00486A4A"/>
    <w:rsid w:val="00486C6D"/>
    <w:rsid w:val="00487177"/>
    <w:rsid w:val="004877B6"/>
    <w:rsid w:val="00487A72"/>
    <w:rsid w:val="00487F67"/>
    <w:rsid w:val="00490293"/>
    <w:rsid w:val="00490411"/>
    <w:rsid w:val="004905BA"/>
    <w:rsid w:val="00490D10"/>
    <w:rsid w:val="00492053"/>
    <w:rsid w:val="004920E0"/>
    <w:rsid w:val="00492511"/>
    <w:rsid w:val="004931BE"/>
    <w:rsid w:val="00493500"/>
    <w:rsid w:val="00494B36"/>
    <w:rsid w:val="00494D28"/>
    <w:rsid w:val="00495319"/>
    <w:rsid w:val="00495C4D"/>
    <w:rsid w:val="00496856"/>
    <w:rsid w:val="00496AB9"/>
    <w:rsid w:val="00497252"/>
    <w:rsid w:val="00497F7C"/>
    <w:rsid w:val="004A0011"/>
    <w:rsid w:val="004A0713"/>
    <w:rsid w:val="004A0B95"/>
    <w:rsid w:val="004A3F6C"/>
    <w:rsid w:val="004A66E3"/>
    <w:rsid w:val="004A6826"/>
    <w:rsid w:val="004A715B"/>
    <w:rsid w:val="004A74E7"/>
    <w:rsid w:val="004B073E"/>
    <w:rsid w:val="004B175D"/>
    <w:rsid w:val="004B192B"/>
    <w:rsid w:val="004B197B"/>
    <w:rsid w:val="004B28B5"/>
    <w:rsid w:val="004B2FE0"/>
    <w:rsid w:val="004B3BC2"/>
    <w:rsid w:val="004B3FB4"/>
    <w:rsid w:val="004B49D5"/>
    <w:rsid w:val="004B56B4"/>
    <w:rsid w:val="004B5878"/>
    <w:rsid w:val="004B69DB"/>
    <w:rsid w:val="004B6B0E"/>
    <w:rsid w:val="004B7DF1"/>
    <w:rsid w:val="004C0ACF"/>
    <w:rsid w:val="004C206D"/>
    <w:rsid w:val="004C346D"/>
    <w:rsid w:val="004C3E16"/>
    <w:rsid w:val="004C4667"/>
    <w:rsid w:val="004C58CF"/>
    <w:rsid w:val="004C77F5"/>
    <w:rsid w:val="004D0357"/>
    <w:rsid w:val="004D0C9A"/>
    <w:rsid w:val="004D25B1"/>
    <w:rsid w:val="004D26BF"/>
    <w:rsid w:val="004D41DE"/>
    <w:rsid w:val="004D4B24"/>
    <w:rsid w:val="004D51A8"/>
    <w:rsid w:val="004D52F8"/>
    <w:rsid w:val="004D5CF1"/>
    <w:rsid w:val="004D63F3"/>
    <w:rsid w:val="004D694B"/>
    <w:rsid w:val="004D72FF"/>
    <w:rsid w:val="004D7FC7"/>
    <w:rsid w:val="004E030B"/>
    <w:rsid w:val="004E0C7D"/>
    <w:rsid w:val="004E0E6B"/>
    <w:rsid w:val="004E0F92"/>
    <w:rsid w:val="004E1EC6"/>
    <w:rsid w:val="004E3106"/>
    <w:rsid w:val="004E3225"/>
    <w:rsid w:val="004E3C3C"/>
    <w:rsid w:val="004E4676"/>
    <w:rsid w:val="004E46D6"/>
    <w:rsid w:val="004E4EE4"/>
    <w:rsid w:val="004E58FD"/>
    <w:rsid w:val="004E661B"/>
    <w:rsid w:val="004E66CD"/>
    <w:rsid w:val="004E76C7"/>
    <w:rsid w:val="004E7959"/>
    <w:rsid w:val="004E7DDB"/>
    <w:rsid w:val="004F073A"/>
    <w:rsid w:val="004F0E01"/>
    <w:rsid w:val="004F2238"/>
    <w:rsid w:val="004F4B48"/>
    <w:rsid w:val="004F4E32"/>
    <w:rsid w:val="004F4F5A"/>
    <w:rsid w:val="004F5279"/>
    <w:rsid w:val="004F5C29"/>
    <w:rsid w:val="004F60F6"/>
    <w:rsid w:val="004F7089"/>
    <w:rsid w:val="004F72C4"/>
    <w:rsid w:val="0050096A"/>
    <w:rsid w:val="00502DA2"/>
    <w:rsid w:val="00503015"/>
    <w:rsid w:val="00503173"/>
    <w:rsid w:val="005042AD"/>
    <w:rsid w:val="00504364"/>
    <w:rsid w:val="005044BD"/>
    <w:rsid w:val="00504B69"/>
    <w:rsid w:val="00504BBD"/>
    <w:rsid w:val="00506397"/>
    <w:rsid w:val="005106B7"/>
    <w:rsid w:val="00510D82"/>
    <w:rsid w:val="005111A6"/>
    <w:rsid w:val="00511A02"/>
    <w:rsid w:val="00511A74"/>
    <w:rsid w:val="0051301A"/>
    <w:rsid w:val="005158F5"/>
    <w:rsid w:val="0051621D"/>
    <w:rsid w:val="005162BA"/>
    <w:rsid w:val="0051790E"/>
    <w:rsid w:val="00517C76"/>
    <w:rsid w:val="00520856"/>
    <w:rsid w:val="00521A99"/>
    <w:rsid w:val="0052313D"/>
    <w:rsid w:val="00523867"/>
    <w:rsid w:val="005238EC"/>
    <w:rsid w:val="00523F2B"/>
    <w:rsid w:val="005242EC"/>
    <w:rsid w:val="00524F75"/>
    <w:rsid w:val="005255CB"/>
    <w:rsid w:val="00525761"/>
    <w:rsid w:val="00527CA5"/>
    <w:rsid w:val="0053001A"/>
    <w:rsid w:val="005300AF"/>
    <w:rsid w:val="00530698"/>
    <w:rsid w:val="00530706"/>
    <w:rsid w:val="005311D2"/>
    <w:rsid w:val="00531681"/>
    <w:rsid w:val="005329B5"/>
    <w:rsid w:val="00533051"/>
    <w:rsid w:val="00533305"/>
    <w:rsid w:val="005340DC"/>
    <w:rsid w:val="00534E19"/>
    <w:rsid w:val="00535489"/>
    <w:rsid w:val="0053608E"/>
    <w:rsid w:val="005368CB"/>
    <w:rsid w:val="00537D9F"/>
    <w:rsid w:val="00540213"/>
    <w:rsid w:val="005403FC"/>
    <w:rsid w:val="00542CA2"/>
    <w:rsid w:val="00543699"/>
    <w:rsid w:val="00543BEB"/>
    <w:rsid w:val="00544704"/>
    <w:rsid w:val="0054552E"/>
    <w:rsid w:val="005459CF"/>
    <w:rsid w:val="005469A1"/>
    <w:rsid w:val="00550482"/>
    <w:rsid w:val="005518F3"/>
    <w:rsid w:val="00551C37"/>
    <w:rsid w:val="0055482B"/>
    <w:rsid w:val="0055506F"/>
    <w:rsid w:val="005556DC"/>
    <w:rsid w:val="0055757E"/>
    <w:rsid w:val="00560132"/>
    <w:rsid w:val="00560817"/>
    <w:rsid w:val="00561164"/>
    <w:rsid w:val="00561D71"/>
    <w:rsid w:val="00562159"/>
    <w:rsid w:val="005623C1"/>
    <w:rsid w:val="0056244A"/>
    <w:rsid w:val="00562681"/>
    <w:rsid w:val="00562F03"/>
    <w:rsid w:val="00565F27"/>
    <w:rsid w:val="0056605A"/>
    <w:rsid w:val="005671BE"/>
    <w:rsid w:val="00567BB6"/>
    <w:rsid w:val="00570694"/>
    <w:rsid w:val="00570B3E"/>
    <w:rsid w:val="005717B5"/>
    <w:rsid w:val="00571A05"/>
    <w:rsid w:val="00573995"/>
    <w:rsid w:val="00574B64"/>
    <w:rsid w:val="00574C7B"/>
    <w:rsid w:val="0057670C"/>
    <w:rsid w:val="00577A3B"/>
    <w:rsid w:val="00581D29"/>
    <w:rsid w:val="00582D52"/>
    <w:rsid w:val="0058317B"/>
    <w:rsid w:val="005833E6"/>
    <w:rsid w:val="005845FD"/>
    <w:rsid w:val="00584D73"/>
    <w:rsid w:val="00584EBD"/>
    <w:rsid w:val="0058502B"/>
    <w:rsid w:val="0058512D"/>
    <w:rsid w:val="00585281"/>
    <w:rsid w:val="00585AB5"/>
    <w:rsid w:val="00586723"/>
    <w:rsid w:val="00586765"/>
    <w:rsid w:val="00586F2C"/>
    <w:rsid w:val="00587B1C"/>
    <w:rsid w:val="00591A00"/>
    <w:rsid w:val="00592092"/>
    <w:rsid w:val="00593258"/>
    <w:rsid w:val="005933F9"/>
    <w:rsid w:val="00594453"/>
    <w:rsid w:val="00594BCB"/>
    <w:rsid w:val="00595E68"/>
    <w:rsid w:val="00595FF9"/>
    <w:rsid w:val="005965A5"/>
    <w:rsid w:val="005A0A68"/>
    <w:rsid w:val="005A0EB4"/>
    <w:rsid w:val="005A184B"/>
    <w:rsid w:val="005A20B3"/>
    <w:rsid w:val="005A3CA5"/>
    <w:rsid w:val="005A4A41"/>
    <w:rsid w:val="005A4AFC"/>
    <w:rsid w:val="005A5D3D"/>
    <w:rsid w:val="005B00AD"/>
    <w:rsid w:val="005B01D9"/>
    <w:rsid w:val="005B04E0"/>
    <w:rsid w:val="005B1B23"/>
    <w:rsid w:val="005B5934"/>
    <w:rsid w:val="005B6B35"/>
    <w:rsid w:val="005B6DB4"/>
    <w:rsid w:val="005B7B61"/>
    <w:rsid w:val="005C051A"/>
    <w:rsid w:val="005C0A05"/>
    <w:rsid w:val="005C10E6"/>
    <w:rsid w:val="005C17AD"/>
    <w:rsid w:val="005C1814"/>
    <w:rsid w:val="005C2936"/>
    <w:rsid w:val="005C2D35"/>
    <w:rsid w:val="005C34A0"/>
    <w:rsid w:val="005C3A15"/>
    <w:rsid w:val="005C421C"/>
    <w:rsid w:val="005C475C"/>
    <w:rsid w:val="005C67D4"/>
    <w:rsid w:val="005C6DCF"/>
    <w:rsid w:val="005D135B"/>
    <w:rsid w:val="005D1410"/>
    <w:rsid w:val="005D1A5E"/>
    <w:rsid w:val="005D3372"/>
    <w:rsid w:val="005D391C"/>
    <w:rsid w:val="005D3A6F"/>
    <w:rsid w:val="005D3E3F"/>
    <w:rsid w:val="005D4150"/>
    <w:rsid w:val="005D42AC"/>
    <w:rsid w:val="005D471C"/>
    <w:rsid w:val="005D50FB"/>
    <w:rsid w:val="005D635E"/>
    <w:rsid w:val="005D70C3"/>
    <w:rsid w:val="005D7980"/>
    <w:rsid w:val="005E01E3"/>
    <w:rsid w:val="005E0E99"/>
    <w:rsid w:val="005E1AB4"/>
    <w:rsid w:val="005E1C9F"/>
    <w:rsid w:val="005E209A"/>
    <w:rsid w:val="005E3C9F"/>
    <w:rsid w:val="005E46AC"/>
    <w:rsid w:val="005E54B2"/>
    <w:rsid w:val="005E5FBA"/>
    <w:rsid w:val="005E663F"/>
    <w:rsid w:val="005E67C7"/>
    <w:rsid w:val="005F3BEB"/>
    <w:rsid w:val="005F45E7"/>
    <w:rsid w:val="005F572E"/>
    <w:rsid w:val="005F5F71"/>
    <w:rsid w:val="005F5FB2"/>
    <w:rsid w:val="005F6FCC"/>
    <w:rsid w:val="005F74AF"/>
    <w:rsid w:val="0060082B"/>
    <w:rsid w:val="00601314"/>
    <w:rsid w:val="00601E97"/>
    <w:rsid w:val="00602707"/>
    <w:rsid w:val="00603776"/>
    <w:rsid w:val="006047AC"/>
    <w:rsid w:val="006065BD"/>
    <w:rsid w:val="00606F2B"/>
    <w:rsid w:val="00607233"/>
    <w:rsid w:val="00607829"/>
    <w:rsid w:val="00610E42"/>
    <w:rsid w:val="00611243"/>
    <w:rsid w:val="006115E3"/>
    <w:rsid w:val="0061294E"/>
    <w:rsid w:val="00612ABB"/>
    <w:rsid w:val="00614D23"/>
    <w:rsid w:val="006152A4"/>
    <w:rsid w:val="006159C6"/>
    <w:rsid w:val="006163D6"/>
    <w:rsid w:val="00620D57"/>
    <w:rsid w:val="006211AD"/>
    <w:rsid w:val="0062189A"/>
    <w:rsid w:val="006223AC"/>
    <w:rsid w:val="00622743"/>
    <w:rsid w:val="006238CA"/>
    <w:rsid w:val="006239CC"/>
    <w:rsid w:val="006239F9"/>
    <w:rsid w:val="00623D63"/>
    <w:rsid w:val="00624634"/>
    <w:rsid w:val="0062573C"/>
    <w:rsid w:val="00626E7B"/>
    <w:rsid w:val="00630A81"/>
    <w:rsid w:val="006323F3"/>
    <w:rsid w:val="006329BC"/>
    <w:rsid w:val="00632DDC"/>
    <w:rsid w:val="00633E59"/>
    <w:rsid w:val="00635D55"/>
    <w:rsid w:val="00635FB8"/>
    <w:rsid w:val="00637897"/>
    <w:rsid w:val="0064006B"/>
    <w:rsid w:val="00640C2E"/>
    <w:rsid w:val="00641345"/>
    <w:rsid w:val="00641D83"/>
    <w:rsid w:val="00642143"/>
    <w:rsid w:val="00642D38"/>
    <w:rsid w:val="00642DA6"/>
    <w:rsid w:val="00643204"/>
    <w:rsid w:val="0064418F"/>
    <w:rsid w:val="00644B03"/>
    <w:rsid w:val="006451A0"/>
    <w:rsid w:val="006459B9"/>
    <w:rsid w:val="00645E43"/>
    <w:rsid w:val="00645FE5"/>
    <w:rsid w:val="00646254"/>
    <w:rsid w:val="00646358"/>
    <w:rsid w:val="00646BC4"/>
    <w:rsid w:val="00647469"/>
    <w:rsid w:val="0065080C"/>
    <w:rsid w:val="006509F4"/>
    <w:rsid w:val="0065310F"/>
    <w:rsid w:val="006539A1"/>
    <w:rsid w:val="00653A8B"/>
    <w:rsid w:val="00653CBF"/>
    <w:rsid w:val="00654D69"/>
    <w:rsid w:val="00655402"/>
    <w:rsid w:val="0065552D"/>
    <w:rsid w:val="00655667"/>
    <w:rsid w:val="00656716"/>
    <w:rsid w:val="00657F55"/>
    <w:rsid w:val="006604A4"/>
    <w:rsid w:val="00661CA0"/>
    <w:rsid w:val="00662A2F"/>
    <w:rsid w:val="00663DA8"/>
    <w:rsid w:val="00663DB0"/>
    <w:rsid w:val="0066425F"/>
    <w:rsid w:val="00664623"/>
    <w:rsid w:val="0066483F"/>
    <w:rsid w:val="00664EEB"/>
    <w:rsid w:val="006652B3"/>
    <w:rsid w:val="00665AE5"/>
    <w:rsid w:val="00665C9F"/>
    <w:rsid w:val="0066624B"/>
    <w:rsid w:val="00667DE7"/>
    <w:rsid w:val="00670AA4"/>
    <w:rsid w:val="00671A44"/>
    <w:rsid w:val="00671CEB"/>
    <w:rsid w:val="00671DF9"/>
    <w:rsid w:val="00671F5D"/>
    <w:rsid w:val="0067261A"/>
    <w:rsid w:val="006731F0"/>
    <w:rsid w:val="00676EF0"/>
    <w:rsid w:val="00677EDE"/>
    <w:rsid w:val="006827A9"/>
    <w:rsid w:val="00683313"/>
    <w:rsid w:val="0068345D"/>
    <w:rsid w:val="00684083"/>
    <w:rsid w:val="00684329"/>
    <w:rsid w:val="006845F5"/>
    <w:rsid w:val="0068496E"/>
    <w:rsid w:val="006854A8"/>
    <w:rsid w:val="006858DE"/>
    <w:rsid w:val="00686A25"/>
    <w:rsid w:val="00687377"/>
    <w:rsid w:val="006873BE"/>
    <w:rsid w:val="0069037E"/>
    <w:rsid w:val="00690953"/>
    <w:rsid w:val="00691521"/>
    <w:rsid w:val="00692290"/>
    <w:rsid w:val="00692557"/>
    <w:rsid w:val="00693B83"/>
    <w:rsid w:val="00694B47"/>
    <w:rsid w:val="00694F36"/>
    <w:rsid w:val="006950DE"/>
    <w:rsid w:val="00695460"/>
    <w:rsid w:val="006959FA"/>
    <w:rsid w:val="00695D98"/>
    <w:rsid w:val="0069614B"/>
    <w:rsid w:val="00696B61"/>
    <w:rsid w:val="0069782B"/>
    <w:rsid w:val="00697C00"/>
    <w:rsid w:val="006A090A"/>
    <w:rsid w:val="006A104B"/>
    <w:rsid w:val="006A2834"/>
    <w:rsid w:val="006A3282"/>
    <w:rsid w:val="006A3DC2"/>
    <w:rsid w:val="006A3E66"/>
    <w:rsid w:val="006A4FE4"/>
    <w:rsid w:val="006A5680"/>
    <w:rsid w:val="006A5824"/>
    <w:rsid w:val="006A6230"/>
    <w:rsid w:val="006A6AE5"/>
    <w:rsid w:val="006A713C"/>
    <w:rsid w:val="006B09A8"/>
    <w:rsid w:val="006B09DC"/>
    <w:rsid w:val="006B1CF8"/>
    <w:rsid w:val="006B230B"/>
    <w:rsid w:val="006B2397"/>
    <w:rsid w:val="006B3A48"/>
    <w:rsid w:val="006B46EA"/>
    <w:rsid w:val="006B4AB1"/>
    <w:rsid w:val="006B5D72"/>
    <w:rsid w:val="006B6229"/>
    <w:rsid w:val="006B68DD"/>
    <w:rsid w:val="006B707F"/>
    <w:rsid w:val="006B7258"/>
    <w:rsid w:val="006C0018"/>
    <w:rsid w:val="006C0D02"/>
    <w:rsid w:val="006C0D03"/>
    <w:rsid w:val="006C1A3D"/>
    <w:rsid w:val="006C3A39"/>
    <w:rsid w:val="006C3A7E"/>
    <w:rsid w:val="006C45A5"/>
    <w:rsid w:val="006C48AD"/>
    <w:rsid w:val="006C54B1"/>
    <w:rsid w:val="006C57DB"/>
    <w:rsid w:val="006C6F5F"/>
    <w:rsid w:val="006C766D"/>
    <w:rsid w:val="006D045B"/>
    <w:rsid w:val="006D0904"/>
    <w:rsid w:val="006D0C31"/>
    <w:rsid w:val="006D2F2E"/>
    <w:rsid w:val="006D322D"/>
    <w:rsid w:val="006D361A"/>
    <w:rsid w:val="006D3788"/>
    <w:rsid w:val="006D4A78"/>
    <w:rsid w:val="006D4B54"/>
    <w:rsid w:val="006D5AA8"/>
    <w:rsid w:val="006D5C20"/>
    <w:rsid w:val="006D7F9D"/>
    <w:rsid w:val="006E037B"/>
    <w:rsid w:val="006E0EE8"/>
    <w:rsid w:val="006E22C0"/>
    <w:rsid w:val="006E2422"/>
    <w:rsid w:val="006E3102"/>
    <w:rsid w:val="006E3720"/>
    <w:rsid w:val="006E3D4E"/>
    <w:rsid w:val="006E480E"/>
    <w:rsid w:val="006E4FB8"/>
    <w:rsid w:val="006E5C68"/>
    <w:rsid w:val="006E5F7A"/>
    <w:rsid w:val="006F0487"/>
    <w:rsid w:val="006F09FD"/>
    <w:rsid w:val="006F0A45"/>
    <w:rsid w:val="006F0C50"/>
    <w:rsid w:val="006F12A4"/>
    <w:rsid w:val="006F331C"/>
    <w:rsid w:val="00701330"/>
    <w:rsid w:val="007017B2"/>
    <w:rsid w:val="00701A80"/>
    <w:rsid w:val="00702E9C"/>
    <w:rsid w:val="0070506F"/>
    <w:rsid w:val="00706142"/>
    <w:rsid w:val="00706309"/>
    <w:rsid w:val="007065E5"/>
    <w:rsid w:val="00706CBD"/>
    <w:rsid w:val="0070727F"/>
    <w:rsid w:val="007077DE"/>
    <w:rsid w:val="007103B3"/>
    <w:rsid w:val="00710858"/>
    <w:rsid w:val="0071090E"/>
    <w:rsid w:val="00711E47"/>
    <w:rsid w:val="0071314A"/>
    <w:rsid w:val="007136A7"/>
    <w:rsid w:val="00713FFE"/>
    <w:rsid w:val="0071446C"/>
    <w:rsid w:val="007154E3"/>
    <w:rsid w:val="00717295"/>
    <w:rsid w:val="00717D68"/>
    <w:rsid w:val="00717FCD"/>
    <w:rsid w:val="0072011A"/>
    <w:rsid w:val="00720593"/>
    <w:rsid w:val="0072065C"/>
    <w:rsid w:val="00721982"/>
    <w:rsid w:val="00721BBE"/>
    <w:rsid w:val="007221D9"/>
    <w:rsid w:val="007236B3"/>
    <w:rsid w:val="00724228"/>
    <w:rsid w:val="00724A41"/>
    <w:rsid w:val="00724BF6"/>
    <w:rsid w:val="00725470"/>
    <w:rsid w:val="00725FF8"/>
    <w:rsid w:val="00726C39"/>
    <w:rsid w:val="007270EC"/>
    <w:rsid w:val="00727646"/>
    <w:rsid w:val="007301C2"/>
    <w:rsid w:val="00730FF2"/>
    <w:rsid w:val="00731BA1"/>
    <w:rsid w:val="00731D79"/>
    <w:rsid w:val="007327FF"/>
    <w:rsid w:val="00732E8C"/>
    <w:rsid w:val="00734CC2"/>
    <w:rsid w:val="00735408"/>
    <w:rsid w:val="00735A07"/>
    <w:rsid w:val="00736AA2"/>
    <w:rsid w:val="00737168"/>
    <w:rsid w:val="00737E1F"/>
    <w:rsid w:val="00740460"/>
    <w:rsid w:val="0074062C"/>
    <w:rsid w:val="00740818"/>
    <w:rsid w:val="00740854"/>
    <w:rsid w:val="0074219F"/>
    <w:rsid w:val="00742999"/>
    <w:rsid w:val="00743774"/>
    <w:rsid w:val="007437EA"/>
    <w:rsid w:val="00744077"/>
    <w:rsid w:val="007451D1"/>
    <w:rsid w:val="00745F06"/>
    <w:rsid w:val="0074685C"/>
    <w:rsid w:val="00747061"/>
    <w:rsid w:val="007470C3"/>
    <w:rsid w:val="007474FE"/>
    <w:rsid w:val="007521EA"/>
    <w:rsid w:val="007568A5"/>
    <w:rsid w:val="007603D5"/>
    <w:rsid w:val="0076040A"/>
    <w:rsid w:val="007607C7"/>
    <w:rsid w:val="007611EF"/>
    <w:rsid w:val="00762304"/>
    <w:rsid w:val="0076301D"/>
    <w:rsid w:val="0076376F"/>
    <w:rsid w:val="00765266"/>
    <w:rsid w:val="00766984"/>
    <w:rsid w:val="00766990"/>
    <w:rsid w:val="00766A90"/>
    <w:rsid w:val="00767483"/>
    <w:rsid w:val="00767491"/>
    <w:rsid w:val="00767598"/>
    <w:rsid w:val="00767F66"/>
    <w:rsid w:val="00773C84"/>
    <w:rsid w:val="00774F69"/>
    <w:rsid w:val="00776442"/>
    <w:rsid w:val="00776AA7"/>
    <w:rsid w:val="00777619"/>
    <w:rsid w:val="00783759"/>
    <w:rsid w:val="00783F09"/>
    <w:rsid w:val="0078423E"/>
    <w:rsid w:val="00784307"/>
    <w:rsid w:val="00784D33"/>
    <w:rsid w:val="00785193"/>
    <w:rsid w:val="007853FB"/>
    <w:rsid w:val="0078544E"/>
    <w:rsid w:val="00785BB0"/>
    <w:rsid w:val="00785ED4"/>
    <w:rsid w:val="00786E90"/>
    <w:rsid w:val="0078739F"/>
    <w:rsid w:val="00787E35"/>
    <w:rsid w:val="00791B25"/>
    <w:rsid w:val="00791D58"/>
    <w:rsid w:val="00792EA4"/>
    <w:rsid w:val="00793EB9"/>
    <w:rsid w:val="007A0432"/>
    <w:rsid w:val="007A09DE"/>
    <w:rsid w:val="007A1A3D"/>
    <w:rsid w:val="007A1C93"/>
    <w:rsid w:val="007A273A"/>
    <w:rsid w:val="007A2CD8"/>
    <w:rsid w:val="007A323B"/>
    <w:rsid w:val="007A379E"/>
    <w:rsid w:val="007A3B29"/>
    <w:rsid w:val="007A3DAD"/>
    <w:rsid w:val="007A3DE8"/>
    <w:rsid w:val="007A4CE6"/>
    <w:rsid w:val="007A4CEB"/>
    <w:rsid w:val="007A529E"/>
    <w:rsid w:val="007A583B"/>
    <w:rsid w:val="007A5B91"/>
    <w:rsid w:val="007A6302"/>
    <w:rsid w:val="007A67B0"/>
    <w:rsid w:val="007A68D3"/>
    <w:rsid w:val="007A69D5"/>
    <w:rsid w:val="007A737C"/>
    <w:rsid w:val="007A77AC"/>
    <w:rsid w:val="007A7960"/>
    <w:rsid w:val="007A7E64"/>
    <w:rsid w:val="007B1BB4"/>
    <w:rsid w:val="007B54B7"/>
    <w:rsid w:val="007B6265"/>
    <w:rsid w:val="007B6E26"/>
    <w:rsid w:val="007B6EAB"/>
    <w:rsid w:val="007B7058"/>
    <w:rsid w:val="007B7D06"/>
    <w:rsid w:val="007C066B"/>
    <w:rsid w:val="007C1DF7"/>
    <w:rsid w:val="007C29E4"/>
    <w:rsid w:val="007C3499"/>
    <w:rsid w:val="007C73FF"/>
    <w:rsid w:val="007D0989"/>
    <w:rsid w:val="007D2189"/>
    <w:rsid w:val="007D2BE3"/>
    <w:rsid w:val="007D2CAE"/>
    <w:rsid w:val="007D3E9D"/>
    <w:rsid w:val="007D4A1B"/>
    <w:rsid w:val="007D4CA5"/>
    <w:rsid w:val="007D6891"/>
    <w:rsid w:val="007D6E53"/>
    <w:rsid w:val="007D6F8E"/>
    <w:rsid w:val="007D7182"/>
    <w:rsid w:val="007D723C"/>
    <w:rsid w:val="007E0255"/>
    <w:rsid w:val="007E0A53"/>
    <w:rsid w:val="007E131A"/>
    <w:rsid w:val="007E1689"/>
    <w:rsid w:val="007E1AAF"/>
    <w:rsid w:val="007E1ACF"/>
    <w:rsid w:val="007E34FF"/>
    <w:rsid w:val="007E4D0F"/>
    <w:rsid w:val="007E66F5"/>
    <w:rsid w:val="007E6A5F"/>
    <w:rsid w:val="007E6EA3"/>
    <w:rsid w:val="007E701F"/>
    <w:rsid w:val="007E737A"/>
    <w:rsid w:val="007E753D"/>
    <w:rsid w:val="007E770D"/>
    <w:rsid w:val="007F031C"/>
    <w:rsid w:val="007F1E4F"/>
    <w:rsid w:val="007F2AE5"/>
    <w:rsid w:val="007F328B"/>
    <w:rsid w:val="007F6479"/>
    <w:rsid w:val="007F6DAC"/>
    <w:rsid w:val="007F785E"/>
    <w:rsid w:val="007F7B66"/>
    <w:rsid w:val="008003FB"/>
    <w:rsid w:val="0080121F"/>
    <w:rsid w:val="008023DB"/>
    <w:rsid w:val="0080289C"/>
    <w:rsid w:val="00802C14"/>
    <w:rsid w:val="00804083"/>
    <w:rsid w:val="008041DE"/>
    <w:rsid w:val="00804269"/>
    <w:rsid w:val="00805949"/>
    <w:rsid w:val="008066BE"/>
    <w:rsid w:val="008069CF"/>
    <w:rsid w:val="00807B2F"/>
    <w:rsid w:val="00807FC3"/>
    <w:rsid w:val="008110F6"/>
    <w:rsid w:val="00811807"/>
    <w:rsid w:val="00812637"/>
    <w:rsid w:val="00812EE2"/>
    <w:rsid w:val="00813312"/>
    <w:rsid w:val="008133E9"/>
    <w:rsid w:val="008139CB"/>
    <w:rsid w:val="00814D08"/>
    <w:rsid w:val="00814E0B"/>
    <w:rsid w:val="00815831"/>
    <w:rsid w:val="00815C8F"/>
    <w:rsid w:val="00821663"/>
    <w:rsid w:val="008217BC"/>
    <w:rsid w:val="008217C6"/>
    <w:rsid w:val="008221D2"/>
    <w:rsid w:val="00822BB3"/>
    <w:rsid w:val="008237F3"/>
    <w:rsid w:val="0082585E"/>
    <w:rsid w:val="008265F0"/>
    <w:rsid w:val="00826638"/>
    <w:rsid w:val="00826B52"/>
    <w:rsid w:val="00827961"/>
    <w:rsid w:val="0083046B"/>
    <w:rsid w:val="0083056A"/>
    <w:rsid w:val="00830EFF"/>
    <w:rsid w:val="00831927"/>
    <w:rsid w:val="00832A91"/>
    <w:rsid w:val="008330F0"/>
    <w:rsid w:val="008333A1"/>
    <w:rsid w:val="00833E90"/>
    <w:rsid w:val="0083455A"/>
    <w:rsid w:val="008347B0"/>
    <w:rsid w:val="008351E2"/>
    <w:rsid w:val="008354FF"/>
    <w:rsid w:val="00835C79"/>
    <w:rsid w:val="00836657"/>
    <w:rsid w:val="008366FA"/>
    <w:rsid w:val="00836DC9"/>
    <w:rsid w:val="00837020"/>
    <w:rsid w:val="008370F9"/>
    <w:rsid w:val="0084022E"/>
    <w:rsid w:val="00840D0E"/>
    <w:rsid w:val="00840D9B"/>
    <w:rsid w:val="0084203C"/>
    <w:rsid w:val="008420D4"/>
    <w:rsid w:val="00842D47"/>
    <w:rsid w:val="00842EE5"/>
    <w:rsid w:val="00842F07"/>
    <w:rsid w:val="0084354E"/>
    <w:rsid w:val="008443FC"/>
    <w:rsid w:val="0084671D"/>
    <w:rsid w:val="0084792D"/>
    <w:rsid w:val="00847F35"/>
    <w:rsid w:val="008519F8"/>
    <w:rsid w:val="00852767"/>
    <w:rsid w:val="00852B88"/>
    <w:rsid w:val="00852FA3"/>
    <w:rsid w:val="00853EDC"/>
    <w:rsid w:val="008542E1"/>
    <w:rsid w:val="0085433B"/>
    <w:rsid w:val="00854A37"/>
    <w:rsid w:val="00854F1F"/>
    <w:rsid w:val="00855D6C"/>
    <w:rsid w:val="00855EC9"/>
    <w:rsid w:val="00856998"/>
    <w:rsid w:val="00856EF6"/>
    <w:rsid w:val="00860124"/>
    <w:rsid w:val="00860144"/>
    <w:rsid w:val="00862B04"/>
    <w:rsid w:val="00862FAE"/>
    <w:rsid w:val="00863E0A"/>
    <w:rsid w:val="00863E55"/>
    <w:rsid w:val="00866BE8"/>
    <w:rsid w:val="00867B49"/>
    <w:rsid w:val="00867C77"/>
    <w:rsid w:val="008704C4"/>
    <w:rsid w:val="00870799"/>
    <w:rsid w:val="00871249"/>
    <w:rsid w:val="00871445"/>
    <w:rsid w:val="00872EFD"/>
    <w:rsid w:val="00873228"/>
    <w:rsid w:val="00874A3E"/>
    <w:rsid w:val="00875AD1"/>
    <w:rsid w:val="00876CF0"/>
    <w:rsid w:val="00876E75"/>
    <w:rsid w:val="008816A0"/>
    <w:rsid w:val="00883F53"/>
    <w:rsid w:val="0088477E"/>
    <w:rsid w:val="008848FE"/>
    <w:rsid w:val="00884956"/>
    <w:rsid w:val="00884F35"/>
    <w:rsid w:val="0088756B"/>
    <w:rsid w:val="00887C06"/>
    <w:rsid w:val="00887F8A"/>
    <w:rsid w:val="008914B1"/>
    <w:rsid w:val="00891B6C"/>
    <w:rsid w:val="008946CE"/>
    <w:rsid w:val="008947B2"/>
    <w:rsid w:val="00895137"/>
    <w:rsid w:val="00895C1B"/>
    <w:rsid w:val="008966FE"/>
    <w:rsid w:val="00896B97"/>
    <w:rsid w:val="008979D4"/>
    <w:rsid w:val="008A1568"/>
    <w:rsid w:val="008A20AD"/>
    <w:rsid w:val="008A2849"/>
    <w:rsid w:val="008A48AA"/>
    <w:rsid w:val="008A58C5"/>
    <w:rsid w:val="008A637A"/>
    <w:rsid w:val="008A63B2"/>
    <w:rsid w:val="008A6F70"/>
    <w:rsid w:val="008B0271"/>
    <w:rsid w:val="008B1F84"/>
    <w:rsid w:val="008B25EA"/>
    <w:rsid w:val="008B2E6D"/>
    <w:rsid w:val="008B3904"/>
    <w:rsid w:val="008B3B5E"/>
    <w:rsid w:val="008B4CB5"/>
    <w:rsid w:val="008B605A"/>
    <w:rsid w:val="008B7BCC"/>
    <w:rsid w:val="008B7C88"/>
    <w:rsid w:val="008C2B7F"/>
    <w:rsid w:val="008C2C80"/>
    <w:rsid w:val="008C36EA"/>
    <w:rsid w:val="008C5626"/>
    <w:rsid w:val="008C562A"/>
    <w:rsid w:val="008C57F6"/>
    <w:rsid w:val="008C5CF2"/>
    <w:rsid w:val="008C62F8"/>
    <w:rsid w:val="008C6D92"/>
    <w:rsid w:val="008C74AD"/>
    <w:rsid w:val="008C7A01"/>
    <w:rsid w:val="008D0230"/>
    <w:rsid w:val="008D05F1"/>
    <w:rsid w:val="008D1425"/>
    <w:rsid w:val="008D1D33"/>
    <w:rsid w:val="008D2C76"/>
    <w:rsid w:val="008D2DC7"/>
    <w:rsid w:val="008D3291"/>
    <w:rsid w:val="008D3855"/>
    <w:rsid w:val="008D3DBC"/>
    <w:rsid w:val="008D436F"/>
    <w:rsid w:val="008D5118"/>
    <w:rsid w:val="008D55A9"/>
    <w:rsid w:val="008D6ABE"/>
    <w:rsid w:val="008D6C4D"/>
    <w:rsid w:val="008D7A2E"/>
    <w:rsid w:val="008E14B3"/>
    <w:rsid w:val="008E179C"/>
    <w:rsid w:val="008E1883"/>
    <w:rsid w:val="008E2003"/>
    <w:rsid w:val="008E22B5"/>
    <w:rsid w:val="008E2FD8"/>
    <w:rsid w:val="008E368C"/>
    <w:rsid w:val="008E4885"/>
    <w:rsid w:val="008E4992"/>
    <w:rsid w:val="008E5519"/>
    <w:rsid w:val="008E6192"/>
    <w:rsid w:val="008E61D1"/>
    <w:rsid w:val="008E65D2"/>
    <w:rsid w:val="008E67C1"/>
    <w:rsid w:val="008E6892"/>
    <w:rsid w:val="008E79FE"/>
    <w:rsid w:val="008E7C20"/>
    <w:rsid w:val="008F0290"/>
    <w:rsid w:val="008F1546"/>
    <w:rsid w:val="008F16B8"/>
    <w:rsid w:val="008F3399"/>
    <w:rsid w:val="008F33BB"/>
    <w:rsid w:val="008F34BD"/>
    <w:rsid w:val="008F3628"/>
    <w:rsid w:val="008F3DD7"/>
    <w:rsid w:val="008F57E9"/>
    <w:rsid w:val="008F5F60"/>
    <w:rsid w:val="008F713F"/>
    <w:rsid w:val="008F72D8"/>
    <w:rsid w:val="008F73A2"/>
    <w:rsid w:val="008F7E2A"/>
    <w:rsid w:val="00900799"/>
    <w:rsid w:val="00900D05"/>
    <w:rsid w:val="00902091"/>
    <w:rsid w:val="00904AAE"/>
    <w:rsid w:val="00904B17"/>
    <w:rsid w:val="0090645A"/>
    <w:rsid w:val="00907E3F"/>
    <w:rsid w:val="00910058"/>
    <w:rsid w:val="00910525"/>
    <w:rsid w:val="009114FB"/>
    <w:rsid w:val="0091179A"/>
    <w:rsid w:val="00911F0E"/>
    <w:rsid w:val="00912C72"/>
    <w:rsid w:val="00912D11"/>
    <w:rsid w:val="009131FD"/>
    <w:rsid w:val="00913AAF"/>
    <w:rsid w:val="00913D4E"/>
    <w:rsid w:val="0091487A"/>
    <w:rsid w:val="009162E2"/>
    <w:rsid w:val="009201A2"/>
    <w:rsid w:val="00920496"/>
    <w:rsid w:val="00920524"/>
    <w:rsid w:val="00920720"/>
    <w:rsid w:val="00921479"/>
    <w:rsid w:val="00921E8D"/>
    <w:rsid w:val="00922B97"/>
    <w:rsid w:val="00922FD4"/>
    <w:rsid w:val="0092324E"/>
    <w:rsid w:val="00923503"/>
    <w:rsid w:val="00925821"/>
    <w:rsid w:val="00925BBB"/>
    <w:rsid w:val="00926217"/>
    <w:rsid w:val="0092764D"/>
    <w:rsid w:val="00927CB1"/>
    <w:rsid w:val="0093003A"/>
    <w:rsid w:val="0093197D"/>
    <w:rsid w:val="00931E50"/>
    <w:rsid w:val="00932185"/>
    <w:rsid w:val="00932E21"/>
    <w:rsid w:val="00933B8E"/>
    <w:rsid w:val="009360D0"/>
    <w:rsid w:val="00936480"/>
    <w:rsid w:val="009365E3"/>
    <w:rsid w:val="00940807"/>
    <w:rsid w:val="0094136A"/>
    <w:rsid w:val="00943C8F"/>
    <w:rsid w:val="00944DC6"/>
    <w:rsid w:val="009453BD"/>
    <w:rsid w:val="00945653"/>
    <w:rsid w:val="00945CF8"/>
    <w:rsid w:val="009469E5"/>
    <w:rsid w:val="00947AD8"/>
    <w:rsid w:val="009504B3"/>
    <w:rsid w:val="009505B3"/>
    <w:rsid w:val="00951372"/>
    <w:rsid w:val="00952193"/>
    <w:rsid w:val="00952B58"/>
    <w:rsid w:val="0095323F"/>
    <w:rsid w:val="009540E2"/>
    <w:rsid w:val="00954105"/>
    <w:rsid w:val="00954D55"/>
    <w:rsid w:val="0095673A"/>
    <w:rsid w:val="00956BB3"/>
    <w:rsid w:val="00956C60"/>
    <w:rsid w:val="00956D43"/>
    <w:rsid w:val="009602A3"/>
    <w:rsid w:val="00960AC3"/>
    <w:rsid w:val="009617DC"/>
    <w:rsid w:val="0096239F"/>
    <w:rsid w:val="0096352B"/>
    <w:rsid w:val="00963972"/>
    <w:rsid w:val="00964DC7"/>
    <w:rsid w:val="00964F8A"/>
    <w:rsid w:val="0096552A"/>
    <w:rsid w:val="00966211"/>
    <w:rsid w:val="00967BDF"/>
    <w:rsid w:val="00970CA4"/>
    <w:rsid w:val="00970CE7"/>
    <w:rsid w:val="0097203A"/>
    <w:rsid w:val="00972218"/>
    <w:rsid w:val="00972B18"/>
    <w:rsid w:val="00972D75"/>
    <w:rsid w:val="00972DF4"/>
    <w:rsid w:val="00973929"/>
    <w:rsid w:val="00973CA1"/>
    <w:rsid w:val="00973E12"/>
    <w:rsid w:val="00974CED"/>
    <w:rsid w:val="00976057"/>
    <w:rsid w:val="009803F8"/>
    <w:rsid w:val="00980458"/>
    <w:rsid w:val="00981195"/>
    <w:rsid w:val="00981BB3"/>
    <w:rsid w:val="00982156"/>
    <w:rsid w:val="009825ED"/>
    <w:rsid w:val="0098403A"/>
    <w:rsid w:val="0098426E"/>
    <w:rsid w:val="00984686"/>
    <w:rsid w:val="00985E62"/>
    <w:rsid w:val="00986E5E"/>
    <w:rsid w:val="009877EB"/>
    <w:rsid w:val="00987DE9"/>
    <w:rsid w:val="00990EF6"/>
    <w:rsid w:val="009910DA"/>
    <w:rsid w:val="00992B5F"/>
    <w:rsid w:val="0099348C"/>
    <w:rsid w:val="00993B30"/>
    <w:rsid w:val="00994635"/>
    <w:rsid w:val="00994909"/>
    <w:rsid w:val="00994ADD"/>
    <w:rsid w:val="00995B7D"/>
    <w:rsid w:val="00996939"/>
    <w:rsid w:val="00997720"/>
    <w:rsid w:val="00997D8D"/>
    <w:rsid w:val="00997FE7"/>
    <w:rsid w:val="009A0267"/>
    <w:rsid w:val="009A090E"/>
    <w:rsid w:val="009A0A99"/>
    <w:rsid w:val="009A192D"/>
    <w:rsid w:val="009A1FF2"/>
    <w:rsid w:val="009A206D"/>
    <w:rsid w:val="009A3B60"/>
    <w:rsid w:val="009A3F7A"/>
    <w:rsid w:val="009A4AA4"/>
    <w:rsid w:val="009A65C8"/>
    <w:rsid w:val="009A6B1D"/>
    <w:rsid w:val="009A6C9A"/>
    <w:rsid w:val="009A6F5E"/>
    <w:rsid w:val="009B0358"/>
    <w:rsid w:val="009B1086"/>
    <w:rsid w:val="009B1DCA"/>
    <w:rsid w:val="009B1EA0"/>
    <w:rsid w:val="009B204E"/>
    <w:rsid w:val="009B22D2"/>
    <w:rsid w:val="009B39AA"/>
    <w:rsid w:val="009B45EF"/>
    <w:rsid w:val="009B483C"/>
    <w:rsid w:val="009B49C0"/>
    <w:rsid w:val="009B647D"/>
    <w:rsid w:val="009B6F79"/>
    <w:rsid w:val="009B76B2"/>
    <w:rsid w:val="009C15E3"/>
    <w:rsid w:val="009C1683"/>
    <w:rsid w:val="009C1F5E"/>
    <w:rsid w:val="009C2D22"/>
    <w:rsid w:val="009C40DA"/>
    <w:rsid w:val="009C490C"/>
    <w:rsid w:val="009C4F59"/>
    <w:rsid w:val="009C6672"/>
    <w:rsid w:val="009C77E9"/>
    <w:rsid w:val="009C7C9B"/>
    <w:rsid w:val="009D147F"/>
    <w:rsid w:val="009D3478"/>
    <w:rsid w:val="009D3A37"/>
    <w:rsid w:val="009D3C98"/>
    <w:rsid w:val="009D41B7"/>
    <w:rsid w:val="009D465B"/>
    <w:rsid w:val="009D4D6D"/>
    <w:rsid w:val="009D52B2"/>
    <w:rsid w:val="009D547D"/>
    <w:rsid w:val="009D5693"/>
    <w:rsid w:val="009D5857"/>
    <w:rsid w:val="009D593B"/>
    <w:rsid w:val="009E22A8"/>
    <w:rsid w:val="009E2863"/>
    <w:rsid w:val="009E35F4"/>
    <w:rsid w:val="009E3D35"/>
    <w:rsid w:val="009E44FD"/>
    <w:rsid w:val="009E4B86"/>
    <w:rsid w:val="009E5850"/>
    <w:rsid w:val="009E600C"/>
    <w:rsid w:val="009E6362"/>
    <w:rsid w:val="009E7254"/>
    <w:rsid w:val="009E765D"/>
    <w:rsid w:val="009E7810"/>
    <w:rsid w:val="009E7D75"/>
    <w:rsid w:val="009E7F52"/>
    <w:rsid w:val="009F13C7"/>
    <w:rsid w:val="009F1610"/>
    <w:rsid w:val="009F1BA1"/>
    <w:rsid w:val="009F206A"/>
    <w:rsid w:val="009F3697"/>
    <w:rsid w:val="009F3B0F"/>
    <w:rsid w:val="009F4652"/>
    <w:rsid w:val="009F4789"/>
    <w:rsid w:val="009F48B0"/>
    <w:rsid w:val="009F4E6B"/>
    <w:rsid w:val="009F5EDD"/>
    <w:rsid w:val="009F6514"/>
    <w:rsid w:val="00A008E1"/>
    <w:rsid w:val="00A01BD8"/>
    <w:rsid w:val="00A02687"/>
    <w:rsid w:val="00A02EFC"/>
    <w:rsid w:val="00A03BD3"/>
    <w:rsid w:val="00A050D4"/>
    <w:rsid w:val="00A05517"/>
    <w:rsid w:val="00A05730"/>
    <w:rsid w:val="00A06FA2"/>
    <w:rsid w:val="00A10EF7"/>
    <w:rsid w:val="00A113B3"/>
    <w:rsid w:val="00A12984"/>
    <w:rsid w:val="00A13517"/>
    <w:rsid w:val="00A1490B"/>
    <w:rsid w:val="00A14E12"/>
    <w:rsid w:val="00A153B6"/>
    <w:rsid w:val="00A15D80"/>
    <w:rsid w:val="00A16649"/>
    <w:rsid w:val="00A17140"/>
    <w:rsid w:val="00A17907"/>
    <w:rsid w:val="00A20A7C"/>
    <w:rsid w:val="00A21E4E"/>
    <w:rsid w:val="00A236FE"/>
    <w:rsid w:val="00A241C0"/>
    <w:rsid w:val="00A24DCE"/>
    <w:rsid w:val="00A251B9"/>
    <w:rsid w:val="00A25C38"/>
    <w:rsid w:val="00A270A5"/>
    <w:rsid w:val="00A2781D"/>
    <w:rsid w:val="00A31540"/>
    <w:rsid w:val="00A320E3"/>
    <w:rsid w:val="00A33525"/>
    <w:rsid w:val="00A33573"/>
    <w:rsid w:val="00A33807"/>
    <w:rsid w:val="00A34710"/>
    <w:rsid w:val="00A34AB0"/>
    <w:rsid w:val="00A3611E"/>
    <w:rsid w:val="00A378A8"/>
    <w:rsid w:val="00A37BCE"/>
    <w:rsid w:val="00A37C16"/>
    <w:rsid w:val="00A40744"/>
    <w:rsid w:val="00A40811"/>
    <w:rsid w:val="00A42249"/>
    <w:rsid w:val="00A42944"/>
    <w:rsid w:val="00A438B0"/>
    <w:rsid w:val="00A44517"/>
    <w:rsid w:val="00A45365"/>
    <w:rsid w:val="00A46470"/>
    <w:rsid w:val="00A47232"/>
    <w:rsid w:val="00A473B0"/>
    <w:rsid w:val="00A50007"/>
    <w:rsid w:val="00A50A5E"/>
    <w:rsid w:val="00A5233F"/>
    <w:rsid w:val="00A526EE"/>
    <w:rsid w:val="00A52793"/>
    <w:rsid w:val="00A52C17"/>
    <w:rsid w:val="00A53E5E"/>
    <w:rsid w:val="00A5591C"/>
    <w:rsid w:val="00A55F27"/>
    <w:rsid w:val="00A57372"/>
    <w:rsid w:val="00A60628"/>
    <w:rsid w:val="00A60DEC"/>
    <w:rsid w:val="00A61232"/>
    <w:rsid w:val="00A619D1"/>
    <w:rsid w:val="00A635CC"/>
    <w:rsid w:val="00A63FD1"/>
    <w:rsid w:val="00A64403"/>
    <w:rsid w:val="00A6479F"/>
    <w:rsid w:val="00A64BCA"/>
    <w:rsid w:val="00A64EDF"/>
    <w:rsid w:val="00A65D7B"/>
    <w:rsid w:val="00A66DC7"/>
    <w:rsid w:val="00A66FEC"/>
    <w:rsid w:val="00A67B04"/>
    <w:rsid w:val="00A70B7A"/>
    <w:rsid w:val="00A70E96"/>
    <w:rsid w:val="00A70EA3"/>
    <w:rsid w:val="00A70F3C"/>
    <w:rsid w:val="00A72FBB"/>
    <w:rsid w:val="00A77B61"/>
    <w:rsid w:val="00A81BE5"/>
    <w:rsid w:val="00A8223D"/>
    <w:rsid w:val="00A85589"/>
    <w:rsid w:val="00A8574E"/>
    <w:rsid w:val="00A86002"/>
    <w:rsid w:val="00A87248"/>
    <w:rsid w:val="00A87A10"/>
    <w:rsid w:val="00A92735"/>
    <w:rsid w:val="00A930E5"/>
    <w:rsid w:val="00A940CE"/>
    <w:rsid w:val="00A958D8"/>
    <w:rsid w:val="00A95901"/>
    <w:rsid w:val="00A963A9"/>
    <w:rsid w:val="00A96B13"/>
    <w:rsid w:val="00A9743E"/>
    <w:rsid w:val="00A9779E"/>
    <w:rsid w:val="00AA01E6"/>
    <w:rsid w:val="00AA09DD"/>
    <w:rsid w:val="00AA0D20"/>
    <w:rsid w:val="00AA1305"/>
    <w:rsid w:val="00AA16B3"/>
    <w:rsid w:val="00AA20D5"/>
    <w:rsid w:val="00AA2483"/>
    <w:rsid w:val="00AA2A85"/>
    <w:rsid w:val="00AA31B1"/>
    <w:rsid w:val="00AA3EEE"/>
    <w:rsid w:val="00AA41EA"/>
    <w:rsid w:val="00AA497B"/>
    <w:rsid w:val="00AA49D0"/>
    <w:rsid w:val="00AA66E7"/>
    <w:rsid w:val="00AA6AA2"/>
    <w:rsid w:val="00AA6CD0"/>
    <w:rsid w:val="00AA7835"/>
    <w:rsid w:val="00AA78BD"/>
    <w:rsid w:val="00AB0BE1"/>
    <w:rsid w:val="00AB0E2B"/>
    <w:rsid w:val="00AB121A"/>
    <w:rsid w:val="00AB22E0"/>
    <w:rsid w:val="00AB40B6"/>
    <w:rsid w:val="00AB56C1"/>
    <w:rsid w:val="00AB570B"/>
    <w:rsid w:val="00AB5D49"/>
    <w:rsid w:val="00AB67D0"/>
    <w:rsid w:val="00AC0C4C"/>
    <w:rsid w:val="00AC0CDE"/>
    <w:rsid w:val="00AC0D52"/>
    <w:rsid w:val="00AC132D"/>
    <w:rsid w:val="00AC146A"/>
    <w:rsid w:val="00AC1733"/>
    <w:rsid w:val="00AC2ACC"/>
    <w:rsid w:val="00AC368C"/>
    <w:rsid w:val="00AC4594"/>
    <w:rsid w:val="00AC55D2"/>
    <w:rsid w:val="00AC64E3"/>
    <w:rsid w:val="00AC667F"/>
    <w:rsid w:val="00AD039C"/>
    <w:rsid w:val="00AD1F20"/>
    <w:rsid w:val="00AD3F52"/>
    <w:rsid w:val="00AD4263"/>
    <w:rsid w:val="00AD4A00"/>
    <w:rsid w:val="00AD4C8C"/>
    <w:rsid w:val="00AD66EF"/>
    <w:rsid w:val="00AD67C7"/>
    <w:rsid w:val="00AD6DF6"/>
    <w:rsid w:val="00AD7E5B"/>
    <w:rsid w:val="00AE096F"/>
    <w:rsid w:val="00AE1420"/>
    <w:rsid w:val="00AE15F8"/>
    <w:rsid w:val="00AE21CB"/>
    <w:rsid w:val="00AE36BD"/>
    <w:rsid w:val="00AE40EB"/>
    <w:rsid w:val="00AE5414"/>
    <w:rsid w:val="00AE54A9"/>
    <w:rsid w:val="00AE606D"/>
    <w:rsid w:val="00AE7163"/>
    <w:rsid w:val="00AE73D8"/>
    <w:rsid w:val="00AE74B3"/>
    <w:rsid w:val="00AE7A6B"/>
    <w:rsid w:val="00AE7CB3"/>
    <w:rsid w:val="00AF04C2"/>
    <w:rsid w:val="00AF0B43"/>
    <w:rsid w:val="00AF1122"/>
    <w:rsid w:val="00AF2359"/>
    <w:rsid w:val="00AF23DC"/>
    <w:rsid w:val="00AF2675"/>
    <w:rsid w:val="00AF308D"/>
    <w:rsid w:val="00AF678F"/>
    <w:rsid w:val="00AF78EE"/>
    <w:rsid w:val="00B0046D"/>
    <w:rsid w:val="00B0099C"/>
    <w:rsid w:val="00B00EDC"/>
    <w:rsid w:val="00B01111"/>
    <w:rsid w:val="00B011E6"/>
    <w:rsid w:val="00B01B1B"/>
    <w:rsid w:val="00B02B0F"/>
    <w:rsid w:val="00B066B3"/>
    <w:rsid w:val="00B0714F"/>
    <w:rsid w:val="00B0755E"/>
    <w:rsid w:val="00B077CC"/>
    <w:rsid w:val="00B10C05"/>
    <w:rsid w:val="00B11BCB"/>
    <w:rsid w:val="00B11D45"/>
    <w:rsid w:val="00B124AB"/>
    <w:rsid w:val="00B13181"/>
    <w:rsid w:val="00B1439F"/>
    <w:rsid w:val="00B1479C"/>
    <w:rsid w:val="00B14FC0"/>
    <w:rsid w:val="00B1524D"/>
    <w:rsid w:val="00B152F3"/>
    <w:rsid w:val="00B15566"/>
    <w:rsid w:val="00B16DD6"/>
    <w:rsid w:val="00B1706D"/>
    <w:rsid w:val="00B170A3"/>
    <w:rsid w:val="00B23906"/>
    <w:rsid w:val="00B2422D"/>
    <w:rsid w:val="00B24E69"/>
    <w:rsid w:val="00B25928"/>
    <w:rsid w:val="00B27036"/>
    <w:rsid w:val="00B278FE"/>
    <w:rsid w:val="00B279C9"/>
    <w:rsid w:val="00B27DF3"/>
    <w:rsid w:val="00B27E30"/>
    <w:rsid w:val="00B30199"/>
    <w:rsid w:val="00B30851"/>
    <w:rsid w:val="00B32115"/>
    <w:rsid w:val="00B33189"/>
    <w:rsid w:val="00B331AE"/>
    <w:rsid w:val="00B33A92"/>
    <w:rsid w:val="00B344AE"/>
    <w:rsid w:val="00B349BB"/>
    <w:rsid w:val="00B3546C"/>
    <w:rsid w:val="00B35610"/>
    <w:rsid w:val="00B36623"/>
    <w:rsid w:val="00B36FDE"/>
    <w:rsid w:val="00B37C46"/>
    <w:rsid w:val="00B37FDB"/>
    <w:rsid w:val="00B4009D"/>
    <w:rsid w:val="00B4026E"/>
    <w:rsid w:val="00B40628"/>
    <w:rsid w:val="00B40EFB"/>
    <w:rsid w:val="00B425CA"/>
    <w:rsid w:val="00B42AD2"/>
    <w:rsid w:val="00B435B3"/>
    <w:rsid w:val="00B43A2E"/>
    <w:rsid w:val="00B442C0"/>
    <w:rsid w:val="00B44908"/>
    <w:rsid w:val="00B45B3E"/>
    <w:rsid w:val="00B45E32"/>
    <w:rsid w:val="00B46CA9"/>
    <w:rsid w:val="00B470F9"/>
    <w:rsid w:val="00B47634"/>
    <w:rsid w:val="00B5046F"/>
    <w:rsid w:val="00B51F2D"/>
    <w:rsid w:val="00B523F9"/>
    <w:rsid w:val="00B529E6"/>
    <w:rsid w:val="00B52C64"/>
    <w:rsid w:val="00B53191"/>
    <w:rsid w:val="00B53CDE"/>
    <w:rsid w:val="00B54C6C"/>
    <w:rsid w:val="00B551CE"/>
    <w:rsid w:val="00B556BD"/>
    <w:rsid w:val="00B57A13"/>
    <w:rsid w:val="00B6053B"/>
    <w:rsid w:val="00B60CC1"/>
    <w:rsid w:val="00B62E99"/>
    <w:rsid w:val="00B632B1"/>
    <w:rsid w:val="00B64F63"/>
    <w:rsid w:val="00B6529E"/>
    <w:rsid w:val="00B653E2"/>
    <w:rsid w:val="00B65F4B"/>
    <w:rsid w:val="00B66238"/>
    <w:rsid w:val="00B66C4B"/>
    <w:rsid w:val="00B67081"/>
    <w:rsid w:val="00B67B03"/>
    <w:rsid w:val="00B67B22"/>
    <w:rsid w:val="00B71C13"/>
    <w:rsid w:val="00B73646"/>
    <w:rsid w:val="00B73D17"/>
    <w:rsid w:val="00B7401C"/>
    <w:rsid w:val="00B74952"/>
    <w:rsid w:val="00B756F5"/>
    <w:rsid w:val="00B77299"/>
    <w:rsid w:val="00B77CBA"/>
    <w:rsid w:val="00B80A5E"/>
    <w:rsid w:val="00B80E26"/>
    <w:rsid w:val="00B80F13"/>
    <w:rsid w:val="00B81A62"/>
    <w:rsid w:val="00B81DC6"/>
    <w:rsid w:val="00B82DD3"/>
    <w:rsid w:val="00B83321"/>
    <w:rsid w:val="00B84377"/>
    <w:rsid w:val="00B846C6"/>
    <w:rsid w:val="00B8517C"/>
    <w:rsid w:val="00B85C6C"/>
    <w:rsid w:val="00B85F20"/>
    <w:rsid w:val="00B906B9"/>
    <w:rsid w:val="00B9124A"/>
    <w:rsid w:val="00B91DC0"/>
    <w:rsid w:val="00B93132"/>
    <w:rsid w:val="00B956C4"/>
    <w:rsid w:val="00B9598B"/>
    <w:rsid w:val="00B95B0A"/>
    <w:rsid w:val="00B96271"/>
    <w:rsid w:val="00B97167"/>
    <w:rsid w:val="00B97959"/>
    <w:rsid w:val="00B97B32"/>
    <w:rsid w:val="00BA17A6"/>
    <w:rsid w:val="00BA20FB"/>
    <w:rsid w:val="00BA236F"/>
    <w:rsid w:val="00BA23FA"/>
    <w:rsid w:val="00BA266B"/>
    <w:rsid w:val="00BA2D2B"/>
    <w:rsid w:val="00BA36F0"/>
    <w:rsid w:val="00BA3D6D"/>
    <w:rsid w:val="00BA4876"/>
    <w:rsid w:val="00BA5C3A"/>
    <w:rsid w:val="00BA5C82"/>
    <w:rsid w:val="00BA5FB6"/>
    <w:rsid w:val="00BA64E6"/>
    <w:rsid w:val="00BA6EB3"/>
    <w:rsid w:val="00BA7E4B"/>
    <w:rsid w:val="00BB1858"/>
    <w:rsid w:val="00BB1E30"/>
    <w:rsid w:val="00BB224C"/>
    <w:rsid w:val="00BB2349"/>
    <w:rsid w:val="00BB2735"/>
    <w:rsid w:val="00BB3238"/>
    <w:rsid w:val="00BB4494"/>
    <w:rsid w:val="00BB4715"/>
    <w:rsid w:val="00BB590E"/>
    <w:rsid w:val="00BB65B2"/>
    <w:rsid w:val="00BC01DA"/>
    <w:rsid w:val="00BC09A4"/>
    <w:rsid w:val="00BC1466"/>
    <w:rsid w:val="00BC1484"/>
    <w:rsid w:val="00BC1CFA"/>
    <w:rsid w:val="00BC240C"/>
    <w:rsid w:val="00BC2B30"/>
    <w:rsid w:val="00BC3094"/>
    <w:rsid w:val="00BC321E"/>
    <w:rsid w:val="00BC3554"/>
    <w:rsid w:val="00BC3903"/>
    <w:rsid w:val="00BC4B2A"/>
    <w:rsid w:val="00BC5031"/>
    <w:rsid w:val="00BC5D24"/>
    <w:rsid w:val="00BC62C2"/>
    <w:rsid w:val="00BC799A"/>
    <w:rsid w:val="00BD03D0"/>
    <w:rsid w:val="00BD0754"/>
    <w:rsid w:val="00BD0E89"/>
    <w:rsid w:val="00BD2004"/>
    <w:rsid w:val="00BD265C"/>
    <w:rsid w:val="00BD3524"/>
    <w:rsid w:val="00BD39DE"/>
    <w:rsid w:val="00BD40A4"/>
    <w:rsid w:val="00BD45D8"/>
    <w:rsid w:val="00BD46B9"/>
    <w:rsid w:val="00BD47AD"/>
    <w:rsid w:val="00BD4D7E"/>
    <w:rsid w:val="00BD5BBC"/>
    <w:rsid w:val="00BD5E18"/>
    <w:rsid w:val="00BD5E95"/>
    <w:rsid w:val="00BD7EB6"/>
    <w:rsid w:val="00BE055C"/>
    <w:rsid w:val="00BE1556"/>
    <w:rsid w:val="00BE2995"/>
    <w:rsid w:val="00BE35CA"/>
    <w:rsid w:val="00BE3C8A"/>
    <w:rsid w:val="00BE3F17"/>
    <w:rsid w:val="00BE75BF"/>
    <w:rsid w:val="00BF0517"/>
    <w:rsid w:val="00BF1118"/>
    <w:rsid w:val="00BF1392"/>
    <w:rsid w:val="00BF1850"/>
    <w:rsid w:val="00BF189B"/>
    <w:rsid w:val="00BF2027"/>
    <w:rsid w:val="00BF2053"/>
    <w:rsid w:val="00BF218E"/>
    <w:rsid w:val="00BF2E2E"/>
    <w:rsid w:val="00BF3B45"/>
    <w:rsid w:val="00BF42E7"/>
    <w:rsid w:val="00BF6F8B"/>
    <w:rsid w:val="00BF7F6A"/>
    <w:rsid w:val="00C0023B"/>
    <w:rsid w:val="00C00783"/>
    <w:rsid w:val="00C008C1"/>
    <w:rsid w:val="00C01844"/>
    <w:rsid w:val="00C0288F"/>
    <w:rsid w:val="00C029A2"/>
    <w:rsid w:val="00C030A9"/>
    <w:rsid w:val="00C03134"/>
    <w:rsid w:val="00C034AB"/>
    <w:rsid w:val="00C03599"/>
    <w:rsid w:val="00C047C1"/>
    <w:rsid w:val="00C04A4A"/>
    <w:rsid w:val="00C0540C"/>
    <w:rsid w:val="00C0619C"/>
    <w:rsid w:val="00C0668A"/>
    <w:rsid w:val="00C066A9"/>
    <w:rsid w:val="00C07D7A"/>
    <w:rsid w:val="00C10FA7"/>
    <w:rsid w:val="00C11337"/>
    <w:rsid w:val="00C11DD0"/>
    <w:rsid w:val="00C13014"/>
    <w:rsid w:val="00C130D2"/>
    <w:rsid w:val="00C137CE"/>
    <w:rsid w:val="00C13936"/>
    <w:rsid w:val="00C14421"/>
    <w:rsid w:val="00C14440"/>
    <w:rsid w:val="00C173D0"/>
    <w:rsid w:val="00C17567"/>
    <w:rsid w:val="00C17601"/>
    <w:rsid w:val="00C201E0"/>
    <w:rsid w:val="00C2087D"/>
    <w:rsid w:val="00C20C6B"/>
    <w:rsid w:val="00C20E24"/>
    <w:rsid w:val="00C21699"/>
    <w:rsid w:val="00C237FC"/>
    <w:rsid w:val="00C23DE3"/>
    <w:rsid w:val="00C23F5B"/>
    <w:rsid w:val="00C24A3E"/>
    <w:rsid w:val="00C25505"/>
    <w:rsid w:val="00C26107"/>
    <w:rsid w:val="00C2662C"/>
    <w:rsid w:val="00C26685"/>
    <w:rsid w:val="00C26DE3"/>
    <w:rsid w:val="00C2704A"/>
    <w:rsid w:val="00C31201"/>
    <w:rsid w:val="00C31377"/>
    <w:rsid w:val="00C32098"/>
    <w:rsid w:val="00C32435"/>
    <w:rsid w:val="00C32463"/>
    <w:rsid w:val="00C32CA0"/>
    <w:rsid w:val="00C336AD"/>
    <w:rsid w:val="00C33A91"/>
    <w:rsid w:val="00C33F97"/>
    <w:rsid w:val="00C40BB2"/>
    <w:rsid w:val="00C4134E"/>
    <w:rsid w:val="00C42357"/>
    <w:rsid w:val="00C429A1"/>
    <w:rsid w:val="00C42D47"/>
    <w:rsid w:val="00C42FBD"/>
    <w:rsid w:val="00C43860"/>
    <w:rsid w:val="00C43D75"/>
    <w:rsid w:val="00C444BE"/>
    <w:rsid w:val="00C44C7D"/>
    <w:rsid w:val="00C45BBF"/>
    <w:rsid w:val="00C46A53"/>
    <w:rsid w:val="00C47897"/>
    <w:rsid w:val="00C50B49"/>
    <w:rsid w:val="00C50FB0"/>
    <w:rsid w:val="00C52C45"/>
    <w:rsid w:val="00C54307"/>
    <w:rsid w:val="00C55095"/>
    <w:rsid w:val="00C55154"/>
    <w:rsid w:val="00C56AD0"/>
    <w:rsid w:val="00C57AFE"/>
    <w:rsid w:val="00C57D99"/>
    <w:rsid w:val="00C601A3"/>
    <w:rsid w:val="00C6059C"/>
    <w:rsid w:val="00C6079A"/>
    <w:rsid w:val="00C6085C"/>
    <w:rsid w:val="00C60BFB"/>
    <w:rsid w:val="00C60E5A"/>
    <w:rsid w:val="00C6115D"/>
    <w:rsid w:val="00C6140D"/>
    <w:rsid w:val="00C62BAB"/>
    <w:rsid w:val="00C6397B"/>
    <w:rsid w:val="00C640A5"/>
    <w:rsid w:val="00C64A61"/>
    <w:rsid w:val="00C64ED7"/>
    <w:rsid w:val="00C66BA8"/>
    <w:rsid w:val="00C66F1F"/>
    <w:rsid w:val="00C674F2"/>
    <w:rsid w:val="00C71251"/>
    <w:rsid w:val="00C712E3"/>
    <w:rsid w:val="00C72230"/>
    <w:rsid w:val="00C72B8A"/>
    <w:rsid w:val="00C72D6D"/>
    <w:rsid w:val="00C73719"/>
    <w:rsid w:val="00C738D2"/>
    <w:rsid w:val="00C73DEE"/>
    <w:rsid w:val="00C74EFE"/>
    <w:rsid w:val="00C757BE"/>
    <w:rsid w:val="00C759CE"/>
    <w:rsid w:val="00C75B41"/>
    <w:rsid w:val="00C75D50"/>
    <w:rsid w:val="00C75F7E"/>
    <w:rsid w:val="00C76469"/>
    <w:rsid w:val="00C76578"/>
    <w:rsid w:val="00C76EA5"/>
    <w:rsid w:val="00C76EEB"/>
    <w:rsid w:val="00C7758C"/>
    <w:rsid w:val="00C77659"/>
    <w:rsid w:val="00C7797A"/>
    <w:rsid w:val="00C77F6D"/>
    <w:rsid w:val="00C82842"/>
    <w:rsid w:val="00C82CD2"/>
    <w:rsid w:val="00C82D9F"/>
    <w:rsid w:val="00C85FD2"/>
    <w:rsid w:val="00C86F14"/>
    <w:rsid w:val="00C90D73"/>
    <w:rsid w:val="00C911A1"/>
    <w:rsid w:val="00C92056"/>
    <w:rsid w:val="00C949DD"/>
    <w:rsid w:val="00C95098"/>
    <w:rsid w:val="00C952A7"/>
    <w:rsid w:val="00C96220"/>
    <w:rsid w:val="00C96935"/>
    <w:rsid w:val="00C9706C"/>
    <w:rsid w:val="00C97381"/>
    <w:rsid w:val="00C97445"/>
    <w:rsid w:val="00CA022E"/>
    <w:rsid w:val="00CA0F8B"/>
    <w:rsid w:val="00CA2C93"/>
    <w:rsid w:val="00CA4461"/>
    <w:rsid w:val="00CA50BB"/>
    <w:rsid w:val="00CA5421"/>
    <w:rsid w:val="00CA57D4"/>
    <w:rsid w:val="00CA5E4B"/>
    <w:rsid w:val="00CA7442"/>
    <w:rsid w:val="00CA7E88"/>
    <w:rsid w:val="00CB0452"/>
    <w:rsid w:val="00CB04E0"/>
    <w:rsid w:val="00CB0D3F"/>
    <w:rsid w:val="00CB513F"/>
    <w:rsid w:val="00CB61B6"/>
    <w:rsid w:val="00CB65A0"/>
    <w:rsid w:val="00CB75DF"/>
    <w:rsid w:val="00CC08C9"/>
    <w:rsid w:val="00CC09B6"/>
    <w:rsid w:val="00CC108C"/>
    <w:rsid w:val="00CC11FD"/>
    <w:rsid w:val="00CC1323"/>
    <w:rsid w:val="00CC2B43"/>
    <w:rsid w:val="00CC2DCA"/>
    <w:rsid w:val="00CC3655"/>
    <w:rsid w:val="00CC3B2C"/>
    <w:rsid w:val="00CC3B31"/>
    <w:rsid w:val="00CC4725"/>
    <w:rsid w:val="00CC4796"/>
    <w:rsid w:val="00CC4C2C"/>
    <w:rsid w:val="00CC5525"/>
    <w:rsid w:val="00CC55E7"/>
    <w:rsid w:val="00CD0020"/>
    <w:rsid w:val="00CD0079"/>
    <w:rsid w:val="00CD148A"/>
    <w:rsid w:val="00CD1E0A"/>
    <w:rsid w:val="00CD2919"/>
    <w:rsid w:val="00CD2A79"/>
    <w:rsid w:val="00CD2DB6"/>
    <w:rsid w:val="00CD2E2C"/>
    <w:rsid w:val="00CD2FBD"/>
    <w:rsid w:val="00CD3257"/>
    <w:rsid w:val="00CD42B7"/>
    <w:rsid w:val="00CD4F5E"/>
    <w:rsid w:val="00CD625C"/>
    <w:rsid w:val="00CD6AD4"/>
    <w:rsid w:val="00CD6E68"/>
    <w:rsid w:val="00CD7341"/>
    <w:rsid w:val="00CD7EDF"/>
    <w:rsid w:val="00CE02A2"/>
    <w:rsid w:val="00CE0486"/>
    <w:rsid w:val="00CE1168"/>
    <w:rsid w:val="00CE1358"/>
    <w:rsid w:val="00CE19A5"/>
    <w:rsid w:val="00CE3564"/>
    <w:rsid w:val="00CE3659"/>
    <w:rsid w:val="00CE368A"/>
    <w:rsid w:val="00CE51DC"/>
    <w:rsid w:val="00CE52F1"/>
    <w:rsid w:val="00CE5657"/>
    <w:rsid w:val="00CE5D70"/>
    <w:rsid w:val="00CE5E55"/>
    <w:rsid w:val="00CE63BA"/>
    <w:rsid w:val="00CE729E"/>
    <w:rsid w:val="00CE7C14"/>
    <w:rsid w:val="00CE7D9C"/>
    <w:rsid w:val="00CE7FFD"/>
    <w:rsid w:val="00CF1AF1"/>
    <w:rsid w:val="00CF1B28"/>
    <w:rsid w:val="00CF2D04"/>
    <w:rsid w:val="00CF2EFE"/>
    <w:rsid w:val="00CF2F66"/>
    <w:rsid w:val="00CF32B2"/>
    <w:rsid w:val="00CF3A3A"/>
    <w:rsid w:val="00CF3FE4"/>
    <w:rsid w:val="00CF4839"/>
    <w:rsid w:val="00CF5F95"/>
    <w:rsid w:val="00D01AB2"/>
    <w:rsid w:val="00D01F64"/>
    <w:rsid w:val="00D021EF"/>
    <w:rsid w:val="00D0226B"/>
    <w:rsid w:val="00D0369C"/>
    <w:rsid w:val="00D0416A"/>
    <w:rsid w:val="00D05C6A"/>
    <w:rsid w:val="00D06333"/>
    <w:rsid w:val="00D06D24"/>
    <w:rsid w:val="00D076D5"/>
    <w:rsid w:val="00D10FE2"/>
    <w:rsid w:val="00D11DC6"/>
    <w:rsid w:val="00D12AC5"/>
    <w:rsid w:val="00D162AA"/>
    <w:rsid w:val="00D17055"/>
    <w:rsid w:val="00D179A2"/>
    <w:rsid w:val="00D209DE"/>
    <w:rsid w:val="00D20C27"/>
    <w:rsid w:val="00D21C8E"/>
    <w:rsid w:val="00D228E5"/>
    <w:rsid w:val="00D22C87"/>
    <w:rsid w:val="00D23326"/>
    <w:rsid w:val="00D23514"/>
    <w:rsid w:val="00D2378A"/>
    <w:rsid w:val="00D239FA"/>
    <w:rsid w:val="00D23AD9"/>
    <w:rsid w:val="00D23BBE"/>
    <w:rsid w:val="00D24C9F"/>
    <w:rsid w:val="00D24F09"/>
    <w:rsid w:val="00D263DF"/>
    <w:rsid w:val="00D267ED"/>
    <w:rsid w:val="00D268D0"/>
    <w:rsid w:val="00D26ACF"/>
    <w:rsid w:val="00D26E10"/>
    <w:rsid w:val="00D3250D"/>
    <w:rsid w:val="00D336DB"/>
    <w:rsid w:val="00D33E5B"/>
    <w:rsid w:val="00D3554D"/>
    <w:rsid w:val="00D373E2"/>
    <w:rsid w:val="00D37C77"/>
    <w:rsid w:val="00D41142"/>
    <w:rsid w:val="00D41FCA"/>
    <w:rsid w:val="00D42008"/>
    <w:rsid w:val="00D42131"/>
    <w:rsid w:val="00D42C49"/>
    <w:rsid w:val="00D43C76"/>
    <w:rsid w:val="00D43E25"/>
    <w:rsid w:val="00D441CD"/>
    <w:rsid w:val="00D467D5"/>
    <w:rsid w:val="00D46B2B"/>
    <w:rsid w:val="00D50147"/>
    <w:rsid w:val="00D505DF"/>
    <w:rsid w:val="00D50E63"/>
    <w:rsid w:val="00D520B2"/>
    <w:rsid w:val="00D525D5"/>
    <w:rsid w:val="00D527AC"/>
    <w:rsid w:val="00D52E62"/>
    <w:rsid w:val="00D5356D"/>
    <w:rsid w:val="00D53ACB"/>
    <w:rsid w:val="00D547CA"/>
    <w:rsid w:val="00D54EE4"/>
    <w:rsid w:val="00D55391"/>
    <w:rsid w:val="00D558B2"/>
    <w:rsid w:val="00D55D44"/>
    <w:rsid w:val="00D56871"/>
    <w:rsid w:val="00D577F2"/>
    <w:rsid w:val="00D57C14"/>
    <w:rsid w:val="00D60787"/>
    <w:rsid w:val="00D60CB5"/>
    <w:rsid w:val="00D6165B"/>
    <w:rsid w:val="00D61867"/>
    <w:rsid w:val="00D642C4"/>
    <w:rsid w:val="00D64586"/>
    <w:rsid w:val="00D65162"/>
    <w:rsid w:val="00D66705"/>
    <w:rsid w:val="00D66E1B"/>
    <w:rsid w:val="00D67037"/>
    <w:rsid w:val="00D670D2"/>
    <w:rsid w:val="00D67102"/>
    <w:rsid w:val="00D67794"/>
    <w:rsid w:val="00D677AD"/>
    <w:rsid w:val="00D67A02"/>
    <w:rsid w:val="00D71653"/>
    <w:rsid w:val="00D727F5"/>
    <w:rsid w:val="00D72D84"/>
    <w:rsid w:val="00D734E6"/>
    <w:rsid w:val="00D73994"/>
    <w:rsid w:val="00D73D3A"/>
    <w:rsid w:val="00D750A8"/>
    <w:rsid w:val="00D751D5"/>
    <w:rsid w:val="00D7592C"/>
    <w:rsid w:val="00D8032F"/>
    <w:rsid w:val="00D80AF7"/>
    <w:rsid w:val="00D80BE9"/>
    <w:rsid w:val="00D81397"/>
    <w:rsid w:val="00D81866"/>
    <w:rsid w:val="00D81B9B"/>
    <w:rsid w:val="00D820AD"/>
    <w:rsid w:val="00D82375"/>
    <w:rsid w:val="00D82D2A"/>
    <w:rsid w:val="00D83AD5"/>
    <w:rsid w:val="00D843C2"/>
    <w:rsid w:val="00D852EC"/>
    <w:rsid w:val="00D86352"/>
    <w:rsid w:val="00D8706A"/>
    <w:rsid w:val="00D87123"/>
    <w:rsid w:val="00D906C8"/>
    <w:rsid w:val="00D91A27"/>
    <w:rsid w:val="00D9391F"/>
    <w:rsid w:val="00D93B01"/>
    <w:rsid w:val="00D93BF4"/>
    <w:rsid w:val="00D93F19"/>
    <w:rsid w:val="00D953A9"/>
    <w:rsid w:val="00D9550A"/>
    <w:rsid w:val="00D955E6"/>
    <w:rsid w:val="00D9743C"/>
    <w:rsid w:val="00DA02AB"/>
    <w:rsid w:val="00DA1792"/>
    <w:rsid w:val="00DA2E40"/>
    <w:rsid w:val="00DA31B7"/>
    <w:rsid w:val="00DA383F"/>
    <w:rsid w:val="00DA3CD4"/>
    <w:rsid w:val="00DA51C2"/>
    <w:rsid w:val="00DA6459"/>
    <w:rsid w:val="00DA6AEB"/>
    <w:rsid w:val="00DB0B29"/>
    <w:rsid w:val="00DB116D"/>
    <w:rsid w:val="00DB1200"/>
    <w:rsid w:val="00DB1485"/>
    <w:rsid w:val="00DB17B8"/>
    <w:rsid w:val="00DB1952"/>
    <w:rsid w:val="00DB229D"/>
    <w:rsid w:val="00DB2CF1"/>
    <w:rsid w:val="00DB3D79"/>
    <w:rsid w:val="00DB43AF"/>
    <w:rsid w:val="00DB4B7A"/>
    <w:rsid w:val="00DB5AF3"/>
    <w:rsid w:val="00DB60FD"/>
    <w:rsid w:val="00DB7028"/>
    <w:rsid w:val="00DB77D7"/>
    <w:rsid w:val="00DC28C8"/>
    <w:rsid w:val="00DC365B"/>
    <w:rsid w:val="00DC381C"/>
    <w:rsid w:val="00DC4BA2"/>
    <w:rsid w:val="00DC4FF0"/>
    <w:rsid w:val="00DC5118"/>
    <w:rsid w:val="00DC566C"/>
    <w:rsid w:val="00DC597F"/>
    <w:rsid w:val="00DC75DA"/>
    <w:rsid w:val="00DC7950"/>
    <w:rsid w:val="00DD09A9"/>
    <w:rsid w:val="00DD1199"/>
    <w:rsid w:val="00DD1DA0"/>
    <w:rsid w:val="00DD235F"/>
    <w:rsid w:val="00DD4CCF"/>
    <w:rsid w:val="00DD507F"/>
    <w:rsid w:val="00DD5C06"/>
    <w:rsid w:val="00DD6317"/>
    <w:rsid w:val="00DD74EA"/>
    <w:rsid w:val="00DE0202"/>
    <w:rsid w:val="00DE0E41"/>
    <w:rsid w:val="00DE1CB6"/>
    <w:rsid w:val="00DE1D1F"/>
    <w:rsid w:val="00DE2856"/>
    <w:rsid w:val="00DE3BF8"/>
    <w:rsid w:val="00DE5999"/>
    <w:rsid w:val="00DE5A4C"/>
    <w:rsid w:val="00DE6D95"/>
    <w:rsid w:val="00DE7487"/>
    <w:rsid w:val="00DE7A6C"/>
    <w:rsid w:val="00DF01FB"/>
    <w:rsid w:val="00DF1264"/>
    <w:rsid w:val="00DF15A3"/>
    <w:rsid w:val="00DF1FDA"/>
    <w:rsid w:val="00DF2068"/>
    <w:rsid w:val="00DF232B"/>
    <w:rsid w:val="00DF3AEC"/>
    <w:rsid w:val="00DF484C"/>
    <w:rsid w:val="00DF60D3"/>
    <w:rsid w:val="00DF792A"/>
    <w:rsid w:val="00E000CF"/>
    <w:rsid w:val="00E00D36"/>
    <w:rsid w:val="00E014C9"/>
    <w:rsid w:val="00E01654"/>
    <w:rsid w:val="00E028C9"/>
    <w:rsid w:val="00E02BB9"/>
    <w:rsid w:val="00E03465"/>
    <w:rsid w:val="00E04E29"/>
    <w:rsid w:val="00E07895"/>
    <w:rsid w:val="00E07FF8"/>
    <w:rsid w:val="00E108BA"/>
    <w:rsid w:val="00E10ABB"/>
    <w:rsid w:val="00E11391"/>
    <w:rsid w:val="00E11B34"/>
    <w:rsid w:val="00E11CF1"/>
    <w:rsid w:val="00E11EC1"/>
    <w:rsid w:val="00E12690"/>
    <w:rsid w:val="00E13C52"/>
    <w:rsid w:val="00E148D3"/>
    <w:rsid w:val="00E1500D"/>
    <w:rsid w:val="00E1507C"/>
    <w:rsid w:val="00E16D9F"/>
    <w:rsid w:val="00E177B1"/>
    <w:rsid w:val="00E17809"/>
    <w:rsid w:val="00E21672"/>
    <w:rsid w:val="00E21806"/>
    <w:rsid w:val="00E22479"/>
    <w:rsid w:val="00E22C5F"/>
    <w:rsid w:val="00E23BD1"/>
    <w:rsid w:val="00E23D3E"/>
    <w:rsid w:val="00E24A82"/>
    <w:rsid w:val="00E255B2"/>
    <w:rsid w:val="00E2593D"/>
    <w:rsid w:val="00E26389"/>
    <w:rsid w:val="00E2698E"/>
    <w:rsid w:val="00E2768F"/>
    <w:rsid w:val="00E276B2"/>
    <w:rsid w:val="00E2787D"/>
    <w:rsid w:val="00E30000"/>
    <w:rsid w:val="00E30197"/>
    <w:rsid w:val="00E3073F"/>
    <w:rsid w:val="00E3151F"/>
    <w:rsid w:val="00E319BF"/>
    <w:rsid w:val="00E31C39"/>
    <w:rsid w:val="00E32159"/>
    <w:rsid w:val="00E32DDD"/>
    <w:rsid w:val="00E33066"/>
    <w:rsid w:val="00E3353B"/>
    <w:rsid w:val="00E33648"/>
    <w:rsid w:val="00E336BD"/>
    <w:rsid w:val="00E33ACA"/>
    <w:rsid w:val="00E34EEC"/>
    <w:rsid w:val="00E35775"/>
    <w:rsid w:val="00E362BF"/>
    <w:rsid w:val="00E37A4E"/>
    <w:rsid w:val="00E404C0"/>
    <w:rsid w:val="00E41734"/>
    <w:rsid w:val="00E41D6A"/>
    <w:rsid w:val="00E428AA"/>
    <w:rsid w:val="00E42A3B"/>
    <w:rsid w:val="00E4350D"/>
    <w:rsid w:val="00E4396B"/>
    <w:rsid w:val="00E44599"/>
    <w:rsid w:val="00E452E8"/>
    <w:rsid w:val="00E45688"/>
    <w:rsid w:val="00E457DE"/>
    <w:rsid w:val="00E4595A"/>
    <w:rsid w:val="00E4657F"/>
    <w:rsid w:val="00E47398"/>
    <w:rsid w:val="00E47606"/>
    <w:rsid w:val="00E516CD"/>
    <w:rsid w:val="00E519D4"/>
    <w:rsid w:val="00E51C06"/>
    <w:rsid w:val="00E51C12"/>
    <w:rsid w:val="00E51E4C"/>
    <w:rsid w:val="00E52AF2"/>
    <w:rsid w:val="00E52F21"/>
    <w:rsid w:val="00E5330A"/>
    <w:rsid w:val="00E53AD7"/>
    <w:rsid w:val="00E53B6C"/>
    <w:rsid w:val="00E54821"/>
    <w:rsid w:val="00E54BF3"/>
    <w:rsid w:val="00E55A7C"/>
    <w:rsid w:val="00E6058B"/>
    <w:rsid w:val="00E60BA9"/>
    <w:rsid w:val="00E60CC1"/>
    <w:rsid w:val="00E62766"/>
    <w:rsid w:val="00E62D8D"/>
    <w:rsid w:val="00E631AF"/>
    <w:rsid w:val="00E643E2"/>
    <w:rsid w:val="00E654B9"/>
    <w:rsid w:val="00E6728A"/>
    <w:rsid w:val="00E672FD"/>
    <w:rsid w:val="00E707D1"/>
    <w:rsid w:val="00E72919"/>
    <w:rsid w:val="00E72936"/>
    <w:rsid w:val="00E72D5F"/>
    <w:rsid w:val="00E73114"/>
    <w:rsid w:val="00E73771"/>
    <w:rsid w:val="00E74834"/>
    <w:rsid w:val="00E7543E"/>
    <w:rsid w:val="00E75F0B"/>
    <w:rsid w:val="00E7608A"/>
    <w:rsid w:val="00E76426"/>
    <w:rsid w:val="00E76D57"/>
    <w:rsid w:val="00E803CD"/>
    <w:rsid w:val="00E8093F"/>
    <w:rsid w:val="00E81F81"/>
    <w:rsid w:val="00E8387D"/>
    <w:rsid w:val="00E84B40"/>
    <w:rsid w:val="00E8602E"/>
    <w:rsid w:val="00E86608"/>
    <w:rsid w:val="00E87329"/>
    <w:rsid w:val="00E87C10"/>
    <w:rsid w:val="00E90149"/>
    <w:rsid w:val="00E909ED"/>
    <w:rsid w:val="00E91C21"/>
    <w:rsid w:val="00E93004"/>
    <w:rsid w:val="00E933E7"/>
    <w:rsid w:val="00E94D44"/>
    <w:rsid w:val="00E96A1D"/>
    <w:rsid w:val="00E979D3"/>
    <w:rsid w:val="00EA00F6"/>
    <w:rsid w:val="00EA01D7"/>
    <w:rsid w:val="00EA0D40"/>
    <w:rsid w:val="00EA1279"/>
    <w:rsid w:val="00EA3D8C"/>
    <w:rsid w:val="00EA4D3C"/>
    <w:rsid w:val="00EA4DDC"/>
    <w:rsid w:val="00EA5643"/>
    <w:rsid w:val="00EA5D6E"/>
    <w:rsid w:val="00EB0EE8"/>
    <w:rsid w:val="00EB2095"/>
    <w:rsid w:val="00EB248B"/>
    <w:rsid w:val="00EB2EDF"/>
    <w:rsid w:val="00EB38C7"/>
    <w:rsid w:val="00EB570A"/>
    <w:rsid w:val="00EB687C"/>
    <w:rsid w:val="00EB69FF"/>
    <w:rsid w:val="00EB6A65"/>
    <w:rsid w:val="00EB6D77"/>
    <w:rsid w:val="00EB7922"/>
    <w:rsid w:val="00EC2645"/>
    <w:rsid w:val="00EC2C1F"/>
    <w:rsid w:val="00EC4017"/>
    <w:rsid w:val="00EC6D62"/>
    <w:rsid w:val="00EC773A"/>
    <w:rsid w:val="00EC79AA"/>
    <w:rsid w:val="00ED1A7A"/>
    <w:rsid w:val="00ED2F0A"/>
    <w:rsid w:val="00ED375E"/>
    <w:rsid w:val="00ED375F"/>
    <w:rsid w:val="00ED44C4"/>
    <w:rsid w:val="00ED4F56"/>
    <w:rsid w:val="00ED6702"/>
    <w:rsid w:val="00ED77D1"/>
    <w:rsid w:val="00ED7D2D"/>
    <w:rsid w:val="00EE04EB"/>
    <w:rsid w:val="00EE0E40"/>
    <w:rsid w:val="00EE0F03"/>
    <w:rsid w:val="00EE127A"/>
    <w:rsid w:val="00EE1C2C"/>
    <w:rsid w:val="00EE2866"/>
    <w:rsid w:val="00EE2E77"/>
    <w:rsid w:val="00EE3744"/>
    <w:rsid w:val="00EE38ED"/>
    <w:rsid w:val="00EE3DDF"/>
    <w:rsid w:val="00EE495C"/>
    <w:rsid w:val="00EE501A"/>
    <w:rsid w:val="00EE56DE"/>
    <w:rsid w:val="00EE6744"/>
    <w:rsid w:val="00EE6C26"/>
    <w:rsid w:val="00EE71E1"/>
    <w:rsid w:val="00EE7FB0"/>
    <w:rsid w:val="00EF0AAB"/>
    <w:rsid w:val="00EF0ECC"/>
    <w:rsid w:val="00EF1C87"/>
    <w:rsid w:val="00EF1E95"/>
    <w:rsid w:val="00EF221B"/>
    <w:rsid w:val="00EF25B6"/>
    <w:rsid w:val="00EF263D"/>
    <w:rsid w:val="00EF4564"/>
    <w:rsid w:val="00EF4A13"/>
    <w:rsid w:val="00EF4AB0"/>
    <w:rsid w:val="00EF4D52"/>
    <w:rsid w:val="00EF5E2D"/>
    <w:rsid w:val="00EF61DC"/>
    <w:rsid w:val="00EF71A6"/>
    <w:rsid w:val="00F00B0B"/>
    <w:rsid w:val="00F00D3B"/>
    <w:rsid w:val="00F010DE"/>
    <w:rsid w:val="00F018EC"/>
    <w:rsid w:val="00F01D65"/>
    <w:rsid w:val="00F0394A"/>
    <w:rsid w:val="00F03C70"/>
    <w:rsid w:val="00F041B4"/>
    <w:rsid w:val="00F04347"/>
    <w:rsid w:val="00F04469"/>
    <w:rsid w:val="00F0453E"/>
    <w:rsid w:val="00F05434"/>
    <w:rsid w:val="00F066E1"/>
    <w:rsid w:val="00F06F9F"/>
    <w:rsid w:val="00F0714C"/>
    <w:rsid w:val="00F07EA2"/>
    <w:rsid w:val="00F10508"/>
    <w:rsid w:val="00F10D2C"/>
    <w:rsid w:val="00F11336"/>
    <w:rsid w:val="00F11524"/>
    <w:rsid w:val="00F11600"/>
    <w:rsid w:val="00F1181B"/>
    <w:rsid w:val="00F128EE"/>
    <w:rsid w:val="00F12E24"/>
    <w:rsid w:val="00F169CC"/>
    <w:rsid w:val="00F204BD"/>
    <w:rsid w:val="00F20588"/>
    <w:rsid w:val="00F206AF"/>
    <w:rsid w:val="00F24107"/>
    <w:rsid w:val="00F24CF9"/>
    <w:rsid w:val="00F25290"/>
    <w:rsid w:val="00F25390"/>
    <w:rsid w:val="00F2558D"/>
    <w:rsid w:val="00F25CBE"/>
    <w:rsid w:val="00F2633C"/>
    <w:rsid w:val="00F26567"/>
    <w:rsid w:val="00F26771"/>
    <w:rsid w:val="00F26D56"/>
    <w:rsid w:val="00F272DD"/>
    <w:rsid w:val="00F2755C"/>
    <w:rsid w:val="00F30775"/>
    <w:rsid w:val="00F312FE"/>
    <w:rsid w:val="00F315B9"/>
    <w:rsid w:val="00F31747"/>
    <w:rsid w:val="00F31F94"/>
    <w:rsid w:val="00F321C4"/>
    <w:rsid w:val="00F3355D"/>
    <w:rsid w:val="00F3364A"/>
    <w:rsid w:val="00F337C4"/>
    <w:rsid w:val="00F34A4E"/>
    <w:rsid w:val="00F355AE"/>
    <w:rsid w:val="00F35602"/>
    <w:rsid w:val="00F35B57"/>
    <w:rsid w:val="00F36197"/>
    <w:rsid w:val="00F37B0A"/>
    <w:rsid w:val="00F4009A"/>
    <w:rsid w:val="00F41E5C"/>
    <w:rsid w:val="00F43C62"/>
    <w:rsid w:val="00F44A95"/>
    <w:rsid w:val="00F44DE0"/>
    <w:rsid w:val="00F44EDB"/>
    <w:rsid w:val="00F45B3B"/>
    <w:rsid w:val="00F50273"/>
    <w:rsid w:val="00F53B85"/>
    <w:rsid w:val="00F54728"/>
    <w:rsid w:val="00F54B92"/>
    <w:rsid w:val="00F55D35"/>
    <w:rsid w:val="00F564A2"/>
    <w:rsid w:val="00F56C18"/>
    <w:rsid w:val="00F56DD2"/>
    <w:rsid w:val="00F57BF1"/>
    <w:rsid w:val="00F57FC3"/>
    <w:rsid w:val="00F61E02"/>
    <w:rsid w:val="00F64301"/>
    <w:rsid w:val="00F6479E"/>
    <w:rsid w:val="00F6575E"/>
    <w:rsid w:val="00F66419"/>
    <w:rsid w:val="00F725A2"/>
    <w:rsid w:val="00F72984"/>
    <w:rsid w:val="00F7377B"/>
    <w:rsid w:val="00F73789"/>
    <w:rsid w:val="00F73B9F"/>
    <w:rsid w:val="00F74091"/>
    <w:rsid w:val="00F752BB"/>
    <w:rsid w:val="00F757A5"/>
    <w:rsid w:val="00F75DA4"/>
    <w:rsid w:val="00F75EAA"/>
    <w:rsid w:val="00F81495"/>
    <w:rsid w:val="00F814B6"/>
    <w:rsid w:val="00F826DA"/>
    <w:rsid w:val="00F82BA9"/>
    <w:rsid w:val="00F83838"/>
    <w:rsid w:val="00F8478D"/>
    <w:rsid w:val="00F859CB"/>
    <w:rsid w:val="00F86A8B"/>
    <w:rsid w:val="00F86B87"/>
    <w:rsid w:val="00F87025"/>
    <w:rsid w:val="00F9039D"/>
    <w:rsid w:val="00F92A0F"/>
    <w:rsid w:val="00F94C4A"/>
    <w:rsid w:val="00F95294"/>
    <w:rsid w:val="00F962DA"/>
    <w:rsid w:val="00F9683A"/>
    <w:rsid w:val="00F96D38"/>
    <w:rsid w:val="00F96DF2"/>
    <w:rsid w:val="00F96E64"/>
    <w:rsid w:val="00F9711F"/>
    <w:rsid w:val="00F97319"/>
    <w:rsid w:val="00F97457"/>
    <w:rsid w:val="00F974D8"/>
    <w:rsid w:val="00FA1F2E"/>
    <w:rsid w:val="00FA2005"/>
    <w:rsid w:val="00FA47F2"/>
    <w:rsid w:val="00FA5A89"/>
    <w:rsid w:val="00FA616C"/>
    <w:rsid w:val="00FA6506"/>
    <w:rsid w:val="00FA6649"/>
    <w:rsid w:val="00FA6C2A"/>
    <w:rsid w:val="00FB0103"/>
    <w:rsid w:val="00FB0595"/>
    <w:rsid w:val="00FB0E61"/>
    <w:rsid w:val="00FB1119"/>
    <w:rsid w:val="00FB1ACD"/>
    <w:rsid w:val="00FB2B42"/>
    <w:rsid w:val="00FB348B"/>
    <w:rsid w:val="00FB3615"/>
    <w:rsid w:val="00FB384A"/>
    <w:rsid w:val="00FB42E1"/>
    <w:rsid w:val="00FB47C0"/>
    <w:rsid w:val="00FB5FEF"/>
    <w:rsid w:val="00FB6489"/>
    <w:rsid w:val="00FB6B61"/>
    <w:rsid w:val="00FB713A"/>
    <w:rsid w:val="00FB7907"/>
    <w:rsid w:val="00FB7FB1"/>
    <w:rsid w:val="00FC0170"/>
    <w:rsid w:val="00FC0172"/>
    <w:rsid w:val="00FC0BE0"/>
    <w:rsid w:val="00FC1057"/>
    <w:rsid w:val="00FC15FE"/>
    <w:rsid w:val="00FC1C01"/>
    <w:rsid w:val="00FC2852"/>
    <w:rsid w:val="00FC2B71"/>
    <w:rsid w:val="00FC35A0"/>
    <w:rsid w:val="00FC421E"/>
    <w:rsid w:val="00FC54A1"/>
    <w:rsid w:val="00FC57F2"/>
    <w:rsid w:val="00FC60FA"/>
    <w:rsid w:val="00FC65BE"/>
    <w:rsid w:val="00FC692C"/>
    <w:rsid w:val="00FC7FD5"/>
    <w:rsid w:val="00FD0A8B"/>
    <w:rsid w:val="00FD102F"/>
    <w:rsid w:val="00FD1160"/>
    <w:rsid w:val="00FD1702"/>
    <w:rsid w:val="00FD171C"/>
    <w:rsid w:val="00FD1750"/>
    <w:rsid w:val="00FD1F33"/>
    <w:rsid w:val="00FD22BC"/>
    <w:rsid w:val="00FD3206"/>
    <w:rsid w:val="00FD372B"/>
    <w:rsid w:val="00FD39E7"/>
    <w:rsid w:val="00FD3AB9"/>
    <w:rsid w:val="00FD3D68"/>
    <w:rsid w:val="00FD4376"/>
    <w:rsid w:val="00FD5678"/>
    <w:rsid w:val="00FD5735"/>
    <w:rsid w:val="00FD64D6"/>
    <w:rsid w:val="00FD6986"/>
    <w:rsid w:val="00FD7F91"/>
    <w:rsid w:val="00FE01AE"/>
    <w:rsid w:val="00FE07A7"/>
    <w:rsid w:val="00FE1194"/>
    <w:rsid w:val="00FE1A26"/>
    <w:rsid w:val="00FE1B77"/>
    <w:rsid w:val="00FE2651"/>
    <w:rsid w:val="00FE28C0"/>
    <w:rsid w:val="00FE2D04"/>
    <w:rsid w:val="00FE4DDC"/>
    <w:rsid w:val="00FE5A39"/>
    <w:rsid w:val="00FE6943"/>
    <w:rsid w:val="00FE6ADE"/>
    <w:rsid w:val="00FE6CC1"/>
    <w:rsid w:val="00FE723B"/>
    <w:rsid w:val="00FE7309"/>
    <w:rsid w:val="00FE774A"/>
    <w:rsid w:val="00FF040B"/>
    <w:rsid w:val="00FF0B4F"/>
    <w:rsid w:val="00FF12FC"/>
    <w:rsid w:val="00FF170D"/>
    <w:rsid w:val="00FF18B6"/>
    <w:rsid w:val="00FF1EB3"/>
    <w:rsid w:val="00FF289A"/>
    <w:rsid w:val="00FF3B7E"/>
    <w:rsid w:val="00FF4ACF"/>
    <w:rsid w:val="00FF5668"/>
    <w:rsid w:val="00FF634E"/>
    <w:rsid w:val="00FF6648"/>
    <w:rsid w:val="00FF68AE"/>
    <w:rsid w:val="00FF7082"/>
    <w:rsid w:val="00FF7E3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E8B0CF1"/>
  <w15:docId w15:val="{1816C4AC-141A-440B-9215-866A814594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0046D"/>
    <w:pPr>
      <w:jc w:val="both"/>
    </w:pPr>
    <w:rPr>
      <w:color w:val="44546A" w:themeColor="text2"/>
      <w:sz w:val="20"/>
    </w:rPr>
  </w:style>
  <w:style w:type="paragraph" w:styleId="Heading1">
    <w:name w:val="heading 1"/>
    <w:basedOn w:val="Normal"/>
    <w:next w:val="Normal"/>
    <w:link w:val="Heading1Char"/>
    <w:uiPriority w:val="9"/>
    <w:qFormat/>
    <w:rsid w:val="00AF2359"/>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aliases w:val="Podnaslov 2"/>
    <w:basedOn w:val="Normal"/>
    <w:next w:val="Normal"/>
    <w:link w:val="Heading2Char"/>
    <w:uiPriority w:val="9"/>
    <w:unhideWhenUsed/>
    <w:qFormat/>
    <w:rsid w:val="00AF2359"/>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570694"/>
    <w:pPr>
      <w:autoSpaceDE w:val="0"/>
      <w:autoSpaceDN w:val="0"/>
      <w:adjustRightInd w:val="0"/>
      <w:spacing w:after="0" w:line="240" w:lineRule="auto"/>
    </w:pPr>
    <w:rPr>
      <w:rFonts w:ascii="Cambria" w:hAnsi="Cambria" w:cs="Cambria"/>
      <w:color w:val="000000"/>
      <w:sz w:val="24"/>
      <w:szCs w:val="24"/>
    </w:rPr>
  </w:style>
  <w:style w:type="paragraph" w:styleId="Header">
    <w:name w:val="header"/>
    <w:basedOn w:val="Normal"/>
    <w:link w:val="HeaderChar"/>
    <w:uiPriority w:val="99"/>
    <w:unhideWhenUsed/>
    <w:rsid w:val="00BF7F6A"/>
    <w:pPr>
      <w:tabs>
        <w:tab w:val="center" w:pos="4680"/>
        <w:tab w:val="right" w:pos="9360"/>
      </w:tabs>
      <w:spacing w:after="0" w:line="240" w:lineRule="auto"/>
    </w:pPr>
  </w:style>
  <w:style w:type="character" w:customStyle="1" w:styleId="HeaderChar">
    <w:name w:val="Header Char"/>
    <w:basedOn w:val="DefaultParagraphFont"/>
    <w:link w:val="Header"/>
    <w:uiPriority w:val="99"/>
    <w:rsid w:val="00BF7F6A"/>
  </w:style>
  <w:style w:type="paragraph" w:styleId="Footer">
    <w:name w:val="footer"/>
    <w:basedOn w:val="Normal"/>
    <w:link w:val="FooterChar"/>
    <w:uiPriority w:val="99"/>
    <w:unhideWhenUsed/>
    <w:rsid w:val="00BF7F6A"/>
    <w:pPr>
      <w:tabs>
        <w:tab w:val="center" w:pos="4680"/>
        <w:tab w:val="right" w:pos="9360"/>
      </w:tabs>
      <w:spacing w:after="0" w:line="240" w:lineRule="auto"/>
    </w:pPr>
  </w:style>
  <w:style w:type="character" w:customStyle="1" w:styleId="FooterChar">
    <w:name w:val="Footer Char"/>
    <w:basedOn w:val="DefaultParagraphFont"/>
    <w:link w:val="Footer"/>
    <w:uiPriority w:val="99"/>
    <w:rsid w:val="00BF7F6A"/>
  </w:style>
  <w:style w:type="character" w:customStyle="1" w:styleId="Heading1Char">
    <w:name w:val="Heading 1 Char"/>
    <w:basedOn w:val="DefaultParagraphFont"/>
    <w:link w:val="Heading1"/>
    <w:uiPriority w:val="9"/>
    <w:rsid w:val="00AF2359"/>
    <w:rPr>
      <w:rFonts w:asciiTheme="majorHAnsi" w:eastAsiaTheme="majorEastAsia" w:hAnsiTheme="majorHAnsi" w:cstheme="majorBidi"/>
      <w:color w:val="2F5496" w:themeColor="accent1" w:themeShade="BF"/>
      <w:sz w:val="32"/>
      <w:szCs w:val="32"/>
    </w:rPr>
  </w:style>
  <w:style w:type="paragraph" w:styleId="TOCHeading">
    <w:name w:val="TOC Heading"/>
    <w:basedOn w:val="Heading1"/>
    <w:next w:val="Normal"/>
    <w:uiPriority w:val="39"/>
    <w:unhideWhenUsed/>
    <w:qFormat/>
    <w:rsid w:val="00AF2359"/>
    <w:pPr>
      <w:outlineLvl w:val="9"/>
    </w:pPr>
  </w:style>
  <w:style w:type="paragraph" w:styleId="TOC1">
    <w:name w:val="toc 1"/>
    <w:basedOn w:val="Normal"/>
    <w:next w:val="Normal"/>
    <w:autoRedefine/>
    <w:uiPriority w:val="39"/>
    <w:unhideWhenUsed/>
    <w:rsid w:val="005311D2"/>
    <w:pPr>
      <w:tabs>
        <w:tab w:val="left" w:pos="270"/>
        <w:tab w:val="right" w:leader="dot" w:pos="9350"/>
      </w:tabs>
      <w:spacing w:after="100"/>
      <w:ind w:firstLine="180"/>
    </w:pPr>
    <w:rPr>
      <w:rFonts w:cstheme="minorHAnsi"/>
      <w:b/>
      <w:bCs/>
      <w:noProof/>
      <w:szCs w:val="20"/>
      <w:lang w:val="sr-Cyrl-RS"/>
    </w:rPr>
  </w:style>
  <w:style w:type="character" w:styleId="Hyperlink">
    <w:name w:val="Hyperlink"/>
    <w:basedOn w:val="DefaultParagraphFont"/>
    <w:uiPriority w:val="99"/>
    <w:unhideWhenUsed/>
    <w:rsid w:val="00AF2359"/>
    <w:rPr>
      <w:color w:val="0563C1" w:themeColor="hyperlink"/>
      <w:u w:val="single"/>
    </w:rPr>
  </w:style>
  <w:style w:type="character" w:customStyle="1" w:styleId="Heading2Char">
    <w:name w:val="Heading 2 Char"/>
    <w:aliases w:val="Podnaslov 2 Char"/>
    <w:basedOn w:val="DefaultParagraphFont"/>
    <w:link w:val="Heading2"/>
    <w:uiPriority w:val="9"/>
    <w:rsid w:val="00AF2359"/>
    <w:rPr>
      <w:rFonts w:asciiTheme="majorHAnsi" w:eastAsiaTheme="majorEastAsia" w:hAnsiTheme="majorHAnsi" w:cstheme="majorBidi"/>
      <w:color w:val="2F5496" w:themeColor="accent1" w:themeShade="BF"/>
      <w:sz w:val="26"/>
      <w:szCs w:val="26"/>
    </w:rPr>
  </w:style>
  <w:style w:type="table" w:styleId="TableGrid">
    <w:name w:val="Table Grid"/>
    <w:basedOn w:val="TableNormal"/>
    <w:uiPriority w:val="39"/>
    <w:rsid w:val="00AF78E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2">
    <w:name w:val="toc 2"/>
    <w:basedOn w:val="Normal"/>
    <w:next w:val="Normal"/>
    <w:autoRedefine/>
    <w:uiPriority w:val="39"/>
    <w:unhideWhenUsed/>
    <w:rsid w:val="0072065C"/>
    <w:pPr>
      <w:tabs>
        <w:tab w:val="right" w:leader="dot" w:pos="9350"/>
      </w:tabs>
      <w:spacing w:after="100"/>
      <w:ind w:left="220"/>
    </w:pPr>
    <w:rPr>
      <w:rFonts w:eastAsia="MS PGothic" w:cstheme="minorHAnsi"/>
      <w:b/>
      <w:noProof/>
      <w:lang w:val="sr-Cyrl-RS" w:eastAsia="ja-JP"/>
    </w:rPr>
  </w:style>
  <w:style w:type="paragraph" w:styleId="FootnoteText">
    <w:name w:val="footnote text"/>
    <w:aliases w:val="Footnote Text Char Char Char,Footnote Text Char Char"/>
    <w:basedOn w:val="Normal"/>
    <w:link w:val="FootnoteTextChar"/>
    <w:uiPriority w:val="99"/>
    <w:unhideWhenUsed/>
    <w:rsid w:val="005556DC"/>
    <w:pPr>
      <w:spacing w:after="0" w:line="240" w:lineRule="auto"/>
    </w:pPr>
    <w:rPr>
      <w:szCs w:val="20"/>
    </w:rPr>
  </w:style>
  <w:style w:type="character" w:customStyle="1" w:styleId="FootnoteTextChar">
    <w:name w:val="Footnote Text Char"/>
    <w:aliases w:val="Footnote Text Char Char Char Char,Footnote Text Char Char Char1"/>
    <w:basedOn w:val="DefaultParagraphFont"/>
    <w:link w:val="FootnoteText"/>
    <w:uiPriority w:val="99"/>
    <w:rsid w:val="005556DC"/>
    <w:rPr>
      <w:sz w:val="20"/>
      <w:szCs w:val="20"/>
    </w:rPr>
  </w:style>
  <w:style w:type="character" w:styleId="FootnoteReference">
    <w:name w:val="footnote reference"/>
    <w:basedOn w:val="DefaultParagraphFont"/>
    <w:uiPriority w:val="99"/>
    <w:unhideWhenUsed/>
    <w:rsid w:val="005556DC"/>
    <w:rPr>
      <w:vertAlign w:val="superscript"/>
    </w:rPr>
  </w:style>
  <w:style w:type="character" w:customStyle="1" w:styleId="Hyperlink1">
    <w:name w:val="Hyperlink1"/>
    <w:basedOn w:val="DefaultParagraphFont"/>
    <w:uiPriority w:val="99"/>
    <w:unhideWhenUsed/>
    <w:rsid w:val="005556DC"/>
    <w:rPr>
      <w:color w:val="0563C1"/>
      <w:u w:val="single"/>
    </w:rPr>
  </w:style>
  <w:style w:type="paragraph" w:styleId="Caption">
    <w:name w:val="caption"/>
    <w:basedOn w:val="Normal"/>
    <w:next w:val="Normal"/>
    <w:uiPriority w:val="35"/>
    <w:unhideWhenUsed/>
    <w:qFormat/>
    <w:rsid w:val="004B197B"/>
    <w:pPr>
      <w:jc w:val="center"/>
    </w:pPr>
    <w:rPr>
      <w:b/>
      <w:iCs/>
      <w:color w:val="002060"/>
      <w:szCs w:val="18"/>
    </w:rPr>
  </w:style>
  <w:style w:type="table" w:customStyle="1" w:styleId="GridTable5Dark-Accent51">
    <w:name w:val="Grid Table 5 Dark - Accent 51"/>
    <w:basedOn w:val="TableNormal"/>
    <w:uiPriority w:val="50"/>
    <w:rsid w:val="00435184"/>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LightShading-Accent333">
    <w:name w:val="Light Shading - Accent 333"/>
    <w:basedOn w:val="TableNormal"/>
    <w:next w:val="LightShading-Accent3"/>
    <w:uiPriority w:val="60"/>
    <w:rsid w:val="00CB0452"/>
    <w:pPr>
      <w:spacing w:after="0" w:line="240" w:lineRule="auto"/>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styleId="LightShading-Accent3">
    <w:name w:val="Light Shading Accent 3"/>
    <w:basedOn w:val="TableNormal"/>
    <w:uiPriority w:val="60"/>
    <w:semiHidden/>
    <w:unhideWhenUsed/>
    <w:rsid w:val="00CB0452"/>
    <w:pPr>
      <w:spacing w:after="0" w:line="240" w:lineRule="auto"/>
    </w:pPr>
    <w:rPr>
      <w:color w:val="7B7B7B" w:themeColor="accent3" w:themeShade="BF"/>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character" w:styleId="CommentReference">
    <w:name w:val="annotation reference"/>
    <w:basedOn w:val="DefaultParagraphFont"/>
    <w:uiPriority w:val="99"/>
    <w:semiHidden/>
    <w:unhideWhenUsed/>
    <w:rsid w:val="00CB0452"/>
    <w:rPr>
      <w:sz w:val="16"/>
      <w:szCs w:val="16"/>
    </w:rPr>
  </w:style>
  <w:style w:type="paragraph" w:styleId="CommentText">
    <w:name w:val="annotation text"/>
    <w:basedOn w:val="Normal"/>
    <w:link w:val="CommentTextChar"/>
    <w:uiPriority w:val="99"/>
    <w:unhideWhenUsed/>
    <w:rsid w:val="00CB0452"/>
    <w:pPr>
      <w:spacing w:line="240" w:lineRule="auto"/>
    </w:pPr>
    <w:rPr>
      <w:szCs w:val="20"/>
    </w:rPr>
  </w:style>
  <w:style w:type="character" w:customStyle="1" w:styleId="CommentTextChar">
    <w:name w:val="Comment Text Char"/>
    <w:basedOn w:val="DefaultParagraphFont"/>
    <w:link w:val="CommentText"/>
    <w:uiPriority w:val="99"/>
    <w:rsid w:val="00CB0452"/>
    <w:rPr>
      <w:sz w:val="20"/>
      <w:szCs w:val="20"/>
    </w:rPr>
  </w:style>
  <w:style w:type="paragraph" w:styleId="CommentSubject">
    <w:name w:val="annotation subject"/>
    <w:basedOn w:val="CommentText"/>
    <w:next w:val="CommentText"/>
    <w:link w:val="CommentSubjectChar"/>
    <w:uiPriority w:val="99"/>
    <w:semiHidden/>
    <w:unhideWhenUsed/>
    <w:rsid w:val="00CB0452"/>
    <w:rPr>
      <w:b/>
      <w:bCs/>
    </w:rPr>
  </w:style>
  <w:style w:type="character" w:customStyle="1" w:styleId="CommentSubjectChar">
    <w:name w:val="Comment Subject Char"/>
    <w:basedOn w:val="CommentTextChar"/>
    <w:link w:val="CommentSubject"/>
    <w:uiPriority w:val="99"/>
    <w:semiHidden/>
    <w:rsid w:val="00CB0452"/>
    <w:rPr>
      <w:b/>
      <w:bCs/>
      <w:sz w:val="20"/>
      <w:szCs w:val="20"/>
    </w:rPr>
  </w:style>
  <w:style w:type="paragraph" w:styleId="BalloonText">
    <w:name w:val="Balloon Text"/>
    <w:basedOn w:val="Normal"/>
    <w:link w:val="BalloonTextChar"/>
    <w:uiPriority w:val="99"/>
    <w:semiHidden/>
    <w:unhideWhenUsed/>
    <w:rsid w:val="00CB0452"/>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B0452"/>
    <w:rPr>
      <w:rFonts w:ascii="Segoe UI" w:hAnsi="Segoe UI" w:cs="Segoe UI"/>
      <w:sz w:val="18"/>
      <w:szCs w:val="18"/>
    </w:rPr>
  </w:style>
  <w:style w:type="table" w:customStyle="1" w:styleId="TableGrid2">
    <w:name w:val="Table Grid2"/>
    <w:basedOn w:val="TableNormal"/>
    <w:next w:val="TableGrid"/>
    <w:uiPriority w:val="39"/>
    <w:rsid w:val="008E6892"/>
    <w:pPr>
      <w:spacing w:before="120" w:after="120" w:line="264" w:lineRule="auto"/>
      <w:ind w:left="115" w:right="115"/>
    </w:pPr>
    <w:rPr>
      <w:rFonts w:eastAsia="MS PGothic"/>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tcPr>
      <w:vAlign w:val="center"/>
    </w:tcPr>
    <w:tblStylePr w:type="firstRow">
      <w:pPr>
        <w:wordWrap/>
        <w:jc w:val="center"/>
      </w:pPr>
      <w:rPr>
        <w:b/>
        <w:i w:val="0"/>
        <w:sz w:val="22"/>
      </w:rPr>
    </w:tblStylePr>
    <w:tblStylePr w:type="lastRow">
      <w:rPr>
        <w:b/>
        <w:i w:val="0"/>
        <w:sz w:val="22"/>
      </w:rPr>
      <w:tblPr/>
      <w:tcPr>
        <w:tcBorders>
          <w:top w:val="double" w:sz="4" w:space="0" w:color="auto"/>
          <w:left w:val="single" w:sz="4" w:space="0" w:color="auto"/>
          <w:bottom w:val="single" w:sz="18" w:space="0" w:color="auto"/>
          <w:right w:val="single" w:sz="4" w:space="0" w:color="auto"/>
          <w:insideH w:val="nil"/>
          <w:insideV w:val="single" w:sz="4" w:space="0" w:color="auto"/>
          <w:tl2br w:val="nil"/>
          <w:tr2bl w:val="nil"/>
        </w:tcBorders>
      </w:tcPr>
    </w:tblStylePr>
  </w:style>
  <w:style w:type="paragraph" w:styleId="ListParagraph">
    <w:name w:val="List Paragraph"/>
    <w:basedOn w:val="Normal"/>
    <w:link w:val="ListParagraphChar"/>
    <w:uiPriority w:val="34"/>
    <w:qFormat/>
    <w:rsid w:val="0001456F"/>
    <w:pPr>
      <w:ind w:left="720"/>
      <w:contextualSpacing/>
    </w:pPr>
  </w:style>
  <w:style w:type="character" w:customStyle="1" w:styleId="UnresolvedMention1">
    <w:name w:val="Unresolved Mention1"/>
    <w:basedOn w:val="DefaultParagraphFont"/>
    <w:uiPriority w:val="99"/>
    <w:semiHidden/>
    <w:unhideWhenUsed/>
    <w:rsid w:val="002C1D90"/>
    <w:rPr>
      <w:color w:val="605E5C"/>
      <w:shd w:val="clear" w:color="auto" w:fill="E1DFDD"/>
    </w:rPr>
  </w:style>
  <w:style w:type="table" w:customStyle="1" w:styleId="LightShading-Accent335">
    <w:name w:val="Light Shading - Accent 335"/>
    <w:basedOn w:val="TableNormal"/>
    <w:next w:val="LightShading-Accent3"/>
    <w:uiPriority w:val="60"/>
    <w:rsid w:val="009877EB"/>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numbering" w:customStyle="1" w:styleId="NoList1">
    <w:name w:val="No List1"/>
    <w:next w:val="NoList"/>
    <w:uiPriority w:val="99"/>
    <w:semiHidden/>
    <w:unhideWhenUsed/>
    <w:rsid w:val="00BA4876"/>
  </w:style>
  <w:style w:type="table" w:customStyle="1" w:styleId="TableGrid1">
    <w:name w:val="Table Grid1"/>
    <w:basedOn w:val="TableNormal"/>
    <w:next w:val="TableGrid"/>
    <w:uiPriority w:val="59"/>
    <w:rsid w:val="00BA487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510">
    <w:name w:val="Grid Table 5 Dark - Accent 51"/>
    <w:basedOn w:val="TableNormal"/>
    <w:next w:val="GridTable5Dark-Accent51"/>
    <w:uiPriority w:val="50"/>
    <w:rsid w:val="00BA4876"/>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LightShading-Accent3331">
    <w:name w:val="Light Shading - Accent 3331"/>
    <w:basedOn w:val="TableNormal"/>
    <w:next w:val="LightShading-Accent3"/>
    <w:uiPriority w:val="60"/>
    <w:rsid w:val="00BA4876"/>
    <w:pPr>
      <w:spacing w:after="0" w:line="240" w:lineRule="auto"/>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1">
    <w:name w:val="Light Shading - Accent 31"/>
    <w:basedOn w:val="TableNormal"/>
    <w:next w:val="LightShading-Accent3"/>
    <w:uiPriority w:val="60"/>
    <w:semiHidden/>
    <w:unhideWhenUsed/>
    <w:rsid w:val="00BA4876"/>
    <w:pPr>
      <w:spacing w:after="0" w:line="240" w:lineRule="auto"/>
    </w:pPr>
    <w:rPr>
      <w:color w:val="7B7B7B" w:themeColor="accent3" w:themeShade="BF"/>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customStyle="1" w:styleId="TableGrid21">
    <w:name w:val="Table Grid21"/>
    <w:basedOn w:val="TableNormal"/>
    <w:next w:val="TableGrid"/>
    <w:uiPriority w:val="39"/>
    <w:rsid w:val="00BA4876"/>
    <w:pPr>
      <w:spacing w:before="120" w:after="120" w:line="264" w:lineRule="auto"/>
      <w:ind w:left="115" w:right="115"/>
    </w:pPr>
    <w:rPr>
      <w:rFonts w:eastAsia="MS PGothic"/>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tcPr>
      <w:vAlign w:val="center"/>
    </w:tcPr>
    <w:tblStylePr w:type="firstRow">
      <w:pPr>
        <w:wordWrap/>
        <w:jc w:val="center"/>
      </w:pPr>
      <w:rPr>
        <w:b/>
        <w:i w:val="0"/>
        <w:sz w:val="22"/>
      </w:rPr>
    </w:tblStylePr>
    <w:tblStylePr w:type="lastRow">
      <w:rPr>
        <w:b/>
        <w:i w:val="0"/>
        <w:sz w:val="22"/>
      </w:rPr>
      <w:tblPr/>
      <w:tcPr>
        <w:tcBorders>
          <w:top w:val="double" w:sz="4" w:space="0" w:color="auto"/>
          <w:left w:val="single" w:sz="4" w:space="0" w:color="auto"/>
          <w:bottom w:val="single" w:sz="18" w:space="0" w:color="auto"/>
          <w:right w:val="single" w:sz="4" w:space="0" w:color="auto"/>
          <w:insideH w:val="nil"/>
          <w:insideV w:val="single" w:sz="4" w:space="0" w:color="auto"/>
          <w:tl2br w:val="nil"/>
          <w:tr2bl w:val="nil"/>
        </w:tcBorders>
      </w:tcPr>
    </w:tblStylePr>
  </w:style>
  <w:style w:type="table" w:customStyle="1" w:styleId="LightShading-Accent121">
    <w:name w:val="Light Shading - Accent 121"/>
    <w:basedOn w:val="TableNormal"/>
    <w:uiPriority w:val="60"/>
    <w:rsid w:val="00BA4876"/>
    <w:pPr>
      <w:spacing w:after="0" w:line="264"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ghtShading-Accent12">
    <w:name w:val="Light Shading - Accent 12"/>
    <w:basedOn w:val="TableNormal"/>
    <w:uiPriority w:val="60"/>
    <w:rsid w:val="00BA4876"/>
    <w:pPr>
      <w:spacing w:after="0" w:line="264"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paragraph" w:styleId="NoSpacing">
    <w:name w:val="No Spacing"/>
    <w:aliases w:val="Uvodna rečenica"/>
    <w:uiPriority w:val="1"/>
    <w:qFormat/>
    <w:rsid w:val="00BA4876"/>
    <w:pPr>
      <w:spacing w:after="0" w:line="240" w:lineRule="auto"/>
      <w:jc w:val="both"/>
    </w:pPr>
    <w:rPr>
      <w:b/>
      <w:color w:val="2F5496" w:themeColor="accent1" w:themeShade="BF"/>
      <w:sz w:val="20"/>
    </w:rPr>
  </w:style>
  <w:style w:type="table" w:customStyle="1" w:styleId="LightShading-Accent3351">
    <w:name w:val="Light Shading - Accent 3351"/>
    <w:basedOn w:val="TableNormal"/>
    <w:next w:val="LightShading-Accent3"/>
    <w:uiPriority w:val="60"/>
    <w:rsid w:val="00BA4876"/>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1221">
    <w:name w:val="Light Shading - Accent 1221"/>
    <w:basedOn w:val="TableNormal"/>
    <w:uiPriority w:val="60"/>
    <w:rsid w:val="00BA4876"/>
    <w:pPr>
      <w:spacing w:after="0" w:line="240"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paragraph" w:styleId="NormalWeb">
    <w:name w:val="Normal (Web)"/>
    <w:basedOn w:val="Normal"/>
    <w:uiPriority w:val="99"/>
    <w:semiHidden/>
    <w:unhideWhenUsed/>
    <w:rsid w:val="00BA487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ListParagraphChar">
    <w:name w:val="List Paragraph Char"/>
    <w:link w:val="ListParagraph"/>
    <w:uiPriority w:val="34"/>
    <w:locked/>
    <w:rsid w:val="00BA4876"/>
  </w:style>
  <w:style w:type="table" w:customStyle="1" w:styleId="LightShading-Accent1211">
    <w:name w:val="Light Shading - Accent 1211"/>
    <w:basedOn w:val="TableNormal"/>
    <w:uiPriority w:val="60"/>
    <w:rsid w:val="00BA4876"/>
    <w:pPr>
      <w:spacing w:after="0" w:line="264"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stTable6Colorful-Accent61">
    <w:name w:val="List Table 6 Colorful - Accent 61"/>
    <w:basedOn w:val="TableNormal"/>
    <w:uiPriority w:val="51"/>
    <w:rsid w:val="00BA4876"/>
    <w:pPr>
      <w:spacing w:after="0" w:line="240" w:lineRule="auto"/>
    </w:pPr>
    <w:rPr>
      <w:color w:val="538135" w:themeColor="accent6" w:themeShade="BF"/>
    </w:rPr>
    <w:tblPr>
      <w:tblStyleRowBandSize w:val="1"/>
      <w:tblStyleColBandSize w:val="1"/>
      <w:tblBorders>
        <w:top w:val="single" w:sz="4" w:space="0" w:color="70AD47" w:themeColor="accent6"/>
        <w:bottom w:val="single" w:sz="4" w:space="0" w:color="70AD47" w:themeColor="accent6"/>
      </w:tblBorders>
    </w:tblPr>
    <w:tblStylePr w:type="firstRow">
      <w:rPr>
        <w:b/>
        <w:bCs/>
      </w:rPr>
      <w:tblPr/>
      <w:tcPr>
        <w:tcBorders>
          <w:bottom w:val="single" w:sz="4" w:space="0" w:color="70AD47" w:themeColor="accent6"/>
        </w:tcBorders>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character" w:customStyle="1" w:styleId="Hyperlink2">
    <w:name w:val="Hyperlink2"/>
    <w:basedOn w:val="DefaultParagraphFont"/>
    <w:uiPriority w:val="99"/>
    <w:rsid w:val="00BA4876"/>
    <w:rPr>
      <w:color w:val="0563C1"/>
      <w:u w:val="single"/>
    </w:rPr>
  </w:style>
  <w:style w:type="table" w:customStyle="1" w:styleId="ListTable1Light-Accent61">
    <w:name w:val="List Table 1 Light - Accent 61"/>
    <w:basedOn w:val="TableNormal"/>
    <w:uiPriority w:val="46"/>
    <w:rsid w:val="00BA4876"/>
    <w:pPr>
      <w:spacing w:after="0" w:line="240" w:lineRule="auto"/>
    </w:pPr>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ghtShading-Accent336">
    <w:name w:val="Light Shading - Accent 336"/>
    <w:basedOn w:val="TableNormal"/>
    <w:uiPriority w:val="60"/>
    <w:rsid w:val="00BA4876"/>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character" w:customStyle="1" w:styleId="UnresolvedMention2">
    <w:name w:val="Unresolved Mention2"/>
    <w:basedOn w:val="DefaultParagraphFont"/>
    <w:uiPriority w:val="99"/>
    <w:semiHidden/>
    <w:unhideWhenUsed/>
    <w:rsid w:val="00BA4876"/>
    <w:rPr>
      <w:color w:val="605E5C"/>
      <w:shd w:val="clear" w:color="auto" w:fill="E1DFDD"/>
    </w:rPr>
  </w:style>
  <w:style w:type="table" w:customStyle="1" w:styleId="LightShading-Accent337">
    <w:name w:val="Light Shading - Accent 337"/>
    <w:basedOn w:val="TableNormal"/>
    <w:uiPriority w:val="60"/>
    <w:rsid w:val="001E3C08"/>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38">
    <w:name w:val="Light Shading - Accent 338"/>
    <w:basedOn w:val="TableNormal"/>
    <w:uiPriority w:val="60"/>
    <w:rsid w:val="001E3C08"/>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character" w:customStyle="1" w:styleId="UnresolvedMention3">
    <w:name w:val="Unresolved Mention3"/>
    <w:basedOn w:val="DefaultParagraphFont"/>
    <w:uiPriority w:val="99"/>
    <w:semiHidden/>
    <w:unhideWhenUsed/>
    <w:rsid w:val="001E3C08"/>
    <w:rPr>
      <w:color w:val="605E5C"/>
      <w:shd w:val="clear" w:color="auto" w:fill="E1DFDD"/>
    </w:rPr>
  </w:style>
  <w:style w:type="table" w:customStyle="1" w:styleId="LightShading-Accent3371">
    <w:name w:val="Light Shading - Accent 3371"/>
    <w:basedOn w:val="TableNormal"/>
    <w:uiPriority w:val="60"/>
    <w:rsid w:val="005C34A0"/>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numbering" w:customStyle="1" w:styleId="NoList2">
    <w:name w:val="No List2"/>
    <w:next w:val="NoList"/>
    <w:uiPriority w:val="99"/>
    <w:semiHidden/>
    <w:unhideWhenUsed/>
    <w:rsid w:val="005C34A0"/>
  </w:style>
  <w:style w:type="table" w:customStyle="1" w:styleId="TableGrid3">
    <w:name w:val="Table Grid3"/>
    <w:basedOn w:val="TableNormal"/>
    <w:next w:val="TableGrid"/>
    <w:uiPriority w:val="39"/>
    <w:rsid w:val="005C34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52">
    <w:name w:val="Grid Table 5 Dark - Accent 52"/>
    <w:basedOn w:val="TableNormal"/>
    <w:next w:val="GridTable5Dark-Accent51"/>
    <w:uiPriority w:val="50"/>
    <w:rsid w:val="005C34A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LightShading-Accent3332">
    <w:name w:val="Light Shading - Accent 3332"/>
    <w:basedOn w:val="TableNormal"/>
    <w:next w:val="LightShading-Accent3"/>
    <w:uiPriority w:val="60"/>
    <w:rsid w:val="005C34A0"/>
    <w:pPr>
      <w:spacing w:after="0" w:line="240" w:lineRule="auto"/>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2">
    <w:name w:val="Light Shading - Accent 32"/>
    <w:basedOn w:val="TableNormal"/>
    <w:next w:val="LightShading-Accent3"/>
    <w:uiPriority w:val="60"/>
    <w:semiHidden/>
    <w:unhideWhenUsed/>
    <w:rsid w:val="005C34A0"/>
    <w:pPr>
      <w:spacing w:after="0" w:line="240" w:lineRule="auto"/>
    </w:pPr>
    <w:rPr>
      <w:color w:val="7B7B7B" w:themeColor="accent3" w:themeShade="BF"/>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customStyle="1" w:styleId="TableGrid22">
    <w:name w:val="Table Grid22"/>
    <w:basedOn w:val="TableNormal"/>
    <w:next w:val="TableGrid"/>
    <w:uiPriority w:val="39"/>
    <w:rsid w:val="005C34A0"/>
    <w:pPr>
      <w:spacing w:before="120" w:after="120" w:line="264" w:lineRule="auto"/>
      <w:ind w:left="115" w:right="115"/>
    </w:pPr>
    <w:rPr>
      <w:rFonts w:eastAsia="MS PGothic"/>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tcPr>
      <w:vAlign w:val="center"/>
    </w:tcPr>
    <w:tblStylePr w:type="firstRow">
      <w:pPr>
        <w:wordWrap/>
        <w:jc w:val="center"/>
      </w:pPr>
      <w:rPr>
        <w:b/>
        <w:i w:val="0"/>
        <w:sz w:val="22"/>
      </w:rPr>
    </w:tblStylePr>
    <w:tblStylePr w:type="lastRow">
      <w:rPr>
        <w:b/>
        <w:i w:val="0"/>
        <w:sz w:val="22"/>
      </w:rPr>
      <w:tblPr/>
      <w:tcPr>
        <w:tcBorders>
          <w:top w:val="double" w:sz="4" w:space="0" w:color="auto"/>
          <w:left w:val="single" w:sz="4" w:space="0" w:color="auto"/>
          <w:bottom w:val="single" w:sz="18" w:space="0" w:color="auto"/>
          <w:right w:val="single" w:sz="4" w:space="0" w:color="auto"/>
          <w:insideH w:val="nil"/>
          <w:insideV w:val="single" w:sz="4" w:space="0" w:color="auto"/>
          <w:tl2br w:val="nil"/>
          <w:tr2bl w:val="nil"/>
        </w:tcBorders>
      </w:tcPr>
    </w:tblStylePr>
  </w:style>
  <w:style w:type="table" w:customStyle="1" w:styleId="LightShading-Accent3352">
    <w:name w:val="Light Shading - Accent 3352"/>
    <w:basedOn w:val="TableNormal"/>
    <w:next w:val="LightShading-Accent3"/>
    <w:uiPriority w:val="60"/>
    <w:rsid w:val="005C34A0"/>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numbering" w:customStyle="1" w:styleId="NoList11">
    <w:name w:val="No List11"/>
    <w:next w:val="NoList"/>
    <w:uiPriority w:val="99"/>
    <w:semiHidden/>
    <w:unhideWhenUsed/>
    <w:rsid w:val="005C34A0"/>
  </w:style>
  <w:style w:type="table" w:customStyle="1" w:styleId="TableGrid11">
    <w:name w:val="Table Grid11"/>
    <w:basedOn w:val="TableNormal"/>
    <w:next w:val="TableGrid"/>
    <w:uiPriority w:val="59"/>
    <w:rsid w:val="005C34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511">
    <w:name w:val="Grid Table 5 Dark - Accent 511"/>
    <w:basedOn w:val="TableNormal"/>
    <w:next w:val="GridTable5Dark-Accent51"/>
    <w:uiPriority w:val="50"/>
    <w:rsid w:val="005C34A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LightShading-Accent33311">
    <w:name w:val="Light Shading - Accent 33311"/>
    <w:basedOn w:val="TableNormal"/>
    <w:next w:val="LightShading-Accent3"/>
    <w:uiPriority w:val="60"/>
    <w:rsid w:val="005C34A0"/>
    <w:pPr>
      <w:spacing w:after="0" w:line="240" w:lineRule="auto"/>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11">
    <w:name w:val="Light Shading - Accent 311"/>
    <w:basedOn w:val="TableNormal"/>
    <w:next w:val="LightShading-Accent3"/>
    <w:uiPriority w:val="60"/>
    <w:semiHidden/>
    <w:unhideWhenUsed/>
    <w:rsid w:val="005C34A0"/>
    <w:pPr>
      <w:spacing w:after="0" w:line="240" w:lineRule="auto"/>
    </w:pPr>
    <w:rPr>
      <w:color w:val="7B7B7B" w:themeColor="accent3" w:themeShade="BF"/>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customStyle="1" w:styleId="TableGrid211">
    <w:name w:val="Table Grid211"/>
    <w:basedOn w:val="TableNormal"/>
    <w:next w:val="TableGrid"/>
    <w:uiPriority w:val="39"/>
    <w:rsid w:val="005C34A0"/>
    <w:pPr>
      <w:spacing w:before="120" w:after="120" w:line="264" w:lineRule="auto"/>
      <w:ind w:left="115" w:right="115"/>
    </w:pPr>
    <w:rPr>
      <w:rFonts w:eastAsia="MS PGothic"/>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tcPr>
      <w:vAlign w:val="center"/>
    </w:tcPr>
    <w:tblStylePr w:type="firstRow">
      <w:pPr>
        <w:wordWrap/>
        <w:jc w:val="center"/>
      </w:pPr>
      <w:rPr>
        <w:b/>
        <w:i w:val="0"/>
        <w:sz w:val="22"/>
      </w:rPr>
    </w:tblStylePr>
    <w:tblStylePr w:type="lastRow">
      <w:rPr>
        <w:b/>
        <w:i w:val="0"/>
        <w:sz w:val="22"/>
      </w:rPr>
      <w:tblPr/>
      <w:tcPr>
        <w:tcBorders>
          <w:top w:val="double" w:sz="4" w:space="0" w:color="auto"/>
          <w:left w:val="single" w:sz="4" w:space="0" w:color="auto"/>
          <w:bottom w:val="single" w:sz="18" w:space="0" w:color="auto"/>
          <w:right w:val="single" w:sz="4" w:space="0" w:color="auto"/>
          <w:insideH w:val="nil"/>
          <w:insideV w:val="single" w:sz="4" w:space="0" w:color="auto"/>
          <w:tl2br w:val="nil"/>
          <w:tr2bl w:val="nil"/>
        </w:tcBorders>
      </w:tcPr>
    </w:tblStylePr>
  </w:style>
  <w:style w:type="table" w:customStyle="1" w:styleId="LightShading-Accent1212">
    <w:name w:val="Light Shading - Accent 1212"/>
    <w:basedOn w:val="TableNormal"/>
    <w:uiPriority w:val="60"/>
    <w:rsid w:val="005C34A0"/>
    <w:pPr>
      <w:spacing w:after="0" w:line="264"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ghtShading-Accent122">
    <w:name w:val="Light Shading - Accent 122"/>
    <w:basedOn w:val="TableNormal"/>
    <w:uiPriority w:val="60"/>
    <w:rsid w:val="005C34A0"/>
    <w:pPr>
      <w:spacing w:after="0" w:line="264"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ghtShading-Accent33511">
    <w:name w:val="Light Shading - Accent 33511"/>
    <w:basedOn w:val="TableNormal"/>
    <w:next w:val="LightShading-Accent3"/>
    <w:uiPriority w:val="60"/>
    <w:rsid w:val="005C34A0"/>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12211">
    <w:name w:val="Light Shading - Accent 12211"/>
    <w:basedOn w:val="TableNormal"/>
    <w:uiPriority w:val="60"/>
    <w:rsid w:val="005C34A0"/>
    <w:pPr>
      <w:spacing w:after="0" w:line="240"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ghtShading-Accent12111">
    <w:name w:val="Light Shading - Accent 12111"/>
    <w:basedOn w:val="TableNormal"/>
    <w:uiPriority w:val="60"/>
    <w:rsid w:val="005C34A0"/>
    <w:pPr>
      <w:spacing w:after="0" w:line="264"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stTable6Colorful-Accent610">
    <w:name w:val="List Table 6 Colorful - Accent 61"/>
    <w:basedOn w:val="TableNormal"/>
    <w:next w:val="ListTable6Colorful-Accent61"/>
    <w:uiPriority w:val="51"/>
    <w:rsid w:val="005C34A0"/>
    <w:pPr>
      <w:spacing w:after="0" w:line="240" w:lineRule="auto"/>
    </w:pPr>
    <w:rPr>
      <w:color w:val="538135" w:themeColor="accent6" w:themeShade="BF"/>
    </w:rPr>
    <w:tblPr>
      <w:tblStyleRowBandSize w:val="1"/>
      <w:tblStyleColBandSize w:val="1"/>
      <w:tblBorders>
        <w:top w:val="single" w:sz="4" w:space="0" w:color="70AD47" w:themeColor="accent6"/>
        <w:bottom w:val="single" w:sz="4" w:space="0" w:color="70AD47" w:themeColor="accent6"/>
      </w:tblBorders>
    </w:tblPr>
    <w:tblStylePr w:type="firstRow">
      <w:rPr>
        <w:b/>
        <w:bCs/>
      </w:rPr>
      <w:tblPr/>
      <w:tcPr>
        <w:tcBorders>
          <w:bottom w:val="single" w:sz="4" w:space="0" w:color="70AD47" w:themeColor="accent6"/>
        </w:tcBorders>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ListTable1Light-Accent611">
    <w:name w:val="List Table 1 Light - Accent 611"/>
    <w:basedOn w:val="TableNormal"/>
    <w:uiPriority w:val="46"/>
    <w:rsid w:val="005C34A0"/>
    <w:pPr>
      <w:spacing w:after="0" w:line="240" w:lineRule="auto"/>
    </w:pPr>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ghtShading-Accent3361">
    <w:name w:val="Light Shading - Accent 3361"/>
    <w:basedOn w:val="TableNormal"/>
    <w:uiPriority w:val="60"/>
    <w:rsid w:val="005C34A0"/>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372">
    <w:name w:val="Light Shading - Accent 3372"/>
    <w:basedOn w:val="TableNormal"/>
    <w:uiPriority w:val="60"/>
    <w:rsid w:val="005C34A0"/>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381">
    <w:name w:val="Light Shading - Accent 3381"/>
    <w:basedOn w:val="TableNormal"/>
    <w:uiPriority w:val="60"/>
    <w:rsid w:val="005C34A0"/>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TableGrid4">
    <w:name w:val="Table Grid4"/>
    <w:basedOn w:val="TableNormal"/>
    <w:next w:val="TableGrid"/>
    <w:uiPriority w:val="39"/>
    <w:rsid w:val="005C34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59"/>
    <w:rsid w:val="005C34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68737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rsid w:val="0068737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sid w:val="0051301A"/>
    <w:rPr>
      <w:b/>
      <w:bCs/>
    </w:rPr>
  </w:style>
  <w:style w:type="table" w:customStyle="1" w:styleId="PlainTable41">
    <w:name w:val="Plain Table 41"/>
    <w:basedOn w:val="TableNormal"/>
    <w:uiPriority w:val="44"/>
    <w:rsid w:val="001901FC"/>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5Dark-Accent5">
    <w:name w:val="Grid Table 5 Dark Accent 5"/>
    <w:basedOn w:val="TableNormal"/>
    <w:uiPriority w:val="50"/>
    <w:rsid w:val="00C26107"/>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ListTable6Colorful-Accent6">
    <w:name w:val="List Table 6 Colorful Accent 6"/>
    <w:basedOn w:val="TableNormal"/>
    <w:uiPriority w:val="51"/>
    <w:rsid w:val="00C26107"/>
    <w:pPr>
      <w:spacing w:after="0" w:line="240" w:lineRule="auto"/>
    </w:pPr>
    <w:rPr>
      <w:color w:val="538135" w:themeColor="accent6" w:themeShade="BF"/>
    </w:rPr>
    <w:tblPr>
      <w:tblStyleRowBandSize w:val="1"/>
      <w:tblStyleColBandSize w:val="1"/>
      <w:tblBorders>
        <w:top w:val="single" w:sz="4" w:space="0" w:color="70AD47" w:themeColor="accent6"/>
        <w:bottom w:val="single" w:sz="4" w:space="0" w:color="70AD47" w:themeColor="accent6"/>
      </w:tblBorders>
    </w:tblPr>
    <w:tblStylePr w:type="firstRow">
      <w:rPr>
        <w:b/>
        <w:bCs/>
      </w:rPr>
      <w:tblPr/>
      <w:tcPr>
        <w:tcBorders>
          <w:bottom w:val="single" w:sz="4" w:space="0" w:color="70AD47" w:themeColor="accent6"/>
        </w:tcBorders>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character" w:customStyle="1" w:styleId="jlqj4b">
    <w:name w:val="jlqj4b"/>
    <w:basedOn w:val="DefaultParagraphFont"/>
    <w:rsid w:val="007A529E"/>
  </w:style>
  <w:style w:type="table" w:styleId="ListTable1Light-Accent3">
    <w:name w:val="List Table 1 Light Accent 3"/>
    <w:basedOn w:val="TableNormal"/>
    <w:uiPriority w:val="46"/>
    <w:rsid w:val="006E4FB8"/>
    <w:pPr>
      <w:spacing w:after="0" w:line="240" w:lineRule="auto"/>
    </w:pPr>
    <w:tblPr>
      <w:tblStyleRowBandSize w:val="1"/>
      <w:tblStyleColBandSize w:val="1"/>
    </w:tblPr>
    <w:tblStylePr w:type="firstRow">
      <w:rPr>
        <w:b/>
        <w:bCs/>
      </w:rPr>
      <w:tblPr/>
      <w:tcPr>
        <w:tcBorders>
          <w:bottom w:val="single" w:sz="4" w:space="0" w:color="C9C9C9" w:themeColor="accent3" w:themeTint="99"/>
        </w:tcBorders>
      </w:tcPr>
    </w:tblStylePr>
    <w:tblStylePr w:type="lastRow">
      <w:rPr>
        <w:b/>
        <w:bCs/>
      </w:rPr>
      <w:tblPr/>
      <w:tcPr>
        <w:tcBorders>
          <w:top w:val="sing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PlainTable411">
    <w:name w:val="Plain Table 411"/>
    <w:basedOn w:val="TableNormal"/>
    <w:uiPriority w:val="44"/>
    <w:rsid w:val="001E3E7D"/>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6Colorful-Accent1">
    <w:name w:val="Grid Table 6 Colorful Accent 1"/>
    <w:basedOn w:val="TableNormal"/>
    <w:uiPriority w:val="51"/>
    <w:rsid w:val="001E3E7D"/>
    <w:pPr>
      <w:spacing w:after="0" w:line="240" w:lineRule="auto"/>
    </w:pPr>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LightShading-Accent3382">
    <w:name w:val="Light Shading - Accent 3382"/>
    <w:basedOn w:val="TableNormal"/>
    <w:uiPriority w:val="60"/>
    <w:rsid w:val="001E3E7D"/>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12121">
    <w:name w:val="Light Shading - Accent 12121"/>
    <w:basedOn w:val="TableNormal"/>
    <w:uiPriority w:val="60"/>
    <w:rsid w:val="001E3E7D"/>
    <w:pPr>
      <w:spacing w:after="0" w:line="264" w:lineRule="auto"/>
    </w:pPr>
    <w:rPr>
      <w:rFonts w:ascii="Cambria" w:eastAsia="Calibri" w:hAnsi="Cambria" w:cs="Times New Roman"/>
      <w:color w:val="A8422A"/>
      <w:sz w:val="20"/>
      <w:szCs w:val="20"/>
      <w:lang w:val="en-GB" w:eastAsia="sr-Cyrl-CS"/>
    </w:rPr>
    <w:tblPr>
      <w:tblStyleRowBandSize w:val="1"/>
      <w:tblStyleColBandSize w:val="1"/>
      <w:tblInd w:w="0" w:type="nil"/>
      <w:tblBorders>
        <w:top w:val="single" w:sz="8" w:space="0" w:color="D16349"/>
        <w:bottom w:val="single" w:sz="8" w:space="0" w:color="D16349"/>
      </w:tblBorders>
    </w:tblPr>
    <w:tblStylePr w:type="firstRow">
      <w:pPr>
        <w:spacing w:beforeLines="0" w:before="0" w:beforeAutospacing="0" w:afterLines="0" w:after="0" w:afterAutospacing="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ghtShading-Accent1222">
    <w:name w:val="Light Shading - Accent 1222"/>
    <w:basedOn w:val="TableNormal"/>
    <w:uiPriority w:val="60"/>
    <w:rsid w:val="001E3E7D"/>
    <w:pPr>
      <w:spacing w:after="0" w:line="264" w:lineRule="auto"/>
    </w:pPr>
    <w:rPr>
      <w:rFonts w:ascii="Cambria" w:eastAsia="Calibri" w:hAnsi="Cambria" w:cs="Times New Roman"/>
      <w:color w:val="A8422A"/>
      <w:sz w:val="20"/>
      <w:szCs w:val="20"/>
      <w:lang w:val="en-GB" w:eastAsia="sr-Cyrl-CS"/>
    </w:rPr>
    <w:tblPr>
      <w:tblStyleRowBandSize w:val="1"/>
      <w:tblStyleColBandSize w:val="1"/>
      <w:tblInd w:w="0" w:type="nil"/>
      <w:tblBorders>
        <w:top w:val="single" w:sz="8" w:space="0" w:color="D16349"/>
        <w:bottom w:val="single" w:sz="8" w:space="0" w:color="D16349"/>
      </w:tblBorders>
    </w:tblPr>
    <w:tblStylePr w:type="firstRow">
      <w:pPr>
        <w:spacing w:beforeLines="0" w:before="0" w:beforeAutospacing="0" w:afterLines="0" w:after="0" w:afterAutospacing="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162937">
      <w:bodyDiv w:val="1"/>
      <w:marLeft w:val="0"/>
      <w:marRight w:val="0"/>
      <w:marTop w:val="0"/>
      <w:marBottom w:val="0"/>
      <w:divBdr>
        <w:top w:val="none" w:sz="0" w:space="0" w:color="auto"/>
        <w:left w:val="none" w:sz="0" w:space="0" w:color="auto"/>
        <w:bottom w:val="none" w:sz="0" w:space="0" w:color="auto"/>
        <w:right w:val="none" w:sz="0" w:space="0" w:color="auto"/>
      </w:divBdr>
    </w:div>
    <w:div w:id="224491268">
      <w:bodyDiv w:val="1"/>
      <w:marLeft w:val="0"/>
      <w:marRight w:val="0"/>
      <w:marTop w:val="0"/>
      <w:marBottom w:val="0"/>
      <w:divBdr>
        <w:top w:val="none" w:sz="0" w:space="0" w:color="auto"/>
        <w:left w:val="none" w:sz="0" w:space="0" w:color="auto"/>
        <w:bottom w:val="none" w:sz="0" w:space="0" w:color="auto"/>
        <w:right w:val="none" w:sz="0" w:space="0" w:color="auto"/>
      </w:divBdr>
    </w:div>
    <w:div w:id="327100904">
      <w:bodyDiv w:val="1"/>
      <w:marLeft w:val="0"/>
      <w:marRight w:val="0"/>
      <w:marTop w:val="0"/>
      <w:marBottom w:val="0"/>
      <w:divBdr>
        <w:top w:val="none" w:sz="0" w:space="0" w:color="auto"/>
        <w:left w:val="none" w:sz="0" w:space="0" w:color="auto"/>
        <w:bottom w:val="none" w:sz="0" w:space="0" w:color="auto"/>
        <w:right w:val="none" w:sz="0" w:space="0" w:color="auto"/>
      </w:divBdr>
    </w:div>
    <w:div w:id="347099079">
      <w:bodyDiv w:val="1"/>
      <w:marLeft w:val="0"/>
      <w:marRight w:val="0"/>
      <w:marTop w:val="0"/>
      <w:marBottom w:val="0"/>
      <w:divBdr>
        <w:top w:val="none" w:sz="0" w:space="0" w:color="auto"/>
        <w:left w:val="none" w:sz="0" w:space="0" w:color="auto"/>
        <w:bottom w:val="none" w:sz="0" w:space="0" w:color="auto"/>
        <w:right w:val="none" w:sz="0" w:space="0" w:color="auto"/>
      </w:divBdr>
    </w:div>
    <w:div w:id="405343483">
      <w:bodyDiv w:val="1"/>
      <w:marLeft w:val="0"/>
      <w:marRight w:val="0"/>
      <w:marTop w:val="0"/>
      <w:marBottom w:val="0"/>
      <w:divBdr>
        <w:top w:val="none" w:sz="0" w:space="0" w:color="auto"/>
        <w:left w:val="none" w:sz="0" w:space="0" w:color="auto"/>
        <w:bottom w:val="none" w:sz="0" w:space="0" w:color="auto"/>
        <w:right w:val="none" w:sz="0" w:space="0" w:color="auto"/>
      </w:divBdr>
    </w:div>
    <w:div w:id="496309330">
      <w:bodyDiv w:val="1"/>
      <w:marLeft w:val="0"/>
      <w:marRight w:val="0"/>
      <w:marTop w:val="0"/>
      <w:marBottom w:val="0"/>
      <w:divBdr>
        <w:top w:val="none" w:sz="0" w:space="0" w:color="auto"/>
        <w:left w:val="none" w:sz="0" w:space="0" w:color="auto"/>
        <w:bottom w:val="none" w:sz="0" w:space="0" w:color="auto"/>
        <w:right w:val="none" w:sz="0" w:space="0" w:color="auto"/>
      </w:divBdr>
    </w:div>
    <w:div w:id="496505828">
      <w:bodyDiv w:val="1"/>
      <w:marLeft w:val="0"/>
      <w:marRight w:val="0"/>
      <w:marTop w:val="0"/>
      <w:marBottom w:val="0"/>
      <w:divBdr>
        <w:top w:val="none" w:sz="0" w:space="0" w:color="auto"/>
        <w:left w:val="none" w:sz="0" w:space="0" w:color="auto"/>
        <w:bottom w:val="none" w:sz="0" w:space="0" w:color="auto"/>
        <w:right w:val="none" w:sz="0" w:space="0" w:color="auto"/>
      </w:divBdr>
    </w:div>
    <w:div w:id="707607753">
      <w:bodyDiv w:val="1"/>
      <w:marLeft w:val="0"/>
      <w:marRight w:val="0"/>
      <w:marTop w:val="0"/>
      <w:marBottom w:val="0"/>
      <w:divBdr>
        <w:top w:val="none" w:sz="0" w:space="0" w:color="auto"/>
        <w:left w:val="none" w:sz="0" w:space="0" w:color="auto"/>
        <w:bottom w:val="none" w:sz="0" w:space="0" w:color="auto"/>
        <w:right w:val="none" w:sz="0" w:space="0" w:color="auto"/>
      </w:divBdr>
    </w:div>
    <w:div w:id="758334793">
      <w:bodyDiv w:val="1"/>
      <w:marLeft w:val="0"/>
      <w:marRight w:val="0"/>
      <w:marTop w:val="0"/>
      <w:marBottom w:val="0"/>
      <w:divBdr>
        <w:top w:val="none" w:sz="0" w:space="0" w:color="auto"/>
        <w:left w:val="none" w:sz="0" w:space="0" w:color="auto"/>
        <w:bottom w:val="none" w:sz="0" w:space="0" w:color="auto"/>
        <w:right w:val="none" w:sz="0" w:space="0" w:color="auto"/>
      </w:divBdr>
    </w:div>
    <w:div w:id="815489490">
      <w:bodyDiv w:val="1"/>
      <w:marLeft w:val="0"/>
      <w:marRight w:val="0"/>
      <w:marTop w:val="0"/>
      <w:marBottom w:val="0"/>
      <w:divBdr>
        <w:top w:val="none" w:sz="0" w:space="0" w:color="auto"/>
        <w:left w:val="none" w:sz="0" w:space="0" w:color="auto"/>
        <w:bottom w:val="none" w:sz="0" w:space="0" w:color="auto"/>
        <w:right w:val="none" w:sz="0" w:space="0" w:color="auto"/>
      </w:divBdr>
    </w:div>
    <w:div w:id="988559316">
      <w:bodyDiv w:val="1"/>
      <w:marLeft w:val="0"/>
      <w:marRight w:val="0"/>
      <w:marTop w:val="0"/>
      <w:marBottom w:val="0"/>
      <w:divBdr>
        <w:top w:val="none" w:sz="0" w:space="0" w:color="auto"/>
        <w:left w:val="none" w:sz="0" w:space="0" w:color="auto"/>
        <w:bottom w:val="none" w:sz="0" w:space="0" w:color="auto"/>
        <w:right w:val="none" w:sz="0" w:space="0" w:color="auto"/>
      </w:divBdr>
    </w:div>
    <w:div w:id="1221474541">
      <w:bodyDiv w:val="1"/>
      <w:marLeft w:val="0"/>
      <w:marRight w:val="0"/>
      <w:marTop w:val="0"/>
      <w:marBottom w:val="0"/>
      <w:divBdr>
        <w:top w:val="none" w:sz="0" w:space="0" w:color="auto"/>
        <w:left w:val="none" w:sz="0" w:space="0" w:color="auto"/>
        <w:bottom w:val="none" w:sz="0" w:space="0" w:color="auto"/>
        <w:right w:val="none" w:sz="0" w:space="0" w:color="auto"/>
      </w:divBdr>
    </w:div>
    <w:div w:id="1241981220">
      <w:bodyDiv w:val="1"/>
      <w:marLeft w:val="0"/>
      <w:marRight w:val="0"/>
      <w:marTop w:val="0"/>
      <w:marBottom w:val="0"/>
      <w:divBdr>
        <w:top w:val="none" w:sz="0" w:space="0" w:color="auto"/>
        <w:left w:val="none" w:sz="0" w:space="0" w:color="auto"/>
        <w:bottom w:val="none" w:sz="0" w:space="0" w:color="auto"/>
        <w:right w:val="none" w:sz="0" w:space="0" w:color="auto"/>
      </w:divBdr>
    </w:div>
    <w:div w:id="1285890058">
      <w:bodyDiv w:val="1"/>
      <w:marLeft w:val="0"/>
      <w:marRight w:val="0"/>
      <w:marTop w:val="0"/>
      <w:marBottom w:val="0"/>
      <w:divBdr>
        <w:top w:val="none" w:sz="0" w:space="0" w:color="auto"/>
        <w:left w:val="none" w:sz="0" w:space="0" w:color="auto"/>
        <w:bottom w:val="none" w:sz="0" w:space="0" w:color="auto"/>
        <w:right w:val="none" w:sz="0" w:space="0" w:color="auto"/>
      </w:divBdr>
    </w:div>
    <w:div w:id="1579943587">
      <w:bodyDiv w:val="1"/>
      <w:marLeft w:val="0"/>
      <w:marRight w:val="0"/>
      <w:marTop w:val="0"/>
      <w:marBottom w:val="0"/>
      <w:divBdr>
        <w:top w:val="none" w:sz="0" w:space="0" w:color="auto"/>
        <w:left w:val="none" w:sz="0" w:space="0" w:color="auto"/>
        <w:bottom w:val="none" w:sz="0" w:space="0" w:color="auto"/>
        <w:right w:val="none" w:sz="0" w:space="0" w:color="auto"/>
      </w:divBdr>
    </w:div>
    <w:div w:id="1613324982">
      <w:bodyDiv w:val="1"/>
      <w:marLeft w:val="0"/>
      <w:marRight w:val="0"/>
      <w:marTop w:val="0"/>
      <w:marBottom w:val="0"/>
      <w:divBdr>
        <w:top w:val="none" w:sz="0" w:space="0" w:color="auto"/>
        <w:left w:val="none" w:sz="0" w:space="0" w:color="auto"/>
        <w:bottom w:val="none" w:sz="0" w:space="0" w:color="auto"/>
        <w:right w:val="none" w:sz="0" w:space="0" w:color="auto"/>
      </w:divBdr>
    </w:div>
    <w:div w:id="1678337853">
      <w:bodyDiv w:val="1"/>
      <w:marLeft w:val="0"/>
      <w:marRight w:val="0"/>
      <w:marTop w:val="0"/>
      <w:marBottom w:val="0"/>
      <w:divBdr>
        <w:top w:val="none" w:sz="0" w:space="0" w:color="auto"/>
        <w:left w:val="none" w:sz="0" w:space="0" w:color="auto"/>
        <w:bottom w:val="none" w:sz="0" w:space="0" w:color="auto"/>
        <w:right w:val="none" w:sz="0" w:space="0" w:color="auto"/>
      </w:divBdr>
    </w:div>
    <w:div w:id="1697268533">
      <w:bodyDiv w:val="1"/>
      <w:marLeft w:val="0"/>
      <w:marRight w:val="0"/>
      <w:marTop w:val="0"/>
      <w:marBottom w:val="0"/>
      <w:divBdr>
        <w:top w:val="none" w:sz="0" w:space="0" w:color="auto"/>
        <w:left w:val="none" w:sz="0" w:space="0" w:color="auto"/>
        <w:bottom w:val="none" w:sz="0" w:space="0" w:color="auto"/>
        <w:right w:val="none" w:sz="0" w:space="0" w:color="auto"/>
      </w:divBdr>
    </w:div>
    <w:div w:id="1741367302">
      <w:bodyDiv w:val="1"/>
      <w:marLeft w:val="0"/>
      <w:marRight w:val="0"/>
      <w:marTop w:val="0"/>
      <w:marBottom w:val="0"/>
      <w:divBdr>
        <w:top w:val="none" w:sz="0" w:space="0" w:color="auto"/>
        <w:left w:val="none" w:sz="0" w:space="0" w:color="auto"/>
        <w:bottom w:val="none" w:sz="0" w:space="0" w:color="auto"/>
        <w:right w:val="none" w:sz="0" w:space="0" w:color="auto"/>
      </w:divBdr>
    </w:div>
    <w:div w:id="1750691447">
      <w:bodyDiv w:val="1"/>
      <w:marLeft w:val="0"/>
      <w:marRight w:val="0"/>
      <w:marTop w:val="0"/>
      <w:marBottom w:val="0"/>
      <w:divBdr>
        <w:top w:val="none" w:sz="0" w:space="0" w:color="auto"/>
        <w:left w:val="none" w:sz="0" w:space="0" w:color="auto"/>
        <w:bottom w:val="none" w:sz="0" w:space="0" w:color="auto"/>
        <w:right w:val="none" w:sz="0" w:space="0" w:color="auto"/>
      </w:divBdr>
    </w:div>
    <w:div w:id="1980568835">
      <w:bodyDiv w:val="1"/>
      <w:marLeft w:val="0"/>
      <w:marRight w:val="0"/>
      <w:marTop w:val="0"/>
      <w:marBottom w:val="0"/>
      <w:divBdr>
        <w:top w:val="none" w:sz="0" w:space="0" w:color="auto"/>
        <w:left w:val="none" w:sz="0" w:space="0" w:color="auto"/>
        <w:bottom w:val="none" w:sz="0" w:space="0" w:color="auto"/>
        <w:right w:val="none" w:sz="0" w:space="0" w:color="auto"/>
      </w:divBdr>
    </w:div>
    <w:div w:id="20788177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footer" Target="footer22.xml"/><Relationship Id="rId21" Type="http://schemas.openxmlformats.org/officeDocument/2006/relationships/footer" Target="footer3.xml"/><Relationship Id="rId42" Type="http://schemas.openxmlformats.org/officeDocument/2006/relationships/chart" Target="charts/chart13.xml"/><Relationship Id="rId63" Type="http://schemas.openxmlformats.org/officeDocument/2006/relationships/chart" Target="charts/chart33.xml"/><Relationship Id="rId84" Type="http://schemas.openxmlformats.org/officeDocument/2006/relationships/chart" Target="charts/chart48.xml"/><Relationship Id="rId138" Type="http://schemas.openxmlformats.org/officeDocument/2006/relationships/chart" Target="charts/chart54.xml"/><Relationship Id="rId159" Type="http://schemas.openxmlformats.org/officeDocument/2006/relationships/header" Target="header43.xml"/><Relationship Id="rId170" Type="http://schemas.openxmlformats.org/officeDocument/2006/relationships/chart" Target="charts/chart59.xml"/><Relationship Id="rId191" Type="http://schemas.openxmlformats.org/officeDocument/2006/relationships/chart" Target="charts/chart75.xml"/><Relationship Id="rId107" Type="http://schemas.openxmlformats.org/officeDocument/2006/relationships/header" Target="header19.xml"/><Relationship Id="rId32" Type="http://schemas.openxmlformats.org/officeDocument/2006/relationships/footer" Target="footer6.xml"/><Relationship Id="rId53" Type="http://schemas.openxmlformats.org/officeDocument/2006/relationships/chart" Target="charts/chart24.xml"/><Relationship Id="rId74" Type="http://schemas.openxmlformats.org/officeDocument/2006/relationships/footer" Target="footer9.xml"/><Relationship Id="rId128" Type="http://schemas.openxmlformats.org/officeDocument/2006/relationships/header" Target="header30.xml"/><Relationship Id="rId149" Type="http://schemas.openxmlformats.org/officeDocument/2006/relationships/footer" Target="footer35.xml"/><Relationship Id="rId5" Type="http://schemas.openxmlformats.org/officeDocument/2006/relationships/webSettings" Target="webSettings.xml"/><Relationship Id="rId95" Type="http://schemas.openxmlformats.org/officeDocument/2006/relationships/footer" Target="footer13.xml"/><Relationship Id="rId160" Type="http://schemas.openxmlformats.org/officeDocument/2006/relationships/header" Target="header44.xml"/><Relationship Id="rId181" Type="http://schemas.openxmlformats.org/officeDocument/2006/relationships/chart" Target="charts/chart65.xml"/><Relationship Id="rId22" Type="http://schemas.openxmlformats.org/officeDocument/2006/relationships/footer" Target="footer4.xml"/><Relationship Id="rId43" Type="http://schemas.openxmlformats.org/officeDocument/2006/relationships/chart" Target="charts/chart14.xml"/><Relationship Id="rId64" Type="http://schemas.openxmlformats.org/officeDocument/2006/relationships/chart" Target="charts/chart34.xml"/><Relationship Id="rId118" Type="http://schemas.openxmlformats.org/officeDocument/2006/relationships/footer" Target="footer23.xml"/><Relationship Id="rId139" Type="http://schemas.openxmlformats.org/officeDocument/2006/relationships/chart" Target="charts/chart55.xml"/><Relationship Id="rId85" Type="http://schemas.openxmlformats.org/officeDocument/2006/relationships/chart" Target="charts/chart49.xml"/><Relationship Id="rId150" Type="http://schemas.openxmlformats.org/officeDocument/2006/relationships/header" Target="header38.xml"/><Relationship Id="rId171" Type="http://schemas.openxmlformats.org/officeDocument/2006/relationships/chart" Target="charts/chart60.xml"/><Relationship Id="rId192" Type="http://schemas.openxmlformats.org/officeDocument/2006/relationships/chart" Target="charts/chart76.xml"/><Relationship Id="rId33" Type="http://schemas.openxmlformats.org/officeDocument/2006/relationships/chart" Target="charts/chart4.xml"/><Relationship Id="rId108" Type="http://schemas.openxmlformats.org/officeDocument/2006/relationships/footer" Target="footer18.xml"/><Relationship Id="rId129" Type="http://schemas.openxmlformats.org/officeDocument/2006/relationships/footer" Target="footer26.xml"/><Relationship Id="rId54" Type="http://schemas.openxmlformats.org/officeDocument/2006/relationships/chart" Target="charts/chart25.xml"/><Relationship Id="rId75" Type="http://schemas.openxmlformats.org/officeDocument/2006/relationships/chart" Target="charts/chart39.xml"/><Relationship Id="rId96" Type="http://schemas.openxmlformats.org/officeDocument/2006/relationships/header" Target="header13.xml"/><Relationship Id="rId140" Type="http://schemas.openxmlformats.org/officeDocument/2006/relationships/header" Target="header35.xml"/><Relationship Id="rId161" Type="http://schemas.openxmlformats.org/officeDocument/2006/relationships/footer" Target="footer38.xml"/><Relationship Id="rId182" Type="http://schemas.openxmlformats.org/officeDocument/2006/relationships/chart" Target="charts/chart66.xml"/><Relationship Id="rId6" Type="http://schemas.openxmlformats.org/officeDocument/2006/relationships/footnotes" Target="footnotes.xml"/><Relationship Id="rId23" Type="http://schemas.openxmlformats.org/officeDocument/2006/relationships/chart" Target="charts/chart1.xml"/><Relationship Id="rId119" Type="http://schemas.openxmlformats.org/officeDocument/2006/relationships/header" Target="header25.xml"/><Relationship Id="rId44" Type="http://schemas.openxmlformats.org/officeDocument/2006/relationships/chart" Target="charts/chart15.xml"/><Relationship Id="rId65" Type="http://schemas.openxmlformats.org/officeDocument/2006/relationships/chart" Target="charts/chart35.xml"/><Relationship Id="rId86" Type="http://schemas.openxmlformats.org/officeDocument/2006/relationships/chart" Target="charts/chart50.xml"/><Relationship Id="rId130" Type="http://schemas.openxmlformats.org/officeDocument/2006/relationships/footer" Target="footer27.xml"/><Relationship Id="rId151" Type="http://schemas.openxmlformats.org/officeDocument/2006/relationships/header" Target="header39.xml"/><Relationship Id="rId172" Type="http://schemas.openxmlformats.org/officeDocument/2006/relationships/chart" Target="charts/chart61.xml"/><Relationship Id="rId193" Type="http://schemas.openxmlformats.org/officeDocument/2006/relationships/chart" Target="charts/chart77.xml"/><Relationship Id="rId109" Type="http://schemas.openxmlformats.org/officeDocument/2006/relationships/footer" Target="footer19.xml"/><Relationship Id="rId34" Type="http://schemas.openxmlformats.org/officeDocument/2006/relationships/chart" Target="charts/chart5.xml"/><Relationship Id="rId50" Type="http://schemas.openxmlformats.org/officeDocument/2006/relationships/chart" Target="charts/chart21.xml"/><Relationship Id="rId55" Type="http://schemas.openxmlformats.org/officeDocument/2006/relationships/chart" Target="charts/chart26.xml"/><Relationship Id="rId76" Type="http://schemas.openxmlformats.org/officeDocument/2006/relationships/chart" Target="charts/chart40.xml"/><Relationship Id="rId97" Type="http://schemas.openxmlformats.org/officeDocument/2006/relationships/chart" Target="charts/chart51.xml"/><Relationship Id="rId104" Type="http://schemas.openxmlformats.org/officeDocument/2006/relationships/footer" Target="footer17.xml"/><Relationship Id="rId120" Type="http://schemas.openxmlformats.org/officeDocument/2006/relationships/chart" Target="charts/chart52.xml"/><Relationship Id="rId125" Type="http://schemas.openxmlformats.org/officeDocument/2006/relationships/footer" Target="footer25.xml"/><Relationship Id="rId141" Type="http://schemas.openxmlformats.org/officeDocument/2006/relationships/footer" Target="footer30.xml"/><Relationship Id="rId146" Type="http://schemas.openxmlformats.org/officeDocument/2006/relationships/footer" Target="footer33.xml"/><Relationship Id="rId167" Type="http://schemas.openxmlformats.org/officeDocument/2006/relationships/header" Target="header47.xml"/><Relationship Id="rId188" Type="http://schemas.openxmlformats.org/officeDocument/2006/relationships/chart" Target="charts/chart72.xml"/><Relationship Id="rId7" Type="http://schemas.openxmlformats.org/officeDocument/2006/relationships/endnotes" Target="endnotes.xml"/><Relationship Id="rId71" Type="http://schemas.openxmlformats.org/officeDocument/2006/relationships/footer" Target="footer8.xml"/><Relationship Id="rId92" Type="http://schemas.openxmlformats.org/officeDocument/2006/relationships/header" Target="header11.xml"/><Relationship Id="rId162" Type="http://schemas.openxmlformats.org/officeDocument/2006/relationships/footer" Target="footer39.xml"/><Relationship Id="rId183" Type="http://schemas.openxmlformats.org/officeDocument/2006/relationships/chart" Target="charts/chart67.xml"/><Relationship Id="rId2" Type="http://schemas.openxmlformats.org/officeDocument/2006/relationships/numbering" Target="numbering.xml"/><Relationship Id="rId29" Type="http://schemas.openxmlformats.org/officeDocument/2006/relationships/header" Target="header3.xml"/><Relationship Id="rId24" Type="http://schemas.openxmlformats.org/officeDocument/2006/relationships/image" Target="media/image1.png"/><Relationship Id="rId40" Type="http://schemas.openxmlformats.org/officeDocument/2006/relationships/chart" Target="charts/chart11.xml"/><Relationship Id="rId45" Type="http://schemas.openxmlformats.org/officeDocument/2006/relationships/chart" Target="charts/chart16.xml"/><Relationship Id="rId66" Type="http://schemas.openxmlformats.org/officeDocument/2006/relationships/chart" Target="charts/chart36.xml"/><Relationship Id="rId87" Type="http://schemas.openxmlformats.org/officeDocument/2006/relationships/header" Target="header8.xml"/><Relationship Id="rId110" Type="http://schemas.openxmlformats.org/officeDocument/2006/relationships/header" Target="header20.xml"/><Relationship Id="rId115" Type="http://schemas.openxmlformats.org/officeDocument/2006/relationships/header" Target="header23.xml"/><Relationship Id="rId131" Type="http://schemas.openxmlformats.org/officeDocument/2006/relationships/header" Target="header31.xml"/><Relationship Id="rId136" Type="http://schemas.openxmlformats.org/officeDocument/2006/relationships/header" Target="header34.xml"/><Relationship Id="rId157" Type="http://schemas.openxmlformats.org/officeDocument/2006/relationships/image" Target="media/image5.png"/><Relationship Id="rId178" Type="http://schemas.openxmlformats.org/officeDocument/2006/relationships/header" Target="header50.xml"/><Relationship Id="rId61" Type="http://schemas.openxmlformats.org/officeDocument/2006/relationships/chart" Target="charts/chart31.xml"/><Relationship Id="rId82" Type="http://schemas.openxmlformats.org/officeDocument/2006/relationships/chart" Target="charts/chart46.xml"/><Relationship Id="rId152" Type="http://schemas.openxmlformats.org/officeDocument/2006/relationships/header" Target="header40.xml"/><Relationship Id="rId173" Type="http://schemas.openxmlformats.org/officeDocument/2006/relationships/chart" Target="charts/chart62.xml"/><Relationship Id="rId194" Type="http://schemas.openxmlformats.org/officeDocument/2006/relationships/header" Target="header51.xml"/><Relationship Id="rId199" Type="http://schemas.openxmlformats.org/officeDocument/2006/relationships/footer" Target="footer46.xml"/><Relationship Id="rId19" Type="http://schemas.openxmlformats.org/officeDocument/2006/relationships/header" Target="header1.xml"/><Relationship Id="rId30" Type="http://schemas.openxmlformats.org/officeDocument/2006/relationships/header" Target="header4.xml"/><Relationship Id="rId35" Type="http://schemas.openxmlformats.org/officeDocument/2006/relationships/chart" Target="charts/chart6.xml"/><Relationship Id="rId56" Type="http://schemas.openxmlformats.org/officeDocument/2006/relationships/chart" Target="charts/chart27.xml"/><Relationship Id="rId77" Type="http://schemas.openxmlformats.org/officeDocument/2006/relationships/chart" Target="charts/chart41.xml"/><Relationship Id="rId100" Type="http://schemas.openxmlformats.org/officeDocument/2006/relationships/footer" Target="footer15.xml"/><Relationship Id="rId105" Type="http://schemas.openxmlformats.org/officeDocument/2006/relationships/header" Target="header17.xml"/><Relationship Id="rId126" Type="http://schemas.openxmlformats.org/officeDocument/2006/relationships/header" Target="header28.xml"/><Relationship Id="rId147" Type="http://schemas.openxmlformats.org/officeDocument/2006/relationships/header" Target="header37.xml"/><Relationship Id="rId168" Type="http://schemas.openxmlformats.org/officeDocument/2006/relationships/chart" Target="charts/chart57.xml"/><Relationship Id="rId8" Type="http://schemas.openxmlformats.org/officeDocument/2006/relationships/footer" Target="footer1.xml"/><Relationship Id="rId51" Type="http://schemas.openxmlformats.org/officeDocument/2006/relationships/chart" Target="charts/chart22.xml"/><Relationship Id="rId72" Type="http://schemas.openxmlformats.org/officeDocument/2006/relationships/header" Target="header7.xml"/><Relationship Id="rId93" Type="http://schemas.openxmlformats.org/officeDocument/2006/relationships/header" Target="header12.xml"/><Relationship Id="rId98" Type="http://schemas.openxmlformats.org/officeDocument/2006/relationships/header" Target="header14.xml"/><Relationship Id="rId121" Type="http://schemas.openxmlformats.org/officeDocument/2006/relationships/image" Target="media/image4.png"/><Relationship Id="rId142" Type="http://schemas.openxmlformats.org/officeDocument/2006/relationships/footer" Target="footer31.xml"/><Relationship Id="rId163" Type="http://schemas.openxmlformats.org/officeDocument/2006/relationships/header" Target="header45.xml"/><Relationship Id="rId184" Type="http://schemas.openxmlformats.org/officeDocument/2006/relationships/chart" Target="charts/chart68.xml"/><Relationship Id="rId189" Type="http://schemas.openxmlformats.org/officeDocument/2006/relationships/chart" Target="charts/chart73.xml"/><Relationship Id="rId3" Type="http://schemas.openxmlformats.org/officeDocument/2006/relationships/styles" Target="styles.xml"/><Relationship Id="rId25" Type="http://schemas.openxmlformats.org/officeDocument/2006/relationships/chart" Target="charts/chart2.xml"/><Relationship Id="rId46" Type="http://schemas.openxmlformats.org/officeDocument/2006/relationships/chart" Target="charts/chart17.xml"/><Relationship Id="rId67" Type="http://schemas.openxmlformats.org/officeDocument/2006/relationships/chart" Target="charts/chart37.xml"/><Relationship Id="rId116" Type="http://schemas.openxmlformats.org/officeDocument/2006/relationships/header" Target="header24.xml"/><Relationship Id="rId137" Type="http://schemas.openxmlformats.org/officeDocument/2006/relationships/chart" Target="charts/chart53.xml"/><Relationship Id="rId158" Type="http://schemas.openxmlformats.org/officeDocument/2006/relationships/image" Target="media/image6.png"/><Relationship Id="rId20" Type="http://schemas.openxmlformats.org/officeDocument/2006/relationships/header" Target="header2.xml"/><Relationship Id="rId41" Type="http://schemas.openxmlformats.org/officeDocument/2006/relationships/chart" Target="charts/chart12.xml"/><Relationship Id="rId62" Type="http://schemas.openxmlformats.org/officeDocument/2006/relationships/chart" Target="charts/chart32.xml"/><Relationship Id="rId83" Type="http://schemas.openxmlformats.org/officeDocument/2006/relationships/chart" Target="charts/chart47.xml"/><Relationship Id="rId88" Type="http://schemas.openxmlformats.org/officeDocument/2006/relationships/header" Target="header9.xml"/><Relationship Id="rId111" Type="http://schemas.openxmlformats.org/officeDocument/2006/relationships/header" Target="header21.xml"/><Relationship Id="rId132" Type="http://schemas.openxmlformats.org/officeDocument/2006/relationships/header" Target="header32.xml"/><Relationship Id="rId153" Type="http://schemas.openxmlformats.org/officeDocument/2006/relationships/footer" Target="footer36.xml"/><Relationship Id="rId174" Type="http://schemas.openxmlformats.org/officeDocument/2006/relationships/header" Target="header48.xml"/><Relationship Id="rId179" Type="http://schemas.openxmlformats.org/officeDocument/2006/relationships/chart" Target="charts/chart63.xml"/><Relationship Id="rId195" Type="http://schemas.openxmlformats.org/officeDocument/2006/relationships/header" Target="header52.xml"/><Relationship Id="rId190" Type="http://schemas.openxmlformats.org/officeDocument/2006/relationships/chart" Target="charts/chart74.xml"/><Relationship Id="rId36" Type="http://schemas.openxmlformats.org/officeDocument/2006/relationships/chart" Target="charts/chart7.xml"/><Relationship Id="rId57" Type="http://schemas.openxmlformats.org/officeDocument/2006/relationships/chart" Target="charts/chart28.xml"/><Relationship Id="rId106" Type="http://schemas.openxmlformats.org/officeDocument/2006/relationships/header" Target="header18.xml"/><Relationship Id="rId127" Type="http://schemas.openxmlformats.org/officeDocument/2006/relationships/header" Target="header29.xml"/><Relationship Id="rId31" Type="http://schemas.openxmlformats.org/officeDocument/2006/relationships/footer" Target="footer5.xml"/><Relationship Id="rId52" Type="http://schemas.openxmlformats.org/officeDocument/2006/relationships/chart" Target="charts/chart23.xml"/><Relationship Id="rId73" Type="http://schemas.openxmlformats.org/officeDocument/2006/relationships/chart" Target="charts/chart38.xml"/><Relationship Id="rId78" Type="http://schemas.openxmlformats.org/officeDocument/2006/relationships/chart" Target="charts/chart42.xml"/><Relationship Id="rId94" Type="http://schemas.openxmlformats.org/officeDocument/2006/relationships/footer" Target="footer12.xml"/><Relationship Id="rId99" Type="http://schemas.openxmlformats.org/officeDocument/2006/relationships/footer" Target="footer14.xml"/><Relationship Id="rId101" Type="http://schemas.openxmlformats.org/officeDocument/2006/relationships/header" Target="header15.xml"/><Relationship Id="rId122" Type="http://schemas.openxmlformats.org/officeDocument/2006/relationships/header" Target="header26.xml"/><Relationship Id="rId143" Type="http://schemas.openxmlformats.org/officeDocument/2006/relationships/header" Target="header36.xml"/><Relationship Id="rId148" Type="http://schemas.openxmlformats.org/officeDocument/2006/relationships/footer" Target="footer34.xml"/><Relationship Id="rId164" Type="http://schemas.openxmlformats.org/officeDocument/2006/relationships/header" Target="header46.xml"/><Relationship Id="rId169" Type="http://schemas.openxmlformats.org/officeDocument/2006/relationships/chart" Target="charts/chart58.xml"/><Relationship Id="rId185" Type="http://schemas.openxmlformats.org/officeDocument/2006/relationships/chart" Target="charts/chart69.xml"/><Relationship Id="rId4" Type="http://schemas.openxmlformats.org/officeDocument/2006/relationships/settings" Target="settings.xml"/><Relationship Id="rId9" Type="http://schemas.openxmlformats.org/officeDocument/2006/relationships/footer" Target="footer2.xml"/><Relationship Id="rId180" Type="http://schemas.openxmlformats.org/officeDocument/2006/relationships/chart" Target="charts/chart64.xml"/><Relationship Id="rId26" Type="http://schemas.openxmlformats.org/officeDocument/2006/relationships/chart" Target="charts/chart3.xml"/><Relationship Id="rId47" Type="http://schemas.openxmlformats.org/officeDocument/2006/relationships/chart" Target="charts/chart18.xml"/><Relationship Id="rId68" Type="http://schemas.openxmlformats.org/officeDocument/2006/relationships/header" Target="header5.xml"/><Relationship Id="rId89" Type="http://schemas.openxmlformats.org/officeDocument/2006/relationships/footer" Target="footer10.xml"/><Relationship Id="rId112" Type="http://schemas.openxmlformats.org/officeDocument/2006/relationships/header" Target="header22.xml"/><Relationship Id="rId133" Type="http://schemas.openxmlformats.org/officeDocument/2006/relationships/header" Target="header33.xml"/><Relationship Id="rId154" Type="http://schemas.openxmlformats.org/officeDocument/2006/relationships/footer" Target="footer37.xml"/><Relationship Id="rId175" Type="http://schemas.openxmlformats.org/officeDocument/2006/relationships/header" Target="header49.xml"/><Relationship Id="rId196" Type="http://schemas.openxmlformats.org/officeDocument/2006/relationships/footer" Target="footer44.xml"/><Relationship Id="rId200" Type="http://schemas.openxmlformats.org/officeDocument/2006/relationships/fontTable" Target="fontTable.xml"/><Relationship Id="rId37" Type="http://schemas.openxmlformats.org/officeDocument/2006/relationships/chart" Target="charts/chart8.xml"/><Relationship Id="rId58" Type="http://schemas.openxmlformats.org/officeDocument/2006/relationships/image" Target="media/image3.png"/><Relationship Id="rId79" Type="http://schemas.openxmlformats.org/officeDocument/2006/relationships/chart" Target="charts/chart43.xml"/><Relationship Id="rId102" Type="http://schemas.openxmlformats.org/officeDocument/2006/relationships/header" Target="header16.xml"/><Relationship Id="rId123" Type="http://schemas.openxmlformats.org/officeDocument/2006/relationships/header" Target="header27.xml"/><Relationship Id="rId144" Type="http://schemas.openxmlformats.org/officeDocument/2006/relationships/chart" Target="charts/chart56.xml"/><Relationship Id="rId90" Type="http://schemas.openxmlformats.org/officeDocument/2006/relationships/footer" Target="footer11.xml"/><Relationship Id="rId165" Type="http://schemas.openxmlformats.org/officeDocument/2006/relationships/footer" Target="footer40.xml"/><Relationship Id="rId186" Type="http://schemas.openxmlformats.org/officeDocument/2006/relationships/chart" Target="charts/chart70.xml"/><Relationship Id="rId27" Type="http://schemas.openxmlformats.org/officeDocument/2006/relationships/image" Target="media/image2.PNG"/><Relationship Id="rId48" Type="http://schemas.openxmlformats.org/officeDocument/2006/relationships/chart" Target="charts/chart19.xml"/><Relationship Id="rId69" Type="http://schemas.openxmlformats.org/officeDocument/2006/relationships/header" Target="header6.xml"/><Relationship Id="rId113" Type="http://schemas.openxmlformats.org/officeDocument/2006/relationships/footer" Target="footer20.xml"/><Relationship Id="rId134" Type="http://schemas.openxmlformats.org/officeDocument/2006/relationships/footer" Target="footer28.xml"/><Relationship Id="rId80" Type="http://schemas.openxmlformats.org/officeDocument/2006/relationships/chart" Target="charts/chart44.xml"/><Relationship Id="rId155" Type="http://schemas.openxmlformats.org/officeDocument/2006/relationships/header" Target="header41.xml"/><Relationship Id="rId176" Type="http://schemas.openxmlformats.org/officeDocument/2006/relationships/footer" Target="footer42.xml"/><Relationship Id="rId197" Type="http://schemas.openxmlformats.org/officeDocument/2006/relationships/footer" Target="footer45.xml"/><Relationship Id="rId201" Type="http://schemas.openxmlformats.org/officeDocument/2006/relationships/theme" Target="theme/theme1.xml"/><Relationship Id="rId38" Type="http://schemas.openxmlformats.org/officeDocument/2006/relationships/chart" Target="charts/chart9.xml"/><Relationship Id="rId59" Type="http://schemas.openxmlformats.org/officeDocument/2006/relationships/chart" Target="charts/chart29.xml"/><Relationship Id="rId103" Type="http://schemas.openxmlformats.org/officeDocument/2006/relationships/footer" Target="footer16.xml"/><Relationship Id="rId124" Type="http://schemas.openxmlformats.org/officeDocument/2006/relationships/footer" Target="footer24.xml"/><Relationship Id="rId70" Type="http://schemas.openxmlformats.org/officeDocument/2006/relationships/footer" Target="footer7.xml"/><Relationship Id="rId91" Type="http://schemas.openxmlformats.org/officeDocument/2006/relationships/header" Target="header10.xml"/><Relationship Id="rId145" Type="http://schemas.openxmlformats.org/officeDocument/2006/relationships/footer" Target="footer32.xml"/><Relationship Id="rId166" Type="http://schemas.openxmlformats.org/officeDocument/2006/relationships/footer" Target="footer41.xml"/><Relationship Id="rId187" Type="http://schemas.openxmlformats.org/officeDocument/2006/relationships/chart" Target="charts/chart71.xml"/><Relationship Id="rId1" Type="http://schemas.openxmlformats.org/officeDocument/2006/relationships/customXml" Target="../customXml/item1.xml"/><Relationship Id="rId28" Type="http://schemas.openxmlformats.org/officeDocument/2006/relationships/image" Target="media/image4.gif"/><Relationship Id="rId49" Type="http://schemas.openxmlformats.org/officeDocument/2006/relationships/chart" Target="charts/chart20.xml"/><Relationship Id="rId114" Type="http://schemas.openxmlformats.org/officeDocument/2006/relationships/footer" Target="footer21.xml"/><Relationship Id="rId60" Type="http://schemas.openxmlformats.org/officeDocument/2006/relationships/chart" Target="charts/chart30.xml"/><Relationship Id="rId81" Type="http://schemas.openxmlformats.org/officeDocument/2006/relationships/chart" Target="charts/chart45.xml"/><Relationship Id="rId135" Type="http://schemas.openxmlformats.org/officeDocument/2006/relationships/footer" Target="footer29.xml"/><Relationship Id="rId156" Type="http://schemas.openxmlformats.org/officeDocument/2006/relationships/header" Target="header42.xml"/><Relationship Id="rId177" Type="http://schemas.openxmlformats.org/officeDocument/2006/relationships/footer" Target="footer43.xml"/><Relationship Id="rId198" Type="http://schemas.openxmlformats.org/officeDocument/2006/relationships/header" Target="header53.xml"/><Relationship Id="rId18" Type="http://schemas.openxmlformats.org/officeDocument/2006/relationships/image" Target="media/image2.gif"/><Relationship Id="rId39" Type="http://schemas.openxmlformats.org/officeDocument/2006/relationships/chart" Target="charts/chart10.xml"/></Relationships>
</file>

<file path=word/_rels/footnotes.xml.rels><?xml version="1.0" encoding="UTF-8" standalone="yes"?>
<Relationships xmlns="http://schemas.openxmlformats.org/package/2006/relationships"><Relationship Id="rId2" Type="http://schemas.openxmlformats.org/officeDocument/2006/relationships/hyperlink" Target="http://www.mfin.gov.rs/pages/article.php?id=8626" TargetMode="External"/><Relationship Id="rId1" Type="http://schemas.openxmlformats.org/officeDocument/2006/relationships/hyperlink" Target="https://www.mfin.gov.rs//upload/media/ZzkTpV_601696edb3a9a.pdf"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C:\Users\jovana.djeric\Dropbox\Makro%20sektor\FISKALNA%20STRATEGIJA%202022-2024%20-%20revidirana\Makro%20radni%20fajlovi\GRAFIKONI_MAKRO_okt21.xlsx" TargetMode="External"/></Relationships>
</file>

<file path=word/charts/_rels/chart10.xml.rels><?xml version="1.0" encoding="UTF-8" standalone="yes"?>
<Relationships xmlns="http://schemas.openxmlformats.org/package/2006/relationships"><Relationship Id="rId3" Type="http://schemas.openxmlformats.org/officeDocument/2006/relationships/themeOverride" Target="../theme/themeOverride10.xml"/><Relationship Id="rId2" Type="http://schemas.microsoft.com/office/2011/relationships/chartColorStyle" Target="colors10.xml"/><Relationship Id="rId1" Type="http://schemas.microsoft.com/office/2011/relationships/chartStyle" Target="style10.xml"/><Relationship Id="rId5" Type="http://schemas.openxmlformats.org/officeDocument/2006/relationships/chartUserShapes" Target="../drawings/drawing8.xml"/><Relationship Id="rId4" Type="http://schemas.openxmlformats.org/officeDocument/2006/relationships/oleObject" Target="file:///C:\Users\jovana.djeric\Dropbox\Makro%20sektor\FISKALNA%20STRATEGIJA%202022-2024%20-%20revidirana\Makro%20radni%20fajlovi\GRAFIKONI_MAKRO_okt21.xlsx" TargetMode="External"/></Relationships>
</file>

<file path=word/charts/_rels/chart11.xml.rels><?xml version="1.0" encoding="UTF-8" standalone="yes"?>
<Relationships xmlns="http://schemas.openxmlformats.org/package/2006/relationships"><Relationship Id="rId3" Type="http://schemas.openxmlformats.org/officeDocument/2006/relationships/themeOverride" Target="../theme/themeOverride11.xml"/><Relationship Id="rId2" Type="http://schemas.microsoft.com/office/2011/relationships/chartColorStyle" Target="colors11.xml"/><Relationship Id="rId1" Type="http://schemas.microsoft.com/office/2011/relationships/chartStyle" Target="style11.xml"/><Relationship Id="rId5" Type="http://schemas.openxmlformats.org/officeDocument/2006/relationships/chartUserShapes" Target="../drawings/drawing9.xml"/><Relationship Id="rId4" Type="http://schemas.openxmlformats.org/officeDocument/2006/relationships/oleObject" Target="file:///C:\Users\jovana.djeric\Dropbox\Makro%20sektor\FISKALNA%20STRATEGIJA%202022-2024%20-%20revidirana\Makro%20radni%20fajlovi\GRAFIKONI_MAKRO_okt21.xlsx" TargetMode="External"/></Relationships>
</file>

<file path=word/charts/_rels/chart12.xml.rels><?xml version="1.0" encoding="UTF-8" standalone="yes"?>
<Relationships xmlns="http://schemas.openxmlformats.org/package/2006/relationships"><Relationship Id="rId3" Type="http://schemas.openxmlformats.org/officeDocument/2006/relationships/chartUserShapes" Target="../drawings/drawing10.xml"/><Relationship Id="rId2" Type="http://schemas.openxmlformats.org/officeDocument/2006/relationships/oleObject" Target="file:///C:\Users\jovana.djeric\Dropbox\Makro%20sektor\FISKALNA%20STRATEGIJA%202022-2024%20-%20revidirana\Makro%20radni%20fajlovi\GRAFIKONI_MAKRO_okt21.xlsx" TargetMode="External"/><Relationship Id="rId1" Type="http://schemas.openxmlformats.org/officeDocument/2006/relationships/themeOverride" Target="../theme/themeOverride12.xml"/></Relationships>
</file>

<file path=word/charts/_rels/chart13.xml.rels><?xml version="1.0" encoding="UTF-8" standalone="yes"?>
<Relationships xmlns="http://schemas.openxmlformats.org/package/2006/relationships"><Relationship Id="rId3" Type="http://schemas.openxmlformats.org/officeDocument/2006/relationships/chartUserShapes" Target="../drawings/drawing11.xml"/><Relationship Id="rId2" Type="http://schemas.openxmlformats.org/officeDocument/2006/relationships/oleObject" Target="file:///C:\Users\jovana.djeric\Dropbox\Makro%20sektor\FISKALNA%20STRATEGIJA%202022-2024%20-%20revidirana\Makro%20radni%20fajlovi\GRAFIKONI_MAKRO_okt21.xlsx" TargetMode="External"/><Relationship Id="rId1" Type="http://schemas.openxmlformats.org/officeDocument/2006/relationships/themeOverride" Target="../theme/themeOverride13.xml"/></Relationships>
</file>

<file path=word/charts/_rels/chart14.xml.rels><?xml version="1.0" encoding="UTF-8" standalone="yes"?>
<Relationships xmlns="http://schemas.openxmlformats.org/package/2006/relationships"><Relationship Id="rId3" Type="http://schemas.openxmlformats.org/officeDocument/2006/relationships/themeOverride" Target="../theme/themeOverride14.xml"/><Relationship Id="rId2" Type="http://schemas.microsoft.com/office/2011/relationships/chartColorStyle" Target="colors12.xml"/><Relationship Id="rId1" Type="http://schemas.microsoft.com/office/2011/relationships/chartStyle" Target="style12.xml"/><Relationship Id="rId4" Type="http://schemas.openxmlformats.org/officeDocument/2006/relationships/oleObject" Target="file:///C:\Users\jovana.djeric\Dropbox\Makro%20sektor\FISKALNA%20STRATEGIJA%202022-2024%20-%20revidirana\Makro%20radni%20fajlovi\GRAFIKONI_MAKRO_okt21.xlsx" TargetMode="External"/></Relationships>
</file>

<file path=word/charts/_rels/chart15.xml.rels><?xml version="1.0" encoding="UTF-8" standalone="yes"?>
<Relationships xmlns="http://schemas.openxmlformats.org/package/2006/relationships"><Relationship Id="rId3" Type="http://schemas.openxmlformats.org/officeDocument/2006/relationships/themeOverride" Target="../theme/themeOverride15.xml"/><Relationship Id="rId2" Type="http://schemas.microsoft.com/office/2011/relationships/chartColorStyle" Target="colors13.xml"/><Relationship Id="rId1" Type="http://schemas.microsoft.com/office/2011/relationships/chartStyle" Target="style13.xml"/><Relationship Id="rId4" Type="http://schemas.openxmlformats.org/officeDocument/2006/relationships/oleObject" Target="file:///C:\Users\jovana.djeric\Dropbox\Makro%20sektor\FISKALNA%20STRATEGIJA%202022-2024%20-%20revidirana\Makro%20radni%20fajlovi\GRAFIKONI_MAKRO_okt21.xlsx" TargetMode="External"/></Relationships>
</file>

<file path=word/charts/_rels/chart16.xml.rels><?xml version="1.0" encoding="UTF-8" standalone="yes"?>
<Relationships xmlns="http://schemas.openxmlformats.org/package/2006/relationships"><Relationship Id="rId2" Type="http://schemas.openxmlformats.org/officeDocument/2006/relationships/oleObject" Target="file:///C:\Users\rade.ciric\Dropbox\Makro%20sektor\Sajt%20tabele%20i%20prezentacije\PREZENTACIJE\Makro\Grafikoni%20za%20prezentaciju%20-%20MAKRO\2.%20BDP.xlsx" TargetMode="External"/><Relationship Id="rId1" Type="http://schemas.openxmlformats.org/officeDocument/2006/relationships/themeOverride" Target="../theme/themeOverride16.xml"/></Relationships>
</file>

<file path=word/charts/_rels/chart17.xml.rels><?xml version="1.0" encoding="UTF-8" standalone="yes"?>
<Relationships xmlns="http://schemas.openxmlformats.org/package/2006/relationships"><Relationship Id="rId3" Type="http://schemas.openxmlformats.org/officeDocument/2006/relationships/themeOverride" Target="../theme/themeOverride17.xml"/><Relationship Id="rId2" Type="http://schemas.microsoft.com/office/2011/relationships/chartColorStyle" Target="colors14.xml"/><Relationship Id="rId1" Type="http://schemas.microsoft.com/office/2011/relationships/chartStyle" Target="style14.xml"/><Relationship Id="rId4" Type="http://schemas.openxmlformats.org/officeDocument/2006/relationships/oleObject" Target="file:///C:\Users\jovana.djeric\Dropbox\Makro%20sektor\FISKALNA%20STRATEGIJA%202022-2024%20-%20revidirana\Makro%20radni%20fajlovi\GRAFIKONI_MAKRO_okt21.xlsx" TargetMode="External"/></Relationships>
</file>

<file path=word/charts/_rels/chart18.xml.rels><?xml version="1.0" encoding="UTF-8" standalone="yes"?>
<Relationships xmlns="http://schemas.openxmlformats.org/package/2006/relationships"><Relationship Id="rId3" Type="http://schemas.openxmlformats.org/officeDocument/2006/relationships/themeOverride" Target="../theme/themeOverride18.xml"/><Relationship Id="rId2" Type="http://schemas.microsoft.com/office/2011/relationships/chartColorStyle" Target="colors15.xml"/><Relationship Id="rId1" Type="http://schemas.microsoft.com/office/2011/relationships/chartStyle" Target="style15.xml"/><Relationship Id="rId4" Type="http://schemas.openxmlformats.org/officeDocument/2006/relationships/oleObject" Target="file:///C:\Users\jovana.djeric\Dropbox\Makro%20sektor\FISKALNA%20STRATEGIJA%202022-2024%20-%20revidirana\Makro%20radni%20fajlovi\GRAFIKONI_MAKRO_okt21.xlsx" TargetMode="External"/></Relationships>
</file>

<file path=word/charts/_rels/chart19.xml.rels><?xml version="1.0" encoding="UTF-8" standalone="yes"?>
<Relationships xmlns="http://schemas.openxmlformats.org/package/2006/relationships"><Relationship Id="rId3" Type="http://schemas.openxmlformats.org/officeDocument/2006/relationships/themeOverride" Target="../theme/themeOverride19.xml"/><Relationship Id="rId2" Type="http://schemas.microsoft.com/office/2011/relationships/chartColorStyle" Target="colors16.xml"/><Relationship Id="rId1" Type="http://schemas.microsoft.com/office/2011/relationships/chartStyle" Target="style16.xml"/><Relationship Id="rId4" Type="http://schemas.openxmlformats.org/officeDocument/2006/relationships/oleObject" Target="file:///C:\Users\jovana.djeric\Dropbox\Makro%20sektor\FISKALNA%20STRATEGIJA%202022-2024%20-%20revidirana\Makro%20radni%20fajlovi\GRAFIKONI_MAKRO_okt21.xlsx" TargetMode="Externa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file:///C:\Users\jovana.djeric\Dropbox\Makro%20sektor\FISKALNA%20STRATEGIJA%202022-2024%20-%20revidirana\Makro%20radni%20fajlovi\GRAFIKONI_MAKRO_okt21.xlsx" TargetMode="External"/></Relationships>
</file>

<file path=word/charts/_rels/chart20.xml.rels><?xml version="1.0" encoding="UTF-8" standalone="yes"?>
<Relationships xmlns="http://schemas.openxmlformats.org/package/2006/relationships"><Relationship Id="rId3" Type="http://schemas.openxmlformats.org/officeDocument/2006/relationships/themeOverride" Target="../theme/themeOverride20.xml"/><Relationship Id="rId2" Type="http://schemas.microsoft.com/office/2011/relationships/chartColorStyle" Target="colors17.xml"/><Relationship Id="rId1" Type="http://schemas.microsoft.com/office/2011/relationships/chartStyle" Target="style17.xml"/><Relationship Id="rId4" Type="http://schemas.openxmlformats.org/officeDocument/2006/relationships/oleObject" Target="file:///C:\Users\jovana.djeric\Dropbox\Makro%20sektor\FISKALNA%20STRATEGIJA%202022-2024%20-%20revidirana\Makro%20radni%20fajlovi\GRAFIKONI_MAKRO_okt21.xlsx" TargetMode="External"/></Relationships>
</file>

<file path=word/charts/_rels/chart21.xml.rels><?xml version="1.0" encoding="UTF-8" standalone="yes"?>
<Relationships xmlns="http://schemas.openxmlformats.org/package/2006/relationships"><Relationship Id="rId3" Type="http://schemas.openxmlformats.org/officeDocument/2006/relationships/themeOverride" Target="../theme/themeOverride21.xml"/><Relationship Id="rId2" Type="http://schemas.microsoft.com/office/2011/relationships/chartColorStyle" Target="colors18.xml"/><Relationship Id="rId1" Type="http://schemas.microsoft.com/office/2011/relationships/chartStyle" Target="style18.xml"/><Relationship Id="rId4" Type="http://schemas.openxmlformats.org/officeDocument/2006/relationships/oleObject" Target="file:///C:\Users\jovana.djeric\Dropbox\Makro%20sektor\FISKALNA%20STRATEGIJA%202022-2024%20-%20revidirana\Makro%20radni%20fajlovi\GRAFIKONI_MAKRO_okt21.xlsx" TargetMode="External"/></Relationships>
</file>

<file path=word/charts/_rels/chart22.xml.rels><?xml version="1.0" encoding="UTF-8" standalone="yes"?>
<Relationships xmlns="http://schemas.openxmlformats.org/package/2006/relationships"><Relationship Id="rId3" Type="http://schemas.openxmlformats.org/officeDocument/2006/relationships/themeOverride" Target="../theme/themeOverride22.xml"/><Relationship Id="rId2" Type="http://schemas.microsoft.com/office/2011/relationships/chartColorStyle" Target="colors19.xml"/><Relationship Id="rId1" Type="http://schemas.microsoft.com/office/2011/relationships/chartStyle" Target="style19.xml"/><Relationship Id="rId4" Type="http://schemas.openxmlformats.org/officeDocument/2006/relationships/oleObject" Target="file:///C:\Users\jovana.djeric\Dropbox\Makro%20sektor\FISKALNA%20STRATEGIJA%202022-2024%20-%20revidirana\Makro%20radni%20fajlovi\GRAFIKONI_MAKRO_okt21.xlsx" TargetMode="External"/></Relationships>
</file>

<file path=word/charts/_rels/chart23.xml.rels><?xml version="1.0" encoding="UTF-8" standalone="yes"?>
<Relationships xmlns="http://schemas.openxmlformats.org/package/2006/relationships"><Relationship Id="rId3" Type="http://schemas.openxmlformats.org/officeDocument/2006/relationships/themeOverride" Target="../theme/themeOverride23.xml"/><Relationship Id="rId2" Type="http://schemas.microsoft.com/office/2011/relationships/chartColorStyle" Target="colors20.xml"/><Relationship Id="rId1" Type="http://schemas.microsoft.com/office/2011/relationships/chartStyle" Target="style20.xml"/><Relationship Id="rId4" Type="http://schemas.openxmlformats.org/officeDocument/2006/relationships/oleObject" Target="file:///C:\Users\jovana.djeric\Dropbox\Makro%20sektor\FISKALNA%20STRATEGIJA%202022-2024%20-%20revidirana\Makro%20radni%20fajlovi\GRAFIKONI_MAKRO_okt21.xlsx" TargetMode="External"/></Relationships>
</file>

<file path=word/charts/_rels/chart24.xml.rels><?xml version="1.0" encoding="UTF-8" standalone="yes"?>
<Relationships xmlns="http://schemas.openxmlformats.org/package/2006/relationships"><Relationship Id="rId3" Type="http://schemas.openxmlformats.org/officeDocument/2006/relationships/themeOverride" Target="../theme/themeOverride24.xml"/><Relationship Id="rId2" Type="http://schemas.microsoft.com/office/2011/relationships/chartColorStyle" Target="colors21.xml"/><Relationship Id="rId1" Type="http://schemas.microsoft.com/office/2011/relationships/chartStyle" Target="style21.xml"/><Relationship Id="rId4" Type="http://schemas.openxmlformats.org/officeDocument/2006/relationships/oleObject" Target="file:///C:\Users\jovana.djeric\Dropbox\Makro%20sektor\FISKALNA%20STRATEGIJA%202022-2024%20-%20revidirana\Makro%20radni%20fajlovi\GRAFIKONI_MAKRO_okt21.xlsx" TargetMode="External"/></Relationships>
</file>

<file path=word/charts/_rels/chart25.xml.rels><?xml version="1.0" encoding="UTF-8" standalone="yes"?>
<Relationships xmlns="http://schemas.openxmlformats.org/package/2006/relationships"><Relationship Id="rId3" Type="http://schemas.openxmlformats.org/officeDocument/2006/relationships/themeOverride" Target="../theme/themeOverride25.xml"/><Relationship Id="rId2" Type="http://schemas.microsoft.com/office/2011/relationships/chartColorStyle" Target="colors22.xml"/><Relationship Id="rId1" Type="http://schemas.microsoft.com/office/2011/relationships/chartStyle" Target="style22.xml"/><Relationship Id="rId4" Type="http://schemas.openxmlformats.org/officeDocument/2006/relationships/oleObject" Target="file:///C:\Users\jovana.djeric\Dropbox\Makro%20sektor\FISKALNA%20STRATEGIJA%202022-2024%20-%20revidirana\Makro%20radni%20fajlovi\GRAFIKONI_MAKRO_okt21.xlsx" TargetMode="External"/></Relationships>
</file>

<file path=word/charts/_rels/chart26.xml.rels><?xml version="1.0" encoding="UTF-8" standalone="yes"?>
<Relationships xmlns="http://schemas.openxmlformats.org/package/2006/relationships"><Relationship Id="rId3" Type="http://schemas.openxmlformats.org/officeDocument/2006/relationships/themeOverride" Target="../theme/themeOverride26.xml"/><Relationship Id="rId2" Type="http://schemas.microsoft.com/office/2011/relationships/chartColorStyle" Target="colors23.xml"/><Relationship Id="rId1" Type="http://schemas.microsoft.com/office/2011/relationships/chartStyle" Target="style23.xml"/><Relationship Id="rId4" Type="http://schemas.openxmlformats.org/officeDocument/2006/relationships/oleObject" Target="file:///C:\Users\jovana.djeric\Dropbox\Makro%20sektor\FISKALNA%20STRATEGIJA%202022-2024%20-%20revidirana\Makro%20radni%20fajlovi\GRAFIKONI_MAKRO_okt21.xlsx" TargetMode="External"/></Relationships>
</file>

<file path=word/charts/_rels/chart27.xml.rels><?xml version="1.0" encoding="UTF-8" standalone="yes"?>
<Relationships xmlns="http://schemas.openxmlformats.org/package/2006/relationships"><Relationship Id="rId3" Type="http://schemas.openxmlformats.org/officeDocument/2006/relationships/themeOverride" Target="../theme/themeOverride27.xml"/><Relationship Id="rId2" Type="http://schemas.microsoft.com/office/2011/relationships/chartColorStyle" Target="colors24.xml"/><Relationship Id="rId1" Type="http://schemas.microsoft.com/office/2011/relationships/chartStyle" Target="style24.xml"/><Relationship Id="rId4" Type="http://schemas.openxmlformats.org/officeDocument/2006/relationships/oleObject" Target="file:///C:\Users\jovana.djeric\Dropbox\Makro%20sektor\FISKALNA%20STRATEGIJA%202022-2024%20-%20revidirana\Makro%20radni%20fajlovi\GRAFIKONI_MAKRO_okt21.xlsx" TargetMode="External"/></Relationships>
</file>

<file path=word/charts/_rels/chart28.xml.rels><?xml version="1.0" encoding="UTF-8" standalone="yes"?>
<Relationships xmlns="http://schemas.openxmlformats.org/package/2006/relationships"><Relationship Id="rId3" Type="http://schemas.openxmlformats.org/officeDocument/2006/relationships/themeOverride" Target="../theme/themeOverride28.xml"/><Relationship Id="rId2" Type="http://schemas.microsoft.com/office/2011/relationships/chartColorStyle" Target="colors25.xml"/><Relationship Id="rId1" Type="http://schemas.microsoft.com/office/2011/relationships/chartStyle" Target="style25.xml"/><Relationship Id="rId4" Type="http://schemas.openxmlformats.org/officeDocument/2006/relationships/oleObject" Target="file:///C:\Users\jovana.djeric\Dropbox\Makro%20sektor\FISKALNA%20STRATEGIJA%202022-2024%20-%20revidirana\Makro%20radni%20fajlovi\GRAFIKONI_MAKRO_okt21.xlsx" TargetMode="External"/></Relationships>
</file>

<file path=word/charts/_rels/chart29.xml.rels><?xml version="1.0" encoding="UTF-8" standalone="yes"?>
<Relationships xmlns="http://schemas.openxmlformats.org/package/2006/relationships"><Relationship Id="rId3" Type="http://schemas.openxmlformats.org/officeDocument/2006/relationships/themeOverride" Target="../theme/themeOverride29.xml"/><Relationship Id="rId2" Type="http://schemas.microsoft.com/office/2011/relationships/chartColorStyle" Target="colors26.xml"/><Relationship Id="rId1" Type="http://schemas.microsoft.com/office/2011/relationships/chartStyle" Target="style26.xml"/><Relationship Id="rId5" Type="http://schemas.openxmlformats.org/officeDocument/2006/relationships/chartUserShapes" Target="../drawings/drawing12.xml"/><Relationship Id="rId4" Type="http://schemas.openxmlformats.org/officeDocument/2006/relationships/oleObject" Target="file:///C:\Users\jovana.djeric\Dropbox\Makro%20sektor\FISKALNA%20STRATEGIJA%202022-2024%20-%20revidirana\Makro%20radni%20fajlovi\GRAFIKONI_MAKRO_okt21.xlsx" TargetMode="Externa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5" Type="http://schemas.openxmlformats.org/officeDocument/2006/relationships/chartUserShapes" Target="../drawings/drawing1.xml"/><Relationship Id="rId4" Type="http://schemas.openxmlformats.org/officeDocument/2006/relationships/oleObject" Target="file:///C:\Users\jovana.djeric\Dropbox\Makro%20sektor\FISKALNA%20STRATEGIJA%202022-2024%20-%20revidirana\Makro%20radni%20fajlovi\GRAFIKONI_MAKRO_okt21.xlsx" TargetMode="External"/></Relationships>
</file>

<file path=word/charts/_rels/chart30.xml.rels><?xml version="1.0" encoding="UTF-8" standalone="yes"?>
<Relationships xmlns="http://schemas.openxmlformats.org/package/2006/relationships"><Relationship Id="rId3" Type="http://schemas.openxmlformats.org/officeDocument/2006/relationships/themeOverride" Target="../theme/themeOverride30.xml"/><Relationship Id="rId2" Type="http://schemas.microsoft.com/office/2011/relationships/chartColorStyle" Target="colors27.xml"/><Relationship Id="rId1" Type="http://schemas.microsoft.com/office/2011/relationships/chartStyle" Target="style27.xml"/><Relationship Id="rId4" Type="http://schemas.openxmlformats.org/officeDocument/2006/relationships/oleObject" Target="file:///C:\Users\jovana.djeric\Dropbox\Makro%20sektor\FISKALNA%20STRATEGIJA%202022-2024%20-%20revidirana\Makro%20radni%20fajlovi\GRAFIKONI_MAKRO_okt21.xlsx" TargetMode="External"/></Relationships>
</file>

<file path=word/charts/_rels/chart31.xml.rels><?xml version="1.0" encoding="UTF-8" standalone="yes"?>
<Relationships xmlns="http://schemas.openxmlformats.org/package/2006/relationships"><Relationship Id="rId3" Type="http://schemas.openxmlformats.org/officeDocument/2006/relationships/themeOverride" Target="../theme/themeOverride31.xml"/><Relationship Id="rId2" Type="http://schemas.microsoft.com/office/2011/relationships/chartColorStyle" Target="colors28.xml"/><Relationship Id="rId1" Type="http://schemas.microsoft.com/office/2011/relationships/chartStyle" Target="style28.xml"/><Relationship Id="rId4" Type="http://schemas.openxmlformats.org/officeDocument/2006/relationships/oleObject" Target="file:///C:\Users\jovana.djeric\Dropbox\Makro%20sektor\FISKALNA%20STRATEGIJA%202022-2024%20-%20revidirana\Makro%20radni%20fajlovi\GRAFIKONI_MAKRO_okt21.xlsx" TargetMode="External"/></Relationships>
</file>

<file path=word/charts/_rels/chart32.xml.rels><?xml version="1.0" encoding="UTF-8" standalone="yes"?>
<Relationships xmlns="http://schemas.openxmlformats.org/package/2006/relationships"><Relationship Id="rId3" Type="http://schemas.openxmlformats.org/officeDocument/2006/relationships/themeOverride" Target="../theme/themeOverride32.xml"/><Relationship Id="rId2" Type="http://schemas.microsoft.com/office/2011/relationships/chartColorStyle" Target="colors29.xml"/><Relationship Id="rId1" Type="http://schemas.microsoft.com/office/2011/relationships/chartStyle" Target="style29.xml"/><Relationship Id="rId4" Type="http://schemas.openxmlformats.org/officeDocument/2006/relationships/oleObject" Target="file:///C:\Users\jovana.djeric\Dropbox\Makro%20sektor\FISKALNA%20STRATEGIJA%202022-2024%20-%20revidirana\Makro%20radni%20fajlovi\GRAFIKONI_MAKRO_okt21.xlsx" TargetMode="External"/></Relationships>
</file>

<file path=word/charts/_rels/chart33.xml.rels><?xml version="1.0" encoding="UTF-8" standalone="yes"?>
<Relationships xmlns="http://schemas.openxmlformats.org/package/2006/relationships"><Relationship Id="rId3" Type="http://schemas.openxmlformats.org/officeDocument/2006/relationships/themeOverride" Target="../theme/themeOverride33.xml"/><Relationship Id="rId2" Type="http://schemas.microsoft.com/office/2011/relationships/chartColorStyle" Target="colors30.xml"/><Relationship Id="rId1" Type="http://schemas.microsoft.com/office/2011/relationships/chartStyle" Target="style30.xml"/><Relationship Id="rId4" Type="http://schemas.openxmlformats.org/officeDocument/2006/relationships/oleObject" Target="file:///C:\Users\jovana.djeric\Dropbox\Makro%20sektor\FISKALNA%20STRATEGIJA%202022-2024%20-%20revidirana\Makro%20radni%20fajlovi\GRAFIKONI_MAKRO_okt21.xlsx" TargetMode="External"/></Relationships>
</file>

<file path=word/charts/_rels/chart34.xml.rels><?xml version="1.0" encoding="UTF-8" standalone="yes"?>
<Relationships xmlns="http://schemas.openxmlformats.org/package/2006/relationships"><Relationship Id="rId3" Type="http://schemas.openxmlformats.org/officeDocument/2006/relationships/themeOverride" Target="../theme/themeOverride34.xml"/><Relationship Id="rId2" Type="http://schemas.microsoft.com/office/2011/relationships/chartColorStyle" Target="colors31.xml"/><Relationship Id="rId1" Type="http://schemas.microsoft.com/office/2011/relationships/chartStyle" Target="style31.xml"/><Relationship Id="rId4" Type="http://schemas.openxmlformats.org/officeDocument/2006/relationships/oleObject" Target="file:///C:\Users\jovana.djeric\Dropbox\Makro%20sektor\FISKALNA%20STRATEGIJA%202022-2024%20-%20revidirana\Makro%20radni%20fajlovi\GRAFIKONI_MAKRO_okt21.xlsx" TargetMode="External"/></Relationships>
</file>

<file path=word/charts/_rels/chart35.xml.rels><?xml version="1.0" encoding="UTF-8" standalone="yes"?>
<Relationships xmlns="http://schemas.openxmlformats.org/package/2006/relationships"><Relationship Id="rId3" Type="http://schemas.openxmlformats.org/officeDocument/2006/relationships/themeOverride" Target="../theme/themeOverride35.xml"/><Relationship Id="rId2" Type="http://schemas.microsoft.com/office/2011/relationships/chartColorStyle" Target="colors32.xml"/><Relationship Id="rId1" Type="http://schemas.microsoft.com/office/2011/relationships/chartStyle" Target="style32.xml"/><Relationship Id="rId4" Type="http://schemas.openxmlformats.org/officeDocument/2006/relationships/oleObject" Target="file:///C:\Users\jovana.djeric\Dropbox\Makro%20sektor\FISKALNA%20STRATEGIJA%202022-2024%20-%20revidirana\Makro%20radni%20fajlovi\GRAFIKONI_MAKRO_okt21.xlsx" TargetMode="External"/></Relationships>
</file>

<file path=word/charts/_rels/chart36.xml.rels><?xml version="1.0" encoding="UTF-8" standalone="yes"?>
<Relationships xmlns="http://schemas.openxmlformats.org/package/2006/relationships"><Relationship Id="rId3" Type="http://schemas.openxmlformats.org/officeDocument/2006/relationships/themeOverride" Target="../theme/themeOverride36.xml"/><Relationship Id="rId2" Type="http://schemas.microsoft.com/office/2011/relationships/chartColorStyle" Target="colors33.xml"/><Relationship Id="rId1" Type="http://schemas.microsoft.com/office/2011/relationships/chartStyle" Target="style33.xml"/><Relationship Id="rId4" Type="http://schemas.openxmlformats.org/officeDocument/2006/relationships/oleObject" Target="file:///C:\Users\jovana.djeric\Dropbox\Makro%20sektor\FISKALNA%20STRATEGIJA%202022-2024%20-%20revidirana\Makro%20radni%20fajlovi\GRAFIKONI_MAKRO_okt21.xlsx" TargetMode="External"/></Relationships>
</file>

<file path=word/charts/_rels/chart37.xml.rels><?xml version="1.0" encoding="UTF-8" standalone="yes"?>
<Relationships xmlns="http://schemas.openxmlformats.org/package/2006/relationships"><Relationship Id="rId3" Type="http://schemas.openxmlformats.org/officeDocument/2006/relationships/themeOverride" Target="../theme/themeOverride37.xml"/><Relationship Id="rId2" Type="http://schemas.microsoft.com/office/2011/relationships/chartColorStyle" Target="colors34.xml"/><Relationship Id="rId1" Type="http://schemas.microsoft.com/office/2011/relationships/chartStyle" Target="style34.xml"/><Relationship Id="rId4" Type="http://schemas.openxmlformats.org/officeDocument/2006/relationships/oleObject" Target="file:///C:\Users\jovana.djeric\Dropbox\Makro%20sektor\FISKALNA%20STRATEGIJA%202022-2024%20-%20revidirana\Makro%20radni%20fajlovi\GRAFIKONI_MAKRO_okt21.xlsx" TargetMode="External"/></Relationships>
</file>

<file path=word/charts/_rels/chart38.xml.rels><?xml version="1.0" encoding="UTF-8" standalone="yes"?>
<Relationships xmlns="http://schemas.openxmlformats.org/package/2006/relationships"><Relationship Id="rId3" Type="http://schemas.openxmlformats.org/officeDocument/2006/relationships/themeOverride" Target="../theme/themeOverride38.xml"/><Relationship Id="rId2" Type="http://schemas.microsoft.com/office/2011/relationships/chartColorStyle" Target="colors35.xml"/><Relationship Id="rId1" Type="http://schemas.microsoft.com/office/2011/relationships/chartStyle" Target="style35.xml"/><Relationship Id="rId5" Type="http://schemas.openxmlformats.org/officeDocument/2006/relationships/chartUserShapes" Target="../drawings/drawing13.xml"/><Relationship Id="rId4" Type="http://schemas.openxmlformats.org/officeDocument/2006/relationships/oleObject" Target="file:///C:\Users\rade.ciric\Dropbox\Makro%20sektor\FISKALNA%20STRATEGIJA%202022-2024%20-%20revidirana\Makro%20radni%20fajlovi\GRAFIKONI_MAKRO_okt21.xlsx" TargetMode="External"/></Relationships>
</file>

<file path=word/charts/_rels/chart39.xml.rels><?xml version="1.0" encoding="UTF-8" standalone="yes"?>
<Relationships xmlns="http://schemas.openxmlformats.org/package/2006/relationships"><Relationship Id="rId3" Type="http://schemas.openxmlformats.org/officeDocument/2006/relationships/themeOverride" Target="../theme/themeOverride39.xml"/><Relationship Id="rId2" Type="http://schemas.microsoft.com/office/2011/relationships/chartColorStyle" Target="colors36.xml"/><Relationship Id="rId1" Type="http://schemas.microsoft.com/office/2011/relationships/chartStyle" Target="style36.xml"/><Relationship Id="rId5" Type="http://schemas.openxmlformats.org/officeDocument/2006/relationships/chartUserShapes" Target="../drawings/drawing14.xml"/><Relationship Id="rId4" Type="http://schemas.openxmlformats.org/officeDocument/2006/relationships/oleObject" Target="file:///C:\Users\rade.ciric\Dropbox\Makro%20sektor\FISKALNA%20STRATEGIJA%202022-2024%20-%20revidirana\Makro%20radni%20fajlovi\GRAFIKONI_MAKRO_okt21.xlsx" TargetMode="Externa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4.xml"/><Relationship Id="rId1" Type="http://schemas.microsoft.com/office/2011/relationships/chartStyle" Target="style4.xml"/><Relationship Id="rId5" Type="http://schemas.openxmlformats.org/officeDocument/2006/relationships/chartUserShapes" Target="../drawings/drawing2.xml"/><Relationship Id="rId4" Type="http://schemas.openxmlformats.org/officeDocument/2006/relationships/oleObject" Target="file:///C:\Users\jovana.djeric\Dropbox\Makro%20sektor\FISKALNA%20STRATEGIJA%202022-2024%20-%20revidirana\Makro%20radni%20fajlovi\GRAFIKONI_MAKRO_okt21.xlsx" TargetMode="External"/></Relationships>
</file>

<file path=word/charts/_rels/chart40.xml.rels><?xml version="1.0" encoding="UTF-8" standalone="yes"?>
<Relationships xmlns="http://schemas.openxmlformats.org/package/2006/relationships"><Relationship Id="rId3" Type="http://schemas.openxmlformats.org/officeDocument/2006/relationships/themeOverride" Target="../theme/themeOverride40.xml"/><Relationship Id="rId2" Type="http://schemas.microsoft.com/office/2011/relationships/chartColorStyle" Target="colors37.xml"/><Relationship Id="rId1" Type="http://schemas.microsoft.com/office/2011/relationships/chartStyle" Target="style37.xml"/><Relationship Id="rId5" Type="http://schemas.openxmlformats.org/officeDocument/2006/relationships/chartUserShapes" Target="../drawings/drawing15.xml"/><Relationship Id="rId4" Type="http://schemas.openxmlformats.org/officeDocument/2006/relationships/oleObject" Target="file:///C:\Users\Rade\Dropbox\Makro%20sektor\FISKALNA%20STRATEGIJA%202022-2024%20-%20revidirana\Makro%20radni%20fajlovi\GRAFIKONI_MAKRO_okt21.xlsx" TargetMode="External"/></Relationships>
</file>

<file path=word/charts/_rels/chart41.xml.rels><?xml version="1.0" encoding="UTF-8" standalone="yes"?>
<Relationships xmlns="http://schemas.openxmlformats.org/package/2006/relationships"><Relationship Id="rId3" Type="http://schemas.openxmlformats.org/officeDocument/2006/relationships/themeOverride" Target="../theme/themeOverride41.xml"/><Relationship Id="rId2" Type="http://schemas.microsoft.com/office/2011/relationships/chartColorStyle" Target="colors38.xml"/><Relationship Id="rId1" Type="http://schemas.microsoft.com/office/2011/relationships/chartStyle" Target="style38.xml"/><Relationship Id="rId5" Type="http://schemas.openxmlformats.org/officeDocument/2006/relationships/chartUserShapes" Target="../drawings/drawing16.xml"/><Relationship Id="rId4" Type="http://schemas.openxmlformats.org/officeDocument/2006/relationships/oleObject" Target="file:///C:\Users\marko.lisica\Dropbox\Makro%20sektor\FISKALNA%20STRATEGIJA%202022-2024%20-%20revidirana\Makro%20radni%20fajlovi\GRAFIKONI_MAKRO_okt21.xlsx" TargetMode="External"/></Relationships>
</file>

<file path=word/charts/_rels/chart42.xml.rels><?xml version="1.0" encoding="UTF-8" standalone="yes"?>
<Relationships xmlns="http://schemas.openxmlformats.org/package/2006/relationships"><Relationship Id="rId3" Type="http://schemas.openxmlformats.org/officeDocument/2006/relationships/themeOverride" Target="../theme/themeOverride42.xml"/><Relationship Id="rId2" Type="http://schemas.microsoft.com/office/2011/relationships/chartColorStyle" Target="colors39.xml"/><Relationship Id="rId1" Type="http://schemas.microsoft.com/office/2011/relationships/chartStyle" Target="style39.xml"/><Relationship Id="rId4" Type="http://schemas.openxmlformats.org/officeDocument/2006/relationships/oleObject" Target="file:///C:\Users\marko.lisica\Dropbox\Makro%20sektor\FISKALNA%20STRATEGIJA%202022-2024%20-%20revidirana\Makro%20radni%20fajlovi\GRAFIKONI_MAKRO_okt21.xlsx" TargetMode="External"/></Relationships>
</file>

<file path=word/charts/_rels/chart43.xml.rels><?xml version="1.0" encoding="UTF-8" standalone="yes"?>
<Relationships xmlns="http://schemas.openxmlformats.org/package/2006/relationships"><Relationship Id="rId3" Type="http://schemas.openxmlformats.org/officeDocument/2006/relationships/themeOverride" Target="../theme/themeOverride43.xml"/><Relationship Id="rId2" Type="http://schemas.microsoft.com/office/2011/relationships/chartColorStyle" Target="colors40.xml"/><Relationship Id="rId1" Type="http://schemas.microsoft.com/office/2011/relationships/chartStyle" Target="style40.xml"/><Relationship Id="rId4" Type="http://schemas.openxmlformats.org/officeDocument/2006/relationships/oleObject" Target="file:///C:\Users\marko.lisica\Dropbox\Makro%20sektor\FISKALNA%20STRATEGIJA%202022-2024%20-%20revidirana\Makro%20radni%20fajlovi\GRAFIKONI_MAKRO_okt21.xlsx" TargetMode="External"/></Relationships>
</file>

<file path=word/charts/_rels/chart44.xml.rels><?xml version="1.0" encoding="UTF-8" standalone="yes"?>
<Relationships xmlns="http://schemas.openxmlformats.org/package/2006/relationships"><Relationship Id="rId3" Type="http://schemas.openxmlformats.org/officeDocument/2006/relationships/themeOverride" Target="../theme/themeOverride44.xml"/><Relationship Id="rId2" Type="http://schemas.microsoft.com/office/2011/relationships/chartColorStyle" Target="colors41.xml"/><Relationship Id="rId1" Type="http://schemas.microsoft.com/office/2011/relationships/chartStyle" Target="style41.xml"/><Relationship Id="rId5" Type="http://schemas.openxmlformats.org/officeDocument/2006/relationships/chartUserShapes" Target="../drawings/drawing17.xml"/><Relationship Id="rId4" Type="http://schemas.openxmlformats.org/officeDocument/2006/relationships/oleObject" Target="file:///C:\Users\marko.lisica\Dropbox\Makro%20sektor\FISKALNA%20STRATEGIJA%202022-2024%20-%20revidirana\Makro%20radni%20fajlovi\GRAFIKONI_MAKRO_okt21.xlsx" TargetMode="External"/></Relationships>
</file>

<file path=word/charts/_rels/chart45.xml.rels><?xml version="1.0" encoding="UTF-8" standalone="yes"?>
<Relationships xmlns="http://schemas.openxmlformats.org/package/2006/relationships"><Relationship Id="rId3" Type="http://schemas.openxmlformats.org/officeDocument/2006/relationships/themeOverride" Target="../theme/themeOverride45.xml"/><Relationship Id="rId2" Type="http://schemas.microsoft.com/office/2011/relationships/chartColorStyle" Target="colors42.xml"/><Relationship Id="rId1" Type="http://schemas.microsoft.com/office/2011/relationships/chartStyle" Target="style42.xml"/><Relationship Id="rId4" Type="http://schemas.openxmlformats.org/officeDocument/2006/relationships/oleObject" Target="file:///C:\Users\marko.lisica\Dropbox\Makro%20sektor\FISKALNA%20STRATEGIJA%202022-2024%20-%20revidirana\Makro%20radni%20fajlovi\GRAFIKONI_MAKRO_okt21.xlsx" TargetMode="External"/></Relationships>
</file>

<file path=word/charts/_rels/chart46.xml.rels><?xml version="1.0" encoding="UTF-8" standalone="yes"?>
<Relationships xmlns="http://schemas.openxmlformats.org/package/2006/relationships"><Relationship Id="rId3" Type="http://schemas.openxmlformats.org/officeDocument/2006/relationships/themeOverride" Target="../theme/themeOverride46.xml"/><Relationship Id="rId2" Type="http://schemas.microsoft.com/office/2011/relationships/chartColorStyle" Target="colors43.xml"/><Relationship Id="rId1" Type="http://schemas.microsoft.com/office/2011/relationships/chartStyle" Target="style43.xml"/><Relationship Id="rId5" Type="http://schemas.openxmlformats.org/officeDocument/2006/relationships/chartUserShapes" Target="../drawings/drawing18.xml"/><Relationship Id="rId4" Type="http://schemas.openxmlformats.org/officeDocument/2006/relationships/oleObject" Target="file:///C:\Users\marko.lisica\Dropbox\Makro%20sektor\FISKALNA%20STRATEGIJA%202022-2024%20-%20revidirana\Makro%20radni%20fajlovi\GRAFIKONI_MAKRO_okt21.xlsx" TargetMode="External"/></Relationships>
</file>

<file path=word/charts/_rels/chart47.xml.rels><?xml version="1.0" encoding="UTF-8" standalone="yes"?>
<Relationships xmlns="http://schemas.openxmlformats.org/package/2006/relationships"><Relationship Id="rId3" Type="http://schemas.openxmlformats.org/officeDocument/2006/relationships/themeOverride" Target="../theme/themeOverride47.xml"/><Relationship Id="rId2" Type="http://schemas.microsoft.com/office/2011/relationships/chartColorStyle" Target="colors44.xml"/><Relationship Id="rId1" Type="http://schemas.microsoft.com/office/2011/relationships/chartStyle" Target="style44.xml"/><Relationship Id="rId4" Type="http://schemas.openxmlformats.org/officeDocument/2006/relationships/oleObject" Target="file:///C:\Users\milos.gligorijevic\Dropbox\Dropbox\Makro%20sektor\FISKALNA%20STRATEGIJA%202022-2024%20-%20revidirana\Makro%20radni%20fajlovi\GRAFIKONI_MAKRO_apr21.xlsx" TargetMode="External"/></Relationships>
</file>

<file path=word/charts/_rels/chart48.xml.rels><?xml version="1.0" encoding="UTF-8" standalone="yes"?>
<Relationships xmlns="http://schemas.openxmlformats.org/package/2006/relationships"><Relationship Id="rId2" Type="http://schemas.openxmlformats.org/officeDocument/2006/relationships/oleObject" Target="file:///C:\Users\milos.gligorijevic\Dropbox\Dropbox\Makro%20sektor\FISKALNA%20STRATEGIJA%202022-2024%20-%20revidirana\Makro%20radni%20fajlovi\GRAFIKONI_MAKRO_apr21.xlsx" TargetMode="External"/><Relationship Id="rId1" Type="http://schemas.openxmlformats.org/officeDocument/2006/relationships/themeOverride" Target="../theme/themeOverride48.xml"/></Relationships>
</file>

<file path=word/charts/_rels/chart49.xml.rels><?xml version="1.0" encoding="UTF-8" standalone="yes"?>
<Relationships xmlns="http://schemas.openxmlformats.org/package/2006/relationships"><Relationship Id="rId3" Type="http://schemas.openxmlformats.org/officeDocument/2006/relationships/themeOverride" Target="../theme/themeOverride49.xml"/><Relationship Id="rId2" Type="http://schemas.microsoft.com/office/2011/relationships/chartColorStyle" Target="colors45.xml"/><Relationship Id="rId1" Type="http://schemas.microsoft.com/office/2011/relationships/chartStyle" Target="style45.xml"/><Relationship Id="rId5" Type="http://schemas.openxmlformats.org/officeDocument/2006/relationships/chartUserShapes" Target="../drawings/drawing19.xml"/><Relationship Id="rId4" Type="http://schemas.openxmlformats.org/officeDocument/2006/relationships/oleObject" Target="file:///C:\Users\milos.gligorijevic\Dropbox\Dropbox\Makro%20sektor\FISKALNA%20STRATEGIJA%202022-2024%20-%20revidirana\Makro%20radni%20fajlovi\GRAFIKONI_MAKRO_okt21.xlsx" TargetMode="Externa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5.xml"/><Relationship Id="rId1" Type="http://schemas.microsoft.com/office/2011/relationships/chartStyle" Target="style5.xml"/><Relationship Id="rId5" Type="http://schemas.openxmlformats.org/officeDocument/2006/relationships/chartUserShapes" Target="../drawings/drawing3.xml"/><Relationship Id="rId4" Type="http://schemas.openxmlformats.org/officeDocument/2006/relationships/oleObject" Target="file:///C:\Users\jovana.djeric\Dropbox\Makro%20sektor\FISKALNA%20STRATEGIJA%202022-2024%20-%20revidirana\Makro%20radni%20fajlovi\GRAFIKONI_MAKRO_okt21.xlsx" TargetMode="External"/></Relationships>
</file>

<file path=word/charts/_rels/chart50.xml.rels><?xml version="1.0" encoding="UTF-8" standalone="yes"?>
<Relationships xmlns="http://schemas.openxmlformats.org/package/2006/relationships"><Relationship Id="rId3" Type="http://schemas.openxmlformats.org/officeDocument/2006/relationships/themeOverride" Target="../theme/themeOverride50.xml"/><Relationship Id="rId2" Type="http://schemas.microsoft.com/office/2011/relationships/chartColorStyle" Target="colors46.xml"/><Relationship Id="rId1" Type="http://schemas.microsoft.com/office/2011/relationships/chartStyle" Target="style46.xml"/><Relationship Id="rId5" Type="http://schemas.openxmlformats.org/officeDocument/2006/relationships/chartUserShapes" Target="../drawings/drawing20.xml"/><Relationship Id="rId4" Type="http://schemas.openxmlformats.org/officeDocument/2006/relationships/oleObject" Target="file:///C:\Users\milos.gligorijevic\Dropbox\Dropbox\Makro%20sektor\FISKALNA%20STRATEGIJA%202022-2024%20-%20revidirana\Makro%20radni%20fajlovi\GRAFIKONI_MAKRO_okt21.xlsx" TargetMode="External"/></Relationships>
</file>

<file path=word/charts/_rels/chart51.xml.rels><?xml version="1.0" encoding="UTF-8" standalone="yes"?>
<Relationships xmlns="http://schemas.openxmlformats.org/package/2006/relationships"><Relationship Id="rId2" Type="http://schemas.openxmlformats.org/officeDocument/2006/relationships/oleObject" Target="file:///C:\Users\rade.ciric\Dropbox\Makro%20sektor\FISKALNA%20STRATEGIJA%202022-2024%20-%20revidirana\Makro%20radni%20fajlovi\GRAFIKONI_MAKRO_okt21.xlsx" TargetMode="External"/><Relationship Id="rId1" Type="http://schemas.openxmlformats.org/officeDocument/2006/relationships/themeOverride" Target="../theme/themeOverride51.xml"/></Relationships>
</file>

<file path=word/charts/_rels/chart52.xml.rels><?xml version="1.0" encoding="UTF-8" standalone="yes"?>
<Relationships xmlns="http://schemas.openxmlformats.org/package/2006/relationships"><Relationship Id="rId3" Type="http://schemas.openxmlformats.org/officeDocument/2006/relationships/oleObject" Target="file:///C:\Users\vladimir.malbasic\Desktop\Za%20bazu-%20GFS,%20SS%20bs%20,%20MMF%20table\GFS%20CONSOLIDATION_za%20analizu%20radni%20fajl-2080mq1.xlsx" TargetMode="External"/><Relationship Id="rId2" Type="http://schemas.microsoft.com/office/2011/relationships/chartColorStyle" Target="colors47.xml"/><Relationship Id="rId1" Type="http://schemas.microsoft.com/office/2011/relationships/chartStyle" Target="style47.xml"/></Relationships>
</file>

<file path=word/charts/_rels/chart53.xml.rels><?xml version="1.0" encoding="UTF-8" standalone="yes"?>
<Relationships xmlns="http://schemas.openxmlformats.org/package/2006/relationships"><Relationship Id="rId3" Type="http://schemas.openxmlformats.org/officeDocument/2006/relationships/themeOverride" Target="../theme/themeOverride52.xml"/><Relationship Id="rId2" Type="http://schemas.microsoft.com/office/2011/relationships/chartColorStyle" Target="colors48.xml"/><Relationship Id="rId1" Type="http://schemas.microsoft.com/office/2011/relationships/chartStyle" Target="style48.xml"/><Relationship Id="rId4" Type="http://schemas.openxmlformats.org/officeDocument/2006/relationships/package" Target="../embeddings/Microsoft_Excel_Worksheet.xlsx"/></Relationships>
</file>

<file path=word/charts/_rels/chart54.xml.rels><?xml version="1.0" encoding="UTF-8" standalone="yes"?>
<Relationships xmlns="http://schemas.openxmlformats.org/package/2006/relationships"><Relationship Id="rId3" Type="http://schemas.openxmlformats.org/officeDocument/2006/relationships/themeOverride" Target="../theme/themeOverride53.xml"/><Relationship Id="rId2" Type="http://schemas.microsoft.com/office/2011/relationships/chartColorStyle" Target="colors49.xml"/><Relationship Id="rId1" Type="http://schemas.microsoft.com/office/2011/relationships/chartStyle" Target="style49.xml"/><Relationship Id="rId5" Type="http://schemas.openxmlformats.org/officeDocument/2006/relationships/chartUserShapes" Target="../drawings/drawing21.xml"/><Relationship Id="rId4" Type="http://schemas.openxmlformats.org/officeDocument/2006/relationships/oleObject" Target="file:///C:\Users\valentina.osmajlic\Dropbox\Makro%20sektor\FISKALNA%20STRATEGIJA%202022-2024\Fiskal%20radni%20fajlovi\S0%202020.xlsx" TargetMode="External"/></Relationships>
</file>

<file path=word/charts/_rels/chart55.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50.xml"/><Relationship Id="rId1" Type="http://schemas.microsoft.com/office/2011/relationships/chartStyle" Target="style50.xml"/><Relationship Id="rId4" Type="http://schemas.openxmlformats.org/officeDocument/2006/relationships/chartUserShapes" Target="../drawings/drawing22.xml"/></Relationships>
</file>

<file path=word/charts/_rels/chart56.xml.rels><?xml version="1.0" encoding="UTF-8" standalone="yes"?>
<Relationships xmlns="http://schemas.openxmlformats.org/package/2006/relationships"><Relationship Id="rId3" Type="http://schemas.openxmlformats.org/officeDocument/2006/relationships/chartUserShapes" Target="../drawings/drawing23.xml"/><Relationship Id="rId2" Type="http://schemas.openxmlformats.org/officeDocument/2006/relationships/oleObject" Target="file:///C:\Users\jancic\Dropbox\Makro%20sektor\FISKALNA%20STRATEGIJA%202022-2024%20-%20revidirana\Fiskal%20radni%20fajlovi\ognjen\za%20grafikone%20def,dug%20baseline%20i%20sa%20merama.xlsx" TargetMode="External"/><Relationship Id="rId1" Type="http://schemas.openxmlformats.org/officeDocument/2006/relationships/themeOverride" Target="../theme/themeOverride54.xml"/></Relationships>
</file>

<file path=word/charts/_rels/chart57.xml.rels><?xml version="1.0" encoding="UTF-8" standalone="yes"?>
<Relationships xmlns="http://schemas.openxmlformats.org/package/2006/relationships"><Relationship Id="rId3" Type="http://schemas.openxmlformats.org/officeDocument/2006/relationships/oleObject" Target="file:///C:\Users\vladimir.malbasic\Dropbox\Makro%20sektor\FISKALNA%20STRATEGIJA%202022-2024%20-%20revidirana\Fiskal%20radni%20fajlovi\Grafikoni%20ciklicnog%20deficita,%20poreske%20elasticnosti%20i%20osetljivost%20balansa%20april%202021.xlsx" TargetMode="External"/><Relationship Id="rId2" Type="http://schemas.microsoft.com/office/2011/relationships/chartColorStyle" Target="colors51.xml"/><Relationship Id="rId1" Type="http://schemas.microsoft.com/office/2011/relationships/chartStyle" Target="style51.xml"/><Relationship Id="rId4" Type="http://schemas.openxmlformats.org/officeDocument/2006/relationships/chartUserShapes" Target="../drawings/drawing24.xml"/></Relationships>
</file>

<file path=word/charts/_rels/chart58.xml.rels><?xml version="1.0" encoding="UTF-8" standalone="yes"?>
<Relationships xmlns="http://schemas.openxmlformats.org/package/2006/relationships"><Relationship Id="rId3" Type="http://schemas.openxmlformats.org/officeDocument/2006/relationships/oleObject" Target="file:///C:\Users\vladimir.malbasic\Dropbox\Makro%20sektor\FISKALNA%20STRATEGIJA%202022-2024%20-%20revidirana\Fiskal%20radni%20fajlovi\Grafikoni%20ciklicnog%20deficita,%20poreske%20elasticnosti%20i%20osetljivost%20balansa%20april%202021.xlsx" TargetMode="External"/><Relationship Id="rId2" Type="http://schemas.microsoft.com/office/2011/relationships/chartColorStyle" Target="colors52.xml"/><Relationship Id="rId1" Type="http://schemas.microsoft.com/office/2011/relationships/chartStyle" Target="style52.xml"/><Relationship Id="rId4" Type="http://schemas.openxmlformats.org/officeDocument/2006/relationships/chartUserShapes" Target="../drawings/drawing25.xml"/></Relationships>
</file>

<file path=word/charts/_rels/chart59.xml.rels><?xml version="1.0" encoding="UTF-8" standalone="yes"?>
<Relationships xmlns="http://schemas.openxmlformats.org/package/2006/relationships"><Relationship Id="rId3" Type="http://schemas.openxmlformats.org/officeDocument/2006/relationships/themeOverride" Target="../theme/themeOverride55.xml"/><Relationship Id="rId2" Type="http://schemas.microsoft.com/office/2011/relationships/chartColorStyle" Target="colors53.xml"/><Relationship Id="rId1" Type="http://schemas.microsoft.com/office/2011/relationships/chartStyle" Target="style53.xml"/><Relationship Id="rId5" Type="http://schemas.openxmlformats.org/officeDocument/2006/relationships/chartUserShapes" Target="../drawings/drawing26.xml"/><Relationship Id="rId4" Type="http://schemas.openxmlformats.org/officeDocument/2006/relationships/oleObject" Target="file:///C:\Users\vladimir.malbasic\Dropbox\Makro%20sektor\FISKALNA%20STRATEGIJA%202022-2024%20-%20revidirana\Fiskal%20radni%20fajlovi\Grafikoni%20ciklicnog%20deficita,%20poreske%20elasticnosti%20i%20osetljivost%20balansa%20april%202021.xlsx" TargetMode="External"/></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6.xml"/><Relationship Id="rId1" Type="http://schemas.microsoft.com/office/2011/relationships/chartStyle" Target="style6.xml"/><Relationship Id="rId5" Type="http://schemas.openxmlformats.org/officeDocument/2006/relationships/chartUserShapes" Target="../drawings/drawing4.xml"/><Relationship Id="rId4" Type="http://schemas.openxmlformats.org/officeDocument/2006/relationships/oleObject" Target="file:///C:\Users\jovana.djeric\Dropbox\Makro%20sektor\FISKALNA%20STRATEGIJA%202022-2024%20-%20revidirana\Makro%20radni%20fajlovi\GRAFIKONI_MAKRO_okt21.xlsx" TargetMode="External"/></Relationships>
</file>

<file path=word/charts/_rels/chart60.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54.xml"/><Relationship Id="rId1" Type="http://schemas.microsoft.com/office/2011/relationships/chartStyle" Target="style54.xml"/></Relationships>
</file>

<file path=word/charts/_rels/chart61.xml.rels><?xml version="1.0" encoding="UTF-8" standalone="yes"?>
<Relationships xmlns="http://schemas.openxmlformats.org/package/2006/relationships"><Relationship Id="rId3" Type="http://schemas.openxmlformats.org/officeDocument/2006/relationships/oleObject" Target="file:///C:\Users\vladimir.malbasic\Desktop\Za%20bazu-%20GFS,%20SS%20bs%20,%20MMF%20table\GFS%20CONSOLIDATION_za%20analizu%20radni%20fajl-2080mq1.xlsx" TargetMode="External"/><Relationship Id="rId2" Type="http://schemas.microsoft.com/office/2011/relationships/chartColorStyle" Target="colors55.xml"/><Relationship Id="rId1" Type="http://schemas.microsoft.com/office/2011/relationships/chartStyle" Target="style55.xml"/></Relationships>
</file>

<file path=word/charts/_rels/chart62.xml.rels><?xml version="1.0" encoding="UTF-8" standalone="yes"?>
<Relationships xmlns="http://schemas.openxmlformats.org/package/2006/relationships"><Relationship Id="rId3" Type="http://schemas.openxmlformats.org/officeDocument/2006/relationships/oleObject" Target="file:///C:\Users\vladimir.malbasic\Dropbox\Makro%20sektor\FISKALNA%20STRATEGIJA%202022-2024%20-%20revidirana\Fiskal%20radni%20fajlovi\Scenarija%20javni%20dug%20fiskalno%20prilagodjavanje.xlsx" TargetMode="External"/><Relationship Id="rId2" Type="http://schemas.microsoft.com/office/2011/relationships/chartColorStyle" Target="colors56.xml"/><Relationship Id="rId1" Type="http://schemas.microsoft.com/office/2011/relationships/chartStyle" Target="style56.xml"/><Relationship Id="rId4" Type="http://schemas.openxmlformats.org/officeDocument/2006/relationships/chartUserShapes" Target="../drawings/drawing27.xml"/></Relationships>
</file>

<file path=word/charts/_rels/chart63.xml.rels><?xml version="1.0" encoding="UTF-8" standalone="yes"?>
<Relationships xmlns="http://schemas.openxmlformats.org/package/2006/relationships"><Relationship Id="rId2" Type="http://schemas.openxmlformats.org/officeDocument/2006/relationships/package" Target="../embeddings/Microsoft_Excel_Worksheet3.xlsx"/><Relationship Id="rId1" Type="http://schemas.openxmlformats.org/officeDocument/2006/relationships/themeOverride" Target="../theme/themeOverride56.xml"/></Relationships>
</file>

<file path=word/charts/_rels/chart64.xml.rels><?xml version="1.0" encoding="UTF-8" standalone="yes"?>
<Relationships xmlns="http://schemas.openxmlformats.org/package/2006/relationships"><Relationship Id="rId2" Type="http://schemas.openxmlformats.org/officeDocument/2006/relationships/package" Target="../embeddings/Microsoft_Excel_Worksheet4.xlsx"/><Relationship Id="rId1" Type="http://schemas.openxmlformats.org/officeDocument/2006/relationships/themeOverride" Target="../theme/themeOverride57.xml"/></Relationships>
</file>

<file path=word/charts/_rels/chart65.xml.rels><?xml version="1.0" encoding="UTF-8" standalone="yes"?>
<Relationships xmlns="http://schemas.openxmlformats.org/package/2006/relationships"><Relationship Id="rId2" Type="http://schemas.openxmlformats.org/officeDocument/2006/relationships/package" Target="../embeddings/Microsoft_Excel_Worksheet5.xlsx"/><Relationship Id="rId1" Type="http://schemas.openxmlformats.org/officeDocument/2006/relationships/themeOverride" Target="../theme/themeOverride58.xml"/></Relationships>
</file>

<file path=word/charts/_rels/chart66.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67.xml.rels><?xml version="1.0" encoding="UTF-8" standalone="yes"?>
<Relationships xmlns="http://schemas.openxmlformats.org/package/2006/relationships"><Relationship Id="rId2" Type="http://schemas.openxmlformats.org/officeDocument/2006/relationships/package" Target="../embeddings/Microsoft_Excel_Worksheet7.xlsx"/><Relationship Id="rId1" Type="http://schemas.openxmlformats.org/officeDocument/2006/relationships/themeOverride" Target="../theme/themeOverride59.xml"/></Relationships>
</file>

<file path=word/charts/_rels/chart68.xml.rels><?xml version="1.0" encoding="UTF-8" standalone="yes"?>
<Relationships xmlns="http://schemas.openxmlformats.org/package/2006/relationships"><Relationship Id="rId1" Type="http://schemas.openxmlformats.org/officeDocument/2006/relationships/package" Target="../embeddings/Microsoft_Excel_Worksheet8.xlsx"/></Relationships>
</file>

<file path=word/charts/_rels/chart69.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themeOverride" Target="../theme/themeOverride60.xml"/></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7.xml"/><Relationship Id="rId1" Type="http://schemas.microsoft.com/office/2011/relationships/chartStyle" Target="style7.xml"/><Relationship Id="rId5" Type="http://schemas.openxmlformats.org/officeDocument/2006/relationships/chartUserShapes" Target="../drawings/drawing5.xml"/><Relationship Id="rId4" Type="http://schemas.openxmlformats.org/officeDocument/2006/relationships/oleObject" Target="file:///C:\Users\jovana.djeric\Dropbox\Makro%20sektor\FISKALNA%20STRATEGIJA%202022-2024%20-%20revidirana\Makro%20radni%20fajlovi\GRAFIKONI_MAKRO_okt21.xlsx" TargetMode="External"/></Relationships>
</file>

<file path=word/charts/_rels/chart70.xml.rels><?xml version="1.0" encoding="UTF-8" standalone="yes"?>
<Relationships xmlns="http://schemas.openxmlformats.org/package/2006/relationships"><Relationship Id="rId1" Type="http://schemas.openxmlformats.org/officeDocument/2006/relationships/package" Target="../embeddings/Microsoft_Excel_Worksheet9.xlsx"/></Relationships>
</file>

<file path=word/charts/_rels/chart71.xml.rels><?xml version="1.0" encoding="UTF-8" standalone="yes"?>
<Relationships xmlns="http://schemas.openxmlformats.org/package/2006/relationships"><Relationship Id="rId1" Type="http://schemas.openxmlformats.org/officeDocument/2006/relationships/package" Target="../embeddings/Microsoft_Excel_Worksheet10.xlsx"/></Relationships>
</file>

<file path=word/charts/_rels/chart72.xml.rels><?xml version="1.0" encoding="UTF-8" standalone="yes"?>
<Relationships xmlns="http://schemas.openxmlformats.org/package/2006/relationships"><Relationship Id="rId2" Type="http://schemas.openxmlformats.org/officeDocument/2006/relationships/oleObject" Target="../embeddings/oleObject2.bin"/><Relationship Id="rId1" Type="http://schemas.openxmlformats.org/officeDocument/2006/relationships/themeOverride" Target="../theme/themeOverride61.xml"/></Relationships>
</file>

<file path=word/charts/_rels/chart73.xml.rels><?xml version="1.0" encoding="UTF-8" standalone="yes"?>
<Relationships xmlns="http://schemas.openxmlformats.org/package/2006/relationships"><Relationship Id="rId2" Type="http://schemas.openxmlformats.org/officeDocument/2006/relationships/package" Target="../embeddings/Microsoft_Excel_Worksheet11.xlsx"/><Relationship Id="rId1" Type="http://schemas.openxmlformats.org/officeDocument/2006/relationships/themeOverride" Target="../theme/themeOverride62.xml"/></Relationships>
</file>

<file path=word/charts/_rels/chart74.xml.rels><?xml version="1.0" encoding="UTF-8" standalone="yes"?>
<Relationships xmlns="http://schemas.openxmlformats.org/package/2006/relationships"><Relationship Id="rId1" Type="http://schemas.openxmlformats.org/officeDocument/2006/relationships/package" Target="../embeddings/Microsoft_Excel_Worksheet12.xlsx"/></Relationships>
</file>

<file path=word/charts/_rels/chart75.xml.rels><?xml version="1.0" encoding="UTF-8" standalone="yes"?>
<Relationships xmlns="http://schemas.openxmlformats.org/package/2006/relationships"><Relationship Id="rId3" Type="http://schemas.openxmlformats.org/officeDocument/2006/relationships/oleObject" Target="file:///C:\Users\Oliver\Desktop\STRATEGIJA%202022-2024\STRAT2022-2024.xlsx" TargetMode="External"/><Relationship Id="rId2" Type="http://schemas.microsoft.com/office/2011/relationships/chartColorStyle" Target="colors57.xml"/><Relationship Id="rId1" Type="http://schemas.microsoft.com/office/2011/relationships/chartStyle" Target="style57.xml"/></Relationships>
</file>

<file path=word/charts/_rels/chart76.xml.rels><?xml version="1.0" encoding="UTF-8" standalone="yes"?>
<Relationships xmlns="http://schemas.openxmlformats.org/package/2006/relationships"><Relationship Id="rId2" Type="http://schemas.openxmlformats.org/officeDocument/2006/relationships/package" Target="../embeddings/Microsoft_Excel_Worksheet13.xlsx"/><Relationship Id="rId1" Type="http://schemas.openxmlformats.org/officeDocument/2006/relationships/themeOverride" Target="../theme/themeOverride63.xml"/></Relationships>
</file>

<file path=word/charts/_rels/chart77.xml.rels><?xml version="1.0" encoding="UTF-8" standalone="yes"?>
<Relationships xmlns="http://schemas.openxmlformats.org/package/2006/relationships"><Relationship Id="rId3" Type="http://schemas.openxmlformats.org/officeDocument/2006/relationships/package" Target="../embeddings/Microsoft_Excel_Worksheet14.xlsx"/><Relationship Id="rId2" Type="http://schemas.microsoft.com/office/2011/relationships/chartColorStyle" Target="colors58.xml"/><Relationship Id="rId1" Type="http://schemas.microsoft.com/office/2011/relationships/chartStyle" Target="style58.xml"/></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8.xml"/><Relationship Id="rId1" Type="http://schemas.microsoft.com/office/2011/relationships/chartStyle" Target="style8.xml"/><Relationship Id="rId5" Type="http://schemas.openxmlformats.org/officeDocument/2006/relationships/chartUserShapes" Target="../drawings/drawing6.xml"/><Relationship Id="rId4" Type="http://schemas.openxmlformats.org/officeDocument/2006/relationships/oleObject" Target="file:///C:\Users\jovana.djeric\Dropbox\Makro%20sektor\FISKALNA%20STRATEGIJA%202022-2024%20-%20revidirana\Makro%20radni%20fajlovi\GRAFIKONI_MAKRO_okt21.xlsx" TargetMode="External"/></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9.xml"/><Relationship Id="rId2" Type="http://schemas.microsoft.com/office/2011/relationships/chartColorStyle" Target="colors9.xml"/><Relationship Id="rId1" Type="http://schemas.microsoft.com/office/2011/relationships/chartStyle" Target="style9.xml"/><Relationship Id="rId5" Type="http://schemas.openxmlformats.org/officeDocument/2006/relationships/chartUserShapes" Target="../drawings/drawing7.xml"/><Relationship Id="rId4" Type="http://schemas.openxmlformats.org/officeDocument/2006/relationships/oleObject" Target="file:///C:\Users\jovana.djeric\Dropbox\Makro%20sektor\FISKALNA%20STRATEGIJA%202022-2024%20-%20revidirana\Makro%20radni%20fajlovi\GRAFIKONI_MAKRO_okt21.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6.5979221347331585E-2"/>
          <c:y val="5.0925925925925923E-2"/>
          <c:w val="0.91179855643044616"/>
          <c:h val="0.55948245614035086"/>
        </c:manualLayout>
      </c:layout>
      <c:barChart>
        <c:barDir val="col"/>
        <c:grouping val="stacked"/>
        <c:varyColors val="0"/>
        <c:ser>
          <c:idx val="0"/>
          <c:order val="0"/>
          <c:tx>
            <c:strRef>
              <c:f>'WEO_ekon. rast'!$B$25</c:f>
              <c:strCache>
                <c:ptCount val="1"/>
                <c:pt idx="0">
                  <c:v>Развијене економије искључујући САД и ЕУ</c:v>
                </c:pt>
              </c:strCache>
            </c:strRef>
          </c:tx>
          <c:spPr>
            <a:solidFill>
              <a:srgbClr val="10103C"/>
            </a:solidFill>
            <a:ln>
              <a:noFill/>
            </a:ln>
            <a:effectLst/>
          </c:spPr>
          <c:invertIfNegative val="0"/>
          <c:cat>
            <c:numRef>
              <c:f>'WEO_ekon. rast'!$F$24:$L$24</c:f>
              <c:numCache>
                <c:formatCode>General</c:formatCode>
                <c:ptCount val="7"/>
                <c:pt idx="0">
                  <c:v>2018</c:v>
                </c:pt>
                <c:pt idx="1">
                  <c:v>2019</c:v>
                </c:pt>
                <c:pt idx="2">
                  <c:v>2020</c:v>
                </c:pt>
                <c:pt idx="3">
                  <c:v>2021</c:v>
                </c:pt>
                <c:pt idx="4">
                  <c:v>2022</c:v>
                </c:pt>
                <c:pt idx="5">
                  <c:v>2023</c:v>
                </c:pt>
                <c:pt idx="6">
                  <c:v>2024</c:v>
                </c:pt>
              </c:numCache>
            </c:numRef>
          </c:cat>
          <c:val>
            <c:numRef>
              <c:f>'WEO_ekon. rast'!$F$25:$L$25</c:f>
              <c:numCache>
                <c:formatCode>0.00</c:formatCode>
                <c:ptCount val="7"/>
                <c:pt idx="0">
                  <c:v>0.16401063999999982</c:v>
                </c:pt>
                <c:pt idx="1">
                  <c:v>8.6354559999999969E-2</c:v>
                </c:pt>
                <c:pt idx="2">
                  <c:v>-0.50720333000000029</c:v>
                </c:pt>
                <c:pt idx="3">
                  <c:v>0.48926680000000022</c:v>
                </c:pt>
                <c:pt idx="4">
                  <c:v>0.42279206000000003</c:v>
                </c:pt>
                <c:pt idx="5">
                  <c:v>0.22229697000000009</c:v>
                </c:pt>
                <c:pt idx="6">
                  <c:v>0.16846360999999999</c:v>
                </c:pt>
              </c:numCache>
            </c:numRef>
          </c:val>
          <c:extLst>
            <c:ext xmlns:c16="http://schemas.microsoft.com/office/drawing/2014/chart" uri="{C3380CC4-5D6E-409C-BE32-E72D297353CC}">
              <c16:uniqueId val="{00000000-B10B-4122-A2C4-B5662F59BEE3}"/>
            </c:ext>
          </c:extLst>
        </c:ser>
        <c:ser>
          <c:idx val="1"/>
          <c:order val="1"/>
          <c:tx>
            <c:strRef>
              <c:f>'WEO_ekon. rast'!$B$26</c:f>
              <c:strCache>
                <c:ptCount val="1"/>
                <c:pt idx="0">
                  <c:v>САД</c:v>
                </c:pt>
              </c:strCache>
            </c:strRef>
          </c:tx>
          <c:spPr>
            <a:solidFill>
              <a:srgbClr val="2A489A"/>
            </a:solidFill>
            <a:ln>
              <a:noFill/>
            </a:ln>
            <a:effectLst/>
          </c:spPr>
          <c:invertIfNegative val="0"/>
          <c:cat>
            <c:numRef>
              <c:f>'WEO_ekon. rast'!$F$24:$L$24</c:f>
              <c:numCache>
                <c:formatCode>General</c:formatCode>
                <c:ptCount val="7"/>
                <c:pt idx="0">
                  <c:v>2018</c:v>
                </c:pt>
                <c:pt idx="1">
                  <c:v>2019</c:v>
                </c:pt>
                <c:pt idx="2">
                  <c:v>2020</c:v>
                </c:pt>
                <c:pt idx="3">
                  <c:v>2021</c:v>
                </c:pt>
                <c:pt idx="4">
                  <c:v>2022</c:v>
                </c:pt>
                <c:pt idx="5">
                  <c:v>2023</c:v>
                </c:pt>
                <c:pt idx="6">
                  <c:v>2024</c:v>
                </c:pt>
              </c:numCache>
            </c:numRef>
          </c:cat>
          <c:val>
            <c:numRef>
              <c:f>'WEO_ekon. rast'!$F$26:$L$26</c:f>
              <c:numCache>
                <c:formatCode>0.00</c:formatCode>
                <c:ptCount val="7"/>
                <c:pt idx="0">
                  <c:v>0.46450047</c:v>
                </c:pt>
                <c:pt idx="1">
                  <c:v>0.36260049</c:v>
                </c:pt>
                <c:pt idx="2">
                  <c:v>-0.53904554999999998</c:v>
                </c:pt>
                <c:pt idx="3">
                  <c:v>0.94731779999999999</c:v>
                </c:pt>
                <c:pt idx="4">
                  <c:v>0.82710576000000013</c:v>
                </c:pt>
                <c:pt idx="5">
                  <c:v>0.34136624999999993</c:v>
                </c:pt>
                <c:pt idx="6">
                  <c:v>0.26259899999999997</c:v>
                </c:pt>
              </c:numCache>
            </c:numRef>
          </c:val>
          <c:extLst>
            <c:ext xmlns:c16="http://schemas.microsoft.com/office/drawing/2014/chart" uri="{C3380CC4-5D6E-409C-BE32-E72D297353CC}">
              <c16:uniqueId val="{00000001-B10B-4122-A2C4-B5662F59BEE3}"/>
            </c:ext>
          </c:extLst>
        </c:ser>
        <c:ser>
          <c:idx val="2"/>
          <c:order val="2"/>
          <c:tx>
            <c:strRef>
              <c:f>'WEO_ekon. rast'!$B$27</c:f>
              <c:strCache>
                <c:ptCount val="1"/>
                <c:pt idx="0">
                  <c:v>ЕУ</c:v>
                </c:pt>
              </c:strCache>
            </c:strRef>
          </c:tx>
          <c:spPr>
            <a:solidFill>
              <a:srgbClr val="2183C4"/>
            </a:solidFill>
            <a:ln>
              <a:noFill/>
            </a:ln>
            <a:effectLst/>
          </c:spPr>
          <c:invertIfNegative val="0"/>
          <c:cat>
            <c:numRef>
              <c:f>'WEO_ekon. rast'!$F$24:$L$24</c:f>
              <c:numCache>
                <c:formatCode>General</c:formatCode>
                <c:ptCount val="7"/>
                <c:pt idx="0">
                  <c:v>2018</c:v>
                </c:pt>
                <c:pt idx="1">
                  <c:v>2019</c:v>
                </c:pt>
                <c:pt idx="2">
                  <c:v>2020</c:v>
                </c:pt>
                <c:pt idx="3">
                  <c:v>2021</c:v>
                </c:pt>
                <c:pt idx="4">
                  <c:v>2022</c:v>
                </c:pt>
                <c:pt idx="5">
                  <c:v>2023</c:v>
                </c:pt>
                <c:pt idx="6">
                  <c:v>2024</c:v>
                </c:pt>
              </c:numCache>
            </c:numRef>
          </c:cat>
          <c:val>
            <c:numRef>
              <c:f>'WEO_ekon. rast'!$F$27:$L$27</c:f>
              <c:numCache>
                <c:formatCode>0.00</c:formatCode>
                <c:ptCount val="7"/>
                <c:pt idx="0">
                  <c:v>0.35002110000000003</c:v>
                </c:pt>
                <c:pt idx="1">
                  <c:v>0.29951054999999999</c:v>
                </c:pt>
                <c:pt idx="2">
                  <c:v>-0.88055662000000001</c:v>
                </c:pt>
                <c:pt idx="3">
                  <c:v>0.75907555999999998</c:v>
                </c:pt>
                <c:pt idx="4">
                  <c:v>0.65806737999999998</c:v>
                </c:pt>
                <c:pt idx="5">
                  <c:v>0.33551175999999999</c:v>
                </c:pt>
                <c:pt idx="6">
                  <c:v>0.27104575000000003</c:v>
                </c:pt>
              </c:numCache>
            </c:numRef>
          </c:val>
          <c:extLst>
            <c:ext xmlns:c16="http://schemas.microsoft.com/office/drawing/2014/chart" uri="{C3380CC4-5D6E-409C-BE32-E72D297353CC}">
              <c16:uniqueId val="{00000002-B10B-4122-A2C4-B5662F59BEE3}"/>
            </c:ext>
          </c:extLst>
        </c:ser>
        <c:ser>
          <c:idx val="3"/>
          <c:order val="3"/>
          <c:tx>
            <c:strRef>
              <c:f>'WEO_ekon. rast'!$B$28</c:f>
              <c:strCache>
                <c:ptCount val="1"/>
                <c:pt idx="0">
                  <c:v>Земље у успону Азијског континента без Кине</c:v>
                </c:pt>
              </c:strCache>
            </c:strRef>
          </c:tx>
          <c:spPr>
            <a:solidFill>
              <a:srgbClr val="51BBE7"/>
            </a:solidFill>
            <a:ln>
              <a:noFill/>
            </a:ln>
            <a:effectLst/>
          </c:spPr>
          <c:invertIfNegative val="0"/>
          <c:cat>
            <c:numRef>
              <c:f>'WEO_ekon. rast'!$F$24:$L$24</c:f>
              <c:numCache>
                <c:formatCode>General</c:formatCode>
                <c:ptCount val="7"/>
                <c:pt idx="0">
                  <c:v>2018</c:v>
                </c:pt>
                <c:pt idx="1">
                  <c:v>2019</c:v>
                </c:pt>
                <c:pt idx="2">
                  <c:v>2020</c:v>
                </c:pt>
                <c:pt idx="3">
                  <c:v>2021</c:v>
                </c:pt>
                <c:pt idx="4">
                  <c:v>2022</c:v>
                </c:pt>
                <c:pt idx="5">
                  <c:v>2023</c:v>
                </c:pt>
                <c:pt idx="6">
                  <c:v>2024</c:v>
                </c:pt>
              </c:numCache>
            </c:numRef>
          </c:cat>
          <c:val>
            <c:numRef>
              <c:f>'WEO_ekon. rast'!$F$28:$L$28</c:f>
              <c:numCache>
                <c:formatCode>0.00</c:formatCode>
                <c:ptCount val="7"/>
                <c:pt idx="0">
                  <c:v>0.84005131999999993</c:v>
                </c:pt>
                <c:pt idx="1">
                  <c:v>0.65476385000000015</c:v>
                </c:pt>
                <c:pt idx="2">
                  <c:v>-0.70269959999999998</c:v>
                </c:pt>
                <c:pt idx="3">
                  <c:v>0.85268783000000048</c:v>
                </c:pt>
                <c:pt idx="4">
                  <c:v>1.0303385899999997</c:v>
                </c:pt>
                <c:pt idx="5">
                  <c:v>0.91555737000000015</c:v>
                </c:pt>
                <c:pt idx="6">
                  <c:v>0.89040841999999976</c:v>
                </c:pt>
              </c:numCache>
            </c:numRef>
          </c:val>
          <c:extLst>
            <c:ext xmlns:c16="http://schemas.microsoft.com/office/drawing/2014/chart" uri="{C3380CC4-5D6E-409C-BE32-E72D297353CC}">
              <c16:uniqueId val="{00000003-B10B-4122-A2C4-B5662F59BEE3}"/>
            </c:ext>
          </c:extLst>
        </c:ser>
        <c:ser>
          <c:idx val="4"/>
          <c:order val="4"/>
          <c:tx>
            <c:strRef>
              <c:f>'WEO_ekon. rast'!$B$29</c:f>
              <c:strCache>
                <c:ptCount val="1"/>
                <c:pt idx="0">
                  <c:v>Кина</c:v>
                </c:pt>
              </c:strCache>
            </c:strRef>
          </c:tx>
          <c:spPr>
            <a:solidFill>
              <a:srgbClr val="90CAE2"/>
            </a:solidFill>
            <a:ln>
              <a:noFill/>
            </a:ln>
            <a:effectLst/>
          </c:spPr>
          <c:invertIfNegative val="0"/>
          <c:cat>
            <c:numRef>
              <c:f>'WEO_ekon. rast'!$F$24:$L$24</c:f>
              <c:numCache>
                <c:formatCode>General</c:formatCode>
                <c:ptCount val="7"/>
                <c:pt idx="0">
                  <c:v>2018</c:v>
                </c:pt>
                <c:pt idx="1">
                  <c:v>2019</c:v>
                </c:pt>
                <c:pt idx="2">
                  <c:v>2020</c:v>
                </c:pt>
                <c:pt idx="3">
                  <c:v>2021</c:v>
                </c:pt>
                <c:pt idx="4">
                  <c:v>2022</c:v>
                </c:pt>
                <c:pt idx="5">
                  <c:v>2023</c:v>
                </c:pt>
                <c:pt idx="6">
                  <c:v>2024</c:v>
                </c:pt>
              </c:numCache>
            </c:numRef>
          </c:cat>
          <c:val>
            <c:numRef>
              <c:f>'WEO_ekon. rast'!$F$29:$L$29</c:f>
              <c:numCache>
                <c:formatCode>0.00</c:formatCode>
                <c:ptCount val="7"/>
                <c:pt idx="0">
                  <c:v>1.1333578800000002</c:v>
                </c:pt>
                <c:pt idx="1">
                  <c:v>1.03023712</c:v>
                </c:pt>
                <c:pt idx="2">
                  <c:v>0.42928860000000002</c:v>
                </c:pt>
                <c:pt idx="3">
                  <c:v>1.5001675499999998</c:v>
                </c:pt>
                <c:pt idx="4">
                  <c:v>1.0559770000000002</c:v>
                </c:pt>
                <c:pt idx="5">
                  <c:v>1.0110204299999999</c:v>
                </c:pt>
                <c:pt idx="6">
                  <c:v>1.0238995799999999</c:v>
                </c:pt>
              </c:numCache>
            </c:numRef>
          </c:val>
          <c:extLst>
            <c:ext xmlns:c16="http://schemas.microsoft.com/office/drawing/2014/chart" uri="{C3380CC4-5D6E-409C-BE32-E72D297353CC}">
              <c16:uniqueId val="{00000004-B10B-4122-A2C4-B5662F59BEE3}"/>
            </c:ext>
          </c:extLst>
        </c:ser>
        <c:ser>
          <c:idx val="5"/>
          <c:order val="5"/>
          <c:tx>
            <c:strRef>
              <c:f>'WEO_ekon. rast'!$B$30</c:f>
              <c:strCache>
                <c:ptCount val="1"/>
                <c:pt idx="0">
                  <c:v>Остале земље у успону</c:v>
                </c:pt>
              </c:strCache>
            </c:strRef>
          </c:tx>
          <c:spPr>
            <a:solidFill>
              <a:srgbClr val="C9E4EB"/>
            </a:solidFill>
            <a:ln>
              <a:noFill/>
            </a:ln>
            <a:effectLst/>
          </c:spPr>
          <c:invertIfNegative val="0"/>
          <c:cat>
            <c:numRef>
              <c:f>'WEO_ekon. rast'!$F$24:$L$24</c:f>
              <c:numCache>
                <c:formatCode>General</c:formatCode>
                <c:ptCount val="7"/>
                <c:pt idx="0">
                  <c:v>2018</c:v>
                </c:pt>
                <c:pt idx="1">
                  <c:v>2019</c:v>
                </c:pt>
                <c:pt idx="2">
                  <c:v>2020</c:v>
                </c:pt>
                <c:pt idx="3">
                  <c:v>2021</c:v>
                </c:pt>
                <c:pt idx="4">
                  <c:v>2022</c:v>
                </c:pt>
                <c:pt idx="5">
                  <c:v>2023</c:v>
                </c:pt>
                <c:pt idx="6">
                  <c:v>2024</c:v>
                </c:pt>
              </c:numCache>
            </c:numRef>
          </c:cat>
          <c:val>
            <c:numRef>
              <c:f>'WEO_ekon. rast'!$F$30:$L$30</c:f>
              <c:numCache>
                <c:formatCode>0.00</c:formatCode>
                <c:ptCount val="7"/>
                <c:pt idx="0">
                  <c:v>0.61705859000000007</c:v>
                </c:pt>
                <c:pt idx="1">
                  <c:v>0.40253342999999964</c:v>
                </c:pt>
                <c:pt idx="2">
                  <c:v>-0.91578349999999986</c:v>
                </c:pt>
                <c:pt idx="3">
                  <c:v>1.3314844599999995</c:v>
                </c:pt>
                <c:pt idx="4">
                  <c:v>0.89471920999999988</c:v>
                </c:pt>
                <c:pt idx="5">
                  <c:v>0.7922472199999997</c:v>
                </c:pt>
                <c:pt idx="6">
                  <c:v>0.75158364000000022</c:v>
                </c:pt>
              </c:numCache>
            </c:numRef>
          </c:val>
          <c:extLst>
            <c:ext xmlns:c16="http://schemas.microsoft.com/office/drawing/2014/chart" uri="{C3380CC4-5D6E-409C-BE32-E72D297353CC}">
              <c16:uniqueId val="{00000005-B10B-4122-A2C4-B5662F59BEE3}"/>
            </c:ext>
          </c:extLst>
        </c:ser>
        <c:dLbls>
          <c:showLegendKey val="0"/>
          <c:showVal val="0"/>
          <c:showCatName val="0"/>
          <c:showSerName val="0"/>
          <c:showPercent val="0"/>
          <c:showBubbleSize val="0"/>
        </c:dLbls>
        <c:gapWidth val="30"/>
        <c:overlap val="100"/>
        <c:axId val="1642271680"/>
        <c:axId val="1642274400"/>
      </c:barChart>
      <c:lineChart>
        <c:grouping val="standard"/>
        <c:varyColors val="0"/>
        <c:ser>
          <c:idx val="6"/>
          <c:order val="6"/>
          <c:tx>
            <c:strRef>
              <c:f>'WEO_ekon. rast'!$B$31</c:f>
              <c:strCache>
                <c:ptCount val="1"/>
                <c:pt idx="0">
                  <c:v>Светски раст</c:v>
                </c:pt>
              </c:strCache>
            </c:strRef>
          </c:tx>
          <c:spPr>
            <a:ln w="25400" cap="rnd">
              <a:solidFill>
                <a:srgbClr val="FF0000"/>
              </a:solidFill>
              <a:round/>
            </a:ln>
            <a:effectLst/>
          </c:spPr>
          <c:marker>
            <c:symbol val="none"/>
          </c:marker>
          <c:dLbls>
            <c:dLbl>
              <c:idx val="2"/>
              <c:layout>
                <c:manualLayout>
                  <c:x val="-6.6898148148148151E-2"/>
                  <c:y val="4.550334168755221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B10B-4122-A2C4-B5662F59BEE3}"/>
                </c:ext>
              </c:extLst>
            </c:dLbl>
            <c:spPr>
              <a:noFill/>
              <a:ln>
                <a:noFill/>
              </a:ln>
              <a:effectLst/>
            </c:spPr>
            <c:txPr>
              <a:bodyPr rot="0" spcFirstLastPara="1" vertOverflow="ellipsis" vert="horz" wrap="square" lIns="38100" tIns="19050" rIns="38100" bIns="19050" anchor="ctr" anchorCtr="1">
                <a:spAutoFit/>
              </a:bodyPr>
              <a:lstStyle/>
              <a:p>
                <a:pPr>
                  <a:defRPr sz="750" b="1" i="0" u="none" strike="noStrike" kern="1200" baseline="0">
                    <a:solidFill>
                      <a:srgbClr val="FF0000"/>
                    </a:solidFill>
                    <a:latin typeface="+mn-lt"/>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'WEO_ekon. rast'!$F$24:$L$24</c:f>
              <c:numCache>
                <c:formatCode>General</c:formatCode>
                <c:ptCount val="7"/>
                <c:pt idx="0">
                  <c:v>2018</c:v>
                </c:pt>
                <c:pt idx="1">
                  <c:v>2019</c:v>
                </c:pt>
                <c:pt idx="2">
                  <c:v>2020</c:v>
                </c:pt>
                <c:pt idx="3">
                  <c:v>2021</c:v>
                </c:pt>
                <c:pt idx="4">
                  <c:v>2022</c:v>
                </c:pt>
                <c:pt idx="5">
                  <c:v>2023</c:v>
                </c:pt>
                <c:pt idx="6">
                  <c:v>2024</c:v>
                </c:pt>
              </c:numCache>
            </c:numRef>
          </c:cat>
          <c:val>
            <c:numRef>
              <c:f>'WEO_ekon. rast'!$F$31:$L$31</c:f>
              <c:numCache>
                <c:formatCode>0.0</c:formatCode>
                <c:ptCount val="7"/>
                <c:pt idx="0">
                  <c:v>3.569</c:v>
                </c:pt>
                <c:pt idx="1">
                  <c:v>2.8359999999999999</c:v>
                </c:pt>
                <c:pt idx="2">
                  <c:v>-3.1160000000000001</c:v>
                </c:pt>
                <c:pt idx="3">
                  <c:v>5.88</c:v>
                </c:pt>
                <c:pt idx="4">
                  <c:v>4.8890000000000002</c:v>
                </c:pt>
                <c:pt idx="5">
                  <c:v>3.6179999999999999</c:v>
                </c:pt>
                <c:pt idx="6">
                  <c:v>3.3679999999999999</c:v>
                </c:pt>
              </c:numCache>
            </c:numRef>
          </c:val>
          <c:smooth val="0"/>
          <c:extLst>
            <c:ext xmlns:c16="http://schemas.microsoft.com/office/drawing/2014/chart" uri="{C3380CC4-5D6E-409C-BE32-E72D297353CC}">
              <c16:uniqueId val="{00000007-B10B-4122-A2C4-B5662F59BEE3}"/>
            </c:ext>
          </c:extLst>
        </c:ser>
        <c:ser>
          <c:idx val="7"/>
          <c:order val="7"/>
          <c:tx>
            <c:strRef>
              <c:f>'WEO_ekon. rast'!$B$32</c:f>
              <c:strCache>
                <c:ptCount val="1"/>
              </c:strCache>
            </c:strRef>
          </c:tx>
          <c:spPr>
            <a:ln w="28575" cap="rnd">
              <a:noFill/>
              <a:round/>
            </a:ln>
            <a:effectLst/>
          </c:spPr>
          <c:marker>
            <c:symbol val="none"/>
          </c:marker>
          <c:dLbls>
            <c:dLbl>
              <c:idx val="2"/>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bg1"/>
                      </a:solidFill>
                      <a:latin typeface="+mn-lt"/>
                      <a:ea typeface="+mn-ea"/>
                      <a:cs typeface="+mn-cs"/>
                    </a:defRPr>
                  </a:pPr>
                  <a:endParaRPr lang="en-US"/>
                </a:p>
              </c:txPr>
              <c:dLblPos val="b"/>
              <c:showLegendKey val="0"/>
              <c:showVal val="0"/>
              <c:showCatName val="1"/>
              <c:showSerName val="0"/>
              <c:showPercent val="0"/>
              <c:showBubbleSize val="0"/>
              <c:extLst>
                <c:ext xmlns:c16="http://schemas.microsoft.com/office/drawing/2014/chart" uri="{C3380CC4-5D6E-409C-BE32-E72D297353CC}">
                  <c16:uniqueId val="{00000008-B10B-4122-A2C4-B5662F59BEE3}"/>
                </c:ext>
              </c:extLst>
            </c:dLbl>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tx2"/>
                    </a:solidFill>
                    <a:latin typeface="+mn-lt"/>
                    <a:ea typeface="+mn-ea"/>
                    <a:cs typeface="+mn-cs"/>
                  </a:defRPr>
                </a:pPr>
                <a:endParaRPr lang="en-U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'WEO_ekon. rast'!$F$24:$L$24</c:f>
              <c:numCache>
                <c:formatCode>General</c:formatCode>
                <c:ptCount val="7"/>
                <c:pt idx="0">
                  <c:v>2018</c:v>
                </c:pt>
                <c:pt idx="1">
                  <c:v>2019</c:v>
                </c:pt>
                <c:pt idx="2">
                  <c:v>2020</c:v>
                </c:pt>
                <c:pt idx="3">
                  <c:v>2021</c:v>
                </c:pt>
                <c:pt idx="4">
                  <c:v>2022</c:v>
                </c:pt>
                <c:pt idx="5">
                  <c:v>2023</c:v>
                </c:pt>
                <c:pt idx="6">
                  <c:v>2024</c:v>
                </c:pt>
              </c:numCache>
            </c:numRef>
          </c:cat>
          <c:val>
            <c:numRef>
              <c:f>'WEO_ekon. rast'!$F$32:$L$32</c:f>
              <c:numCache>
                <c:formatCode>General</c:formatCode>
                <c:ptCount val="7"/>
                <c:pt idx="0">
                  <c:v>0</c:v>
                </c:pt>
                <c:pt idx="1">
                  <c:v>0</c:v>
                </c:pt>
                <c:pt idx="2">
                  <c:v>0</c:v>
                </c:pt>
                <c:pt idx="3">
                  <c:v>0</c:v>
                </c:pt>
                <c:pt idx="4">
                  <c:v>0</c:v>
                </c:pt>
                <c:pt idx="5">
                  <c:v>0</c:v>
                </c:pt>
                <c:pt idx="6">
                  <c:v>0</c:v>
                </c:pt>
              </c:numCache>
            </c:numRef>
          </c:val>
          <c:smooth val="0"/>
          <c:extLst>
            <c:ext xmlns:c16="http://schemas.microsoft.com/office/drawing/2014/chart" uri="{C3380CC4-5D6E-409C-BE32-E72D297353CC}">
              <c16:uniqueId val="{00000009-B10B-4122-A2C4-B5662F59BEE3}"/>
            </c:ext>
          </c:extLst>
        </c:ser>
        <c:dLbls>
          <c:showLegendKey val="0"/>
          <c:showVal val="0"/>
          <c:showCatName val="0"/>
          <c:showSerName val="0"/>
          <c:showPercent val="0"/>
          <c:showBubbleSize val="0"/>
        </c:dLbls>
        <c:marker val="1"/>
        <c:smooth val="0"/>
        <c:axId val="1642271680"/>
        <c:axId val="1642274400"/>
      </c:lineChart>
      <c:catAx>
        <c:axId val="1642271680"/>
        <c:scaling>
          <c:orientation val="minMax"/>
        </c:scaling>
        <c:delete val="0"/>
        <c:axPos val="b"/>
        <c:numFmt formatCode="General" sourceLinked="1"/>
        <c:majorTickMark val="none"/>
        <c:minorTickMark val="none"/>
        <c:tickLblPos val="none"/>
        <c:spPr>
          <a:noFill/>
          <a:ln w="6350" cap="flat" cmpd="sng" algn="ctr">
            <a:solidFill>
              <a:srgbClr val="898989"/>
            </a:solidFill>
            <a:round/>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1642274400"/>
        <c:crosses val="autoZero"/>
        <c:auto val="1"/>
        <c:lblAlgn val="ctr"/>
        <c:lblOffset val="100"/>
        <c:noMultiLvlLbl val="0"/>
      </c:catAx>
      <c:valAx>
        <c:axId val="1642274400"/>
        <c:scaling>
          <c:orientation val="minMax"/>
          <c:min val="-4.5"/>
        </c:scaling>
        <c:delete val="0"/>
        <c:axPos val="l"/>
        <c:numFmt formatCode="0.0" sourceLinked="0"/>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1642271680"/>
        <c:crosses val="autoZero"/>
        <c:crossBetween val="between"/>
        <c:majorUnit val="1.5"/>
      </c:valAx>
      <c:spPr>
        <a:noFill/>
        <a:ln>
          <a:noFill/>
        </a:ln>
        <a:effectLst/>
      </c:spPr>
    </c:plotArea>
    <c:legend>
      <c:legendPos val="b"/>
      <c:legendEntry>
        <c:idx val="7"/>
        <c:delete val="1"/>
      </c:legendEntry>
      <c:layout>
        <c:manualLayout>
          <c:xMode val="edge"/>
          <c:yMode val="edge"/>
          <c:x val="2.7777777777777776E-2"/>
          <c:y val="0.68199498746867171"/>
          <c:w val="0.94944444444444465"/>
          <c:h val="0.31800501253132835"/>
        </c:manualLayout>
      </c:layout>
      <c:overlay val="0"/>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sz="750">
          <a:solidFill>
            <a:schemeClr val="tx2"/>
          </a:solidFill>
        </a:defRPr>
      </a:pPr>
      <a:endParaRPr lang="en-US"/>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3.8138138138138135E-2"/>
          <c:y val="0.17162162162162162"/>
          <c:w val="0.91418918918918923"/>
          <c:h val="0.70274673202614379"/>
        </c:manualLayout>
      </c:layout>
      <c:barChart>
        <c:barDir val="col"/>
        <c:grouping val="clustered"/>
        <c:varyColors val="0"/>
        <c:ser>
          <c:idx val="0"/>
          <c:order val="0"/>
          <c:tx>
            <c:strRef>
              <c:f>'Osn. makroekon. agregati'!$B$8</c:f>
              <c:strCache>
                <c:ptCount val="1"/>
                <c:pt idx="0">
                  <c:v>Фискални резултат, % БДП</c:v>
                </c:pt>
              </c:strCache>
            </c:strRef>
          </c:tx>
          <c:spPr>
            <a:solidFill>
              <a:schemeClr val="accent1"/>
            </a:solidFill>
            <a:ln>
              <a:noFill/>
            </a:ln>
            <a:effectLst/>
          </c:spPr>
          <c:invertIfNegative val="0"/>
          <c:dPt>
            <c:idx val="0"/>
            <c:invertIfNegative val="0"/>
            <c:bubble3D val="0"/>
            <c:spPr>
              <a:solidFill>
                <a:srgbClr val="29489A"/>
              </a:solidFill>
              <a:ln>
                <a:noFill/>
              </a:ln>
              <a:effectLst/>
            </c:spPr>
            <c:extLst>
              <c:ext xmlns:c16="http://schemas.microsoft.com/office/drawing/2014/chart" uri="{C3380CC4-5D6E-409C-BE32-E72D297353CC}">
                <c16:uniqueId val="{00000001-EABE-48C5-841F-16EE7132234A}"/>
              </c:ext>
            </c:extLst>
          </c:dPt>
          <c:dPt>
            <c:idx val="1"/>
            <c:invertIfNegative val="0"/>
            <c:bubble3D val="0"/>
            <c:spPr>
              <a:solidFill>
                <a:srgbClr val="ED1C24"/>
              </a:solidFill>
              <a:ln>
                <a:noFill/>
              </a:ln>
              <a:effectLst/>
            </c:spPr>
            <c:extLst>
              <c:ext xmlns:c16="http://schemas.microsoft.com/office/drawing/2014/chart" uri="{C3380CC4-5D6E-409C-BE32-E72D297353CC}">
                <c16:uniqueId val="{00000003-EABE-48C5-841F-16EE7132234A}"/>
              </c:ext>
            </c:extLst>
          </c:dPt>
          <c:dLbls>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rgbClr val="29489A"/>
                      </a:solidFill>
                      <a:latin typeface="+mn-lt"/>
                      <a:ea typeface="+mn-ea"/>
                      <a:cs typeface="+mn-cs"/>
                    </a:defRPr>
                  </a:pPr>
                  <a:endParaRPr lang="en-US"/>
                </a:p>
              </c:txPr>
              <c:showLegendKey val="0"/>
              <c:showVal val="1"/>
              <c:showCatName val="0"/>
              <c:showSerName val="0"/>
              <c:showPercent val="0"/>
              <c:showBubbleSize val="0"/>
              <c:extLst>
                <c:ext xmlns:c16="http://schemas.microsoft.com/office/drawing/2014/chart" uri="{C3380CC4-5D6E-409C-BE32-E72D297353CC}">
                  <c16:uniqueId val="{00000001-EABE-48C5-841F-16EE7132234A}"/>
                </c:ext>
              </c:extLst>
            </c:dLbl>
            <c:dLbl>
              <c:idx val="1"/>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rgbClr val="ED1C24"/>
                      </a:solidFill>
                      <a:latin typeface="+mn-lt"/>
                      <a:ea typeface="+mn-ea"/>
                      <a:cs typeface="+mn-cs"/>
                    </a:defRPr>
                  </a:pPr>
                  <a:endParaRPr lang="en-US"/>
                </a:p>
              </c:txPr>
              <c:showLegendKey val="0"/>
              <c:showVal val="1"/>
              <c:showCatName val="0"/>
              <c:showSerName val="0"/>
              <c:showPercent val="0"/>
              <c:showBubbleSize val="0"/>
              <c:extLst>
                <c:ext xmlns:c16="http://schemas.microsoft.com/office/drawing/2014/chart" uri="{C3380CC4-5D6E-409C-BE32-E72D297353CC}">
                  <c16:uniqueId val="{00000003-EABE-48C5-841F-16EE7132234A}"/>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('Osn. makroekon. agregati'!$C$8,'Osn. makroekon. agregati'!$D$8)</c:f>
              <c:numCache>
                <c:formatCode>0.0</c:formatCode>
                <c:ptCount val="2"/>
                <c:pt idx="0">
                  <c:v>-6.9</c:v>
                </c:pt>
                <c:pt idx="1">
                  <c:v>-4.9000000000000004</c:v>
                </c:pt>
              </c:numCache>
            </c:numRef>
          </c:val>
          <c:extLst>
            <c:ext xmlns:c16="http://schemas.microsoft.com/office/drawing/2014/chart" uri="{C3380CC4-5D6E-409C-BE32-E72D297353CC}">
              <c16:uniqueId val="{00000004-EABE-48C5-841F-16EE7132234A}"/>
            </c:ext>
          </c:extLst>
        </c:ser>
        <c:dLbls>
          <c:showLegendKey val="0"/>
          <c:showVal val="0"/>
          <c:showCatName val="0"/>
          <c:showSerName val="0"/>
          <c:showPercent val="0"/>
          <c:showBubbleSize val="0"/>
        </c:dLbls>
        <c:gapWidth val="15"/>
        <c:axId val="1768831680"/>
        <c:axId val="1768853440"/>
      </c:barChart>
      <c:catAx>
        <c:axId val="1768831680"/>
        <c:scaling>
          <c:orientation val="minMax"/>
        </c:scaling>
        <c:delete val="0"/>
        <c:axPos val="b"/>
        <c:title>
          <c:tx>
            <c:rich>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r>
                  <a:rPr lang="en-US" b="1"/>
                  <a:t>2021</a:t>
                </a:r>
              </a:p>
            </c:rich>
          </c:tx>
          <c:layout>
            <c:manualLayout>
              <c:xMode val="edge"/>
              <c:yMode val="edge"/>
              <c:x val="0.37948348348348349"/>
              <c:y val="7.3190476190476209E-3"/>
            </c:manualLayout>
          </c:layout>
          <c:overlay val="0"/>
          <c:spPr>
            <a:noFill/>
            <a:ln>
              <a:noFill/>
            </a:ln>
            <a:effectLst/>
          </c:spPr>
          <c:txPr>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en-US"/>
            </a:p>
          </c:txPr>
        </c:title>
        <c:majorTickMark val="none"/>
        <c:minorTickMark val="none"/>
        <c:tickLblPos val="none"/>
        <c:spPr>
          <a:noFill/>
          <a:ln w="12700" cap="flat" cmpd="sng" algn="ctr">
            <a:solidFill>
              <a:srgbClr val="898989"/>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68853440"/>
        <c:crossesAt val="0"/>
        <c:auto val="1"/>
        <c:lblAlgn val="ctr"/>
        <c:lblOffset val="100"/>
        <c:noMultiLvlLbl val="0"/>
      </c:catAx>
      <c:valAx>
        <c:axId val="1768853440"/>
        <c:scaling>
          <c:orientation val="minMax"/>
          <c:max val="0"/>
          <c:min val="-9"/>
        </c:scaling>
        <c:delete val="0"/>
        <c:axPos val="l"/>
        <c:numFmt formatCode="0.0" sourceLinked="1"/>
        <c:majorTickMark val="out"/>
        <c:minorTickMark val="none"/>
        <c:tickLblPos val="none"/>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68831680"/>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n-US"/>
    </a:p>
  </c:txPr>
  <c:externalData r:id="rId4">
    <c:autoUpdate val="0"/>
  </c:externalData>
  <c:userShapes r:id="rId5"/>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3.8138138138138135E-2"/>
          <c:y val="0.17162162162162162"/>
          <c:w val="0.91418918918918923"/>
          <c:h val="0.70274673202614379"/>
        </c:manualLayout>
      </c:layout>
      <c:barChart>
        <c:barDir val="col"/>
        <c:grouping val="clustered"/>
        <c:varyColors val="0"/>
        <c:ser>
          <c:idx val="0"/>
          <c:order val="0"/>
          <c:tx>
            <c:strRef>
              <c:f>'Osn. makroekon. agregati'!$B$8</c:f>
              <c:strCache>
                <c:ptCount val="1"/>
                <c:pt idx="0">
                  <c:v>Фискални резултат, % БДП</c:v>
                </c:pt>
              </c:strCache>
            </c:strRef>
          </c:tx>
          <c:spPr>
            <a:solidFill>
              <a:schemeClr val="accent1"/>
            </a:solidFill>
            <a:ln>
              <a:noFill/>
            </a:ln>
            <a:effectLst/>
          </c:spPr>
          <c:invertIfNegative val="0"/>
          <c:dPt>
            <c:idx val="0"/>
            <c:invertIfNegative val="0"/>
            <c:bubble3D val="0"/>
            <c:spPr>
              <a:solidFill>
                <a:srgbClr val="29489A"/>
              </a:solidFill>
              <a:ln>
                <a:noFill/>
              </a:ln>
              <a:effectLst/>
            </c:spPr>
            <c:extLst>
              <c:ext xmlns:c16="http://schemas.microsoft.com/office/drawing/2014/chart" uri="{C3380CC4-5D6E-409C-BE32-E72D297353CC}">
                <c16:uniqueId val="{00000001-4A01-4D5E-94E4-72C44C31703A}"/>
              </c:ext>
            </c:extLst>
          </c:dPt>
          <c:dPt>
            <c:idx val="1"/>
            <c:invertIfNegative val="0"/>
            <c:bubble3D val="0"/>
            <c:spPr>
              <a:solidFill>
                <a:srgbClr val="ED1C24"/>
              </a:solidFill>
              <a:ln>
                <a:noFill/>
              </a:ln>
              <a:effectLst/>
            </c:spPr>
            <c:extLst>
              <c:ext xmlns:c16="http://schemas.microsoft.com/office/drawing/2014/chart" uri="{C3380CC4-5D6E-409C-BE32-E72D297353CC}">
                <c16:uniqueId val="{00000003-4A01-4D5E-94E4-72C44C31703A}"/>
              </c:ext>
            </c:extLst>
          </c:dPt>
          <c:dLbls>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rgbClr val="29489A"/>
                      </a:solidFill>
                      <a:latin typeface="+mn-lt"/>
                      <a:ea typeface="+mn-ea"/>
                      <a:cs typeface="+mn-cs"/>
                    </a:defRPr>
                  </a:pPr>
                  <a:endParaRPr lang="en-US"/>
                </a:p>
              </c:txPr>
              <c:showLegendKey val="0"/>
              <c:showVal val="1"/>
              <c:showCatName val="0"/>
              <c:showSerName val="0"/>
              <c:showPercent val="0"/>
              <c:showBubbleSize val="0"/>
              <c:extLst>
                <c:ext xmlns:c16="http://schemas.microsoft.com/office/drawing/2014/chart" uri="{C3380CC4-5D6E-409C-BE32-E72D297353CC}">
                  <c16:uniqueId val="{00000001-4A01-4D5E-94E4-72C44C31703A}"/>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rgbClr val="ED1C24"/>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('Osn. makroekon. agregati'!$E$8,'Osn. makroekon. agregati'!$F$8)</c:f>
              <c:numCache>
                <c:formatCode>0.0</c:formatCode>
                <c:ptCount val="2"/>
                <c:pt idx="0">
                  <c:v>-3</c:v>
                </c:pt>
                <c:pt idx="1">
                  <c:v>-3</c:v>
                </c:pt>
              </c:numCache>
            </c:numRef>
          </c:val>
          <c:extLst>
            <c:ext xmlns:c16="http://schemas.microsoft.com/office/drawing/2014/chart" uri="{C3380CC4-5D6E-409C-BE32-E72D297353CC}">
              <c16:uniqueId val="{00000004-4A01-4D5E-94E4-72C44C31703A}"/>
            </c:ext>
          </c:extLst>
        </c:ser>
        <c:dLbls>
          <c:showLegendKey val="0"/>
          <c:showVal val="0"/>
          <c:showCatName val="0"/>
          <c:showSerName val="0"/>
          <c:showPercent val="0"/>
          <c:showBubbleSize val="0"/>
        </c:dLbls>
        <c:gapWidth val="15"/>
        <c:axId val="1768831680"/>
        <c:axId val="1768853440"/>
      </c:barChart>
      <c:catAx>
        <c:axId val="1768831680"/>
        <c:scaling>
          <c:orientation val="minMax"/>
        </c:scaling>
        <c:delete val="0"/>
        <c:axPos val="b"/>
        <c:title>
          <c:tx>
            <c:rich>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r>
                  <a:rPr lang="en-US" b="1"/>
                  <a:t>2022</a:t>
                </a:r>
              </a:p>
            </c:rich>
          </c:tx>
          <c:layout>
            <c:manualLayout>
              <c:xMode val="edge"/>
              <c:yMode val="edge"/>
              <c:x val="0.37948348348348349"/>
              <c:y val="7.3190476190476209E-3"/>
            </c:manualLayout>
          </c:layout>
          <c:overlay val="0"/>
          <c:spPr>
            <a:noFill/>
            <a:ln>
              <a:noFill/>
            </a:ln>
            <a:effectLst/>
          </c:spPr>
          <c:txPr>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en-US"/>
            </a:p>
          </c:txPr>
        </c:title>
        <c:majorTickMark val="none"/>
        <c:minorTickMark val="none"/>
        <c:tickLblPos val="none"/>
        <c:spPr>
          <a:noFill/>
          <a:ln w="12700" cap="flat" cmpd="sng" algn="ctr">
            <a:solidFill>
              <a:srgbClr val="898989"/>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68853440"/>
        <c:crossesAt val="0"/>
        <c:auto val="1"/>
        <c:lblAlgn val="ctr"/>
        <c:lblOffset val="100"/>
        <c:noMultiLvlLbl val="0"/>
      </c:catAx>
      <c:valAx>
        <c:axId val="1768853440"/>
        <c:scaling>
          <c:orientation val="minMax"/>
          <c:max val="0"/>
          <c:min val="-9"/>
        </c:scaling>
        <c:delete val="0"/>
        <c:axPos val="l"/>
        <c:numFmt formatCode="0.0" sourceLinked="1"/>
        <c:majorTickMark val="out"/>
        <c:minorTickMark val="none"/>
        <c:tickLblPos val="none"/>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68831680"/>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n-US"/>
    </a:p>
  </c:txPr>
  <c:externalData r:id="rId4">
    <c:autoUpdate val="0"/>
  </c:externalData>
  <c:userShapes r:id="rId5"/>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3.8138138138138135E-2"/>
          <c:y val="0.12394894894894895"/>
          <c:w val="0.91418918918918923"/>
          <c:h val="0.72349849849849845"/>
        </c:manualLayout>
      </c:layout>
      <c:barChart>
        <c:barDir val="col"/>
        <c:grouping val="clustered"/>
        <c:varyColors val="0"/>
        <c:ser>
          <c:idx val="0"/>
          <c:order val="0"/>
          <c:tx>
            <c:strRef>
              <c:f>'Osn. makroekon. agregati'!$B$9</c:f>
              <c:strCache>
                <c:ptCount val="1"/>
                <c:pt idx="0">
                  <c:v>Јавни дуг, % БДП</c:v>
                </c:pt>
              </c:strCache>
            </c:strRef>
          </c:tx>
          <c:spPr>
            <a:solidFill>
              <a:schemeClr val="accent1"/>
            </a:solidFill>
            <a:ln>
              <a:noFill/>
            </a:ln>
            <a:effectLst/>
          </c:spPr>
          <c:invertIfNegative val="0"/>
          <c:dPt>
            <c:idx val="0"/>
            <c:invertIfNegative val="0"/>
            <c:bubble3D val="0"/>
            <c:spPr>
              <a:solidFill>
                <a:srgbClr val="29489A"/>
              </a:solidFill>
              <a:ln>
                <a:noFill/>
              </a:ln>
              <a:effectLst/>
            </c:spPr>
            <c:extLst>
              <c:ext xmlns:c16="http://schemas.microsoft.com/office/drawing/2014/chart" uri="{C3380CC4-5D6E-409C-BE32-E72D297353CC}">
                <c16:uniqueId val="{00000001-03A7-47D6-A496-94B860471EDC}"/>
              </c:ext>
            </c:extLst>
          </c:dPt>
          <c:dPt>
            <c:idx val="1"/>
            <c:invertIfNegative val="0"/>
            <c:bubble3D val="0"/>
            <c:spPr>
              <a:solidFill>
                <a:srgbClr val="ED1C24"/>
              </a:solidFill>
              <a:ln>
                <a:noFill/>
              </a:ln>
              <a:effectLst/>
            </c:spPr>
            <c:extLst>
              <c:ext xmlns:c16="http://schemas.microsoft.com/office/drawing/2014/chart" uri="{C3380CC4-5D6E-409C-BE32-E72D297353CC}">
                <c16:uniqueId val="{00000003-03A7-47D6-A496-94B860471EDC}"/>
              </c:ext>
            </c:extLst>
          </c:dPt>
          <c:dLbls>
            <c:dLbl>
              <c:idx val="0"/>
              <c:spPr>
                <a:noFill/>
                <a:ln>
                  <a:noFill/>
                </a:ln>
                <a:effectLst/>
              </c:spPr>
              <c:txPr>
                <a:bodyPr rot="0" spcFirstLastPara="1" vertOverflow="ellipsis" vert="horz" wrap="none" lIns="38100" tIns="19050" rIns="38100" bIns="19050" anchor="ctr" anchorCtr="1">
                  <a:spAutoFit/>
                </a:bodyPr>
                <a:lstStyle/>
                <a:p>
                  <a:pPr>
                    <a:defRPr sz="900" b="1" i="0" u="none" strike="noStrike" kern="1200" baseline="0">
                      <a:solidFill>
                        <a:srgbClr val="29489A"/>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1-03A7-47D6-A496-94B860471EDC}"/>
                </c:ext>
              </c:extLst>
            </c:dLbl>
            <c:dLbl>
              <c:idx val="1"/>
              <c:spPr>
                <a:noFill/>
                <a:ln>
                  <a:noFill/>
                </a:ln>
                <a:effectLst/>
              </c:spPr>
              <c:txPr>
                <a:bodyPr rot="0" spcFirstLastPara="1" vertOverflow="ellipsis" vert="horz" wrap="none" lIns="38100" tIns="19050" rIns="38100" bIns="19050" anchor="ctr" anchorCtr="1">
                  <a:spAutoFit/>
                </a:bodyPr>
                <a:lstStyle/>
                <a:p>
                  <a:pPr>
                    <a:defRPr sz="900" b="1" i="0" u="none" strike="noStrike" kern="1200" baseline="0">
                      <a:solidFill>
                        <a:srgbClr val="ED1C24"/>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3-03A7-47D6-A496-94B860471EDC}"/>
                </c:ext>
              </c:extLst>
            </c:dLbl>
            <c:spPr>
              <a:noFill/>
              <a:ln>
                <a:noFill/>
              </a:ln>
              <a:effectLst/>
            </c:spPr>
            <c:txPr>
              <a:bodyPr rot="0" spcFirstLastPara="1" vertOverflow="ellipsis" vert="horz" wrap="non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1"/>
                <c15:leaderLines>
                  <c:spPr>
                    <a:ln w="9525" cap="flat" cmpd="sng" algn="ctr">
                      <a:solidFill>
                        <a:schemeClr val="tx1">
                          <a:lumMod val="35000"/>
                          <a:lumOff val="65000"/>
                        </a:schemeClr>
                      </a:solidFill>
                      <a:round/>
                    </a:ln>
                    <a:effectLst/>
                  </c:spPr>
                </c15:leaderLines>
              </c:ext>
            </c:extLst>
          </c:dLbls>
          <c:val>
            <c:numRef>
              <c:f>('Osn. makroekon. agregati'!$C$9,'Osn. makroekon. agregati'!$D$9)</c:f>
              <c:numCache>
                <c:formatCode>0.0</c:formatCode>
                <c:ptCount val="2"/>
                <c:pt idx="0">
                  <c:v>60</c:v>
                </c:pt>
                <c:pt idx="1">
                  <c:v>58.2</c:v>
                </c:pt>
              </c:numCache>
            </c:numRef>
          </c:val>
          <c:extLst>
            <c:ext xmlns:c16="http://schemas.microsoft.com/office/drawing/2014/chart" uri="{C3380CC4-5D6E-409C-BE32-E72D297353CC}">
              <c16:uniqueId val="{00000004-03A7-47D6-A496-94B860471EDC}"/>
            </c:ext>
          </c:extLst>
        </c:ser>
        <c:dLbls>
          <c:showLegendKey val="0"/>
          <c:showVal val="0"/>
          <c:showCatName val="0"/>
          <c:showSerName val="0"/>
          <c:showPercent val="0"/>
          <c:showBubbleSize val="0"/>
        </c:dLbls>
        <c:gapWidth val="15"/>
        <c:axId val="1768831680"/>
        <c:axId val="1768853440"/>
      </c:barChart>
      <c:catAx>
        <c:axId val="1768831680"/>
        <c:scaling>
          <c:orientation val="minMax"/>
        </c:scaling>
        <c:delete val="0"/>
        <c:axPos val="b"/>
        <c:title>
          <c:tx>
            <c:rich>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r>
                  <a:rPr lang="en-US" b="1"/>
                  <a:t>2021</a:t>
                </a:r>
              </a:p>
            </c:rich>
          </c:tx>
          <c:overlay val="0"/>
          <c:spPr>
            <a:noFill/>
            <a:ln>
              <a:noFill/>
            </a:ln>
            <a:effectLst/>
          </c:spPr>
        </c:title>
        <c:majorTickMark val="none"/>
        <c:minorTickMark val="none"/>
        <c:tickLblPos val="none"/>
        <c:spPr>
          <a:noFill/>
          <a:ln w="12700" cap="flat" cmpd="sng" algn="ctr">
            <a:solidFill>
              <a:srgbClr val="898989"/>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68853440"/>
        <c:crossesAt val="0"/>
        <c:auto val="1"/>
        <c:lblAlgn val="ctr"/>
        <c:lblOffset val="100"/>
        <c:noMultiLvlLbl val="0"/>
      </c:catAx>
      <c:valAx>
        <c:axId val="1768853440"/>
        <c:scaling>
          <c:orientation val="minMax"/>
          <c:max val="65"/>
          <c:min val="0"/>
        </c:scaling>
        <c:delete val="0"/>
        <c:axPos val="l"/>
        <c:numFmt formatCode="0.0" sourceLinked="1"/>
        <c:majorTickMark val="out"/>
        <c:minorTickMark val="none"/>
        <c:tickLblPos val="none"/>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68831680"/>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n-US"/>
    </a:p>
  </c:txPr>
  <c:externalData r:id="rId2">
    <c:autoUpdate val="0"/>
  </c:externalData>
  <c:userShapes r:id="rId3"/>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3.8138138138138135E-2"/>
          <c:y val="0.12394894894894895"/>
          <c:w val="0.91418918918918923"/>
          <c:h val="0.72349849849849845"/>
        </c:manualLayout>
      </c:layout>
      <c:barChart>
        <c:barDir val="col"/>
        <c:grouping val="clustered"/>
        <c:varyColors val="0"/>
        <c:ser>
          <c:idx val="0"/>
          <c:order val="0"/>
          <c:tx>
            <c:strRef>
              <c:f>'Osn. makroekon. agregati'!$B$9</c:f>
              <c:strCache>
                <c:ptCount val="1"/>
                <c:pt idx="0">
                  <c:v>Јавни дуг, % БДП</c:v>
                </c:pt>
              </c:strCache>
            </c:strRef>
          </c:tx>
          <c:spPr>
            <a:solidFill>
              <a:schemeClr val="accent1"/>
            </a:solidFill>
            <a:ln>
              <a:noFill/>
            </a:ln>
            <a:effectLst/>
          </c:spPr>
          <c:invertIfNegative val="0"/>
          <c:dPt>
            <c:idx val="0"/>
            <c:invertIfNegative val="0"/>
            <c:bubble3D val="0"/>
            <c:spPr>
              <a:solidFill>
                <a:srgbClr val="29489A"/>
              </a:solidFill>
              <a:ln>
                <a:noFill/>
              </a:ln>
              <a:effectLst/>
            </c:spPr>
            <c:extLst>
              <c:ext xmlns:c16="http://schemas.microsoft.com/office/drawing/2014/chart" uri="{C3380CC4-5D6E-409C-BE32-E72D297353CC}">
                <c16:uniqueId val="{00000001-9C31-4C6E-97DA-88310524C36C}"/>
              </c:ext>
            </c:extLst>
          </c:dPt>
          <c:dPt>
            <c:idx val="1"/>
            <c:invertIfNegative val="0"/>
            <c:bubble3D val="0"/>
            <c:spPr>
              <a:solidFill>
                <a:srgbClr val="ED1C24"/>
              </a:solidFill>
              <a:ln>
                <a:noFill/>
              </a:ln>
              <a:effectLst/>
            </c:spPr>
            <c:extLst>
              <c:ext xmlns:c16="http://schemas.microsoft.com/office/drawing/2014/chart" uri="{C3380CC4-5D6E-409C-BE32-E72D297353CC}">
                <c16:uniqueId val="{00000003-9C31-4C6E-97DA-88310524C36C}"/>
              </c:ext>
            </c:extLst>
          </c:dPt>
          <c:dLbls>
            <c:dLbl>
              <c:idx val="0"/>
              <c:spPr>
                <a:noFill/>
                <a:ln>
                  <a:noFill/>
                </a:ln>
                <a:effectLst/>
              </c:spPr>
              <c:txPr>
                <a:bodyPr rot="0" spcFirstLastPara="1" vertOverflow="ellipsis" vert="horz" wrap="none" lIns="38100" tIns="19050" rIns="38100" bIns="19050" anchor="ctr" anchorCtr="1">
                  <a:spAutoFit/>
                </a:bodyPr>
                <a:lstStyle/>
                <a:p>
                  <a:pPr>
                    <a:defRPr sz="900" b="1" i="0" u="none" strike="noStrike" kern="1200" baseline="0">
                      <a:solidFill>
                        <a:srgbClr val="29489A"/>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1-9C31-4C6E-97DA-88310524C36C}"/>
                </c:ext>
              </c:extLst>
            </c:dLbl>
            <c:spPr>
              <a:noFill/>
              <a:ln>
                <a:noFill/>
              </a:ln>
              <a:effectLst/>
            </c:spPr>
            <c:txPr>
              <a:bodyPr rot="0" spcFirstLastPara="1" vertOverflow="ellipsis" vert="horz" wrap="none" lIns="38100" tIns="19050" rIns="38100" bIns="19050" anchor="ctr" anchorCtr="1">
                <a:spAutoFit/>
              </a:bodyPr>
              <a:lstStyle/>
              <a:p>
                <a:pPr>
                  <a:defRPr sz="900" b="1" i="0" u="none" strike="noStrike" kern="1200" baseline="0">
                    <a:solidFill>
                      <a:srgbClr val="ED1C24"/>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1"/>
                <c15:leaderLines>
                  <c:spPr>
                    <a:ln w="9525" cap="flat" cmpd="sng" algn="ctr">
                      <a:solidFill>
                        <a:schemeClr val="tx1">
                          <a:lumMod val="35000"/>
                          <a:lumOff val="65000"/>
                        </a:schemeClr>
                      </a:solidFill>
                      <a:round/>
                    </a:ln>
                    <a:effectLst/>
                  </c:spPr>
                </c15:leaderLines>
              </c:ext>
            </c:extLst>
          </c:dLbls>
          <c:val>
            <c:numRef>
              <c:f>('Osn. makroekon. agregati'!$E$9,'Osn. makroekon. agregati'!$F$9)</c:f>
              <c:numCache>
                <c:formatCode>0.0</c:formatCode>
                <c:ptCount val="2"/>
                <c:pt idx="0">
                  <c:v>59.3</c:v>
                </c:pt>
                <c:pt idx="1">
                  <c:v>56.5</c:v>
                </c:pt>
              </c:numCache>
            </c:numRef>
          </c:val>
          <c:extLst>
            <c:ext xmlns:c16="http://schemas.microsoft.com/office/drawing/2014/chart" uri="{C3380CC4-5D6E-409C-BE32-E72D297353CC}">
              <c16:uniqueId val="{00000004-9C31-4C6E-97DA-88310524C36C}"/>
            </c:ext>
          </c:extLst>
        </c:ser>
        <c:dLbls>
          <c:showLegendKey val="0"/>
          <c:showVal val="0"/>
          <c:showCatName val="0"/>
          <c:showSerName val="0"/>
          <c:showPercent val="0"/>
          <c:showBubbleSize val="0"/>
        </c:dLbls>
        <c:gapWidth val="15"/>
        <c:axId val="1768831680"/>
        <c:axId val="1768853440"/>
      </c:barChart>
      <c:catAx>
        <c:axId val="1768831680"/>
        <c:scaling>
          <c:orientation val="minMax"/>
        </c:scaling>
        <c:delete val="0"/>
        <c:axPos val="b"/>
        <c:title>
          <c:tx>
            <c:rich>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r>
                  <a:rPr lang="en-US" b="1"/>
                  <a:t>2022</a:t>
                </a:r>
              </a:p>
            </c:rich>
          </c:tx>
          <c:overlay val="0"/>
          <c:spPr>
            <a:noFill/>
            <a:ln>
              <a:noFill/>
            </a:ln>
            <a:effectLst/>
          </c:spPr>
        </c:title>
        <c:majorTickMark val="none"/>
        <c:minorTickMark val="none"/>
        <c:tickLblPos val="none"/>
        <c:spPr>
          <a:noFill/>
          <a:ln w="12700" cap="flat" cmpd="sng" algn="ctr">
            <a:solidFill>
              <a:srgbClr val="898989"/>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68853440"/>
        <c:crossesAt val="0"/>
        <c:auto val="1"/>
        <c:lblAlgn val="ctr"/>
        <c:lblOffset val="100"/>
        <c:noMultiLvlLbl val="0"/>
      </c:catAx>
      <c:valAx>
        <c:axId val="1768853440"/>
        <c:scaling>
          <c:orientation val="minMax"/>
          <c:max val="65"/>
          <c:min val="0"/>
        </c:scaling>
        <c:delete val="0"/>
        <c:axPos val="l"/>
        <c:numFmt formatCode="0.0" sourceLinked="1"/>
        <c:majorTickMark val="out"/>
        <c:minorTickMark val="none"/>
        <c:tickLblPos val="none"/>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68831680"/>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n-US"/>
    </a:p>
  </c:txPr>
  <c:externalData r:id="rId2">
    <c:autoUpdate val="0"/>
  </c:externalData>
  <c:userShapes r:id="rId3"/>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6.0253935185185188E-2"/>
          <c:y val="7.0236607987885669E-2"/>
          <c:w val="0.90740810185185183"/>
          <c:h val="0.62091256084322588"/>
        </c:manualLayout>
      </c:layout>
      <c:barChart>
        <c:barDir val="col"/>
        <c:grouping val="stacked"/>
        <c:varyColors val="0"/>
        <c:ser>
          <c:idx val="0"/>
          <c:order val="0"/>
          <c:tx>
            <c:strRef>
              <c:f>BDPQ_doprinosi!$R$34</c:f>
              <c:strCache>
                <c:ptCount val="1"/>
                <c:pt idx="0">
                  <c:v>Пољопривреда</c:v>
                </c:pt>
              </c:strCache>
            </c:strRef>
          </c:tx>
          <c:spPr>
            <a:solidFill>
              <a:srgbClr val="10103C"/>
            </a:solidFill>
            <a:ln>
              <a:noFill/>
            </a:ln>
            <a:effectLst/>
          </c:spPr>
          <c:invertIfNegative val="0"/>
          <c:cat>
            <c:multiLvlStrRef>
              <c:f>BDPQ_doprinosi!$AU$32:$BD$33</c:f>
              <c:multiLvlStrCache>
                <c:ptCount val="10"/>
                <c:lvl>
                  <c:pt idx="0">
                    <c:v>Q1</c:v>
                  </c:pt>
                  <c:pt idx="1">
                    <c:v>Q2</c:v>
                  </c:pt>
                  <c:pt idx="2">
                    <c:v>Q3</c:v>
                  </c:pt>
                  <c:pt idx="3">
                    <c:v>Q4</c:v>
                  </c:pt>
                  <c:pt idx="4">
                    <c:v>Q1</c:v>
                  </c:pt>
                  <c:pt idx="5">
                    <c:v>Q2</c:v>
                  </c:pt>
                  <c:pt idx="6">
                    <c:v>Q3</c:v>
                  </c:pt>
                  <c:pt idx="7">
                    <c:v>Q4</c:v>
                  </c:pt>
                  <c:pt idx="8">
                    <c:v>Q1</c:v>
                  </c:pt>
                  <c:pt idx="9">
                    <c:v>Q2</c:v>
                  </c:pt>
                </c:lvl>
                <c:lvl>
                  <c:pt idx="0">
                    <c:v>2019</c:v>
                  </c:pt>
                  <c:pt idx="4">
                    <c:v>2020</c:v>
                  </c:pt>
                  <c:pt idx="8">
                    <c:v>2021</c:v>
                  </c:pt>
                </c:lvl>
              </c:multiLvlStrCache>
            </c:multiLvlStrRef>
          </c:cat>
          <c:val>
            <c:numRef>
              <c:f>BDPQ_doprinosi!$AU$34:$BD$34</c:f>
              <c:numCache>
                <c:formatCode>0.0</c:formatCode>
                <c:ptCount val="10"/>
                <c:pt idx="0">
                  <c:v>-2.4750147138573667E-2</c:v>
                </c:pt>
                <c:pt idx="1">
                  <c:v>-7.6508265554604299E-2</c:v>
                </c:pt>
                <c:pt idx="2">
                  <c:v>-0.18956455482949233</c:v>
                </c:pt>
                <c:pt idx="3">
                  <c:v>-0.11030386759649317</c:v>
                </c:pt>
                <c:pt idx="4">
                  <c:v>0.21052034638774766</c:v>
                </c:pt>
                <c:pt idx="5">
                  <c:v>0.23783208105742898</c:v>
                </c:pt>
                <c:pt idx="6">
                  <c:v>0.29713573064295867</c:v>
                </c:pt>
                <c:pt idx="7">
                  <c:v>0.2542130030052927</c:v>
                </c:pt>
                <c:pt idx="8">
                  <c:v>-0.14739036647501935</c:v>
                </c:pt>
                <c:pt idx="9">
                  <c:v>-0.11228238213176732</c:v>
                </c:pt>
              </c:numCache>
            </c:numRef>
          </c:val>
          <c:extLst>
            <c:ext xmlns:c16="http://schemas.microsoft.com/office/drawing/2014/chart" uri="{C3380CC4-5D6E-409C-BE32-E72D297353CC}">
              <c16:uniqueId val="{00000000-F6E9-4421-9C8F-107B2A990D36}"/>
            </c:ext>
          </c:extLst>
        </c:ser>
        <c:ser>
          <c:idx val="1"/>
          <c:order val="1"/>
          <c:tx>
            <c:strRef>
              <c:f>BDPQ_doprinosi!$R$35</c:f>
              <c:strCache>
                <c:ptCount val="1"/>
                <c:pt idx="0">
                  <c:v>Индустрија</c:v>
                </c:pt>
              </c:strCache>
            </c:strRef>
          </c:tx>
          <c:spPr>
            <a:solidFill>
              <a:srgbClr val="29489A"/>
            </a:solidFill>
            <a:ln>
              <a:noFill/>
            </a:ln>
            <a:effectLst/>
          </c:spPr>
          <c:invertIfNegative val="0"/>
          <c:cat>
            <c:multiLvlStrRef>
              <c:f>BDPQ_doprinosi!$AU$32:$BD$33</c:f>
              <c:multiLvlStrCache>
                <c:ptCount val="10"/>
                <c:lvl>
                  <c:pt idx="0">
                    <c:v>Q1</c:v>
                  </c:pt>
                  <c:pt idx="1">
                    <c:v>Q2</c:v>
                  </c:pt>
                  <c:pt idx="2">
                    <c:v>Q3</c:v>
                  </c:pt>
                  <c:pt idx="3">
                    <c:v>Q4</c:v>
                  </c:pt>
                  <c:pt idx="4">
                    <c:v>Q1</c:v>
                  </c:pt>
                  <c:pt idx="5">
                    <c:v>Q2</c:v>
                  </c:pt>
                  <c:pt idx="6">
                    <c:v>Q3</c:v>
                  </c:pt>
                  <c:pt idx="7">
                    <c:v>Q4</c:v>
                  </c:pt>
                  <c:pt idx="8">
                    <c:v>Q1</c:v>
                  </c:pt>
                  <c:pt idx="9">
                    <c:v>Q2</c:v>
                  </c:pt>
                </c:lvl>
                <c:lvl>
                  <c:pt idx="0">
                    <c:v>2019</c:v>
                  </c:pt>
                  <c:pt idx="4">
                    <c:v>2020</c:v>
                  </c:pt>
                  <c:pt idx="8">
                    <c:v>2021</c:v>
                  </c:pt>
                </c:lvl>
              </c:multiLvlStrCache>
            </c:multiLvlStrRef>
          </c:cat>
          <c:val>
            <c:numRef>
              <c:f>BDPQ_doprinosi!$AU$35:$BD$35</c:f>
              <c:numCache>
                <c:formatCode>0.0</c:formatCode>
                <c:ptCount val="10"/>
                <c:pt idx="0">
                  <c:v>-0.37047120002049999</c:v>
                </c:pt>
                <c:pt idx="1">
                  <c:v>-0.44078211717659677</c:v>
                </c:pt>
                <c:pt idx="2">
                  <c:v>0.44040066410863715</c:v>
                </c:pt>
                <c:pt idx="3">
                  <c:v>0.641724483798367</c:v>
                </c:pt>
                <c:pt idx="4">
                  <c:v>0.85719476496409119</c:v>
                </c:pt>
                <c:pt idx="5">
                  <c:v>-1.5267627227403038</c:v>
                </c:pt>
                <c:pt idx="6">
                  <c:v>0.6461429597526952</c:v>
                </c:pt>
                <c:pt idx="7">
                  <c:v>0.29973039687133901</c:v>
                </c:pt>
                <c:pt idx="8">
                  <c:v>0.79398195655575532</c:v>
                </c:pt>
                <c:pt idx="9">
                  <c:v>2.5768921852321571</c:v>
                </c:pt>
              </c:numCache>
            </c:numRef>
          </c:val>
          <c:extLst>
            <c:ext xmlns:c16="http://schemas.microsoft.com/office/drawing/2014/chart" uri="{C3380CC4-5D6E-409C-BE32-E72D297353CC}">
              <c16:uniqueId val="{00000001-F6E9-4421-9C8F-107B2A990D36}"/>
            </c:ext>
          </c:extLst>
        </c:ser>
        <c:ser>
          <c:idx val="2"/>
          <c:order val="2"/>
          <c:tx>
            <c:strRef>
              <c:f>BDPQ_doprinosi!$R$36</c:f>
              <c:strCache>
                <c:ptCount val="1"/>
                <c:pt idx="0">
                  <c:v>Грађевинарство</c:v>
                </c:pt>
              </c:strCache>
            </c:strRef>
          </c:tx>
          <c:spPr>
            <a:solidFill>
              <a:srgbClr val="2183C4"/>
            </a:solidFill>
            <a:ln>
              <a:noFill/>
            </a:ln>
            <a:effectLst/>
          </c:spPr>
          <c:invertIfNegative val="0"/>
          <c:cat>
            <c:multiLvlStrRef>
              <c:f>BDPQ_doprinosi!$AU$32:$BD$33</c:f>
              <c:multiLvlStrCache>
                <c:ptCount val="10"/>
                <c:lvl>
                  <c:pt idx="0">
                    <c:v>Q1</c:v>
                  </c:pt>
                  <c:pt idx="1">
                    <c:v>Q2</c:v>
                  </c:pt>
                  <c:pt idx="2">
                    <c:v>Q3</c:v>
                  </c:pt>
                  <c:pt idx="3">
                    <c:v>Q4</c:v>
                  </c:pt>
                  <c:pt idx="4">
                    <c:v>Q1</c:v>
                  </c:pt>
                  <c:pt idx="5">
                    <c:v>Q2</c:v>
                  </c:pt>
                  <c:pt idx="6">
                    <c:v>Q3</c:v>
                  </c:pt>
                  <c:pt idx="7">
                    <c:v>Q4</c:v>
                  </c:pt>
                  <c:pt idx="8">
                    <c:v>Q1</c:v>
                  </c:pt>
                  <c:pt idx="9">
                    <c:v>Q2</c:v>
                  </c:pt>
                </c:lvl>
                <c:lvl>
                  <c:pt idx="0">
                    <c:v>2019</c:v>
                  </c:pt>
                  <c:pt idx="4">
                    <c:v>2020</c:v>
                  </c:pt>
                  <c:pt idx="8">
                    <c:v>2021</c:v>
                  </c:pt>
                </c:lvl>
              </c:multiLvlStrCache>
            </c:multiLvlStrRef>
          </c:cat>
          <c:val>
            <c:numRef>
              <c:f>BDPQ_doprinosi!$AU$36:$BD$36</c:f>
              <c:numCache>
                <c:formatCode>0.0</c:formatCode>
                <c:ptCount val="10"/>
                <c:pt idx="0">
                  <c:v>0.40184253352351684</c:v>
                </c:pt>
                <c:pt idx="1">
                  <c:v>0.89963998812998824</c:v>
                </c:pt>
                <c:pt idx="2">
                  <c:v>1.948963958238924</c:v>
                </c:pt>
                <c:pt idx="3">
                  <c:v>2.6197791175430822</c:v>
                </c:pt>
                <c:pt idx="4">
                  <c:v>0.81579520298827568</c:v>
                </c:pt>
                <c:pt idx="5">
                  <c:v>-0.10178475835456875</c:v>
                </c:pt>
                <c:pt idx="6">
                  <c:v>-1.0919725767323973</c:v>
                </c:pt>
                <c:pt idx="7">
                  <c:v>-0.65467015840582299</c:v>
                </c:pt>
                <c:pt idx="8">
                  <c:v>0.77613815678054754</c:v>
                </c:pt>
                <c:pt idx="9">
                  <c:v>0.92588706672483367</c:v>
                </c:pt>
              </c:numCache>
            </c:numRef>
          </c:val>
          <c:extLst>
            <c:ext xmlns:c16="http://schemas.microsoft.com/office/drawing/2014/chart" uri="{C3380CC4-5D6E-409C-BE32-E72D297353CC}">
              <c16:uniqueId val="{00000002-F6E9-4421-9C8F-107B2A990D36}"/>
            </c:ext>
          </c:extLst>
        </c:ser>
        <c:ser>
          <c:idx val="3"/>
          <c:order val="3"/>
          <c:tx>
            <c:strRef>
              <c:f>BDPQ_doprinosi!$R$37</c:f>
              <c:strCache>
                <c:ptCount val="1"/>
                <c:pt idx="0">
                  <c:v>Услуге</c:v>
                </c:pt>
              </c:strCache>
            </c:strRef>
          </c:tx>
          <c:spPr>
            <a:solidFill>
              <a:srgbClr val="51BBE7"/>
            </a:solidFill>
            <a:ln>
              <a:noFill/>
            </a:ln>
            <a:effectLst/>
          </c:spPr>
          <c:invertIfNegative val="0"/>
          <c:cat>
            <c:multiLvlStrRef>
              <c:f>BDPQ_doprinosi!$AU$32:$BD$33</c:f>
              <c:multiLvlStrCache>
                <c:ptCount val="10"/>
                <c:lvl>
                  <c:pt idx="0">
                    <c:v>Q1</c:v>
                  </c:pt>
                  <c:pt idx="1">
                    <c:v>Q2</c:v>
                  </c:pt>
                  <c:pt idx="2">
                    <c:v>Q3</c:v>
                  </c:pt>
                  <c:pt idx="3">
                    <c:v>Q4</c:v>
                  </c:pt>
                  <c:pt idx="4">
                    <c:v>Q1</c:v>
                  </c:pt>
                  <c:pt idx="5">
                    <c:v>Q2</c:v>
                  </c:pt>
                  <c:pt idx="6">
                    <c:v>Q3</c:v>
                  </c:pt>
                  <c:pt idx="7">
                    <c:v>Q4</c:v>
                  </c:pt>
                  <c:pt idx="8">
                    <c:v>Q1</c:v>
                  </c:pt>
                  <c:pt idx="9">
                    <c:v>Q2</c:v>
                  </c:pt>
                </c:lvl>
                <c:lvl>
                  <c:pt idx="0">
                    <c:v>2019</c:v>
                  </c:pt>
                  <c:pt idx="4">
                    <c:v>2020</c:v>
                  </c:pt>
                  <c:pt idx="8">
                    <c:v>2021</c:v>
                  </c:pt>
                </c:lvl>
              </c:multiLvlStrCache>
            </c:multiLvlStrRef>
          </c:cat>
          <c:val>
            <c:numRef>
              <c:f>BDPQ_doprinosi!$AU$37:$BD$37</c:f>
              <c:numCache>
                <c:formatCode>0.0</c:formatCode>
                <c:ptCount val="10"/>
                <c:pt idx="0">
                  <c:v>2.0243526123216604</c:v>
                </c:pt>
                <c:pt idx="1">
                  <c:v>1.9459410032398026</c:v>
                </c:pt>
                <c:pt idx="2">
                  <c:v>2.0873974719157964</c:v>
                </c:pt>
                <c:pt idx="3">
                  <c:v>2.559574558548642</c:v>
                </c:pt>
                <c:pt idx="4">
                  <c:v>2.5821845606236908</c:v>
                </c:pt>
                <c:pt idx="5">
                  <c:v>-3.6416833895774032</c:v>
                </c:pt>
                <c:pt idx="6">
                  <c:v>-1.0339959870250583</c:v>
                </c:pt>
                <c:pt idx="7">
                  <c:v>-0.63737354236945443</c:v>
                </c:pt>
                <c:pt idx="8">
                  <c:v>0.55339093250867422</c:v>
                </c:pt>
                <c:pt idx="9">
                  <c:v>7.4879895583264009</c:v>
                </c:pt>
              </c:numCache>
            </c:numRef>
          </c:val>
          <c:extLst>
            <c:ext xmlns:c16="http://schemas.microsoft.com/office/drawing/2014/chart" uri="{C3380CC4-5D6E-409C-BE32-E72D297353CC}">
              <c16:uniqueId val="{00000003-F6E9-4421-9C8F-107B2A990D36}"/>
            </c:ext>
          </c:extLst>
        </c:ser>
        <c:ser>
          <c:idx val="4"/>
          <c:order val="4"/>
          <c:tx>
            <c:strRef>
              <c:f>BDPQ_doprinosi!$R$38</c:f>
              <c:strCache>
                <c:ptCount val="1"/>
                <c:pt idx="0">
                  <c:v>Нето порези</c:v>
                </c:pt>
              </c:strCache>
            </c:strRef>
          </c:tx>
          <c:spPr>
            <a:solidFill>
              <a:srgbClr val="9ED1E6"/>
            </a:solidFill>
            <a:ln>
              <a:noFill/>
            </a:ln>
            <a:effectLst/>
          </c:spPr>
          <c:invertIfNegative val="0"/>
          <c:cat>
            <c:multiLvlStrRef>
              <c:f>BDPQ_doprinosi!$AU$32:$BD$33</c:f>
              <c:multiLvlStrCache>
                <c:ptCount val="10"/>
                <c:lvl>
                  <c:pt idx="0">
                    <c:v>Q1</c:v>
                  </c:pt>
                  <c:pt idx="1">
                    <c:v>Q2</c:v>
                  </c:pt>
                  <c:pt idx="2">
                    <c:v>Q3</c:v>
                  </c:pt>
                  <c:pt idx="3">
                    <c:v>Q4</c:v>
                  </c:pt>
                  <c:pt idx="4">
                    <c:v>Q1</c:v>
                  </c:pt>
                  <c:pt idx="5">
                    <c:v>Q2</c:v>
                  </c:pt>
                  <c:pt idx="6">
                    <c:v>Q3</c:v>
                  </c:pt>
                  <c:pt idx="7">
                    <c:v>Q4</c:v>
                  </c:pt>
                  <c:pt idx="8">
                    <c:v>Q1</c:v>
                  </c:pt>
                  <c:pt idx="9">
                    <c:v>Q2</c:v>
                  </c:pt>
                </c:lvl>
                <c:lvl>
                  <c:pt idx="0">
                    <c:v>2019</c:v>
                  </c:pt>
                  <c:pt idx="4">
                    <c:v>2020</c:v>
                  </c:pt>
                  <c:pt idx="8">
                    <c:v>2021</c:v>
                  </c:pt>
                </c:lvl>
              </c:multiLvlStrCache>
            </c:multiLvlStrRef>
          </c:cat>
          <c:val>
            <c:numRef>
              <c:f>BDPQ_doprinosi!$AU$38:$BD$38</c:f>
              <c:numCache>
                <c:formatCode>0.0</c:formatCode>
                <c:ptCount val="10"/>
                <c:pt idx="0">
                  <c:v>0.59841193074270849</c:v>
                </c:pt>
                <c:pt idx="1">
                  <c:v>0.60858342239238994</c:v>
                </c:pt>
                <c:pt idx="2">
                  <c:v>0.58979350335464908</c:v>
                </c:pt>
                <c:pt idx="3">
                  <c:v>0.60753828135254551</c:v>
                </c:pt>
                <c:pt idx="4">
                  <c:v>0.71608709593536835</c:v>
                </c:pt>
                <c:pt idx="5">
                  <c:v>-1.2298960883414243</c:v>
                </c:pt>
                <c:pt idx="6">
                  <c:v>-0.21301824525177074</c:v>
                </c:pt>
                <c:pt idx="7">
                  <c:v>-0.29698501815943396</c:v>
                </c:pt>
                <c:pt idx="8">
                  <c:v>-0.22207320588492957</c:v>
                </c:pt>
                <c:pt idx="9">
                  <c:v>2.8145099459118907</c:v>
                </c:pt>
              </c:numCache>
            </c:numRef>
          </c:val>
          <c:extLst>
            <c:ext xmlns:c16="http://schemas.microsoft.com/office/drawing/2014/chart" uri="{C3380CC4-5D6E-409C-BE32-E72D297353CC}">
              <c16:uniqueId val="{00000004-F6E9-4421-9C8F-107B2A990D36}"/>
            </c:ext>
          </c:extLst>
        </c:ser>
        <c:dLbls>
          <c:showLegendKey val="0"/>
          <c:showVal val="0"/>
          <c:showCatName val="0"/>
          <c:showSerName val="0"/>
          <c:showPercent val="0"/>
          <c:showBubbleSize val="0"/>
        </c:dLbls>
        <c:gapWidth val="60"/>
        <c:overlap val="100"/>
        <c:axId val="1768857792"/>
        <c:axId val="1768858336"/>
      </c:barChart>
      <c:lineChart>
        <c:grouping val="standard"/>
        <c:varyColors val="0"/>
        <c:ser>
          <c:idx val="5"/>
          <c:order val="5"/>
          <c:tx>
            <c:strRef>
              <c:f>BDPQ_doprinosi!$R$39</c:f>
              <c:strCache>
                <c:ptCount val="1"/>
                <c:pt idx="0">
                  <c:v>Реални раст БДП</c:v>
                </c:pt>
              </c:strCache>
            </c:strRef>
          </c:tx>
          <c:spPr>
            <a:ln w="28575" cap="rnd">
              <a:solidFill>
                <a:srgbClr val="FF0000"/>
              </a:solidFill>
              <a:round/>
            </a:ln>
            <a:effectLst/>
          </c:spPr>
          <c:marker>
            <c:symbol val="none"/>
          </c:marker>
          <c:dLbls>
            <c:dLbl>
              <c:idx val="5"/>
              <c:layout>
                <c:manualLayout>
                  <c:x val="-6.6736293379994163E-2"/>
                  <c:y val="3.90026963616625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F6E9-4421-9C8F-107B2A990D36}"/>
                </c:ext>
              </c:extLst>
            </c:dLbl>
            <c:dLbl>
              <c:idx val="6"/>
              <c:dLblPos val="b"/>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F6E9-4421-9C8F-107B2A990D36}"/>
                </c:ext>
              </c:extLst>
            </c:dLbl>
            <c:dLbl>
              <c:idx val="7"/>
              <c:dLblPos val="b"/>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F6E9-4421-9C8F-107B2A990D36}"/>
                </c:ext>
              </c:extLst>
            </c:dLbl>
            <c:dLbl>
              <c:idx val="8"/>
              <c:layout>
                <c:manualLayout>
                  <c:x val="-8.4733887430737995E-2"/>
                  <c:y val="-5.680593306619590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F6E9-4421-9C8F-107B2A990D36}"/>
                </c:ext>
              </c:extLst>
            </c:dLbl>
            <c:spPr>
              <a:noFill/>
              <a:ln>
                <a:noFill/>
              </a:ln>
              <a:effectLst/>
            </c:spPr>
            <c:txPr>
              <a:bodyPr rot="0" spcFirstLastPara="1" vertOverflow="ellipsis" vert="horz" wrap="square" lIns="38100" tIns="19050" rIns="38100" bIns="19050" anchor="ctr" anchorCtr="1">
                <a:spAutoFit/>
              </a:bodyPr>
              <a:lstStyle/>
              <a:p>
                <a:pPr>
                  <a:defRPr sz="750" b="1" i="0" u="none" strike="noStrike" kern="1200" baseline="0">
                    <a:solidFill>
                      <a:srgbClr val="FF0000"/>
                    </a:solidFill>
                    <a:latin typeface="+mn-lt"/>
                    <a:ea typeface="+mn-ea"/>
                    <a:cs typeface="Arial" panose="020B0604020202020204" pitchFamily="34"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BDPQ_doprinosi!$AU$32:$BD$33</c:f>
              <c:multiLvlStrCache>
                <c:ptCount val="10"/>
                <c:lvl>
                  <c:pt idx="0">
                    <c:v>Q1</c:v>
                  </c:pt>
                  <c:pt idx="1">
                    <c:v>Q2</c:v>
                  </c:pt>
                  <c:pt idx="2">
                    <c:v>Q3</c:v>
                  </c:pt>
                  <c:pt idx="3">
                    <c:v>Q4</c:v>
                  </c:pt>
                  <c:pt idx="4">
                    <c:v>Q1</c:v>
                  </c:pt>
                  <c:pt idx="5">
                    <c:v>Q2</c:v>
                  </c:pt>
                  <c:pt idx="6">
                    <c:v>Q3</c:v>
                  </c:pt>
                  <c:pt idx="7">
                    <c:v>Q4</c:v>
                  </c:pt>
                  <c:pt idx="8">
                    <c:v>Q1</c:v>
                  </c:pt>
                  <c:pt idx="9">
                    <c:v>Q2</c:v>
                  </c:pt>
                </c:lvl>
                <c:lvl>
                  <c:pt idx="0">
                    <c:v>2019</c:v>
                  </c:pt>
                  <c:pt idx="4">
                    <c:v>2020</c:v>
                  </c:pt>
                  <c:pt idx="8">
                    <c:v>2021</c:v>
                  </c:pt>
                </c:lvl>
              </c:multiLvlStrCache>
            </c:multiLvlStrRef>
          </c:cat>
          <c:val>
            <c:numRef>
              <c:f>BDPQ_doprinosi!$AU$39:$BD$39</c:f>
              <c:numCache>
                <c:formatCode>0.0</c:formatCode>
                <c:ptCount val="10"/>
                <c:pt idx="0">
                  <c:v>2.6293857294288614</c:v>
                </c:pt>
                <c:pt idx="1">
                  <c:v>2.9368740310310386</c:v>
                </c:pt>
                <c:pt idx="2">
                  <c:v>4.8769910427885321</c:v>
                </c:pt>
                <c:pt idx="3">
                  <c:v>6.3183125736461392</c:v>
                </c:pt>
                <c:pt idx="4">
                  <c:v>5.181781970899209</c:v>
                </c:pt>
                <c:pt idx="5">
                  <c:v>-6.2622948779562932</c:v>
                </c:pt>
                <c:pt idx="6">
                  <c:v>-1.3957081186135127</c:v>
                </c:pt>
                <c:pt idx="7">
                  <c:v>-1.0350853190580125</c:v>
                </c:pt>
                <c:pt idx="8">
                  <c:v>1.7540474734850591</c:v>
                </c:pt>
                <c:pt idx="9">
                  <c:v>13.692996374063554</c:v>
                </c:pt>
              </c:numCache>
            </c:numRef>
          </c:val>
          <c:smooth val="0"/>
          <c:extLst>
            <c:ext xmlns:c16="http://schemas.microsoft.com/office/drawing/2014/chart" uri="{C3380CC4-5D6E-409C-BE32-E72D297353CC}">
              <c16:uniqueId val="{00000008-F6E9-4421-9C8F-107B2A990D36}"/>
            </c:ext>
          </c:extLst>
        </c:ser>
        <c:dLbls>
          <c:showLegendKey val="0"/>
          <c:showVal val="0"/>
          <c:showCatName val="0"/>
          <c:showSerName val="0"/>
          <c:showPercent val="0"/>
          <c:showBubbleSize val="0"/>
        </c:dLbls>
        <c:marker val="1"/>
        <c:smooth val="0"/>
        <c:axId val="1768857792"/>
        <c:axId val="1768858336"/>
      </c:lineChart>
      <c:catAx>
        <c:axId val="1768857792"/>
        <c:scaling>
          <c:orientation val="minMax"/>
        </c:scaling>
        <c:delete val="0"/>
        <c:axPos val="b"/>
        <c:numFmt formatCode="General" sourceLinked="1"/>
        <c:majorTickMark val="none"/>
        <c:minorTickMark val="none"/>
        <c:tickLblPos val="low"/>
        <c:spPr>
          <a:noFill/>
          <a:ln w="6350" cap="flat" cmpd="sng" algn="ctr">
            <a:solidFill>
              <a:srgbClr val="898989"/>
            </a:solidFill>
            <a:round/>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Arial" panose="020B0604020202020204" pitchFamily="34" charset="0"/>
              </a:defRPr>
            </a:pPr>
            <a:endParaRPr lang="en-US"/>
          </a:p>
        </c:txPr>
        <c:crossAx val="1768858336"/>
        <c:crosses val="autoZero"/>
        <c:auto val="1"/>
        <c:lblAlgn val="ctr"/>
        <c:lblOffset val="0"/>
        <c:noMultiLvlLbl val="0"/>
      </c:catAx>
      <c:valAx>
        <c:axId val="1768858336"/>
        <c:scaling>
          <c:orientation val="minMax"/>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Arial" panose="020B0604020202020204" pitchFamily="34" charset="0"/>
              </a:defRPr>
            </a:pPr>
            <a:endParaRPr lang="en-US"/>
          </a:p>
        </c:txPr>
        <c:crossAx val="1768857792"/>
        <c:crosses val="autoZero"/>
        <c:crossBetween val="between"/>
        <c:majorUnit val="4"/>
      </c:valAx>
      <c:spPr>
        <a:noFill/>
        <a:ln>
          <a:noFill/>
        </a:ln>
        <a:effectLst/>
      </c:spPr>
    </c:plotArea>
    <c:legend>
      <c:legendPos val="b"/>
      <c:layout>
        <c:manualLayout>
          <c:xMode val="edge"/>
          <c:yMode val="edge"/>
          <c:x val="2.9349664625255175E-2"/>
          <c:y val="0.84945769449176611"/>
          <c:w val="0.93586103820355804"/>
          <c:h val="0.1475728752602688"/>
        </c:manualLayout>
      </c:layout>
      <c:overlay val="0"/>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Arial" panose="020B0604020202020204" pitchFamily="34" charset="0"/>
            </a:defRPr>
          </a:pPr>
          <a:endParaRPr lang="en-US"/>
        </a:p>
      </c:txPr>
    </c:legend>
    <c:plotVisOnly val="1"/>
    <c:dispBlanksAs val="gap"/>
    <c:showDLblsOverMax val="0"/>
  </c:chart>
  <c:spPr>
    <a:solidFill>
      <a:sysClr val="window" lastClr="FFFFFF"/>
    </a:solidFill>
    <a:ln w="9525" cap="flat" cmpd="sng" algn="ctr">
      <a:noFill/>
      <a:round/>
    </a:ln>
    <a:effectLst/>
  </c:spPr>
  <c:txPr>
    <a:bodyPr/>
    <a:lstStyle/>
    <a:p>
      <a:pPr>
        <a:defRPr sz="750">
          <a:solidFill>
            <a:schemeClr val="tx2"/>
          </a:solidFill>
          <a:latin typeface="+mn-lt"/>
          <a:cs typeface="Arial" panose="020B0604020202020204" pitchFamily="34" charset="0"/>
        </a:defRPr>
      </a:pPr>
      <a:endParaRPr lang="en-US"/>
    </a:p>
  </c:txPr>
  <c:externalData r:id="rId4">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6.0253935185185188E-2"/>
          <c:y val="4.6197089947089945E-2"/>
          <c:w val="0.90740810185185183"/>
          <c:h val="0.63880572945331671"/>
        </c:manualLayout>
      </c:layout>
      <c:barChart>
        <c:barDir val="col"/>
        <c:grouping val="stacked"/>
        <c:varyColors val="0"/>
        <c:ser>
          <c:idx val="2"/>
          <c:order val="0"/>
          <c:tx>
            <c:strRef>
              <c:f>BDPQ_doprinosi!$R$8</c:f>
              <c:strCache>
                <c:ptCount val="1"/>
                <c:pt idx="0">
                  <c:v>Приватна потрошња</c:v>
                </c:pt>
              </c:strCache>
            </c:strRef>
          </c:tx>
          <c:spPr>
            <a:solidFill>
              <a:srgbClr val="10103C"/>
            </a:solidFill>
            <a:ln>
              <a:noFill/>
            </a:ln>
            <a:effectLst/>
          </c:spPr>
          <c:invertIfNegative val="0"/>
          <c:cat>
            <c:multiLvlStrRef>
              <c:f>BDPQ_doprinosi!$AU$5:$BD$6</c:f>
              <c:multiLvlStrCache>
                <c:ptCount val="10"/>
                <c:lvl>
                  <c:pt idx="0">
                    <c:v>Q1</c:v>
                  </c:pt>
                  <c:pt idx="1">
                    <c:v>Q2</c:v>
                  </c:pt>
                  <c:pt idx="2">
                    <c:v>Q3</c:v>
                  </c:pt>
                  <c:pt idx="3">
                    <c:v>Q4</c:v>
                  </c:pt>
                  <c:pt idx="4">
                    <c:v>Q1</c:v>
                  </c:pt>
                  <c:pt idx="5">
                    <c:v>Q2</c:v>
                  </c:pt>
                  <c:pt idx="6">
                    <c:v>Q3</c:v>
                  </c:pt>
                  <c:pt idx="7">
                    <c:v>Q4</c:v>
                  </c:pt>
                  <c:pt idx="8">
                    <c:v>Q1</c:v>
                  </c:pt>
                  <c:pt idx="9">
                    <c:v>Q2</c:v>
                  </c:pt>
                </c:lvl>
                <c:lvl>
                  <c:pt idx="0">
                    <c:v>2019</c:v>
                  </c:pt>
                  <c:pt idx="4">
                    <c:v>2020</c:v>
                  </c:pt>
                  <c:pt idx="8">
                    <c:v>2021</c:v>
                  </c:pt>
                </c:lvl>
              </c:multiLvlStrCache>
            </c:multiLvlStrRef>
          </c:cat>
          <c:val>
            <c:numRef>
              <c:f>BDPQ_doprinosi!$AU$8:$BD$8</c:f>
              <c:numCache>
                <c:formatCode>0.0</c:formatCode>
                <c:ptCount val="10"/>
                <c:pt idx="0">
                  <c:v>2.5008119361198968</c:v>
                </c:pt>
                <c:pt idx="1">
                  <c:v>2.7433479763107824</c:v>
                </c:pt>
                <c:pt idx="2">
                  <c:v>2.2150563410633008</c:v>
                </c:pt>
                <c:pt idx="3">
                  <c:v>2.4303206471250207</c:v>
                </c:pt>
                <c:pt idx="4">
                  <c:v>1.889560800367343</c:v>
                </c:pt>
                <c:pt idx="5">
                  <c:v>-5.9269798498347885</c:v>
                </c:pt>
                <c:pt idx="6">
                  <c:v>-0.80039736392042804</c:v>
                </c:pt>
                <c:pt idx="7">
                  <c:v>-1.7503820275750579</c:v>
                </c:pt>
                <c:pt idx="8">
                  <c:v>-1.165164763522162</c:v>
                </c:pt>
                <c:pt idx="9">
                  <c:v>11.925836134240795</c:v>
                </c:pt>
              </c:numCache>
            </c:numRef>
          </c:val>
          <c:extLst>
            <c:ext xmlns:c16="http://schemas.microsoft.com/office/drawing/2014/chart" uri="{C3380CC4-5D6E-409C-BE32-E72D297353CC}">
              <c16:uniqueId val="{00000000-A06B-4F9C-84C2-90A0223D78A8}"/>
            </c:ext>
          </c:extLst>
        </c:ser>
        <c:ser>
          <c:idx val="3"/>
          <c:order val="1"/>
          <c:tx>
            <c:strRef>
              <c:f>BDPQ_doprinosi!$R$9</c:f>
              <c:strCache>
                <c:ptCount val="1"/>
                <c:pt idx="0">
                  <c:v>Државна потрошња</c:v>
                </c:pt>
              </c:strCache>
            </c:strRef>
          </c:tx>
          <c:spPr>
            <a:solidFill>
              <a:srgbClr val="29489A"/>
            </a:solidFill>
            <a:ln>
              <a:noFill/>
            </a:ln>
            <a:effectLst/>
          </c:spPr>
          <c:invertIfNegative val="0"/>
          <c:cat>
            <c:multiLvlStrRef>
              <c:f>BDPQ_doprinosi!$AU$5:$BD$6</c:f>
              <c:multiLvlStrCache>
                <c:ptCount val="10"/>
                <c:lvl>
                  <c:pt idx="0">
                    <c:v>Q1</c:v>
                  </c:pt>
                  <c:pt idx="1">
                    <c:v>Q2</c:v>
                  </c:pt>
                  <c:pt idx="2">
                    <c:v>Q3</c:v>
                  </c:pt>
                  <c:pt idx="3">
                    <c:v>Q4</c:v>
                  </c:pt>
                  <c:pt idx="4">
                    <c:v>Q1</c:v>
                  </c:pt>
                  <c:pt idx="5">
                    <c:v>Q2</c:v>
                  </c:pt>
                  <c:pt idx="6">
                    <c:v>Q3</c:v>
                  </c:pt>
                  <c:pt idx="7">
                    <c:v>Q4</c:v>
                  </c:pt>
                  <c:pt idx="8">
                    <c:v>Q1</c:v>
                  </c:pt>
                  <c:pt idx="9">
                    <c:v>Q2</c:v>
                  </c:pt>
                </c:lvl>
                <c:lvl>
                  <c:pt idx="0">
                    <c:v>2019</c:v>
                  </c:pt>
                  <c:pt idx="4">
                    <c:v>2020</c:v>
                  </c:pt>
                  <c:pt idx="8">
                    <c:v>2021</c:v>
                  </c:pt>
                </c:lvl>
              </c:multiLvlStrCache>
            </c:multiLvlStrRef>
          </c:cat>
          <c:val>
            <c:numRef>
              <c:f>BDPQ_doprinosi!$AU$9:$BD$9</c:f>
              <c:numCache>
                <c:formatCode>0.0</c:formatCode>
                <c:ptCount val="10"/>
                <c:pt idx="0">
                  <c:v>0.33131120590200813</c:v>
                </c:pt>
                <c:pt idx="1">
                  <c:v>0.22217676218031432</c:v>
                </c:pt>
                <c:pt idx="2">
                  <c:v>0.57675871238522236</c:v>
                </c:pt>
                <c:pt idx="3">
                  <c:v>0.19244426659887864</c:v>
                </c:pt>
                <c:pt idx="4">
                  <c:v>1.8823978443243066</c:v>
                </c:pt>
                <c:pt idx="5">
                  <c:v>1.4238876383533345</c:v>
                </c:pt>
                <c:pt idx="6">
                  <c:v>-0.19025797221501309</c:v>
                </c:pt>
                <c:pt idx="7">
                  <c:v>0.76969506277540867</c:v>
                </c:pt>
                <c:pt idx="8">
                  <c:v>-0.11637561153700854</c:v>
                </c:pt>
                <c:pt idx="9">
                  <c:v>-0.6922318511708061</c:v>
                </c:pt>
              </c:numCache>
            </c:numRef>
          </c:val>
          <c:extLst>
            <c:ext xmlns:c16="http://schemas.microsoft.com/office/drawing/2014/chart" uri="{C3380CC4-5D6E-409C-BE32-E72D297353CC}">
              <c16:uniqueId val="{00000001-A06B-4F9C-84C2-90A0223D78A8}"/>
            </c:ext>
          </c:extLst>
        </c:ser>
        <c:ser>
          <c:idx val="1"/>
          <c:order val="2"/>
          <c:tx>
            <c:strRef>
              <c:f>BDPQ_doprinosi!$R$10</c:f>
              <c:strCache>
                <c:ptCount val="1"/>
                <c:pt idx="0">
                  <c:v>Инвестиције</c:v>
                </c:pt>
              </c:strCache>
            </c:strRef>
          </c:tx>
          <c:spPr>
            <a:solidFill>
              <a:srgbClr val="2183C4"/>
            </a:solidFill>
            <a:ln>
              <a:noFill/>
            </a:ln>
            <a:effectLst/>
          </c:spPr>
          <c:invertIfNegative val="0"/>
          <c:cat>
            <c:multiLvlStrRef>
              <c:f>BDPQ_doprinosi!$AU$5:$BD$6</c:f>
              <c:multiLvlStrCache>
                <c:ptCount val="10"/>
                <c:lvl>
                  <c:pt idx="0">
                    <c:v>Q1</c:v>
                  </c:pt>
                  <c:pt idx="1">
                    <c:v>Q2</c:v>
                  </c:pt>
                  <c:pt idx="2">
                    <c:v>Q3</c:v>
                  </c:pt>
                  <c:pt idx="3">
                    <c:v>Q4</c:v>
                  </c:pt>
                  <c:pt idx="4">
                    <c:v>Q1</c:v>
                  </c:pt>
                  <c:pt idx="5">
                    <c:v>Q2</c:v>
                  </c:pt>
                  <c:pt idx="6">
                    <c:v>Q3</c:v>
                  </c:pt>
                  <c:pt idx="7">
                    <c:v>Q4</c:v>
                  </c:pt>
                  <c:pt idx="8">
                    <c:v>Q1</c:v>
                  </c:pt>
                  <c:pt idx="9">
                    <c:v>Q2</c:v>
                  </c:pt>
                </c:lvl>
                <c:lvl>
                  <c:pt idx="0">
                    <c:v>2019</c:v>
                  </c:pt>
                  <c:pt idx="4">
                    <c:v>2020</c:v>
                  </c:pt>
                  <c:pt idx="8">
                    <c:v>2021</c:v>
                  </c:pt>
                </c:lvl>
              </c:multiLvlStrCache>
            </c:multiLvlStrRef>
          </c:cat>
          <c:val>
            <c:numRef>
              <c:f>BDPQ_doprinosi!$AU$10:$BD$10</c:f>
              <c:numCache>
                <c:formatCode>0.0</c:formatCode>
                <c:ptCount val="10"/>
                <c:pt idx="0">
                  <c:v>1.3776839091980539</c:v>
                </c:pt>
                <c:pt idx="1">
                  <c:v>1.8123751758044537</c:v>
                </c:pt>
                <c:pt idx="2">
                  <c:v>3.795106061655642</c:v>
                </c:pt>
                <c:pt idx="3">
                  <c:v>6.4603691890835497</c:v>
                </c:pt>
                <c:pt idx="4">
                  <c:v>2.3106888482396601</c:v>
                </c:pt>
                <c:pt idx="5">
                  <c:v>-2.5125618501541651</c:v>
                </c:pt>
                <c:pt idx="6">
                  <c:v>-1.0287166388766582</c:v>
                </c:pt>
                <c:pt idx="7">
                  <c:v>-1.0720125957581925</c:v>
                </c:pt>
                <c:pt idx="8">
                  <c:v>1.839854783884199</c:v>
                </c:pt>
                <c:pt idx="9">
                  <c:v>4.4467286471785465</c:v>
                </c:pt>
              </c:numCache>
            </c:numRef>
          </c:val>
          <c:extLst>
            <c:ext xmlns:c16="http://schemas.microsoft.com/office/drawing/2014/chart" uri="{C3380CC4-5D6E-409C-BE32-E72D297353CC}">
              <c16:uniqueId val="{00000002-A06B-4F9C-84C2-90A0223D78A8}"/>
            </c:ext>
          </c:extLst>
        </c:ser>
        <c:ser>
          <c:idx val="0"/>
          <c:order val="3"/>
          <c:tx>
            <c:strRef>
              <c:f>BDPQ_doprinosi!$R$11</c:f>
              <c:strCache>
                <c:ptCount val="1"/>
                <c:pt idx="0">
                  <c:v>Нето извоз</c:v>
                </c:pt>
              </c:strCache>
            </c:strRef>
          </c:tx>
          <c:spPr>
            <a:solidFill>
              <a:srgbClr val="51BBE7"/>
            </a:solidFill>
            <a:ln>
              <a:noFill/>
            </a:ln>
            <a:effectLst/>
          </c:spPr>
          <c:invertIfNegative val="0"/>
          <c:cat>
            <c:multiLvlStrRef>
              <c:f>BDPQ_doprinosi!$AU$5:$BD$6</c:f>
              <c:multiLvlStrCache>
                <c:ptCount val="10"/>
                <c:lvl>
                  <c:pt idx="0">
                    <c:v>Q1</c:v>
                  </c:pt>
                  <c:pt idx="1">
                    <c:v>Q2</c:v>
                  </c:pt>
                  <c:pt idx="2">
                    <c:v>Q3</c:v>
                  </c:pt>
                  <c:pt idx="3">
                    <c:v>Q4</c:v>
                  </c:pt>
                  <c:pt idx="4">
                    <c:v>Q1</c:v>
                  </c:pt>
                  <c:pt idx="5">
                    <c:v>Q2</c:v>
                  </c:pt>
                  <c:pt idx="6">
                    <c:v>Q3</c:v>
                  </c:pt>
                  <c:pt idx="7">
                    <c:v>Q4</c:v>
                  </c:pt>
                  <c:pt idx="8">
                    <c:v>Q1</c:v>
                  </c:pt>
                  <c:pt idx="9">
                    <c:v>Q2</c:v>
                  </c:pt>
                </c:lvl>
                <c:lvl>
                  <c:pt idx="0">
                    <c:v>2019</c:v>
                  </c:pt>
                  <c:pt idx="4">
                    <c:v>2020</c:v>
                  </c:pt>
                  <c:pt idx="8">
                    <c:v>2021</c:v>
                  </c:pt>
                </c:lvl>
              </c:multiLvlStrCache>
            </c:multiLvlStrRef>
          </c:cat>
          <c:val>
            <c:numRef>
              <c:f>BDPQ_doprinosi!$AU$11:$BD$11</c:f>
              <c:numCache>
                <c:formatCode>0.0</c:formatCode>
                <c:ptCount val="10"/>
                <c:pt idx="0">
                  <c:v>-1.6526623348271601</c:v>
                </c:pt>
                <c:pt idx="1">
                  <c:v>-2.287920433929989</c:v>
                </c:pt>
                <c:pt idx="2">
                  <c:v>-2.1819137541640368</c:v>
                </c:pt>
                <c:pt idx="3">
                  <c:v>-3.5061571026826632</c:v>
                </c:pt>
                <c:pt idx="4">
                  <c:v>-2.9952246593231644</c:v>
                </c:pt>
                <c:pt idx="5">
                  <c:v>1.3482171866317412</c:v>
                </c:pt>
                <c:pt idx="6">
                  <c:v>-2.770637985053769</c:v>
                </c:pt>
                <c:pt idx="7">
                  <c:v>0.62187002737859998</c:v>
                </c:pt>
                <c:pt idx="8">
                  <c:v>4.8021923120484233</c:v>
                </c:pt>
                <c:pt idx="9">
                  <c:v>-5.9262122535330928</c:v>
                </c:pt>
              </c:numCache>
            </c:numRef>
          </c:val>
          <c:extLst>
            <c:ext xmlns:c16="http://schemas.microsoft.com/office/drawing/2014/chart" uri="{C3380CC4-5D6E-409C-BE32-E72D297353CC}">
              <c16:uniqueId val="{00000003-A06B-4F9C-84C2-90A0223D78A8}"/>
            </c:ext>
          </c:extLst>
        </c:ser>
        <c:ser>
          <c:idx val="4"/>
          <c:order val="4"/>
          <c:tx>
            <c:strRef>
              <c:f>BDPQ_doprinosi!$R$12</c:f>
              <c:strCache>
                <c:ptCount val="1"/>
                <c:pt idx="0">
                  <c:v>Промена у залихама</c:v>
                </c:pt>
              </c:strCache>
            </c:strRef>
          </c:tx>
          <c:spPr>
            <a:solidFill>
              <a:srgbClr val="9ED1E6"/>
            </a:solidFill>
            <a:ln>
              <a:noFill/>
            </a:ln>
            <a:effectLst/>
          </c:spPr>
          <c:invertIfNegative val="0"/>
          <c:cat>
            <c:multiLvlStrRef>
              <c:f>BDPQ_doprinosi!$AU$5:$BD$6</c:f>
              <c:multiLvlStrCache>
                <c:ptCount val="10"/>
                <c:lvl>
                  <c:pt idx="0">
                    <c:v>Q1</c:v>
                  </c:pt>
                  <c:pt idx="1">
                    <c:v>Q2</c:v>
                  </c:pt>
                  <c:pt idx="2">
                    <c:v>Q3</c:v>
                  </c:pt>
                  <c:pt idx="3">
                    <c:v>Q4</c:v>
                  </c:pt>
                  <c:pt idx="4">
                    <c:v>Q1</c:v>
                  </c:pt>
                  <c:pt idx="5">
                    <c:v>Q2</c:v>
                  </c:pt>
                  <c:pt idx="6">
                    <c:v>Q3</c:v>
                  </c:pt>
                  <c:pt idx="7">
                    <c:v>Q4</c:v>
                  </c:pt>
                  <c:pt idx="8">
                    <c:v>Q1</c:v>
                  </c:pt>
                  <c:pt idx="9">
                    <c:v>Q2</c:v>
                  </c:pt>
                </c:lvl>
                <c:lvl>
                  <c:pt idx="0">
                    <c:v>2019</c:v>
                  </c:pt>
                  <c:pt idx="4">
                    <c:v>2020</c:v>
                  </c:pt>
                  <c:pt idx="8">
                    <c:v>2021</c:v>
                  </c:pt>
                </c:lvl>
              </c:multiLvlStrCache>
            </c:multiLvlStrRef>
          </c:cat>
          <c:val>
            <c:numRef>
              <c:f>BDPQ_doprinosi!$AU$12:$BD$12</c:f>
              <c:numCache>
                <c:formatCode>0.0</c:formatCode>
                <c:ptCount val="10"/>
                <c:pt idx="0">
                  <c:v>7.2241013036064672E-2</c:v>
                </c:pt>
                <c:pt idx="1">
                  <c:v>0.44689455066547445</c:v>
                </c:pt>
                <c:pt idx="2">
                  <c:v>0.47198368184841311</c:v>
                </c:pt>
                <c:pt idx="3">
                  <c:v>0.74133557352134982</c:v>
                </c:pt>
                <c:pt idx="4">
                  <c:v>2.0943591372910531</c:v>
                </c:pt>
                <c:pt idx="5">
                  <c:v>-0.59485800295241908</c:v>
                </c:pt>
                <c:pt idx="6">
                  <c:v>3.394301841452358</c:v>
                </c:pt>
                <c:pt idx="7">
                  <c:v>0.39574421412122723</c:v>
                </c:pt>
                <c:pt idx="8">
                  <c:v>-3.6064592473883925</c:v>
                </c:pt>
                <c:pt idx="9">
                  <c:v>3.9388756973481271</c:v>
                </c:pt>
              </c:numCache>
            </c:numRef>
          </c:val>
          <c:extLst>
            <c:ext xmlns:c16="http://schemas.microsoft.com/office/drawing/2014/chart" uri="{C3380CC4-5D6E-409C-BE32-E72D297353CC}">
              <c16:uniqueId val="{00000004-A06B-4F9C-84C2-90A0223D78A8}"/>
            </c:ext>
          </c:extLst>
        </c:ser>
        <c:dLbls>
          <c:showLegendKey val="0"/>
          <c:showVal val="0"/>
          <c:showCatName val="0"/>
          <c:showSerName val="0"/>
          <c:showPercent val="0"/>
          <c:showBubbleSize val="0"/>
        </c:dLbls>
        <c:gapWidth val="60"/>
        <c:overlap val="100"/>
        <c:axId val="1768857248"/>
        <c:axId val="1768855072"/>
      </c:barChart>
      <c:lineChart>
        <c:grouping val="standard"/>
        <c:varyColors val="0"/>
        <c:ser>
          <c:idx val="5"/>
          <c:order val="5"/>
          <c:tx>
            <c:strRef>
              <c:f>BDPQ_doprinosi!$R$13</c:f>
              <c:strCache>
                <c:ptCount val="1"/>
                <c:pt idx="0">
                  <c:v>Реални раст БДП</c:v>
                </c:pt>
              </c:strCache>
            </c:strRef>
          </c:tx>
          <c:spPr>
            <a:ln w="28575" cap="rnd">
              <a:solidFill>
                <a:srgbClr val="FF0000"/>
              </a:solidFill>
              <a:round/>
            </a:ln>
            <a:effectLst/>
          </c:spPr>
          <c:marker>
            <c:symbol val="none"/>
          </c:marker>
          <c:dLbls>
            <c:dLbl>
              <c:idx val="5"/>
              <c:dLblPos val="b"/>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A06B-4F9C-84C2-90A0223D78A8}"/>
                </c:ext>
              </c:extLst>
            </c:dLbl>
            <c:dLbl>
              <c:idx val="6"/>
              <c:dLblPos val="b"/>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A06B-4F9C-84C2-90A0223D78A8}"/>
                </c:ext>
              </c:extLst>
            </c:dLbl>
            <c:dLbl>
              <c:idx val="7"/>
              <c:dLblPos val="b"/>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A06B-4F9C-84C2-90A0223D78A8}"/>
                </c:ext>
              </c:extLst>
            </c:dLbl>
            <c:spPr>
              <a:noFill/>
              <a:ln>
                <a:noFill/>
              </a:ln>
              <a:effectLst/>
            </c:spPr>
            <c:txPr>
              <a:bodyPr rot="0" spcFirstLastPara="1" vertOverflow="ellipsis" vert="horz" wrap="square" lIns="38100" tIns="19050" rIns="38100" bIns="19050" anchor="ctr" anchorCtr="1">
                <a:spAutoFit/>
              </a:bodyPr>
              <a:lstStyle/>
              <a:p>
                <a:pPr>
                  <a:defRPr sz="750" b="1" i="0" u="none" strike="noStrike" kern="1200" baseline="0">
                    <a:solidFill>
                      <a:srgbClr val="FF0000"/>
                    </a:solidFill>
                    <a:latin typeface="+mn-lt"/>
                    <a:ea typeface="+mn-ea"/>
                    <a:cs typeface="Arial" panose="020B0604020202020204" pitchFamily="34"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BDPQ_doprinosi!$AU$5:$BD$6</c:f>
              <c:multiLvlStrCache>
                <c:ptCount val="10"/>
                <c:lvl>
                  <c:pt idx="0">
                    <c:v>Q1</c:v>
                  </c:pt>
                  <c:pt idx="1">
                    <c:v>Q2</c:v>
                  </c:pt>
                  <c:pt idx="2">
                    <c:v>Q3</c:v>
                  </c:pt>
                  <c:pt idx="3">
                    <c:v>Q4</c:v>
                  </c:pt>
                  <c:pt idx="4">
                    <c:v>Q1</c:v>
                  </c:pt>
                  <c:pt idx="5">
                    <c:v>Q2</c:v>
                  </c:pt>
                  <c:pt idx="6">
                    <c:v>Q3</c:v>
                  </c:pt>
                  <c:pt idx="7">
                    <c:v>Q4</c:v>
                  </c:pt>
                  <c:pt idx="8">
                    <c:v>Q1</c:v>
                  </c:pt>
                  <c:pt idx="9">
                    <c:v>Q2</c:v>
                  </c:pt>
                </c:lvl>
                <c:lvl>
                  <c:pt idx="0">
                    <c:v>2019</c:v>
                  </c:pt>
                  <c:pt idx="4">
                    <c:v>2020</c:v>
                  </c:pt>
                  <c:pt idx="8">
                    <c:v>2021</c:v>
                  </c:pt>
                </c:lvl>
              </c:multiLvlStrCache>
            </c:multiLvlStrRef>
          </c:cat>
          <c:val>
            <c:numRef>
              <c:f>BDPQ_doprinosi!$AU$13:$BD$13</c:f>
              <c:numCache>
                <c:formatCode>0.0</c:formatCode>
                <c:ptCount val="10"/>
                <c:pt idx="0">
                  <c:v>2.6293857294288636</c:v>
                </c:pt>
                <c:pt idx="1">
                  <c:v>2.9368740310310359</c:v>
                </c:pt>
                <c:pt idx="2">
                  <c:v>4.876991042788541</c:v>
                </c:pt>
                <c:pt idx="3">
                  <c:v>6.3183125736461356</c:v>
                </c:pt>
                <c:pt idx="4">
                  <c:v>5.1817819708991983</c:v>
                </c:pt>
                <c:pt idx="5">
                  <c:v>-6.2622948779562968</c:v>
                </c:pt>
                <c:pt idx="6">
                  <c:v>-1.3957081186135103</c:v>
                </c:pt>
                <c:pt idx="7">
                  <c:v>-1.0350853190580143</c:v>
                </c:pt>
                <c:pt idx="8">
                  <c:v>1.7540474734850584</c:v>
                </c:pt>
                <c:pt idx="9">
                  <c:v>13.692996374063569</c:v>
                </c:pt>
              </c:numCache>
            </c:numRef>
          </c:val>
          <c:smooth val="0"/>
          <c:extLst>
            <c:ext xmlns:c16="http://schemas.microsoft.com/office/drawing/2014/chart" uri="{C3380CC4-5D6E-409C-BE32-E72D297353CC}">
              <c16:uniqueId val="{00000008-A06B-4F9C-84C2-90A0223D78A8}"/>
            </c:ext>
          </c:extLst>
        </c:ser>
        <c:dLbls>
          <c:showLegendKey val="0"/>
          <c:showVal val="0"/>
          <c:showCatName val="0"/>
          <c:showSerName val="0"/>
          <c:showPercent val="0"/>
          <c:showBubbleSize val="0"/>
        </c:dLbls>
        <c:marker val="1"/>
        <c:smooth val="0"/>
        <c:axId val="1768857248"/>
        <c:axId val="1768855072"/>
      </c:lineChart>
      <c:catAx>
        <c:axId val="1768857248"/>
        <c:scaling>
          <c:orientation val="minMax"/>
        </c:scaling>
        <c:delete val="0"/>
        <c:axPos val="b"/>
        <c:numFmt formatCode="General" sourceLinked="1"/>
        <c:majorTickMark val="none"/>
        <c:minorTickMark val="none"/>
        <c:tickLblPos val="low"/>
        <c:spPr>
          <a:noFill/>
          <a:ln w="6350" cap="flat" cmpd="sng" algn="ctr">
            <a:solidFill>
              <a:srgbClr val="898989"/>
            </a:solidFill>
            <a:round/>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Arial" panose="020B0604020202020204" pitchFamily="34" charset="0"/>
              </a:defRPr>
            </a:pPr>
            <a:endParaRPr lang="en-US"/>
          </a:p>
        </c:txPr>
        <c:crossAx val="1768855072"/>
        <c:crosses val="autoZero"/>
        <c:auto val="1"/>
        <c:lblAlgn val="ctr"/>
        <c:lblOffset val="0"/>
        <c:noMultiLvlLbl val="0"/>
      </c:catAx>
      <c:valAx>
        <c:axId val="1768855072"/>
        <c:scaling>
          <c:orientation val="minMax"/>
          <c:max val="22"/>
          <c:min val="-12"/>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Arial" panose="020B0604020202020204" pitchFamily="34" charset="0"/>
              </a:defRPr>
            </a:pPr>
            <a:endParaRPr lang="en-US"/>
          </a:p>
        </c:txPr>
        <c:crossAx val="1768857248"/>
        <c:crosses val="autoZero"/>
        <c:crossBetween val="between"/>
        <c:majorUnit val="4"/>
      </c:valAx>
      <c:spPr>
        <a:noFill/>
        <a:ln>
          <a:noFill/>
        </a:ln>
        <a:effectLst/>
      </c:spPr>
    </c:plotArea>
    <c:legend>
      <c:legendPos val="b"/>
      <c:layout>
        <c:manualLayout>
          <c:xMode val="edge"/>
          <c:yMode val="edge"/>
          <c:x val="0"/>
          <c:y val="0.83244109195402283"/>
          <c:w val="1"/>
          <c:h val="0.16755890804597701"/>
        </c:manualLayout>
      </c:layout>
      <c:overlay val="0"/>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Arial" panose="020B0604020202020204" pitchFamily="34" charset="0"/>
            </a:defRPr>
          </a:pPr>
          <a:endParaRPr lang="en-US"/>
        </a:p>
      </c:txPr>
    </c:legend>
    <c:plotVisOnly val="1"/>
    <c:dispBlanksAs val="gap"/>
    <c:showDLblsOverMax val="0"/>
  </c:chart>
  <c:spPr>
    <a:solidFill>
      <a:sysClr val="window" lastClr="FFFFFF"/>
    </a:solidFill>
    <a:ln w="9525" cap="flat" cmpd="sng" algn="ctr">
      <a:noFill/>
      <a:round/>
    </a:ln>
    <a:effectLst/>
  </c:spPr>
  <c:txPr>
    <a:bodyPr/>
    <a:lstStyle/>
    <a:p>
      <a:pPr>
        <a:defRPr sz="750">
          <a:solidFill>
            <a:schemeClr val="tx2"/>
          </a:solidFill>
          <a:latin typeface="+mn-lt"/>
          <a:cs typeface="Arial" panose="020B0604020202020204" pitchFamily="34" charset="0"/>
        </a:defRPr>
      </a:pPr>
      <a:endParaRPr lang="en-US"/>
    </a:p>
  </c:txPr>
  <c:externalData r:id="rId4">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6.6824305555555574E-2"/>
          <c:y val="2.2302910052910054E-2"/>
          <c:w val="0.88431506235448831"/>
          <c:h val="0.64946742809290636"/>
        </c:manualLayout>
      </c:layout>
      <c:lineChart>
        <c:grouping val="standard"/>
        <c:varyColors val="0"/>
        <c:ser>
          <c:idx val="0"/>
          <c:order val="0"/>
          <c:tx>
            <c:strRef>
              <c:f>IPAS_trend!$AH$2</c:f>
              <c:strCache>
                <c:ptCount val="1"/>
                <c:pt idx="0">
                  <c:v>Оригинални подаци</c:v>
                </c:pt>
              </c:strCache>
            </c:strRef>
          </c:tx>
          <c:spPr>
            <a:ln w="15875">
              <a:solidFill>
                <a:srgbClr val="A44AA4"/>
              </a:solidFill>
              <a:prstDash val="sysDot"/>
            </a:ln>
          </c:spPr>
          <c:marker>
            <c:symbol val="none"/>
          </c:marker>
          <c:cat>
            <c:multiLvlStrRef>
              <c:f>IPAS_trend!$AF$123:$AG$166</c:f>
              <c:multiLvlStrCache>
                <c:ptCount val="32"/>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pt idx="24">
                    <c:v>I</c:v>
                  </c:pt>
                  <c:pt idx="25">
                    <c:v>II</c:v>
                  </c:pt>
                  <c:pt idx="26">
                    <c:v>III</c:v>
                  </c:pt>
                  <c:pt idx="27">
                    <c:v>IV</c:v>
                  </c:pt>
                  <c:pt idx="28">
                    <c:v>V</c:v>
                  </c:pt>
                  <c:pt idx="29">
                    <c:v>VI</c:v>
                  </c:pt>
                  <c:pt idx="30">
                    <c:v>VII</c:v>
                  </c:pt>
                  <c:pt idx="31">
                    <c:v>VIII</c:v>
                  </c:pt>
                </c:lvl>
                <c:lvl>
                  <c:pt idx="0">
                    <c:v>2019</c:v>
                  </c:pt>
                  <c:pt idx="12">
                    <c:v>2020</c:v>
                  </c:pt>
                  <c:pt idx="24">
                    <c:v>2021</c:v>
                  </c:pt>
                </c:lvl>
              </c:multiLvlStrCache>
              <c:extLst/>
            </c:multiLvlStrRef>
          </c:cat>
          <c:val>
            <c:numRef>
              <c:f>IPAS_trend!$AH$123:$AH$166</c:f>
              <c:numCache>
                <c:formatCode>0.0</c:formatCode>
                <c:ptCount val="32"/>
                <c:pt idx="0">
                  <c:v>371857.15139878902</c:v>
                </c:pt>
                <c:pt idx="1">
                  <c:v>376879.03028863802</c:v>
                </c:pt>
                <c:pt idx="2">
                  <c:v>391425.55862081598</c:v>
                </c:pt>
                <c:pt idx="3">
                  <c:v>394005.38538367301</c:v>
                </c:pt>
                <c:pt idx="4">
                  <c:v>409729.00787337503</c:v>
                </c:pt>
                <c:pt idx="5">
                  <c:v>411585.449435118</c:v>
                </c:pt>
                <c:pt idx="6">
                  <c:v>422077.61494771799</c:v>
                </c:pt>
                <c:pt idx="7">
                  <c:v>422369.12726480799</c:v>
                </c:pt>
                <c:pt idx="8">
                  <c:v>433598.66823047801</c:v>
                </c:pt>
                <c:pt idx="9">
                  <c:v>441362.82546408998</c:v>
                </c:pt>
                <c:pt idx="10">
                  <c:v>442083.23388917698</c:v>
                </c:pt>
                <c:pt idx="11">
                  <c:v>442573.15332306101</c:v>
                </c:pt>
                <c:pt idx="12">
                  <c:v>399040.81468408299</c:v>
                </c:pt>
                <c:pt idx="13">
                  <c:v>396261.18618685799</c:v>
                </c:pt>
                <c:pt idx="14">
                  <c:v>403940.43393793498</c:v>
                </c:pt>
                <c:pt idx="15">
                  <c:v>342634.71467792202</c:v>
                </c:pt>
                <c:pt idx="16">
                  <c:v>383504.41822255199</c:v>
                </c:pt>
                <c:pt idx="17">
                  <c:v>413073.796838162</c:v>
                </c:pt>
                <c:pt idx="18">
                  <c:v>412106.84353897499</c:v>
                </c:pt>
                <c:pt idx="19">
                  <c:v>418257.58186639502</c:v>
                </c:pt>
                <c:pt idx="20">
                  <c:v>429843.19793235499</c:v>
                </c:pt>
                <c:pt idx="21">
                  <c:v>434465.73027731199</c:v>
                </c:pt>
                <c:pt idx="22">
                  <c:v>435614.024701635</c:v>
                </c:pt>
                <c:pt idx="23">
                  <c:v>442214.02788561</c:v>
                </c:pt>
                <c:pt idx="24" formatCode="General">
                  <c:v>394332.28130078397</c:v>
                </c:pt>
                <c:pt idx="25" formatCode="General">
                  <c:v>399575.90306242701</c:v>
                </c:pt>
                <c:pt idx="26" formatCode="General">
                  <c:v>426369.53130220302</c:v>
                </c:pt>
                <c:pt idx="27" formatCode="General">
                  <c:v>412783.977993151</c:v>
                </c:pt>
                <c:pt idx="28" formatCode="General">
                  <c:v>432769.00494698901</c:v>
                </c:pt>
                <c:pt idx="29" formatCode="General">
                  <c:v>449652.33231294301</c:v>
                </c:pt>
                <c:pt idx="30" formatCode="General">
                  <c:v>445422.98789565102</c:v>
                </c:pt>
                <c:pt idx="31" formatCode="General">
                  <c:v>450192.51382785698</c:v>
                </c:pt>
              </c:numCache>
              <c:extLst/>
            </c:numRef>
          </c:val>
          <c:smooth val="0"/>
          <c:extLst>
            <c:ext xmlns:c16="http://schemas.microsoft.com/office/drawing/2014/chart" uri="{C3380CC4-5D6E-409C-BE32-E72D297353CC}">
              <c16:uniqueId val="{00000000-FE62-4063-BF44-12C64B6092BF}"/>
            </c:ext>
          </c:extLst>
        </c:ser>
        <c:ser>
          <c:idx val="1"/>
          <c:order val="1"/>
          <c:tx>
            <c:strRef>
              <c:f>IPAS_trend!$AI$2</c:f>
              <c:strCache>
                <c:ptCount val="1"/>
                <c:pt idx="0">
                  <c:v>Тренд циклус</c:v>
                </c:pt>
              </c:strCache>
            </c:strRef>
          </c:tx>
          <c:spPr>
            <a:ln w="25400">
              <a:solidFill>
                <a:srgbClr val="FF0000"/>
              </a:solidFill>
            </a:ln>
          </c:spPr>
          <c:marker>
            <c:symbol val="none"/>
          </c:marker>
          <c:cat>
            <c:multiLvlStrRef>
              <c:f>IPAS_trend!$AF$123:$AG$166</c:f>
              <c:multiLvlStrCache>
                <c:ptCount val="32"/>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pt idx="24">
                    <c:v>I</c:v>
                  </c:pt>
                  <c:pt idx="25">
                    <c:v>II</c:v>
                  </c:pt>
                  <c:pt idx="26">
                    <c:v>III</c:v>
                  </c:pt>
                  <c:pt idx="27">
                    <c:v>IV</c:v>
                  </c:pt>
                  <c:pt idx="28">
                    <c:v>V</c:v>
                  </c:pt>
                  <c:pt idx="29">
                    <c:v>VI</c:v>
                  </c:pt>
                  <c:pt idx="30">
                    <c:v>VII</c:v>
                  </c:pt>
                  <c:pt idx="31">
                    <c:v>VIII</c:v>
                  </c:pt>
                </c:lvl>
                <c:lvl>
                  <c:pt idx="0">
                    <c:v>2019</c:v>
                  </c:pt>
                  <c:pt idx="12">
                    <c:v>2020</c:v>
                  </c:pt>
                  <c:pt idx="24">
                    <c:v>2021</c:v>
                  </c:pt>
                </c:lvl>
              </c:multiLvlStrCache>
              <c:extLst/>
            </c:multiLvlStrRef>
          </c:cat>
          <c:val>
            <c:numRef>
              <c:f>IPAS_trend!$AI$123:$AI$166</c:f>
              <c:numCache>
                <c:formatCode>0.0</c:formatCode>
                <c:ptCount val="32"/>
                <c:pt idx="0">
                  <c:v>398856.26574896299</c:v>
                </c:pt>
                <c:pt idx="1">
                  <c:v>402621.68793676503</c:v>
                </c:pt>
                <c:pt idx="2">
                  <c:v>405922.31467272801</c:v>
                </c:pt>
                <c:pt idx="3">
                  <c:v>408282.936762831</c:v>
                </c:pt>
                <c:pt idx="4">
                  <c:v>410054.80171816499</c:v>
                </c:pt>
                <c:pt idx="5">
                  <c:v>412048.19211992202</c:v>
                </c:pt>
                <c:pt idx="6">
                  <c:v>414929.78294184001</c:v>
                </c:pt>
                <c:pt idx="7">
                  <c:v>417128.95275415102</c:v>
                </c:pt>
                <c:pt idx="8">
                  <c:v>418506.44859121199</c:v>
                </c:pt>
                <c:pt idx="9">
                  <c:v>420280.78658337501</c:v>
                </c:pt>
                <c:pt idx="10">
                  <c:v>422697.51099816401</c:v>
                </c:pt>
                <c:pt idx="11">
                  <c:v>424403.80123896297</c:v>
                </c:pt>
                <c:pt idx="12">
                  <c:v>424457.41586550901</c:v>
                </c:pt>
                <c:pt idx="13">
                  <c:v>422276.01743054303</c:v>
                </c:pt>
                <c:pt idx="14">
                  <c:v>418676.02839859802</c:v>
                </c:pt>
                <c:pt idx="15">
                  <c:v>415487.81180084503</c:v>
                </c:pt>
                <c:pt idx="16">
                  <c:v>412687.30179097399</c:v>
                </c:pt>
                <c:pt idx="17">
                  <c:v>410112.470858327</c:v>
                </c:pt>
                <c:pt idx="18">
                  <c:v>409757.20770447201</c:v>
                </c:pt>
                <c:pt idx="19">
                  <c:v>412372.17596339702</c:v>
                </c:pt>
                <c:pt idx="20">
                  <c:v>414334.80295929499</c:v>
                </c:pt>
                <c:pt idx="21">
                  <c:v>415209.989165682</c:v>
                </c:pt>
                <c:pt idx="22">
                  <c:v>418057.79192153399</c:v>
                </c:pt>
                <c:pt idx="23">
                  <c:v>421147.19379672798</c:v>
                </c:pt>
                <c:pt idx="24" formatCode="General">
                  <c:v>423185.30317266</c:v>
                </c:pt>
                <c:pt idx="25" formatCode="General">
                  <c:v>425791.32513348298</c:v>
                </c:pt>
                <c:pt idx="26" formatCode="General">
                  <c:v>427696.928150144</c:v>
                </c:pt>
                <c:pt idx="27" formatCode="General">
                  <c:v>429674.64959813101</c:v>
                </c:pt>
                <c:pt idx="28" formatCode="General">
                  <c:v>435240.509008819</c:v>
                </c:pt>
                <c:pt idx="29" formatCode="General">
                  <c:v>441112.44919818698</c:v>
                </c:pt>
                <c:pt idx="30" formatCode="General">
                  <c:v>442740.159928718</c:v>
                </c:pt>
                <c:pt idx="31" formatCode="General">
                  <c:v>443397.245942145</c:v>
                </c:pt>
              </c:numCache>
              <c:extLst/>
            </c:numRef>
          </c:val>
          <c:smooth val="0"/>
          <c:extLst>
            <c:ext xmlns:c16="http://schemas.microsoft.com/office/drawing/2014/chart" uri="{C3380CC4-5D6E-409C-BE32-E72D297353CC}">
              <c16:uniqueId val="{00000001-FE62-4063-BF44-12C64B6092BF}"/>
            </c:ext>
          </c:extLst>
        </c:ser>
        <c:ser>
          <c:idx val="2"/>
          <c:order val="2"/>
          <c:tx>
            <c:strRef>
              <c:f>IPAS_trend!$AJ$2</c:f>
              <c:strCache>
                <c:ptCount val="1"/>
                <c:pt idx="0">
                  <c:v>Десезонирани подаци</c:v>
                </c:pt>
              </c:strCache>
            </c:strRef>
          </c:tx>
          <c:spPr>
            <a:ln w="22225">
              <a:solidFill>
                <a:srgbClr val="002060"/>
              </a:solidFill>
            </a:ln>
          </c:spPr>
          <c:marker>
            <c:symbol val="none"/>
          </c:marker>
          <c:cat>
            <c:multiLvlStrRef>
              <c:f>IPAS_trend!$AF$123:$AG$166</c:f>
              <c:multiLvlStrCache>
                <c:ptCount val="32"/>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pt idx="24">
                    <c:v>I</c:v>
                  </c:pt>
                  <c:pt idx="25">
                    <c:v>II</c:v>
                  </c:pt>
                  <c:pt idx="26">
                    <c:v>III</c:v>
                  </c:pt>
                  <c:pt idx="27">
                    <c:v>IV</c:v>
                  </c:pt>
                  <c:pt idx="28">
                    <c:v>V</c:v>
                  </c:pt>
                  <c:pt idx="29">
                    <c:v>VI</c:v>
                  </c:pt>
                  <c:pt idx="30">
                    <c:v>VII</c:v>
                  </c:pt>
                  <c:pt idx="31">
                    <c:v>VIII</c:v>
                  </c:pt>
                </c:lvl>
                <c:lvl>
                  <c:pt idx="0">
                    <c:v>2019</c:v>
                  </c:pt>
                  <c:pt idx="12">
                    <c:v>2020</c:v>
                  </c:pt>
                  <c:pt idx="24">
                    <c:v>2021</c:v>
                  </c:pt>
                </c:lvl>
              </c:multiLvlStrCache>
              <c:extLst/>
            </c:multiLvlStrRef>
          </c:cat>
          <c:val>
            <c:numRef>
              <c:f>IPAS_trend!$AJ$123:$AJ$166</c:f>
              <c:numCache>
                <c:formatCode>0.0</c:formatCode>
                <c:ptCount val="32"/>
                <c:pt idx="0">
                  <c:v>397579.32179328502</c:v>
                </c:pt>
                <c:pt idx="1">
                  <c:v>403434.49877779098</c:v>
                </c:pt>
                <c:pt idx="2">
                  <c:v>406110.19352311001</c:v>
                </c:pt>
                <c:pt idx="3">
                  <c:v>408087.127127335</c:v>
                </c:pt>
                <c:pt idx="4">
                  <c:v>410882.81660046597</c:v>
                </c:pt>
                <c:pt idx="5">
                  <c:v>410358.07304935099</c:v>
                </c:pt>
                <c:pt idx="6">
                  <c:v>416582.15399722301</c:v>
                </c:pt>
                <c:pt idx="7">
                  <c:v>416250.35247261199</c:v>
                </c:pt>
                <c:pt idx="8">
                  <c:v>419464.92368119402</c:v>
                </c:pt>
                <c:pt idx="9">
                  <c:v>418824.084865899</c:v>
                </c:pt>
                <c:pt idx="10">
                  <c:v>423990.63762207603</c:v>
                </c:pt>
                <c:pt idx="11">
                  <c:v>424022.96955232997</c:v>
                </c:pt>
                <c:pt idx="12">
                  <c:v>425634.629381873</c:v>
                </c:pt>
                <c:pt idx="13">
                  <c:v>422625.79926134099</c:v>
                </c:pt>
                <c:pt idx="14">
                  <c:v>418302.75884647598</c:v>
                </c:pt>
                <c:pt idx="15">
                  <c:v>355762.58652046701</c:v>
                </c:pt>
                <c:pt idx="16">
                  <c:v>386065.51864872401</c:v>
                </c:pt>
                <c:pt idx="17">
                  <c:v>409915.048982037</c:v>
                </c:pt>
                <c:pt idx="18">
                  <c:v>407873.69535613601</c:v>
                </c:pt>
                <c:pt idx="19">
                  <c:v>413286.13870911102</c:v>
                </c:pt>
                <c:pt idx="20">
                  <c:v>415128.65166811598</c:v>
                </c:pt>
                <c:pt idx="21">
                  <c:v>413866.05135308899</c:v>
                </c:pt>
                <c:pt idx="22">
                  <c:v>417928.38618177897</c:v>
                </c:pt>
                <c:pt idx="23">
                  <c:v>422561.97613823297</c:v>
                </c:pt>
                <c:pt idx="24" formatCode="General">
                  <c:v>421614.55422478798</c:v>
                </c:pt>
                <c:pt idx="25" formatCode="General">
                  <c:v>426962.61573437898</c:v>
                </c:pt>
                <c:pt idx="26" formatCode="General">
                  <c:v>437031.55546089401</c:v>
                </c:pt>
                <c:pt idx="27" formatCode="General">
                  <c:v>428442.82743417501</c:v>
                </c:pt>
                <c:pt idx="28" formatCode="General">
                  <c:v>434003.15286547999</c:v>
                </c:pt>
                <c:pt idx="29" formatCode="General">
                  <c:v>444662.132947376</c:v>
                </c:pt>
                <c:pt idx="30" formatCode="General">
                  <c:v>441387.14091815997</c:v>
                </c:pt>
                <c:pt idx="31" formatCode="General">
                  <c:v>443568.27084799099</c:v>
                </c:pt>
              </c:numCache>
              <c:extLst/>
            </c:numRef>
          </c:val>
          <c:smooth val="0"/>
          <c:extLst>
            <c:ext xmlns:c16="http://schemas.microsoft.com/office/drawing/2014/chart" uri="{C3380CC4-5D6E-409C-BE32-E72D297353CC}">
              <c16:uniqueId val="{00000002-FE62-4063-BF44-12C64B6092BF}"/>
            </c:ext>
          </c:extLst>
        </c:ser>
        <c:dLbls>
          <c:showLegendKey val="0"/>
          <c:showVal val="0"/>
          <c:showCatName val="0"/>
          <c:showSerName val="0"/>
          <c:showPercent val="0"/>
          <c:showBubbleSize val="0"/>
        </c:dLbls>
        <c:smooth val="0"/>
        <c:axId val="761081920"/>
        <c:axId val="761082480"/>
      </c:lineChart>
      <c:catAx>
        <c:axId val="761081920"/>
        <c:scaling>
          <c:orientation val="minMax"/>
        </c:scaling>
        <c:delete val="0"/>
        <c:axPos val="b"/>
        <c:numFmt formatCode="General" sourceLinked="1"/>
        <c:majorTickMark val="none"/>
        <c:minorTickMark val="none"/>
        <c:tickLblPos val="low"/>
        <c:spPr>
          <a:noFill/>
          <a:ln w="6350" cap="flat" cmpd="sng" algn="ctr">
            <a:solidFill>
              <a:srgbClr val="898989"/>
            </a:solidFill>
            <a:round/>
          </a:ln>
          <a:effectLst/>
        </c:spPr>
        <c:txPr>
          <a:bodyPr rot="0" vert="horz"/>
          <a:lstStyle/>
          <a:p>
            <a:pPr>
              <a:defRPr sz="750">
                <a:latin typeface="+mn-lt"/>
              </a:defRPr>
            </a:pPr>
            <a:endParaRPr lang="en-US"/>
          </a:p>
        </c:txPr>
        <c:crossAx val="761082480"/>
        <c:crosses val="autoZero"/>
        <c:auto val="1"/>
        <c:lblAlgn val="ctr"/>
        <c:lblOffset val="100"/>
        <c:tickMarkSkip val="1"/>
        <c:noMultiLvlLbl val="1"/>
      </c:catAx>
      <c:valAx>
        <c:axId val="761082480"/>
        <c:scaling>
          <c:orientation val="minMax"/>
          <c:max val="450000"/>
          <c:min val="325000"/>
        </c:scaling>
        <c:delete val="0"/>
        <c:axPos val="l"/>
        <c:numFmt formatCode="#,##0" sourceLinked="0"/>
        <c:majorTickMark val="none"/>
        <c:minorTickMark val="none"/>
        <c:tickLblPos val="nextTo"/>
        <c:spPr>
          <a:noFill/>
          <a:ln>
            <a:noFill/>
          </a:ln>
          <a:effectLst/>
        </c:spPr>
        <c:txPr>
          <a:bodyPr rot="-60000000" vert="horz"/>
          <a:lstStyle/>
          <a:p>
            <a:pPr>
              <a:defRPr sz="750">
                <a:latin typeface="+mn-lt"/>
              </a:defRPr>
            </a:pPr>
            <a:endParaRPr lang="en-US"/>
          </a:p>
        </c:txPr>
        <c:crossAx val="761081920"/>
        <c:crossesAt val="1"/>
        <c:crossBetween val="between"/>
        <c:majorUnit val="50000"/>
      </c:valAx>
      <c:spPr>
        <a:noFill/>
        <a:ln>
          <a:noFill/>
        </a:ln>
        <a:effectLst/>
      </c:spPr>
    </c:plotArea>
    <c:legend>
      <c:legendPos val="b"/>
      <c:layout>
        <c:manualLayout>
          <c:xMode val="edge"/>
          <c:yMode val="edge"/>
          <c:x val="0.22309310294546519"/>
          <c:y val="0.84496383653400797"/>
          <c:w val="0.55081789475110787"/>
          <c:h val="0.15352213912699614"/>
        </c:manualLayout>
      </c:layout>
      <c:overlay val="0"/>
      <c:spPr>
        <a:noFill/>
        <a:ln>
          <a:noFill/>
        </a:ln>
        <a:effectLst/>
      </c:spPr>
      <c:txPr>
        <a:bodyPr rot="0" vert="horz"/>
        <a:lstStyle/>
        <a:p>
          <a:pPr>
            <a:defRPr sz="750">
              <a:solidFill>
                <a:schemeClr val="tx2"/>
              </a:solidFill>
              <a:latin typeface="+mn-lt"/>
            </a:defRPr>
          </a:pPr>
          <a:endParaRPr lang="en-US"/>
        </a:p>
      </c:txPr>
    </c:legend>
    <c:plotVisOnly val="1"/>
    <c:dispBlanksAs val="gap"/>
    <c:showDLblsOverMax val="0"/>
  </c:chart>
  <c:spPr>
    <a:noFill/>
    <a:ln w="9525" cap="flat" cmpd="sng" algn="ctr">
      <a:noFill/>
      <a:round/>
    </a:ln>
    <a:effectLst/>
  </c:spPr>
  <c:txPr>
    <a:bodyPr/>
    <a:lstStyle/>
    <a:p>
      <a:pPr>
        <a:defRPr sz="800">
          <a:solidFill>
            <a:schemeClr val="tx2"/>
          </a:solidFill>
          <a:latin typeface="Arial" panose="020B0604020202020204" pitchFamily="34" charset="0"/>
          <a:cs typeface="Arial" panose="020B0604020202020204" pitchFamily="34" charset="0"/>
        </a:defRPr>
      </a:pPr>
      <a:endParaRPr lang="en-US"/>
    </a:p>
  </c:txPr>
  <c:externalData r:id="rId2">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6.0253935185185188E-2"/>
          <c:y val="4.6197089947089945E-2"/>
          <c:w val="0.90740810185185183"/>
          <c:h val="0.65459160052910048"/>
        </c:manualLayout>
      </c:layout>
      <c:barChart>
        <c:barDir val="col"/>
        <c:grouping val="stacked"/>
        <c:varyColors val="0"/>
        <c:ser>
          <c:idx val="0"/>
          <c:order val="1"/>
          <c:tx>
            <c:strRef>
              <c:f>IPAS_doprinosi!$D$11</c:f>
              <c:strCache>
                <c:ptCount val="1"/>
                <c:pt idx="0">
                  <c:v>Пољопривреда</c:v>
                </c:pt>
              </c:strCache>
            </c:strRef>
          </c:tx>
          <c:spPr>
            <a:solidFill>
              <a:srgbClr val="10103C"/>
            </a:solidFill>
            <a:ln>
              <a:noFill/>
            </a:ln>
            <a:effectLst/>
          </c:spPr>
          <c:invertIfNegative val="0"/>
          <c:cat>
            <c:multiLvlStrRef>
              <c:f>IPAS_doprinosi!$A$24:$B$43</c:f>
              <c:multiLvlStrCache>
                <c:ptCount val="20"/>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lvl>
                <c:lvl>
                  <c:pt idx="0">
                    <c:v>2020</c:v>
                  </c:pt>
                  <c:pt idx="12">
                    <c:v>2021</c:v>
                  </c:pt>
                </c:lvl>
              </c:multiLvlStrCache>
            </c:multiLvlStrRef>
          </c:cat>
          <c:val>
            <c:numRef>
              <c:f>IPAS_doprinosi!$D$24:$D$43</c:f>
              <c:numCache>
                <c:formatCode>0.0</c:formatCode>
                <c:ptCount val="20"/>
                <c:pt idx="0">
                  <c:v>0.1024649693970342</c:v>
                </c:pt>
                <c:pt idx="1">
                  <c:v>0.20144072621707784</c:v>
                </c:pt>
                <c:pt idx="2">
                  <c:v>0.32192875826793221</c:v>
                </c:pt>
                <c:pt idx="3">
                  <c:v>0.31138907830416152</c:v>
                </c:pt>
                <c:pt idx="4">
                  <c:v>0.23301849266505237</c:v>
                </c:pt>
                <c:pt idx="5">
                  <c:v>0.1722263742760155</c:v>
                </c:pt>
                <c:pt idx="6">
                  <c:v>0.33109996437981304</c:v>
                </c:pt>
                <c:pt idx="7">
                  <c:v>0.30490879611429539</c:v>
                </c:pt>
                <c:pt idx="8">
                  <c:v>0.25649873954053093</c:v>
                </c:pt>
                <c:pt idx="9">
                  <c:v>0.22591043055126164</c:v>
                </c:pt>
                <c:pt idx="10">
                  <c:v>0.24954430611181122</c:v>
                </c:pt>
                <c:pt idx="11">
                  <c:v>0.28710576442058272</c:v>
                </c:pt>
                <c:pt idx="12">
                  <c:v>-0.15826543053726608</c:v>
                </c:pt>
                <c:pt idx="13">
                  <c:v>-0.13830901158804684</c:v>
                </c:pt>
                <c:pt idx="14">
                  <c:v>-0.14555591666092849</c:v>
                </c:pt>
                <c:pt idx="15">
                  <c:v>-4.919693422583734E-2</c:v>
                </c:pt>
                <c:pt idx="16">
                  <c:v>-0.11712270877152305</c:v>
                </c:pt>
                <c:pt idx="17">
                  <c:v>-0.16011638770026679</c:v>
                </c:pt>
                <c:pt idx="18">
                  <c:v>-0.31770746688688539</c:v>
                </c:pt>
                <c:pt idx="19">
                  <c:v>-0.32600433981084059</c:v>
                </c:pt>
              </c:numCache>
            </c:numRef>
          </c:val>
          <c:extLst>
            <c:ext xmlns:c16="http://schemas.microsoft.com/office/drawing/2014/chart" uri="{C3380CC4-5D6E-409C-BE32-E72D297353CC}">
              <c16:uniqueId val="{00000000-8D05-4DA8-AA00-2606E11025F3}"/>
            </c:ext>
          </c:extLst>
        </c:ser>
        <c:ser>
          <c:idx val="1"/>
          <c:order val="2"/>
          <c:tx>
            <c:strRef>
              <c:f>IPAS_doprinosi!$E$11</c:f>
              <c:strCache>
                <c:ptCount val="1"/>
                <c:pt idx="0">
                  <c:v>Индустрија</c:v>
                </c:pt>
              </c:strCache>
            </c:strRef>
          </c:tx>
          <c:spPr>
            <a:solidFill>
              <a:srgbClr val="2183C4"/>
            </a:solidFill>
            <a:ln>
              <a:noFill/>
            </a:ln>
            <a:effectLst/>
          </c:spPr>
          <c:invertIfNegative val="0"/>
          <c:cat>
            <c:multiLvlStrRef>
              <c:f>IPAS_doprinosi!$A$24:$B$43</c:f>
              <c:multiLvlStrCache>
                <c:ptCount val="20"/>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lvl>
                <c:lvl>
                  <c:pt idx="0">
                    <c:v>2020</c:v>
                  </c:pt>
                  <c:pt idx="12">
                    <c:v>2021</c:v>
                  </c:pt>
                </c:lvl>
              </c:multiLvlStrCache>
            </c:multiLvlStrRef>
          </c:cat>
          <c:val>
            <c:numRef>
              <c:f>IPAS_doprinosi!$E$24:$E$43</c:f>
              <c:numCache>
                <c:formatCode>0.0</c:formatCode>
                <c:ptCount val="20"/>
                <c:pt idx="0">
                  <c:v>1.2445985852049126</c:v>
                </c:pt>
                <c:pt idx="1">
                  <c:v>1.490149374852846</c:v>
                </c:pt>
                <c:pt idx="2">
                  <c:v>-0.12030329956854717</c:v>
                </c:pt>
                <c:pt idx="3">
                  <c:v>-3.5635796051326838</c:v>
                </c:pt>
                <c:pt idx="4">
                  <c:v>-1.5829868313950644</c:v>
                </c:pt>
                <c:pt idx="5">
                  <c:v>0.47854725761306743</c:v>
                </c:pt>
                <c:pt idx="6">
                  <c:v>0.21023925873888596</c:v>
                </c:pt>
                <c:pt idx="7">
                  <c:v>0.86110152839246035</c:v>
                </c:pt>
                <c:pt idx="8">
                  <c:v>0.8611210470037437</c:v>
                </c:pt>
                <c:pt idx="9">
                  <c:v>0.16524038720785483</c:v>
                </c:pt>
                <c:pt idx="10">
                  <c:v>-0.12686778050289987</c:v>
                </c:pt>
                <c:pt idx="11">
                  <c:v>0.86005584445625916</c:v>
                </c:pt>
                <c:pt idx="12">
                  <c:v>0.37779733499128654</c:v>
                </c:pt>
                <c:pt idx="13">
                  <c:v>0.63563068138303103</c:v>
                </c:pt>
                <c:pt idx="14">
                  <c:v>1.3604593364573574</c:v>
                </c:pt>
                <c:pt idx="15">
                  <c:v>5.7933005361538124</c:v>
                </c:pt>
                <c:pt idx="16">
                  <c:v>1.7090330613586291</c:v>
                </c:pt>
                <c:pt idx="17">
                  <c:v>0.71469395783299561</c:v>
                </c:pt>
                <c:pt idx="18">
                  <c:v>0.32286854831205952</c:v>
                </c:pt>
                <c:pt idx="19">
                  <c:v>7.4708299305392472E-3</c:v>
                </c:pt>
              </c:numCache>
            </c:numRef>
          </c:val>
          <c:extLst>
            <c:ext xmlns:c16="http://schemas.microsoft.com/office/drawing/2014/chart" uri="{C3380CC4-5D6E-409C-BE32-E72D297353CC}">
              <c16:uniqueId val="{00000001-8D05-4DA8-AA00-2606E11025F3}"/>
            </c:ext>
          </c:extLst>
        </c:ser>
        <c:ser>
          <c:idx val="2"/>
          <c:order val="3"/>
          <c:tx>
            <c:strRef>
              <c:f>IPAS_doprinosi!$F$11</c:f>
              <c:strCache>
                <c:ptCount val="1"/>
                <c:pt idx="0">
                  <c:v>Грађевинарство</c:v>
                </c:pt>
              </c:strCache>
            </c:strRef>
          </c:tx>
          <c:spPr>
            <a:solidFill>
              <a:srgbClr val="51BBE7"/>
            </a:solidFill>
            <a:ln>
              <a:noFill/>
            </a:ln>
            <a:effectLst/>
          </c:spPr>
          <c:invertIfNegative val="0"/>
          <c:cat>
            <c:multiLvlStrRef>
              <c:f>IPAS_doprinosi!$A$24:$B$43</c:f>
              <c:multiLvlStrCache>
                <c:ptCount val="20"/>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lvl>
                <c:lvl>
                  <c:pt idx="0">
                    <c:v>2020</c:v>
                  </c:pt>
                  <c:pt idx="12">
                    <c:v>2021</c:v>
                  </c:pt>
                </c:lvl>
              </c:multiLvlStrCache>
            </c:multiLvlStrRef>
          </c:cat>
          <c:val>
            <c:numRef>
              <c:f>IPAS_doprinosi!$F$24:$F$43</c:f>
              <c:numCache>
                <c:formatCode>0.0</c:formatCode>
                <c:ptCount val="20"/>
                <c:pt idx="0">
                  <c:v>1.6394972409749704</c:v>
                </c:pt>
                <c:pt idx="1">
                  <c:v>0.78679068223239301</c:v>
                </c:pt>
                <c:pt idx="2">
                  <c:v>6.1098618712950144E-2</c:v>
                </c:pt>
                <c:pt idx="3">
                  <c:v>-0.66444131946689211</c:v>
                </c:pt>
                <c:pt idx="4">
                  <c:v>-0.12409449321583024</c:v>
                </c:pt>
                <c:pt idx="5">
                  <c:v>0.45891617935705631</c:v>
                </c:pt>
                <c:pt idx="6">
                  <c:v>-0.89953250063261814</c:v>
                </c:pt>
                <c:pt idx="7">
                  <c:v>-1.2482170852261014</c:v>
                </c:pt>
                <c:pt idx="8">
                  <c:v>-1.1271233701134238</c:v>
                </c:pt>
                <c:pt idx="9">
                  <c:v>-0.99464582331448836</c:v>
                </c:pt>
                <c:pt idx="10">
                  <c:v>-0.97321297434709353</c:v>
                </c:pt>
                <c:pt idx="11">
                  <c:v>2.652169652524392E-3</c:v>
                </c:pt>
                <c:pt idx="12">
                  <c:v>-0.49967718234124292</c:v>
                </c:pt>
                <c:pt idx="13">
                  <c:v>0.70912124863762127</c:v>
                </c:pt>
                <c:pt idx="14">
                  <c:v>2.1022213267716117</c:v>
                </c:pt>
                <c:pt idx="15">
                  <c:v>1.7612129264385372</c:v>
                </c:pt>
                <c:pt idx="16">
                  <c:v>0.67839205291957061</c:v>
                </c:pt>
                <c:pt idx="17">
                  <c:v>0.46278293291394351</c:v>
                </c:pt>
                <c:pt idx="18">
                  <c:v>0.84745458756431014</c:v>
                </c:pt>
                <c:pt idx="19">
                  <c:v>1.8807066726504809</c:v>
                </c:pt>
              </c:numCache>
            </c:numRef>
          </c:val>
          <c:extLst>
            <c:ext xmlns:c16="http://schemas.microsoft.com/office/drawing/2014/chart" uri="{C3380CC4-5D6E-409C-BE32-E72D297353CC}">
              <c16:uniqueId val="{00000002-8D05-4DA8-AA00-2606E11025F3}"/>
            </c:ext>
          </c:extLst>
        </c:ser>
        <c:ser>
          <c:idx val="3"/>
          <c:order val="4"/>
          <c:tx>
            <c:strRef>
              <c:f>IPAS_doprinosi!$G$11</c:f>
              <c:strCache>
                <c:ptCount val="1"/>
                <c:pt idx="0">
                  <c:v>Услуге</c:v>
                </c:pt>
              </c:strCache>
            </c:strRef>
          </c:tx>
          <c:spPr>
            <a:solidFill>
              <a:srgbClr val="90CAE2"/>
            </a:solidFill>
            <a:ln>
              <a:noFill/>
            </a:ln>
            <a:effectLst/>
          </c:spPr>
          <c:invertIfNegative val="0"/>
          <c:cat>
            <c:multiLvlStrRef>
              <c:f>IPAS_doprinosi!$A$24:$B$43</c:f>
              <c:multiLvlStrCache>
                <c:ptCount val="20"/>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lvl>
                <c:lvl>
                  <c:pt idx="0">
                    <c:v>2020</c:v>
                  </c:pt>
                  <c:pt idx="12">
                    <c:v>2021</c:v>
                  </c:pt>
                </c:lvl>
              </c:multiLvlStrCache>
            </c:multiLvlStrRef>
          </c:cat>
          <c:val>
            <c:numRef>
              <c:f>IPAS_doprinosi!$G$24:$G$43</c:f>
              <c:numCache>
                <c:formatCode>0.0</c:formatCode>
                <c:ptCount val="20"/>
                <c:pt idx="0">
                  <c:v>3.5632828728290016</c:v>
                </c:pt>
                <c:pt idx="1">
                  <c:v>1.9953237649617723</c:v>
                </c:pt>
                <c:pt idx="2">
                  <c:v>2.2150509140533865</c:v>
                </c:pt>
                <c:pt idx="3">
                  <c:v>-6.8238978429817756</c:v>
                </c:pt>
                <c:pt idx="4">
                  <c:v>-3.8868142704404653</c:v>
                </c:pt>
                <c:pt idx="5">
                  <c:v>-0.35210759823956977</c:v>
                </c:pt>
                <c:pt idx="6">
                  <c:v>-1.7851353563883667</c:v>
                </c:pt>
                <c:pt idx="7">
                  <c:v>-0.64769792530883097</c:v>
                </c:pt>
                <c:pt idx="8">
                  <c:v>-0.67902543604447363</c:v>
                </c:pt>
                <c:pt idx="9">
                  <c:v>-0.6991743297435179</c:v>
                </c:pt>
                <c:pt idx="10">
                  <c:v>-0.3146346963782975</c:v>
                </c:pt>
                <c:pt idx="11">
                  <c:v>-0.89816237167051816</c:v>
                </c:pt>
                <c:pt idx="12">
                  <c:v>-0.24472580681561945</c:v>
                </c:pt>
                <c:pt idx="13">
                  <c:v>-0.21710707644249339</c:v>
                </c:pt>
                <c:pt idx="14">
                  <c:v>2.0976771450108385</c:v>
                </c:pt>
                <c:pt idx="15">
                  <c:v>9.1064713421246744</c:v>
                </c:pt>
                <c:pt idx="16">
                  <c:v>7.7372019997514254</c:v>
                </c:pt>
                <c:pt idx="17">
                  <c:v>5.914125802702876</c:v>
                </c:pt>
                <c:pt idx="18">
                  <c:v>5.5131172284185492</c:v>
                </c:pt>
                <c:pt idx="19">
                  <c:v>4.8954887095670951</c:v>
                </c:pt>
              </c:numCache>
            </c:numRef>
          </c:val>
          <c:extLst>
            <c:ext xmlns:c16="http://schemas.microsoft.com/office/drawing/2014/chart" uri="{C3380CC4-5D6E-409C-BE32-E72D297353CC}">
              <c16:uniqueId val="{00000003-8D05-4DA8-AA00-2606E11025F3}"/>
            </c:ext>
          </c:extLst>
        </c:ser>
        <c:ser>
          <c:idx val="4"/>
          <c:order val="5"/>
          <c:tx>
            <c:strRef>
              <c:f>IPAS_doprinosi!$H$11</c:f>
              <c:strCache>
                <c:ptCount val="1"/>
                <c:pt idx="0">
                  <c:v>Нето порези</c:v>
                </c:pt>
              </c:strCache>
            </c:strRef>
          </c:tx>
          <c:spPr>
            <a:solidFill>
              <a:srgbClr val="C9E4EB"/>
            </a:solidFill>
            <a:ln>
              <a:noFill/>
            </a:ln>
            <a:effectLst/>
          </c:spPr>
          <c:invertIfNegative val="0"/>
          <c:cat>
            <c:multiLvlStrRef>
              <c:f>IPAS_doprinosi!$A$24:$B$43</c:f>
              <c:multiLvlStrCache>
                <c:ptCount val="20"/>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lvl>
                <c:lvl>
                  <c:pt idx="0">
                    <c:v>2020</c:v>
                  </c:pt>
                  <c:pt idx="12">
                    <c:v>2021</c:v>
                  </c:pt>
                </c:lvl>
              </c:multiLvlStrCache>
            </c:multiLvlStrRef>
          </c:cat>
          <c:val>
            <c:numRef>
              <c:f>IPAS_doprinosi!$H$24:$H$43</c:f>
              <c:numCache>
                <c:formatCode>0.0</c:formatCode>
                <c:ptCount val="20"/>
                <c:pt idx="0">
                  <c:v>0.74751578788712503</c:v>
                </c:pt>
                <c:pt idx="1">
                  <c:v>0.65217268801663042</c:v>
                </c:pt>
                <c:pt idx="2">
                  <c:v>0.74776329237655403</c:v>
                </c:pt>
                <c:pt idx="3">
                  <c:v>-2.3959567431648399</c:v>
                </c:pt>
                <c:pt idx="4">
                  <c:v>-1.0103134443826618</c:v>
                </c:pt>
                <c:pt idx="5">
                  <c:v>-0.33251767427304163</c:v>
                </c:pt>
                <c:pt idx="6">
                  <c:v>-0.19651755299687662</c:v>
                </c:pt>
                <c:pt idx="7">
                  <c:v>-0.23424329341462241</c:v>
                </c:pt>
                <c:pt idx="8">
                  <c:v>-0.20840711443365226</c:v>
                </c:pt>
                <c:pt idx="9">
                  <c:v>-0.3374705079651717</c:v>
                </c:pt>
                <c:pt idx="10">
                  <c:v>-0.3255087129584821</c:v>
                </c:pt>
                <c:pt idx="11">
                  <c:v>-0.22810920735465923</c:v>
                </c:pt>
                <c:pt idx="12">
                  <c:v>-0.65509164100113837</c:v>
                </c:pt>
                <c:pt idx="13">
                  <c:v>-0.1528377638899405</c:v>
                </c:pt>
                <c:pt idx="14">
                  <c:v>0.13777367166272522</c:v>
                </c:pt>
                <c:pt idx="15">
                  <c:v>3.8616965014964046</c:v>
                </c:pt>
                <c:pt idx="16">
                  <c:v>2.8383940092519953</c:v>
                </c:pt>
                <c:pt idx="17">
                  <c:v>1.9237198984064867</c:v>
                </c:pt>
                <c:pt idx="18">
                  <c:v>1.7186135415979953</c:v>
                </c:pt>
                <c:pt idx="19">
                  <c:v>1.1775691365189058</c:v>
                </c:pt>
              </c:numCache>
            </c:numRef>
          </c:val>
          <c:extLst>
            <c:ext xmlns:c16="http://schemas.microsoft.com/office/drawing/2014/chart" uri="{C3380CC4-5D6E-409C-BE32-E72D297353CC}">
              <c16:uniqueId val="{00000004-8D05-4DA8-AA00-2606E11025F3}"/>
            </c:ext>
          </c:extLst>
        </c:ser>
        <c:dLbls>
          <c:showLegendKey val="0"/>
          <c:showVal val="0"/>
          <c:showCatName val="0"/>
          <c:showSerName val="0"/>
          <c:showPercent val="0"/>
          <c:showBubbleSize val="0"/>
        </c:dLbls>
        <c:gapWidth val="60"/>
        <c:overlap val="100"/>
        <c:axId val="1961434128"/>
        <c:axId val="1961419984"/>
      </c:barChart>
      <c:lineChart>
        <c:grouping val="standard"/>
        <c:varyColors val="0"/>
        <c:ser>
          <c:idx val="5"/>
          <c:order val="0"/>
          <c:tx>
            <c:strRef>
              <c:f>IPAS_doprinosi!$C$11</c:f>
              <c:strCache>
                <c:ptCount val="1"/>
                <c:pt idx="0">
                  <c:v>БДП</c:v>
                </c:pt>
              </c:strCache>
            </c:strRef>
          </c:tx>
          <c:spPr>
            <a:ln w="22225" cap="rnd">
              <a:solidFill>
                <a:srgbClr val="FF0000"/>
              </a:solidFill>
              <a:round/>
            </a:ln>
            <a:effectLst/>
          </c:spPr>
          <c:marker>
            <c:symbol val="none"/>
          </c:marker>
          <c:dLbls>
            <c:dLbl>
              <c:idx val="3"/>
              <c:layout>
                <c:manualLayout>
                  <c:x val="-0.13270815106445027"/>
                  <c:y val="0"/>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8D05-4DA8-AA00-2606E11025F3}"/>
                </c:ext>
              </c:extLst>
            </c:dLbl>
            <c:dLbl>
              <c:idx val="4"/>
              <c:layout>
                <c:manualLayout>
                  <c:x val="-4.6356809565470981E-2"/>
                  <c:y val="3.068093805397815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8D05-4DA8-AA00-2606E11025F3}"/>
                </c:ext>
              </c:extLst>
            </c:dLbl>
            <c:dLbl>
              <c:idx val="5"/>
              <c:layout>
                <c:manualLayout>
                  <c:x val="-6.1585739282589674E-2"/>
                  <c:y val="-5.263302844050488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8D05-4DA8-AA00-2606E11025F3}"/>
                </c:ext>
              </c:extLst>
            </c:dLbl>
            <c:dLbl>
              <c:idx val="6"/>
              <c:layout>
                <c:manualLayout>
                  <c:x val="-8.1078667249927086E-2"/>
                  <c:y val="4.131828501770072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8D05-4DA8-AA00-2606E11025F3}"/>
                </c:ext>
              </c:extLst>
            </c:dLbl>
            <c:dLbl>
              <c:idx val="7"/>
              <c:layout>
                <c:manualLayout>
                  <c:x val="-6.5081291921843185E-2"/>
                  <c:y val="5.076173280140150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8D05-4DA8-AA00-2606E11025F3}"/>
                </c:ext>
              </c:extLst>
            </c:dLbl>
            <c:dLbl>
              <c:idx val="8"/>
              <c:layout>
                <c:manualLayout>
                  <c:x val="-6.5081291921843185E-2"/>
                  <c:y val="-7.809820702530670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8D05-4DA8-AA00-2606E11025F3}"/>
                </c:ext>
              </c:extLst>
            </c:dLbl>
            <c:dLbl>
              <c:idx val="9"/>
              <c:layout>
                <c:manualLayout>
                  <c:x val="-7.897018081073208E-2"/>
                  <c:y val="5.355345658212411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8D05-4DA8-AA00-2606E11025F3}"/>
                </c:ext>
              </c:extLst>
            </c:dLbl>
            <c:dLbl>
              <c:idx val="10"/>
              <c:layout>
                <c:manualLayout>
                  <c:x val="-6.0451662292213472E-2"/>
                  <c:y val="5.076173280140150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8D05-4DA8-AA00-2606E11025F3}"/>
                </c:ext>
              </c:extLst>
            </c:dLbl>
            <c:dLbl>
              <c:idx val="11"/>
              <c:layout>
                <c:manualLayout>
                  <c:x val="-6.1585739282589765E-2"/>
                  <c:y val="-5.263302844050483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8D05-4DA8-AA00-2606E11025F3}"/>
                </c:ext>
              </c:extLst>
            </c:dLbl>
            <c:dLbl>
              <c:idx val="12"/>
              <c:layout>
                <c:manualLayout>
                  <c:x val="-6.5081291921843185E-2"/>
                  <c:y val="4.462554519060592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8D05-4DA8-AA00-2606E11025F3}"/>
                </c:ext>
              </c:extLst>
            </c:dLbl>
            <c:dLbl>
              <c:idx val="13"/>
              <c:layout>
                <c:manualLayout>
                  <c:x val="-6.9375182268883062E-2"/>
                  <c:y val="-5.689792041219719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8D05-4DA8-AA00-2606E11025F3}"/>
                </c:ext>
              </c:extLst>
            </c:dLbl>
            <c:dLbl>
              <c:idx val="14"/>
              <c:layout>
                <c:manualLayout>
                  <c:x val="-8.789370078740158E-2"/>
                  <c:y val="-5.689792041219719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8D05-4DA8-AA00-2606E11025F3}"/>
                </c:ext>
              </c:extLst>
            </c:dLbl>
            <c:dLbl>
              <c:idx val="16"/>
              <c:layout>
                <c:manualLayout>
                  <c:x val="-5.4444444444444441E-2"/>
                  <c:y val="-6.303410802299282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8D05-4DA8-AA00-2606E11025F3}"/>
                </c:ext>
              </c:extLst>
            </c:dLbl>
            <c:dLbl>
              <c:idx val="18"/>
              <c:layout>
                <c:manualLayout>
                  <c:x val="-5.0283245844269464E-2"/>
                  <c:y val="-5.876921605130049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8D05-4DA8-AA00-2606E11025F3}"/>
                </c:ext>
              </c:extLst>
            </c:dLbl>
            <c:dLbl>
              <c:idx val="19"/>
              <c:layout>
                <c:manualLayout>
                  <c:x val="-1.1132983377079562E-3"/>
                  <c:y val="-4.649684082970922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8D05-4DA8-AA00-2606E11025F3}"/>
                </c:ext>
              </c:extLst>
            </c:dLbl>
            <c:spPr>
              <a:noFill/>
              <a:ln>
                <a:noFill/>
              </a:ln>
              <a:effectLst/>
            </c:spPr>
            <c:txPr>
              <a:bodyPr rot="0" spcFirstLastPara="1" vertOverflow="ellipsis" vert="horz" wrap="square" lIns="38100" tIns="19050" rIns="38100" bIns="19050" anchor="ctr" anchorCtr="1">
                <a:spAutoFit/>
              </a:bodyPr>
              <a:lstStyle/>
              <a:p>
                <a:pPr>
                  <a:defRPr sz="750" b="1" i="0" u="none" strike="noStrike" kern="1200" baseline="0">
                    <a:solidFill>
                      <a:srgbClr val="FF0000"/>
                    </a:solidFill>
                    <a:latin typeface="+mn-lt"/>
                    <a:ea typeface="+mn-ea"/>
                    <a:cs typeface="Arial" panose="020B0604020202020204" pitchFamily="34"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IPAS_doprinosi!$A$24:$B$43</c:f>
              <c:multiLvlStrCache>
                <c:ptCount val="20"/>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lvl>
                <c:lvl>
                  <c:pt idx="0">
                    <c:v>2020</c:v>
                  </c:pt>
                  <c:pt idx="12">
                    <c:v>2021</c:v>
                  </c:pt>
                </c:lvl>
              </c:multiLvlStrCache>
            </c:multiLvlStrRef>
          </c:cat>
          <c:val>
            <c:numRef>
              <c:f>IPAS_doprinosi!$C$24:$C$43</c:f>
              <c:numCache>
                <c:formatCode>0.0</c:formatCode>
                <c:ptCount val="20"/>
                <c:pt idx="0">
                  <c:v>7.2973592169142467</c:v>
                </c:pt>
                <c:pt idx="1">
                  <c:v>5.1258770308045065</c:v>
                </c:pt>
                <c:pt idx="2">
                  <c:v>3.2255380869890242</c:v>
                </c:pt>
                <c:pt idx="3">
                  <c:v>-13.136486401199463</c:v>
                </c:pt>
                <c:pt idx="4">
                  <c:v>-6.3711903386167013</c:v>
                </c:pt>
                <c:pt idx="5">
                  <c:v>0.42506460373222948</c:v>
                </c:pt>
                <c:pt idx="6">
                  <c:v>-2.3398464766965539</c:v>
                </c:pt>
                <c:pt idx="7">
                  <c:v>-0.96414827815961435</c:v>
                </c:pt>
                <c:pt idx="8">
                  <c:v>-0.89693628369690304</c:v>
                </c:pt>
                <c:pt idx="9">
                  <c:v>-1.6401398684910755</c:v>
                </c:pt>
                <c:pt idx="10">
                  <c:v>-1.4906797594780006</c:v>
                </c:pt>
                <c:pt idx="11">
                  <c:v>2.3542294047362321E-2</c:v>
                </c:pt>
                <c:pt idx="12">
                  <c:v>-1.1799628534305855</c:v>
                </c:pt>
                <c:pt idx="13">
                  <c:v>0.83649799453370877</c:v>
                </c:pt>
                <c:pt idx="14">
                  <c:v>5.5525754492094359</c:v>
                </c:pt>
                <c:pt idx="15">
                  <c:v>20.473483949566958</c:v>
                </c:pt>
                <c:pt idx="16">
                  <c:v>12.845898087111035</c:v>
                </c:pt>
                <c:pt idx="17">
                  <c:v>8.8552059595086483</c:v>
                </c:pt>
                <c:pt idx="18">
                  <c:v>8.0843462997539355</c:v>
                </c:pt>
                <c:pt idx="19">
                  <c:v>7.6352308591653912</c:v>
                </c:pt>
              </c:numCache>
            </c:numRef>
          </c:val>
          <c:smooth val="0"/>
          <c:extLst>
            <c:ext xmlns:c16="http://schemas.microsoft.com/office/drawing/2014/chart" uri="{C3380CC4-5D6E-409C-BE32-E72D297353CC}">
              <c16:uniqueId val="{00000014-8D05-4DA8-AA00-2606E11025F3}"/>
            </c:ext>
          </c:extLst>
        </c:ser>
        <c:dLbls>
          <c:showLegendKey val="0"/>
          <c:showVal val="0"/>
          <c:showCatName val="0"/>
          <c:showSerName val="0"/>
          <c:showPercent val="0"/>
          <c:showBubbleSize val="0"/>
        </c:dLbls>
        <c:marker val="1"/>
        <c:smooth val="0"/>
        <c:axId val="1961434128"/>
        <c:axId val="1961419984"/>
      </c:lineChart>
      <c:catAx>
        <c:axId val="1961434128"/>
        <c:scaling>
          <c:orientation val="minMax"/>
        </c:scaling>
        <c:delete val="0"/>
        <c:axPos val="b"/>
        <c:numFmt formatCode="General" sourceLinked="1"/>
        <c:majorTickMark val="none"/>
        <c:minorTickMark val="none"/>
        <c:tickLblPos val="low"/>
        <c:spPr>
          <a:noFill/>
          <a:ln w="6350" cap="flat" cmpd="sng" algn="ctr">
            <a:solidFill>
              <a:srgbClr val="898989"/>
            </a:solidFill>
            <a:round/>
          </a:ln>
          <a:effectLst/>
        </c:spPr>
        <c:txPr>
          <a:bodyPr rot="-60000000" spcFirstLastPara="1" vertOverflow="ellipsis" vert="horz" wrap="square" anchor="ctr" anchorCtr="1"/>
          <a:lstStyle/>
          <a:p>
            <a:pPr>
              <a:defRPr sz="700" b="0" i="0" u="none" strike="noStrike" kern="1200" baseline="0">
                <a:solidFill>
                  <a:schemeClr val="tx2"/>
                </a:solidFill>
                <a:latin typeface="+mn-lt"/>
                <a:ea typeface="+mn-ea"/>
                <a:cs typeface="Arial" panose="020B0604020202020204" pitchFamily="34" charset="0"/>
              </a:defRPr>
            </a:pPr>
            <a:endParaRPr lang="en-US"/>
          </a:p>
        </c:txPr>
        <c:crossAx val="1961419984"/>
        <c:crosses val="autoZero"/>
        <c:auto val="1"/>
        <c:lblAlgn val="ctr"/>
        <c:lblOffset val="0"/>
        <c:noMultiLvlLbl val="0"/>
      </c:catAx>
      <c:valAx>
        <c:axId val="1961419984"/>
        <c:scaling>
          <c:orientation val="minMax"/>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Arial" panose="020B0604020202020204" pitchFamily="34" charset="0"/>
              </a:defRPr>
            </a:pPr>
            <a:endParaRPr lang="en-US"/>
          </a:p>
        </c:txPr>
        <c:crossAx val="1961434128"/>
        <c:crosses val="autoZero"/>
        <c:crossBetween val="between"/>
        <c:majorUnit val="4"/>
        <c:minorUnit val="0.4"/>
      </c:valAx>
      <c:spPr>
        <a:noFill/>
        <a:ln>
          <a:noFill/>
        </a:ln>
        <a:effectLst/>
      </c:spPr>
    </c:plotArea>
    <c:legend>
      <c:legendPos val="b"/>
      <c:layout>
        <c:manualLayout>
          <c:xMode val="edge"/>
          <c:yMode val="edge"/>
          <c:x val="7.1965223097112854E-2"/>
          <c:y val="0.84188729654707517"/>
          <c:w val="0.88171770195392241"/>
          <c:h val="0.15250475684372333"/>
        </c:manualLayout>
      </c:layout>
      <c:overlay val="0"/>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Arial" panose="020B0604020202020204" pitchFamily="34" charset="0"/>
            </a:defRPr>
          </a:pPr>
          <a:endParaRPr lang="en-US"/>
        </a:p>
      </c:txPr>
    </c:legend>
    <c:plotVisOnly val="1"/>
    <c:dispBlanksAs val="gap"/>
    <c:showDLblsOverMax val="0"/>
  </c:chart>
  <c:spPr>
    <a:noFill/>
    <a:ln w="9525" cap="flat" cmpd="sng" algn="ctr">
      <a:noFill/>
      <a:round/>
    </a:ln>
    <a:effectLst/>
  </c:spPr>
  <c:txPr>
    <a:bodyPr/>
    <a:lstStyle/>
    <a:p>
      <a:pPr>
        <a:defRPr sz="750">
          <a:solidFill>
            <a:schemeClr val="tx2"/>
          </a:solidFill>
          <a:latin typeface="+mn-lt"/>
          <a:cs typeface="Arial" panose="020B0604020202020204" pitchFamily="34" charset="0"/>
        </a:defRPr>
      </a:pPr>
      <a:endParaRPr lang="en-US"/>
    </a:p>
  </c:txPr>
  <c:externalData r:id="rId4">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6562408865558474E-2"/>
          <c:y val="5.3430469442322819E-2"/>
          <c:w val="0.88028944298629341"/>
          <c:h val="0.62640465318547511"/>
        </c:manualLayout>
      </c:layout>
      <c:barChart>
        <c:barDir val="col"/>
        <c:grouping val="clustered"/>
        <c:varyColors val="0"/>
        <c:ser>
          <c:idx val="0"/>
          <c:order val="0"/>
          <c:tx>
            <c:strRef>
              <c:f>'Promet u ind.'!$A$30</c:f>
              <c:strCache>
                <c:ptCount val="1"/>
                <c:pt idx="0">
                  <c:v>Промет у индустрији, номинално</c:v>
                </c:pt>
              </c:strCache>
            </c:strRef>
          </c:tx>
          <c:spPr>
            <a:solidFill>
              <a:srgbClr val="2183C4"/>
            </a:solidFill>
            <a:ln>
              <a:noFill/>
            </a:ln>
            <a:effectLst/>
          </c:spPr>
          <c:invertIfNegative val="0"/>
          <c:cat>
            <c:multiLvlStrRef>
              <c:f>'Promet u ind.'!$C$28:$L$29</c:f>
              <c:multiLvlStrCache>
                <c:ptCount val="10"/>
                <c:lvl>
                  <c:pt idx="0">
                    <c:v>I</c:v>
                  </c:pt>
                  <c:pt idx="1">
                    <c:v>II</c:v>
                  </c:pt>
                  <c:pt idx="2">
                    <c:v>III</c:v>
                  </c:pt>
                  <c:pt idx="3">
                    <c:v>IV</c:v>
                  </c:pt>
                  <c:pt idx="4">
                    <c:v>V</c:v>
                  </c:pt>
                  <c:pt idx="5">
                    <c:v>VI</c:v>
                  </c:pt>
                  <c:pt idx="6">
                    <c:v>VII</c:v>
                  </c:pt>
                  <c:pt idx="7">
                    <c:v>VIII</c:v>
                  </c:pt>
                  <c:pt idx="9">
                    <c:v>I–VIII</c:v>
                  </c:pt>
                </c:lvl>
                <c:lvl>
                  <c:pt idx="0">
                    <c:v>2021</c:v>
                  </c:pt>
                </c:lvl>
              </c:multiLvlStrCache>
            </c:multiLvlStrRef>
          </c:cat>
          <c:val>
            <c:numRef>
              <c:f>'Promet u ind.'!$C$30:$L$30</c:f>
              <c:numCache>
                <c:formatCode>0.0</c:formatCode>
                <c:ptCount val="10"/>
                <c:pt idx="0">
                  <c:v>3</c:v>
                </c:pt>
                <c:pt idx="1">
                  <c:v>12.700000000000003</c:v>
                </c:pt>
                <c:pt idx="2">
                  <c:v>33.400000000000006</c:v>
                </c:pt>
                <c:pt idx="3">
                  <c:v>79.400000000000006</c:v>
                </c:pt>
                <c:pt idx="4">
                  <c:v>44.599999999999994</c:v>
                </c:pt>
                <c:pt idx="5">
                  <c:v>31.800000000000011</c:v>
                </c:pt>
                <c:pt idx="6">
                  <c:v>25.400000000000006</c:v>
                </c:pt>
                <c:pt idx="7">
                  <c:v>32.800000000000011</c:v>
                </c:pt>
                <c:pt idx="9">
                  <c:v>31.361142978542603</c:v>
                </c:pt>
              </c:numCache>
            </c:numRef>
          </c:val>
          <c:extLst>
            <c:ext xmlns:c16="http://schemas.microsoft.com/office/drawing/2014/chart" uri="{C3380CC4-5D6E-409C-BE32-E72D297353CC}">
              <c16:uniqueId val="{00000000-64FF-4E08-9917-D5240EA78721}"/>
            </c:ext>
          </c:extLst>
        </c:ser>
        <c:ser>
          <c:idx val="1"/>
          <c:order val="1"/>
          <c:tx>
            <c:strRef>
              <c:f>'Promet u ind.'!$A$31</c:f>
              <c:strCache>
                <c:ptCount val="1"/>
                <c:pt idx="0">
                  <c:v>Промет у индустрији, реално</c:v>
                </c:pt>
              </c:strCache>
            </c:strRef>
          </c:tx>
          <c:spPr>
            <a:solidFill>
              <a:srgbClr val="90CAE2"/>
            </a:solidFill>
            <a:ln>
              <a:noFill/>
            </a:ln>
            <a:effectLst/>
          </c:spPr>
          <c:invertIfNegative val="0"/>
          <c:cat>
            <c:multiLvlStrRef>
              <c:f>'Promet u ind.'!$C$28:$L$29</c:f>
              <c:multiLvlStrCache>
                <c:ptCount val="10"/>
                <c:lvl>
                  <c:pt idx="0">
                    <c:v>I</c:v>
                  </c:pt>
                  <c:pt idx="1">
                    <c:v>II</c:v>
                  </c:pt>
                  <c:pt idx="2">
                    <c:v>III</c:v>
                  </c:pt>
                  <c:pt idx="3">
                    <c:v>IV</c:v>
                  </c:pt>
                  <c:pt idx="4">
                    <c:v>V</c:v>
                  </c:pt>
                  <c:pt idx="5">
                    <c:v>VI</c:v>
                  </c:pt>
                  <c:pt idx="6">
                    <c:v>VII</c:v>
                  </c:pt>
                  <c:pt idx="7">
                    <c:v>VIII</c:v>
                  </c:pt>
                  <c:pt idx="9">
                    <c:v>I–VIII</c:v>
                  </c:pt>
                </c:lvl>
                <c:lvl>
                  <c:pt idx="0">
                    <c:v>2021</c:v>
                  </c:pt>
                </c:lvl>
              </c:multiLvlStrCache>
            </c:multiLvlStrRef>
          </c:cat>
          <c:val>
            <c:numRef>
              <c:f>'Promet u ind.'!$C$31:$L$31</c:f>
              <c:numCache>
                <c:formatCode>0.0</c:formatCode>
                <c:ptCount val="10"/>
                <c:pt idx="0">
                  <c:v>3.8395089852233184</c:v>
                </c:pt>
                <c:pt idx="1">
                  <c:v>11.586293337330389</c:v>
                </c:pt>
                <c:pt idx="2">
                  <c:v>28.19576553012152</c:v>
                </c:pt>
                <c:pt idx="3">
                  <c:v>67.621777304137566</c:v>
                </c:pt>
                <c:pt idx="4">
                  <c:v>32.0150403062934</c:v>
                </c:pt>
                <c:pt idx="5">
                  <c:v>20.57102792334166</c:v>
                </c:pt>
                <c:pt idx="6">
                  <c:v>14.431052140536266</c:v>
                </c:pt>
                <c:pt idx="7">
                  <c:v>20.306985440805974</c:v>
                </c:pt>
                <c:pt idx="9">
                  <c:v>23.684694309038321</c:v>
                </c:pt>
              </c:numCache>
            </c:numRef>
          </c:val>
          <c:extLst>
            <c:ext xmlns:c16="http://schemas.microsoft.com/office/drawing/2014/chart" uri="{C3380CC4-5D6E-409C-BE32-E72D297353CC}">
              <c16:uniqueId val="{00000001-64FF-4E08-9917-D5240EA78721}"/>
            </c:ext>
          </c:extLst>
        </c:ser>
        <c:ser>
          <c:idx val="3"/>
          <c:order val="3"/>
          <c:tx>
            <c:strRef>
              <c:f>'Promet u ind.'!$A$33</c:f>
              <c:strCache>
                <c:ptCount val="1"/>
                <c:pt idx="0">
                  <c:v>Физички обим индустријске производње</c:v>
                </c:pt>
              </c:strCache>
            </c:strRef>
          </c:tx>
          <c:spPr>
            <a:solidFill>
              <a:srgbClr val="EC008C"/>
            </a:solidFill>
            <a:ln>
              <a:noFill/>
            </a:ln>
            <a:effectLst/>
          </c:spPr>
          <c:invertIfNegative val="0"/>
          <c:cat>
            <c:multiLvlStrRef>
              <c:f>'Promet u ind.'!$C$28:$L$29</c:f>
              <c:multiLvlStrCache>
                <c:ptCount val="10"/>
                <c:lvl>
                  <c:pt idx="0">
                    <c:v>I</c:v>
                  </c:pt>
                  <c:pt idx="1">
                    <c:v>II</c:v>
                  </c:pt>
                  <c:pt idx="2">
                    <c:v>III</c:v>
                  </c:pt>
                  <c:pt idx="3">
                    <c:v>IV</c:v>
                  </c:pt>
                  <c:pt idx="4">
                    <c:v>V</c:v>
                  </c:pt>
                  <c:pt idx="5">
                    <c:v>VI</c:v>
                  </c:pt>
                  <c:pt idx="6">
                    <c:v>VII</c:v>
                  </c:pt>
                  <c:pt idx="7">
                    <c:v>VIII</c:v>
                  </c:pt>
                  <c:pt idx="9">
                    <c:v>I–VIII</c:v>
                  </c:pt>
                </c:lvl>
                <c:lvl>
                  <c:pt idx="0">
                    <c:v>2021</c:v>
                  </c:pt>
                </c:lvl>
              </c:multiLvlStrCache>
            </c:multiLvlStrRef>
          </c:cat>
          <c:val>
            <c:numRef>
              <c:f>'Promet u ind.'!$C$33:$L$33</c:f>
              <c:numCache>
                <c:formatCode>0.0</c:formatCode>
                <c:ptCount val="10"/>
                <c:pt idx="0">
                  <c:v>2.5</c:v>
                </c:pt>
                <c:pt idx="1">
                  <c:v>2.5999999999999943</c:v>
                </c:pt>
                <c:pt idx="2">
                  <c:v>6.0999999999999943</c:v>
                </c:pt>
                <c:pt idx="3">
                  <c:v>33.900000000000006</c:v>
                </c:pt>
                <c:pt idx="4">
                  <c:v>9.4000000000000057</c:v>
                </c:pt>
                <c:pt idx="5">
                  <c:v>4.4000000000000057</c:v>
                </c:pt>
                <c:pt idx="6">
                  <c:v>1.7000000000000028</c:v>
                </c:pt>
                <c:pt idx="7">
                  <c:v>9.9999999999994316E-2</c:v>
                </c:pt>
                <c:pt idx="9">
                  <c:v>6.9000000000000057</c:v>
                </c:pt>
              </c:numCache>
            </c:numRef>
          </c:val>
          <c:extLst>
            <c:ext xmlns:c16="http://schemas.microsoft.com/office/drawing/2014/chart" uri="{C3380CC4-5D6E-409C-BE32-E72D297353CC}">
              <c16:uniqueId val="{00000002-64FF-4E08-9917-D5240EA78721}"/>
            </c:ext>
          </c:extLst>
        </c:ser>
        <c:dLbls>
          <c:showLegendKey val="0"/>
          <c:showVal val="0"/>
          <c:showCatName val="0"/>
          <c:showSerName val="0"/>
          <c:showPercent val="0"/>
          <c:showBubbleSize val="0"/>
        </c:dLbls>
        <c:gapWidth val="86"/>
        <c:axId val="754735472"/>
        <c:axId val="754740392"/>
      </c:barChart>
      <c:lineChart>
        <c:grouping val="standard"/>
        <c:varyColors val="0"/>
        <c:ser>
          <c:idx val="2"/>
          <c:order val="2"/>
          <c:tx>
            <c:strRef>
              <c:f>'Promet u ind.'!$A$32</c:f>
              <c:strCache>
                <c:ptCount val="1"/>
                <c:pt idx="0">
                  <c:v>Извоз индустријских производа</c:v>
                </c:pt>
              </c:strCache>
            </c:strRef>
          </c:tx>
          <c:spPr>
            <a:ln w="25400" cap="rnd">
              <a:noFill/>
              <a:round/>
            </a:ln>
            <a:effectLst/>
          </c:spPr>
          <c:marker>
            <c:symbol val="circle"/>
            <c:size val="5"/>
            <c:spPr>
              <a:solidFill>
                <a:srgbClr val="10103C"/>
              </a:solidFill>
              <a:ln w="9525">
                <a:noFill/>
              </a:ln>
              <a:effectLst/>
            </c:spPr>
          </c:marker>
          <c:cat>
            <c:multiLvlStrRef>
              <c:f>'Promet u ind.'!$C$28:$L$29</c:f>
              <c:multiLvlStrCache>
                <c:ptCount val="10"/>
                <c:lvl>
                  <c:pt idx="0">
                    <c:v>I</c:v>
                  </c:pt>
                  <c:pt idx="1">
                    <c:v>II</c:v>
                  </c:pt>
                  <c:pt idx="2">
                    <c:v>III</c:v>
                  </c:pt>
                  <c:pt idx="3">
                    <c:v>IV</c:v>
                  </c:pt>
                  <c:pt idx="4">
                    <c:v>V</c:v>
                  </c:pt>
                  <c:pt idx="5">
                    <c:v>VI</c:v>
                  </c:pt>
                  <c:pt idx="6">
                    <c:v>VII</c:v>
                  </c:pt>
                  <c:pt idx="7">
                    <c:v>VIII</c:v>
                  </c:pt>
                  <c:pt idx="9">
                    <c:v>I–VIII</c:v>
                  </c:pt>
                </c:lvl>
                <c:lvl>
                  <c:pt idx="0">
                    <c:v>2021</c:v>
                  </c:pt>
                </c:lvl>
              </c:multiLvlStrCache>
            </c:multiLvlStrRef>
          </c:cat>
          <c:val>
            <c:numRef>
              <c:f>'Promet u ind.'!$C$32:$L$32</c:f>
              <c:numCache>
                <c:formatCode>0.0</c:formatCode>
                <c:ptCount val="10"/>
                <c:pt idx="0">
                  <c:v>-1.8096722305173074</c:v>
                </c:pt>
                <c:pt idx="1">
                  <c:v>4.9994782729143168</c:v>
                </c:pt>
                <c:pt idx="2">
                  <c:v>35.637531515564802</c:v>
                </c:pt>
                <c:pt idx="3">
                  <c:v>78.541479134436031</c:v>
                </c:pt>
                <c:pt idx="4">
                  <c:v>46.567455345131037</c:v>
                </c:pt>
                <c:pt idx="5">
                  <c:v>33.248966986576875</c:v>
                </c:pt>
                <c:pt idx="6">
                  <c:v>25.381495555909254</c:v>
                </c:pt>
                <c:pt idx="7">
                  <c:v>33.428484144582626</c:v>
                </c:pt>
                <c:pt idx="9">
                  <c:v>29.649190073674674</c:v>
                </c:pt>
              </c:numCache>
            </c:numRef>
          </c:val>
          <c:smooth val="0"/>
          <c:extLst>
            <c:ext xmlns:c16="http://schemas.microsoft.com/office/drawing/2014/chart" uri="{C3380CC4-5D6E-409C-BE32-E72D297353CC}">
              <c16:uniqueId val="{00000003-64FF-4E08-9917-D5240EA78721}"/>
            </c:ext>
          </c:extLst>
        </c:ser>
        <c:dLbls>
          <c:showLegendKey val="0"/>
          <c:showVal val="0"/>
          <c:showCatName val="0"/>
          <c:showSerName val="0"/>
          <c:showPercent val="0"/>
          <c:showBubbleSize val="0"/>
        </c:dLbls>
        <c:marker val="1"/>
        <c:smooth val="0"/>
        <c:axId val="754735472"/>
        <c:axId val="754740392"/>
      </c:lineChart>
      <c:catAx>
        <c:axId val="754735472"/>
        <c:scaling>
          <c:orientation val="minMax"/>
        </c:scaling>
        <c:delete val="0"/>
        <c:axPos val="b"/>
        <c:numFmt formatCode="General" sourceLinked="1"/>
        <c:majorTickMark val="none"/>
        <c:minorTickMark val="none"/>
        <c:tickLblPos val="nextTo"/>
        <c:spPr>
          <a:noFill/>
          <a:ln w="9525" cap="flat" cmpd="sng" algn="ctr">
            <a:noFill/>
            <a:round/>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754740392"/>
        <c:crosses val="autoZero"/>
        <c:auto val="1"/>
        <c:lblAlgn val="ctr"/>
        <c:lblOffset val="0"/>
        <c:noMultiLvlLbl val="0"/>
      </c:catAx>
      <c:valAx>
        <c:axId val="754740392"/>
        <c:scaling>
          <c:orientation val="minMax"/>
          <c:max val="80"/>
          <c:min val="-10"/>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754735472"/>
        <c:crosses val="autoZero"/>
        <c:crossBetween val="between"/>
        <c:majorUnit val="10"/>
      </c:valAx>
      <c:spPr>
        <a:noFill/>
        <a:ln>
          <a:noFill/>
        </a:ln>
        <a:effectLst/>
      </c:spPr>
    </c:plotArea>
    <c:legend>
      <c:legendPos val="b"/>
      <c:layout>
        <c:manualLayout>
          <c:xMode val="edge"/>
          <c:yMode val="edge"/>
          <c:x val="7.3016914552347665E-4"/>
          <c:y val="0.77459779198037737"/>
          <c:w val="0.99926983085447652"/>
          <c:h val="0.22540220801962249"/>
        </c:manualLayout>
      </c:layout>
      <c:overlay val="0"/>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sz="750">
          <a:solidFill>
            <a:schemeClr val="tx2"/>
          </a:solidFill>
        </a:defRPr>
      </a:pPr>
      <a:endParaRPr lang="en-US"/>
    </a:p>
  </c:txPr>
  <c:externalData r:id="rId4">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8583366760262072E-2"/>
          <c:y val="6.5355171586273103E-2"/>
          <c:w val="0.88461960155100949"/>
          <c:h val="0.84012119030477561"/>
        </c:manualLayout>
      </c:layout>
      <c:lineChart>
        <c:grouping val="standard"/>
        <c:varyColors val="0"/>
        <c:ser>
          <c:idx val="3"/>
          <c:order val="0"/>
          <c:tx>
            <c:strRef>
              <c:f>'Prerađivačka_6 graf'!$G$7</c:f>
              <c:strCache>
                <c:ptCount val="1"/>
                <c:pt idx="0">
                  <c:v>Series4</c:v>
                </c:pt>
              </c:strCache>
            </c:strRef>
          </c:tx>
          <c:spPr>
            <a:ln w="28575" cap="rnd">
              <a:solidFill>
                <a:schemeClr val="accent4"/>
              </a:solidFill>
              <a:round/>
            </a:ln>
            <a:effectLst/>
          </c:spPr>
          <c:marker>
            <c:symbol val="square"/>
            <c:size val="2"/>
            <c:spPr>
              <a:solidFill>
                <a:sysClr val="window" lastClr="FFFFFF"/>
              </a:solidFill>
              <a:ln w="9525">
                <a:noFill/>
              </a:ln>
              <a:effectLst/>
            </c:spPr>
          </c:marker>
          <c:dLbls>
            <c:dLbl>
              <c:idx val="0"/>
              <c:layout>
                <c:manualLayout>
                  <c:x val="0.10303733940992807"/>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6B1-4EDE-896E-C742C08BCBA5}"/>
                </c:ext>
              </c:extLst>
            </c:dLbl>
            <c:dLbl>
              <c:idx val="12"/>
              <c:layout>
                <c:manualLayout>
                  <c:x val="0.10312083333333326"/>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6B1-4EDE-896E-C742C08BCBA5}"/>
                </c:ext>
              </c:extLst>
            </c:dLbl>
            <c:dLbl>
              <c:idx val="24"/>
              <c:layout>
                <c:manualLayout>
                  <c:x val="3.5784027777777616E-2"/>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6B1-4EDE-896E-C742C08BCBA5}"/>
                </c:ext>
              </c:extLst>
            </c:dLbl>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tx2"/>
                    </a:solidFill>
                    <a:latin typeface="+mn-lt"/>
                    <a:ea typeface="+mn-ea"/>
                    <a:cs typeface="+mn-cs"/>
                  </a:defRPr>
                </a:pPr>
                <a:endParaRPr lang="en-U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'Prerađivačka_6 graf'!$C$44:$C$75</c:f>
              <c:numCache>
                <c:formatCode>yyyy</c:formatCode>
                <c:ptCount val="32"/>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numCache>
            </c:numRef>
          </c:cat>
          <c:val>
            <c:numRef>
              <c:f>'Prerađivačka_6 graf'!$G$44:$G$75</c:f>
              <c:numCache>
                <c:formatCode>General</c:formatCode>
                <c:ptCount val="32"/>
                <c:pt idx="0">
                  <c:v>70</c:v>
                </c:pt>
                <c:pt idx="12">
                  <c:v>70</c:v>
                </c:pt>
                <c:pt idx="24">
                  <c:v>70</c:v>
                </c:pt>
              </c:numCache>
            </c:numRef>
          </c:val>
          <c:smooth val="0"/>
          <c:extLst>
            <c:ext xmlns:c16="http://schemas.microsoft.com/office/drawing/2014/chart" uri="{C3380CC4-5D6E-409C-BE32-E72D297353CC}">
              <c16:uniqueId val="{00000003-56B1-4EDE-896E-C742C08BCBA5}"/>
            </c:ext>
          </c:extLst>
        </c:ser>
        <c:ser>
          <c:idx val="4"/>
          <c:order val="1"/>
          <c:tx>
            <c:strRef>
              <c:f>'Prerađivačka_6 graf'!$H$7</c:f>
              <c:strCache>
                <c:ptCount val="1"/>
                <c:pt idx="0">
                  <c:v>Series5</c:v>
                </c:pt>
              </c:strCache>
            </c:strRef>
          </c:tx>
          <c:spPr>
            <a:ln w="25400" cap="rnd">
              <a:noFill/>
              <a:round/>
            </a:ln>
            <a:effectLst/>
          </c:spPr>
          <c:marker>
            <c:symbol val="none"/>
          </c:marker>
          <c:dLbls>
            <c:dLbl>
              <c:idx val="0"/>
              <c:tx>
                <c:rich>
                  <a:bodyPr/>
                  <a:lstStyle/>
                  <a:p>
                    <a:fld id="{8CB46079-9BB3-4314-ABB6-5FD3E7AA6B45}"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4-56B1-4EDE-896E-C742C08BCBA5}"/>
                </c:ext>
              </c:extLst>
            </c:dLbl>
            <c:dLbl>
              <c:idx val="1"/>
              <c:tx>
                <c:rich>
                  <a:bodyPr/>
                  <a:lstStyle/>
                  <a:p>
                    <a:fld id="{73D93FD5-B93C-4C4A-8340-FFEE282CD6C9}"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5-56B1-4EDE-896E-C742C08BCBA5}"/>
                </c:ext>
              </c:extLst>
            </c:dLbl>
            <c:dLbl>
              <c:idx val="2"/>
              <c:tx>
                <c:rich>
                  <a:bodyPr/>
                  <a:lstStyle/>
                  <a:p>
                    <a:fld id="{29626D9D-C89A-4E8C-9B50-D9C25BAACA82}"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6-56B1-4EDE-896E-C742C08BCBA5}"/>
                </c:ext>
              </c:extLst>
            </c:dLbl>
            <c:dLbl>
              <c:idx val="3"/>
              <c:tx>
                <c:rich>
                  <a:bodyPr/>
                  <a:lstStyle/>
                  <a:p>
                    <a:fld id="{E7F21462-BF86-49EE-9139-BC061C2D5BC7}"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7-56B1-4EDE-896E-C742C08BCBA5}"/>
                </c:ext>
              </c:extLst>
            </c:dLbl>
            <c:dLbl>
              <c:idx val="4"/>
              <c:tx>
                <c:rich>
                  <a:bodyPr/>
                  <a:lstStyle/>
                  <a:p>
                    <a:fld id="{3A18ED82-534A-4A69-A271-4F195D0E43A3}"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8-56B1-4EDE-896E-C742C08BCBA5}"/>
                </c:ext>
              </c:extLst>
            </c:dLbl>
            <c:dLbl>
              <c:idx val="5"/>
              <c:tx>
                <c:rich>
                  <a:bodyPr/>
                  <a:lstStyle/>
                  <a:p>
                    <a:fld id="{6B39E7AD-E4EF-4B1D-94A4-F499ADFAFFC0}"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9-56B1-4EDE-896E-C742C08BCBA5}"/>
                </c:ext>
              </c:extLst>
            </c:dLbl>
            <c:dLbl>
              <c:idx val="6"/>
              <c:tx>
                <c:rich>
                  <a:bodyPr/>
                  <a:lstStyle/>
                  <a:p>
                    <a:fld id="{D833B8A9-6B4C-48EB-BD67-51C2ED3C8670}"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A-56B1-4EDE-896E-C742C08BCBA5}"/>
                </c:ext>
              </c:extLst>
            </c:dLbl>
            <c:dLbl>
              <c:idx val="7"/>
              <c:tx>
                <c:rich>
                  <a:bodyPr/>
                  <a:lstStyle/>
                  <a:p>
                    <a:fld id="{42F4B74B-DFF7-45C6-BF30-896EA8B7623E}"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B-56B1-4EDE-896E-C742C08BCBA5}"/>
                </c:ext>
              </c:extLst>
            </c:dLbl>
            <c:dLbl>
              <c:idx val="8"/>
              <c:tx>
                <c:rich>
                  <a:bodyPr/>
                  <a:lstStyle/>
                  <a:p>
                    <a:fld id="{08E04529-78B5-48E5-859D-7BF633A4D23F}"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C-56B1-4EDE-896E-C742C08BCBA5}"/>
                </c:ext>
              </c:extLst>
            </c:dLbl>
            <c:dLbl>
              <c:idx val="9"/>
              <c:tx>
                <c:rich>
                  <a:bodyPr/>
                  <a:lstStyle/>
                  <a:p>
                    <a:fld id="{0145FDA9-91F8-4F3B-B752-6C91328079BF}"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D-56B1-4EDE-896E-C742C08BCBA5}"/>
                </c:ext>
              </c:extLst>
            </c:dLbl>
            <c:dLbl>
              <c:idx val="10"/>
              <c:tx>
                <c:rich>
                  <a:bodyPr/>
                  <a:lstStyle/>
                  <a:p>
                    <a:fld id="{7434D7C4-5B16-41DA-B0E0-577AF6FE86D2}"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E-56B1-4EDE-896E-C742C08BCBA5}"/>
                </c:ext>
              </c:extLst>
            </c:dLbl>
            <c:dLbl>
              <c:idx val="11"/>
              <c:tx>
                <c:rich>
                  <a:bodyPr/>
                  <a:lstStyle/>
                  <a:p>
                    <a:fld id="{27A5CB3A-5327-4116-9D97-49CB6FD58EE2}"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F-56B1-4EDE-896E-C742C08BCBA5}"/>
                </c:ext>
              </c:extLst>
            </c:dLbl>
            <c:dLbl>
              <c:idx val="12"/>
              <c:tx>
                <c:rich>
                  <a:bodyPr/>
                  <a:lstStyle/>
                  <a:p>
                    <a:fld id="{A8711A54-9289-4187-9625-6DCF70CE3C6C}"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0-56B1-4EDE-896E-C742C08BCBA5}"/>
                </c:ext>
              </c:extLst>
            </c:dLbl>
            <c:dLbl>
              <c:idx val="13"/>
              <c:tx>
                <c:rich>
                  <a:bodyPr/>
                  <a:lstStyle/>
                  <a:p>
                    <a:fld id="{84ABB8E2-C98C-4B76-AABD-4EC6ADC4E63C}"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1-56B1-4EDE-896E-C742C08BCBA5}"/>
                </c:ext>
              </c:extLst>
            </c:dLbl>
            <c:dLbl>
              <c:idx val="14"/>
              <c:tx>
                <c:rich>
                  <a:bodyPr/>
                  <a:lstStyle/>
                  <a:p>
                    <a:fld id="{8727E886-1EB3-435F-8ABB-DDE44F18871F}"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2-56B1-4EDE-896E-C742C08BCBA5}"/>
                </c:ext>
              </c:extLst>
            </c:dLbl>
            <c:dLbl>
              <c:idx val="15"/>
              <c:tx>
                <c:rich>
                  <a:bodyPr/>
                  <a:lstStyle/>
                  <a:p>
                    <a:fld id="{898B286B-086F-40DE-93AE-6A0B5F1B2BB3}"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3-56B1-4EDE-896E-C742C08BCBA5}"/>
                </c:ext>
              </c:extLst>
            </c:dLbl>
            <c:dLbl>
              <c:idx val="16"/>
              <c:tx>
                <c:rich>
                  <a:bodyPr/>
                  <a:lstStyle/>
                  <a:p>
                    <a:fld id="{882CD5BF-39B6-47B7-8CA9-1B94A1874538}"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4-56B1-4EDE-896E-C742C08BCBA5}"/>
                </c:ext>
              </c:extLst>
            </c:dLbl>
            <c:dLbl>
              <c:idx val="17"/>
              <c:tx>
                <c:rich>
                  <a:bodyPr/>
                  <a:lstStyle/>
                  <a:p>
                    <a:fld id="{A48C1852-D250-4E43-9881-BF1F211A2C93}"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5-56B1-4EDE-896E-C742C08BCBA5}"/>
                </c:ext>
              </c:extLst>
            </c:dLbl>
            <c:dLbl>
              <c:idx val="18"/>
              <c:tx>
                <c:rich>
                  <a:bodyPr/>
                  <a:lstStyle/>
                  <a:p>
                    <a:fld id="{D47FDE13-0D3E-40ED-9799-9EFB5D47F8F2}"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6-56B1-4EDE-896E-C742C08BCBA5}"/>
                </c:ext>
              </c:extLst>
            </c:dLbl>
            <c:dLbl>
              <c:idx val="19"/>
              <c:tx>
                <c:rich>
                  <a:bodyPr/>
                  <a:lstStyle/>
                  <a:p>
                    <a:fld id="{D2D232FE-3157-4636-BD69-913243E85DB5}"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7-56B1-4EDE-896E-C742C08BCBA5}"/>
                </c:ext>
              </c:extLst>
            </c:dLbl>
            <c:dLbl>
              <c:idx val="20"/>
              <c:tx>
                <c:rich>
                  <a:bodyPr/>
                  <a:lstStyle/>
                  <a:p>
                    <a:fld id="{47385511-4743-4E12-898F-B0E4C28AD431}"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8-56B1-4EDE-896E-C742C08BCBA5}"/>
                </c:ext>
              </c:extLst>
            </c:dLbl>
            <c:dLbl>
              <c:idx val="21"/>
              <c:tx>
                <c:rich>
                  <a:bodyPr/>
                  <a:lstStyle/>
                  <a:p>
                    <a:fld id="{BB26DCD4-8FFD-48E6-9EAF-921625233968}"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9-56B1-4EDE-896E-C742C08BCBA5}"/>
                </c:ext>
              </c:extLst>
            </c:dLbl>
            <c:dLbl>
              <c:idx val="22"/>
              <c:tx>
                <c:rich>
                  <a:bodyPr/>
                  <a:lstStyle/>
                  <a:p>
                    <a:fld id="{4C640BFA-6799-4E03-A760-52D85557A6D2}"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A-56B1-4EDE-896E-C742C08BCBA5}"/>
                </c:ext>
              </c:extLst>
            </c:dLbl>
            <c:dLbl>
              <c:idx val="23"/>
              <c:tx>
                <c:rich>
                  <a:bodyPr/>
                  <a:lstStyle/>
                  <a:p>
                    <a:fld id="{B13324E2-3763-47D5-A648-0BB1D9C6CBE0}"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B-56B1-4EDE-896E-C742C08BCBA5}"/>
                </c:ext>
              </c:extLst>
            </c:dLbl>
            <c:dLbl>
              <c:idx val="24"/>
              <c:tx>
                <c:rich>
                  <a:bodyPr/>
                  <a:lstStyle/>
                  <a:p>
                    <a:fld id="{6247F995-24AB-4B91-BF41-96FB07F1C65A}"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C-56B1-4EDE-896E-C742C08BCBA5}"/>
                </c:ext>
              </c:extLst>
            </c:dLbl>
            <c:dLbl>
              <c:idx val="25"/>
              <c:tx>
                <c:rich>
                  <a:bodyPr/>
                  <a:lstStyle/>
                  <a:p>
                    <a:fld id="{D1D1F8A0-FCFA-4A43-9B14-89C5E3C893A2}"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D-56B1-4EDE-896E-C742C08BCBA5}"/>
                </c:ext>
              </c:extLst>
            </c:dLbl>
            <c:dLbl>
              <c:idx val="26"/>
              <c:tx>
                <c:rich>
                  <a:bodyPr/>
                  <a:lstStyle/>
                  <a:p>
                    <a:fld id="{63E900BF-D62D-4818-8C8F-6094C72030A2}"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E-56B1-4EDE-896E-C742C08BCBA5}"/>
                </c:ext>
              </c:extLst>
            </c:dLbl>
            <c:dLbl>
              <c:idx val="27"/>
              <c:tx>
                <c:rich>
                  <a:bodyPr/>
                  <a:lstStyle/>
                  <a:p>
                    <a:fld id="{60BEE558-CBB7-4382-AC03-D8A11A71CFF9}"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F-56B1-4EDE-896E-C742C08BCBA5}"/>
                </c:ext>
              </c:extLst>
            </c:dLbl>
            <c:dLbl>
              <c:idx val="28"/>
              <c:tx>
                <c:rich>
                  <a:bodyPr/>
                  <a:lstStyle/>
                  <a:p>
                    <a:fld id="{BE56E08A-1136-42B4-9DB7-5B5B8018E2C9}"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0-56B1-4EDE-896E-C742C08BCBA5}"/>
                </c:ext>
              </c:extLst>
            </c:dLbl>
            <c:dLbl>
              <c:idx val="29"/>
              <c:tx>
                <c:rich>
                  <a:bodyPr/>
                  <a:lstStyle/>
                  <a:p>
                    <a:fld id="{D877F261-CB6E-4167-9BA0-334CE05CE471}"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1-56B1-4EDE-896E-C742C08BCBA5}"/>
                </c:ext>
              </c:extLst>
            </c:dLbl>
            <c:dLbl>
              <c:idx val="30"/>
              <c:tx>
                <c:rich>
                  <a:bodyPr/>
                  <a:lstStyle/>
                  <a:p>
                    <a:fld id="{BF6CB1E4-CFE0-4F79-98C4-441233742362}"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2-56B1-4EDE-896E-C742C08BCBA5}"/>
                </c:ext>
              </c:extLst>
            </c:dLbl>
            <c:dLbl>
              <c:idx val="31"/>
              <c:tx>
                <c:rich>
                  <a:bodyPr/>
                  <a:lstStyle/>
                  <a:p>
                    <a:fld id="{EEC28E0C-8BAE-4A50-AA12-89C3D4DB7DE2}"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3-56B1-4EDE-896E-C742C08BCBA5}"/>
                </c:ext>
              </c:extLst>
            </c:dLbl>
            <c:spPr>
              <a:noFill/>
              <a:ln>
                <a:noFill/>
              </a:ln>
              <a:effectLst/>
            </c:spPr>
            <c:txPr>
              <a:bodyPr rot="0" spcFirstLastPara="1" vertOverflow="ellipsis" vert="horz" wrap="square" lIns="38100" tIns="19050" rIns="38100" bIns="19050" anchor="ctr" anchorCtr="1">
                <a:spAutoFit/>
              </a:bodyPr>
              <a:lstStyle/>
              <a:p>
                <a:pPr>
                  <a:defRPr sz="500" b="0" i="0" u="none" strike="noStrike" kern="1200" baseline="0">
                    <a:solidFill>
                      <a:schemeClr val="tx2"/>
                    </a:solidFill>
                    <a:latin typeface="+mn-lt"/>
                    <a:ea typeface="+mn-ea"/>
                    <a:cs typeface="+mn-cs"/>
                  </a:defRPr>
                </a:pPr>
                <a:endParaRPr lang="en-US"/>
              </a:p>
            </c:txPr>
            <c:dLblPos val="t"/>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0"/>
              </c:ext>
            </c:extLst>
          </c:dLbls>
          <c:cat>
            <c:numRef>
              <c:f>'Prerađivačka_6 graf'!$C$44:$C$75</c:f>
              <c:numCache>
                <c:formatCode>yyyy</c:formatCode>
                <c:ptCount val="32"/>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numCache>
            </c:numRef>
          </c:cat>
          <c:val>
            <c:numRef>
              <c:f>'Prerađivačka_6 graf'!$H$44:$H$75</c:f>
              <c:numCache>
                <c:formatCode>General</c:formatCode>
                <c:ptCount val="32"/>
                <c:pt idx="0">
                  <c:v>70</c:v>
                </c:pt>
                <c:pt idx="1">
                  <c:v>70</c:v>
                </c:pt>
                <c:pt idx="2">
                  <c:v>70</c:v>
                </c:pt>
                <c:pt idx="3">
                  <c:v>70</c:v>
                </c:pt>
                <c:pt idx="4">
                  <c:v>70</c:v>
                </c:pt>
                <c:pt idx="5">
                  <c:v>70</c:v>
                </c:pt>
                <c:pt idx="6">
                  <c:v>70</c:v>
                </c:pt>
                <c:pt idx="7">
                  <c:v>70</c:v>
                </c:pt>
                <c:pt idx="8">
                  <c:v>70</c:v>
                </c:pt>
                <c:pt idx="9">
                  <c:v>70</c:v>
                </c:pt>
                <c:pt idx="10">
                  <c:v>70</c:v>
                </c:pt>
                <c:pt idx="11">
                  <c:v>70</c:v>
                </c:pt>
                <c:pt idx="12">
                  <c:v>70</c:v>
                </c:pt>
                <c:pt idx="13">
                  <c:v>70</c:v>
                </c:pt>
                <c:pt idx="14">
                  <c:v>70</c:v>
                </c:pt>
                <c:pt idx="15">
                  <c:v>70</c:v>
                </c:pt>
                <c:pt idx="16">
                  <c:v>70</c:v>
                </c:pt>
                <c:pt idx="17">
                  <c:v>70</c:v>
                </c:pt>
                <c:pt idx="18">
                  <c:v>70</c:v>
                </c:pt>
                <c:pt idx="19">
                  <c:v>70</c:v>
                </c:pt>
                <c:pt idx="20">
                  <c:v>70</c:v>
                </c:pt>
                <c:pt idx="21">
                  <c:v>70</c:v>
                </c:pt>
                <c:pt idx="22">
                  <c:v>70</c:v>
                </c:pt>
                <c:pt idx="23">
                  <c:v>70</c:v>
                </c:pt>
                <c:pt idx="24">
                  <c:v>70</c:v>
                </c:pt>
                <c:pt idx="25">
                  <c:v>70</c:v>
                </c:pt>
                <c:pt idx="26">
                  <c:v>70</c:v>
                </c:pt>
                <c:pt idx="27">
                  <c:v>70</c:v>
                </c:pt>
                <c:pt idx="28">
                  <c:v>70</c:v>
                </c:pt>
                <c:pt idx="29">
                  <c:v>70</c:v>
                </c:pt>
                <c:pt idx="30">
                  <c:v>70</c:v>
                </c:pt>
                <c:pt idx="31">
                  <c:v>70</c:v>
                </c:pt>
              </c:numCache>
            </c:numRef>
          </c:val>
          <c:smooth val="0"/>
          <c:extLst>
            <c:ext xmlns:c15="http://schemas.microsoft.com/office/drawing/2012/chart" uri="{02D57815-91ED-43cb-92C2-25804820EDAC}">
              <c15:datalabelsRange>
                <c15:f>'Prerađivačka_6 graf'!$E$44:$E$75</c15:f>
                <c15:dlblRangeCache>
                  <c:ptCount val="32"/>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pt idx="24">
                    <c:v>I</c:v>
                  </c:pt>
                  <c:pt idx="25">
                    <c:v>II</c:v>
                  </c:pt>
                  <c:pt idx="26">
                    <c:v>III</c:v>
                  </c:pt>
                  <c:pt idx="27">
                    <c:v>IV</c:v>
                  </c:pt>
                  <c:pt idx="28">
                    <c:v>V</c:v>
                  </c:pt>
                  <c:pt idx="29">
                    <c:v>VI</c:v>
                  </c:pt>
                  <c:pt idx="30">
                    <c:v>VII</c:v>
                  </c:pt>
                  <c:pt idx="31">
                    <c:v>VIII</c:v>
                  </c:pt>
                </c15:dlblRangeCache>
              </c15:datalabelsRange>
            </c:ext>
            <c:ext xmlns:c16="http://schemas.microsoft.com/office/drawing/2014/chart" uri="{C3380CC4-5D6E-409C-BE32-E72D297353CC}">
              <c16:uniqueId val="{00000024-56B1-4EDE-896E-C742C08BCBA5}"/>
            </c:ext>
          </c:extLst>
        </c:ser>
        <c:ser>
          <c:idx val="0"/>
          <c:order val="2"/>
          <c:tx>
            <c:strRef>
              <c:f>'Prerađivačka_6 graf'!$I$7</c:f>
              <c:strCache>
                <c:ptCount val="1"/>
                <c:pt idx="0">
                  <c:v>y</c:v>
                </c:pt>
              </c:strCache>
            </c:strRef>
          </c:tx>
          <c:spPr>
            <a:ln w="12700" cap="rnd">
              <a:solidFill>
                <a:srgbClr val="7F3F98"/>
              </a:solidFill>
              <a:prstDash val="sysDash"/>
              <a:round/>
            </a:ln>
            <a:effectLst/>
          </c:spPr>
          <c:marker>
            <c:symbol val="none"/>
          </c:marker>
          <c:cat>
            <c:numRef>
              <c:f>'Prerađivačka_6 graf'!$C$44:$C$75</c:f>
              <c:numCache>
                <c:formatCode>yyyy</c:formatCode>
                <c:ptCount val="32"/>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numCache>
            </c:numRef>
          </c:cat>
          <c:val>
            <c:numRef>
              <c:f>'Prerađivačka_6 graf'!$I$44:$I$75</c:f>
              <c:numCache>
                <c:formatCode>0.0</c:formatCode>
                <c:ptCount val="32"/>
                <c:pt idx="0">
                  <c:v>82.04683423710712</c:v>
                </c:pt>
                <c:pt idx="1">
                  <c:v>88.92560891798243</c:v>
                </c:pt>
                <c:pt idx="2">
                  <c:v>95.904075985537105</c:v>
                </c:pt>
                <c:pt idx="3">
                  <c:v>94.00992063862941</c:v>
                </c:pt>
                <c:pt idx="4">
                  <c:v>102.98223543977115</c:v>
                </c:pt>
                <c:pt idx="5">
                  <c:v>99.293617132635092</c:v>
                </c:pt>
                <c:pt idx="6">
                  <c:v>105.77362226679298</c:v>
                </c:pt>
                <c:pt idx="7">
                  <c:v>96.00376837221647</c:v>
                </c:pt>
                <c:pt idx="8">
                  <c:v>107.16931568030394</c:v>
                </c:pt>
                <c:pt idx="9">
                  <c:v>114.54655229457605</c:v>
                </c:pt>
                <c:pt idx="10">
                  <c:v>108.96377864053228</c:v>
                </c:pt>
                <c:pt idx="11">
                  <c:v>102.88254305309179</c:v>
                </c:pt>
                <c:pt idx="12">
                  <c:v>87.612387612387622</c:v>
                </c:pt>
                <c:pt idx="13">
                  <c:v>95.759368836291898</c:v>
                </c:pt>
                <c:pt idx="14">
                  <c:v>99.436619718309856</c:v>
                </c:pt>
                <c:pt idx="15">
                  <c:v>75.563380281690144</c:v>
                </c:pt>
                <c:pt idx="16">
                  <c:v>93.609360936093609</c:v>
                </c:pt>
                <c:pt idx="17">
                  <c:v>104.13922859830669</c:v>
                </c:pt>
                <c:pt idx="18">
                  <c:v>105.23715415019763</c:v>
                </c:pt>
                <c:pt idx="19">
                  <c:v>99.703849950641668</c:v>
                </c:pt>
                <c:pt idx="20">
                  <c:v>112.05992509363294</c:v>
                </c:pt>
                <c:pt idx="21">
                  <c:v>113.95755305867664</c:v>
                </c:pt>
                <c:pt idx="22">
                  <c:v>105.06866416978775</c:v>
                </c:pt>
                <c:pt idx="23">
                  <c:v>108.56429463171034</c:v>
                </c:pt>
                <c:pt idx="24">
                  <c:v>87.7</c:v>
                </c:pt>
                <c:pt idx="25">
                  <c:v>97.1</c:v>
                </c:pt>
                <c:pt idx="26">
                  <c:v>105.9</c:v>
                </c:pt>
                <c:pt idx="27">
                  <c:v>107.3</c:v>
                </c:pt>
                <c:pt idx="28">
                  <c:v>102.5</c:v>
                </c:pt>
                <c:pt idx="29">
                  <c:v>110.7</c:v>
                </c:pt>
                <c:pt idx="30">
                  <c:v>107.1</c:v>
                </c:pt>
                <c:pt idx="31">
                  <c:v>101</c:v>
                </c:pt>
              </c:numCache>
            </c:numRef>
          </c:val>
          <c:smooth val="0"/>
          <c:extLst>
            <c:ext xmlns:c16="http://schemas.microsoft.com/office/drawing/2014/chart" uri="{C3380CC4-5D6E-409C-BE32-E72D297353CC}">
              <c16:uniqueId val="{00000025-56B1-4EDE-896E-C742C08BCBA5}"/>
            </c:ext>
          </c:extLst>
        </c:ser>
        <c:ser>
          <c:idx val="1"/>
          <c:order val="3"/>
          <c:tx>
            <c:strRef>
              <c:f>'Prerađivačka_6 graf'!$J$7</c:f>
              <c:strCache>
                <c:ptCount val="1"/>
                <c:pt idx="0">
                  <c:v>sa</c:v>
                </c:pt>
              </c:strCache>
            </c:strRef>
          </c:tx>
          <c:spPr>
            <a:ln w="22225" cap="rnd">
              <a:solidFill>
                <a:srgbClr val="25AAE1"/>
              </a:solidFill>
              <a:round/>
            </a:ln>
            <a:effectLst/>
          </c:spPr>
          <c:marker>
            <c:symbol val="none"/>
          </c:marker>
          <c:cat>
            <c:numRef>
              <c:f>'Prerađivačka_6 graf'!$C$44:$C$75</c:f>
              <c:numCache>
                <c:formatCode>yyyy</c:formatCode>
                <c:ptCount val="32"/>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numCache>
            </c:numRef>
          </c:cat>
          <c:val>
            <c:numRef>
              <c:f>'Prerađivačka_6 graf'!$J$44:$J$75</c:f>
              <c:numCache>
                <c:formatCode>0.0</c:formatCode>
                <c:ptCount val="32"/>
                <c:pt idx="0">
                  <c:v>98.032377084601904</c:v>
                </c:pt>
                <c:pt idx="1">
                  <c:v>99.640254389670943</c:v>
                </c:pt>
                <c:pt idx="2">
                  <c:v>96.685278901175877</c:v>
                </c:pt>
                <c:pt idx="3">
                  <c:v>95.493372010008557</c:v>
                </c:pt>
                <c:pt idx="4">
                  <c:v>100.32143626803609</c:v>
                </c:pt>
                <c:pt idx="5">
                  <c:v>97.209819442532734</c:v>
                </c:pt>
                <c:pt idx="6">
                  <c:v>103.11025612303439</c:v>
                </c:pt>
                <c:pt idx="7">
                  <c:v>99.417291647218562</c:v>
                </c:pt>
                <c:pt idx="8">
                  <c:v>101.10204888392973</c:v>
                </c:pt>
                <c:pt idx="9">
                  <c:v>102.43600847845035</c:v>
                </c:pt>
                <c:pt idx="10">
                  <c:v>103.72725919370782</c:v>
                </c:pt>
                <c:pt idx="11">
                  <c:v>101.81700341221827</c:v>
                </c:pt>
                <c:pt idx="12">
                  <c:v>104.13464204646915</c:v>
                </c:pt>
                <c:pt idx="13">
                  <c:v>100.34330825129641</c:v>
                </c:pt>
                <c:pt idx="14">
                  <c:v>99.731216017069812</c:v>
                </c:pt>
                <c:pt idx="15">
                  <c:v>76.722469139553212</c:v>
                </c:pt>
                <c:pt idx="16">
                  <c:v>92.957891718364891</c:v>
                </c:pt>
                <c:pt idx="17">
                  <c:v>99.838338679622467</c:v>
                </c:pt>
                <c:pt idx="18">
                  <c:v>102.36785391434832</c:v>
                </c:pt>
                <c:pt idx="19">
                  <c:v>104.63496843868801</c:v>
                </c:pt>
                <c:pt idx="20">
                  <c:v>104.02844160109122</c:v>
                </c:pt>
                <c:pt idx="21">
                  <c:v>103.01276050004918</c:v>
                </c:pt>
                <c:pt idx="22">
                  <c:v>99.978677358055222</c:v>
                </c:pt>
                <c:pt idx="23">
                  <c:v>105.96452834232919</c:v>
                </c:pt>
                <c:pt idx="24">
                  <c:v>105.33621944031555</c:v>
                </c:pt>
                <c:pt idx="25">
                  <c:v>108.82194178310449</c:v>
                </c:pt>
                <c:pt idx="26">
                  <c:v>105.40323258510396</c:v>
                </c:pt>
                <c:pt idx="27">
                  <c:v>109.13271633243455</c:v>
                </c:pt>
                <c:pt idx="28">
                  <c:v>99.730119886908085</c:v>
                </c:pt>
                <c:pt idx="29">
                  <c:v>106.4339331378289</c:v>
                </c:pt>
                <c:pt idx="30">
                  <c:v>105.30451771043535</c:v>
                </c:pt>
                <c:pt idx="31">
                  <c:v>104.5283908677069</c:v>
                </c:pt>
              </c:numCache>
            </c:numRef>
          </c:val>
          <c:smooth val="0"/>
          <c:extLst>
            <c:ext xmlns:c16="http://schemas.microsoft.com/office/drawing/2014/chart" uri="{C3380CC4-5D6E-409C-BE32-E72D297353CC}">
              <c16:uniqueId val="{00000026-56B1-4EDE-896E-C742C08BCBA5}"/>
            </c:ext>
          </c:extLst>
        </c:ser>
        <c:ser>
          <c:idx val="2"/>
          <c:order val="4"/>
          <c:tx>
            <c:strRef>
              <c:f>'Prerađivačka_6 graf'!$K$7</c:f>
              <c:strCache>
                <c:ptCount val="1"/>
                <c:pt idx="0">
                  <c:v>t</c:v>
                </c:pt>
              </c:strCache>
            </c:strRef>
          </c:tx>
          <c:spPr>
            <a:ln w="25400" cap="rnd">
              <a:solidFill>
                <a:srgbClr val="FF0000"/>
              </a:solidFill>
              <a:round/>
            </a:ln>
            <a:effectLst/>
          </c:spPr>
          <c:marker>
            <c:symbol val="none"/>
          </c:marker>
          <c:cat>
            <c:numRef>
              <c:f>'Prerađivačka_6 graf'!$C$44:$C$75</c:f>
              <c:numCache>
                <c:formatCode>yyyy</c:formatCode>
                <c:ptCount val="32"/>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numCache>
            </c:numRef>
          </c:cat>
          <c:val>
            <c:numRef>
              <c:f>'Prerađivačka_6 graf'!$K$44:$K$75</c:f>
              <c:numCache>
                <c:formatCode>0.0</c:formatCode>
                <c:ptCount val="32"/>
                <c:pt idx="0">
                  <c:v>97.85183330489329</c:v>
                </c:pt>
                <c:pt idx="1">
                  <c:v>97.653329134617792</c:v>
                </c:pt>
                <c:pt idx="2">
                  <c:v>97.850633857826878</c:v>
                </c:pt>
                <c:pt idx="3">
                  <c:v>98.284227470704778</c:v>
                </c:pt>
                <c:pt idx="4">
                  <c:v>98.766945632798013</c:v>
                </c:pt>
                <c:pt idx="5">
                  <c:v>99.314742310800796</c:v>
                </c:pt>
                <c:pt idx="6">
                  <c:v>99.964458629935848</c:v>
                </c:pt>
                <c:pt idx="7">
                  <c:v>100.78277778386912</c:v>
                </c:pt>
                <c:pt idx="8">
                  <c:v>101.61397363091871</c:v>
                </c:pt>
                <c:pt idx="9">
                  <c:v>102.28272777105579</c:v>
                </c:pt>
                <c:pt idx="10">
                  <c:v>102.65798055519457</c:v>
                </c:pt>
                <c:pt idx="11">
                  <c:v>102.58310241882447</c:v>
                </c:pt>
                <c:pt idx="12">
                  <c:v>102.00642061706426</c:v>
                </c:pt>
                <c:pt idx="13">
                  <c:v>101.12679066749467</c:v>
                </c:pt>
                <c:pt idx="14">
                  <c:v>100.24500562657265</c:v>
                </c:pt>
                <c:pt idx="15">
                  <c:v>99.856833670895512</c:v>
                </c:pt>
                <c:pt idx="16">
                  <c:v>100.13290145099482</c:v>
                </c:pt>
                <c:pt idx="17">
                  <c:v>100.89942683540674</c:v>
                </c:pt>
                <c:pt idx="18">
                  <c:v>101.88386103259265</c:v>
                </c:pt>
                <c:pt idx="19">
                  <c:v>102.77236202665478</c:v>
                </c:pt>
                <c:pt idx="20">
                  <c:v>103.4585600605575</c:v>
                </c:pt>
                <c:pt idx="21">
                  <c:v>103.99673582884861</c:v>
                </c:pt>
                <c:pt idx="22">
                  <c:v>104.54454638094094</c:v>
                </c:pt>
                <c:pt idx="23">
                  <c:v>105.2226441872252</c:v>
                </c:pt>
                <c:pt idx="24">
                  <c:v>106.03292626070733</c:v>
                </c:pt>
                <c:pt idx="25">
                  <c:v>106.82600241736453</c:v>
                </c:pt>
                <c:pt idx="26">
                  <c:v>107.31247858150522</c:v>
                </c:pt>
                <c:pt idx="27">
                  <c:v>107.30088456514093</c:v>
                </c:pt>
                <c:pt idx="28">
                  <c:v>106.86968722681668</c:v>
                </c:pt>
                <c:pt idx="29">
                  <c:v>106.20871228574542</c:v>
                </c:pt>
                <c:pt idx="30">
                  <c:v>105.57072166558847</c:v>
                </c:pt>
                <c:pt idx="31">
                  <c:v>105.09049500063207</c:v>
                </c:pt>
              </c:numCache>
            </c:numRef>
          </c:val>
          <c:smooth val="0"/>
          <c:extLst>
            <c:ext xmlns:c16="http://schemas.microsoft.com/office/drawing/2014/chart" uri="{C3380CC4-5D6E-409C-BE32-E72D297353CC}">
              <c16:uniqueId val="{00000027-56B1-4EDE-896E-C742C08BCBA5}"/>
            </c:ext>
          </c:extLst>
        </c:ser>
        <c:dLbls>
          <c:showLegendKey val="0"/>
          <c:showVal val="0"/>
          <c:showCatName val="0"/>
          <c:showSerName val="0"/>
          <c:showPercent val="0"/>
          <c:showBubbleSize val="0"/>
        </c:dLbls>
        <c:marker val="1"/>
        <c:smooth val="0"/>
        <c:axId val="2092180112"/>
        <c:axId val="2092170320"/>
      </c:lineChart>
      <c:dateAx>
        <c:axId val="2092180112"/>
        <c:scaling>
          <c:orientation val="minMax"/>
        </c:scaling>
        <c:delete val="0"/>
        <c:axPos val="b"/>
        <c:numFmt formatCode="yyyy" sourceLinked="1"/>
        <c:majorTickMark val="none"/>
        <c:minorTickMark val="none"/>
        <c:tickLblPos val="none"/>
        <c:spPr>
          <a:noFill/>
          <a:ln w="6350" cap="flat" cmpd="sng" algn="ctr">
            <a:solidFill>
              <a:srgbClr val="898989"/>
            </a:solidFill>
            <a:round/>
          </a:ln>
          <a:effectLst/>
        </c:spPr>
        <c:txPr>
          <a:bodyPr rot="0" spcFirstLastPara="1" vertOverflow="ellipsis" wrap="square" anchor="ctr" anchorCtr="1"/>
          <a:lstStyle/>
          <a:p>
            <a:pPr algn="ctr">
              <a:defRPr sz="750" b="0" i="0" u="none" strike="noStrike" kern="1200" baseline="0">
                <a:solidFill>
                  <a:schemeClr val="tx2"/>
                </a:solidFill>
                <a:latin typeface="+mn-lt"/>
                <a:ea typeface="+mn-ea"/>
                <a:cs typeface="+mn-cs"/>
              </a:defRPr>
            </a:pPr>
            <a:endParaRPr lang="en-US"/>
          </a:p>
        </c:txPr>
        <c:crossAx val="2092170320"/>
        <c:crosses val="autoZero"/>
        <c:auto val="1"/>
        <c:lblOffset val="0"/>
        <c:baseTimeUnit val="months"/>
        <c:majorUnit val="12"/>
        <c:majorTimeUnit val="months"/>
      </c:dateAx>
      <c:valAx>
        <c:axId val="2092170320"/>
        <c:scaling>
          <c:orientation val="minMax"/>
          <c:min val="70"/>
        </c:scaling>
        <c:delete val="0"/>
        <c:axPos val="l"/>
        <c:numFmt formatCode="0" sourceLinked="0"/>
        <c:majorTickMark val="out"/>
        <c:minorTickMark val="none"/>
        <c:tickLblPos val="nextTo"/>
        <c:spPr>
          <a:noFill/>
          <a:ln w="6350">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2092180112"/>
        <c:crosses val="autoZero"/>
        <c:crossBetween val="midCat"/>
        <c:majorUnit val="10"/>
      </c:valAx>
      <c:spPr>
        <a:solidFill>
          <a:sysClr val="window" lastClr="FFFFFF"/>
        </a:solidFill>
        <a:ln>
          <a:noFill/>
        </a:ln>
        <a:effectLst/>
      </c:spPr>
    </c:plotArea>
    <c:plotVisOnly val="1"/>
    <c:dispBlanksAs val="gap"/>
    <c:showDLblsOverMax val="0"/>
  </c:chart>
  <c:spPr>
    <a:solidFill>
      <a:schemeClr val="bg1"/>
    </a:solidFill>
    <a:ln w="9525" cap="flat" cmpd="sng" algn="ctr">
      <a:noFill/>
      <a:round/>
    </a:ln>
    <a:effectLst/>
  </c:spPr>
  <c:txPr>
    <a:bodyPr/>
    <a:lstStyle/>
    <a:p>
      <a:pPr>
        <a:defRPr sz="750">
          <a:solidFill>
            <a:schemeClr val="tx2"/>
          </a:solidFill>
          <a:latin typeface="+mn-lt"/>
        </a:defRPr>
      </a:pPr>
      <a:endParaRPr lang="en-US"/>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1652245513160466E-2"/>
          <c:y val="3.6405005688282137E-2"/>
          <c:w val="0.87031860600758237"/>
          <c:h val="0.79774475289564895"/>
        </c:manualLayout>
      </c:layout>
      <c:lineChart>
        <c:grouping val="standard"/>
        <c:varyColors val="0"/>
        <c:ser>
          <c:idx val="0"/>
          <c:order val="0"/>
          <c:tx>
            <c:strRef>
              <c:f>Commodities!$O$6</c:f>
              <c:strCache>
                <c:ptCount val="1"/>
                <c:pt idx="0">
                  <c:v>Храна</c:v>
                </c:pt>
              </c:strCache>
            </c:strRef>
          </c:tx>
          <c:spPr>
            <a:ln w="22225" cap="rnd">
              <a:solidFill>
                <a:srgbClr val="00A651"/>
              </a:solidFill>
              <a:round/>
            </a:ln>
            <a:effectLst/>
          </c:spPr>
          <c:marker>
            <c:symbol val="none"/>
          </c:marker>
          <c:cat>
            <c:numRef>
              <c:f>Commodities!$I$8:$I$99</c:f>
              <c:numCache>
                <c:formatCode>yyyy</c:formatCode>
                <c:ptCount val="92"/>
                <c:pt idx="0">
                  <c:v>41640</c:v>
                </c:pt>
                <c:pt idx="1">
                  <c:v>41671</c:v>
                </c:pt>
                <c:pt idx="2">
                  <c:v>41699</c:v>
                </c:pt>
                <c:pt idx="3">
                  <c:v>41730</c:v>
                </c:pt>
                <c:pt idx="4">
                  <c:v>41760</c:v>
                </c:pt>
                <c:pt idx="5">
                  <c:v>41791</c:v>
                </c:pt>
                <c:pt idx="6">
                  <c:v>41821</c:v>
                </c:pt>
                <c:pt idx="7">
                  <c:v>41852</c:v>
                </c:pt>
                <c:pt idx="8">
                  <c:v>41883</c:v>
                </c:pt>
                <c:pt idx="9">
                  <c:v>41913</c:v>
                </c:pt>
                <c:pt idx="10">
                  <c:v>41944</c:v>
                </c:pt>
                <c:pt idx="11">
                  <c:v>41974</c:v>
                </c:pt>
                <c:pt idx="12">
                  <c:v>42005</c:v>
                </c:pt>
                <c:pt idx="13">
                  <c:v>42036</c:v>
                </c:pt>
                <c:pt idx="14">
                  <c:v>42064</c:v>
                </c:pt>
                <c:pt idx="15">
                  <c:v>42095</c:v>
                </c:pt>
                <c:pt idx="16">
                  <c:v>42125</c:v>
                </c:pt>
                <c:pt idx="17">
                  <c:v>42156</c:v>
                </c:pt>
                <c:pt idx="18">
                  <c:v>42186</c:v>
                </c:pt>
                <c:pt idx="19">
                  <c:v>42217</c:v>
                </c:pt>
                <c:pt idx="20">
                  <c:v>42248</c:v>
                </c:pt>
                <c:pt idx="21">
                  <c:v>42278</c:v>
                </c:pt>
                <c:pt idx="22">
                  <c:v>42309</c:v>
                </c:pt>
                <c:pt idx="23">
                  <c:v>42339</c:v>
                </c:pt>
                <c:pt idx="24">
                  <c:v>42370</c:v>
                </c:pt>
                <c:pt idx="25">
                  <c:v>42401</c:v>
                </c:pt>
                <c:pt idx="26">
                  <c:v>42430</c:v>
                </c:pt>
                <c:pt idx="27">
                  <c:v>42461</c:v>
                </c:pt>
                <c:pt idx="28">
                  <c:v>42491</c:v>
                </c:pt>
                <c:pt idx="29">
                  <c:v>42522</c:v>
                </c:pt>
                <c:pt idx="30">
                  <c:v>42552</c:v>
                </c:pt>
                <c:pt idx="31">
                  <c:v>42583</c:v>
                </c:pt>
                <c:pt idx="32">
                  <c:v>42614</c:v>
                </c:pt>
                <c:pt idx="33">
                  <c:v>42644</c:v>
                </c:pt>
                <c:pt idx="34">
                  <c:v>42675</c:v>
                </c:pt>
                <c:pt idx="35">
                  <c:v>42705</c:v>
                </c:pt>
                <c:pt idx="36">
                  <c:v>42736</c:v>
                </c:pt>
                <c:pt idx="37">
                  <c:v>42767</c:v>
                </c:pt>
                <c:pt idx="38">
                  <c:v>42795</c:v>
                </c:pt>
                <c:pt idx="39">
                  <c:v>42826</c:v>
                </c:pt>
                <c:pt idx="40">
                  <c:v>42856</c:v>
                </c:pt>
                <c:pt idx="41">
                  <c:v>42887</c:v>
                </c:pt>
                <c:pt idx="42">
                  <c:v>42917</c:v>
                </c:pt>
                <c:pt idx="43">
                  <c:v>42948</c:v>
                </c:pt>
                <c:pt idx="44">
                  <c:v>42979</c:v>
                </c:pt>
                <c:pt idx="45">
                  <c:v>43009</c:v>
                </c:pt>
                <c:pt idx="46">
                  <c:v>43040</c:v>
                </c:pt>
                <c:pt idx="47">
                  <c:v>43070</c:v>
                </c:pt>
                <c:pt idx="48">
                  <c:v>43101</c:v>
                </c:pt>
                <c:pt idx="49">
                  <c:v>43132</c:v>
                </c:pt>
                <c:pt idx="50">
                  <c:v>43160</c:v>
                </c:pt>
                <c:pt idx="51">
                  <c:v>43191</c:v>
                </c:pt>
                <c:pt idx="52">
                  <c:v>43221</c:v>
                </c:pt>
                <c:pt idx="53">
                  <c:v>43252</c:v>
                </c:pt>
                <c:pt idx="54">
                  <c:v>43282</c:v>
                </c:pt>
                <c:pt idx="55">
                  <c:v>43313</c:v>
                </c:pt>
                <c:pt idx="56">
                  <c:v>43344</c:v>
                </c:pt>
                <c:pt idx="57">
                  <c:v>43374</c:v>
                </c:pt>
                <c:pt idx="58">
                  <c:v>43405</c:v>
                </c:pt>
                <c:pt idx="59">
                  <c:v>43435</c:v>
                </c:pt>
                <c:pt idx="60">
                  <c:v>43466</c:v>
                </c:pt>
                <c:pt idx="61">
                  <c:v>43497</c:v>
                </c:pt>
                <c:pt idx="62">
                  <c:v>43525</c:v>
                </c:pt>
                <c:pt idx="63">
                  <c:v>43556</c:v>
                </c:pt>
                <c:pt idx="64">
                  <c:v>43586</c:v>
                </c:pt>
                <c:pt idx="65">
                  <c:v>43617</c:v>
                </c:pt>
                <c:pt idx="66">
                  <c:v>43647</c:v>
                </c:pt>
                <c:pt idx="67">
                  <c:v>43678</c:v>
                </c:pt>
                <c:pt idx="68">
                  <c:v>43709</c:v>
                </c:pt>
                <c:pt idx="69">
                  <c:v>43739</c:v>
                </c:pt>
                <c:pt idx="70">
                  <c:v>43770</c:v>
                </c:pt>
                <c:pt idx="71">
                  <c:v>43800</c:v>
                </c:pt>
                <c:pt idx="72">
                  <c:v>43831</c:v>
                </c:pt>
                <c:pt idx="73">
                  <c:v>43862</c:v>
                </c:pt>
                <c:pt idx="74">
                  <c:v>43891</c:v>
                </c:pt>
                <c:pt idx="75">
                  <c:v>43922</c:v>
                </c:pt>
                <c:pt idx="76">
                  <c:v>43952</c:v>
                </c:pt>
                <c:pt idx="77">
                  <c:v>43983</c:v>
                </c:pt>
                <c:pt idx="78">
                  <c:v>44013</c:v>
                </c:pt>
                <c:pt idx="79">
                  <c:v>44044</c:v>
                </c:pt>
                <c:pt idx="80">
                  <c:v>44075</c:v>
                </c:pt>
                <c:pt idx="81">
                  <c:v>44105</c:v>
                </c:pt>
                <c:pt idx="82">
                  <c:v>44136</c:v>
                </c:pt>
                <c:pt idx="83">
                  <c:v>44166</c:v>
                </c:pt>
                <c:pt idx="84">
                  <c:v>44197</c:v>
                </c:pt>
                <c:pt idx="85">
                  <c:v>44228</c:v>
                </c:pt>
                <c:pt idx="86">
                  <c:v>44256</c:v>
                </c:pt>
                <c:pt idx="87">
                  <c:v>44287</c:v>
                </c:pt>
                <c:pt idx="88">
                  <c:v>44317</c:v>
                </c:pt>
                <c:pt idx="89">
                  <c:v>44348</c:v>
                </c:pt>
                <c:pt idx="90">
                  <c:v>44378</c:v>
                </c:pt>
                <c:pt idx="91">
                  <c:v>44409</c:v>
                </c:pt>
              </c:numCache>
            </c:numRef>
          </c:cat>
          <c:val>
            <c:numRef>
              <c:f>Commodities!$O$8:$O$99</c:f>
              <c:numCache>
                <c:formatCode>0.00</c:formatCode>
                <c:ptCount val="92"/>
                <c:pt idx="0">
                  <c:v>99.894000000000005</c:v>
                </c:pt>
                <c:pt idx="1">
                  <c:v>102.572</c:v>
                </c:pt>
                <c:pt idx="2">
                  <c:v>108.322</c:v>
                </c:pt>
                <c:pt idx="3">
                  <c:v>110.264</c:v>
                </c:pt>
                <c:pt idx="4">
                  <c:v>105.625</c:v>
                </c:pt>
                <c:pt idx="5">
                  <c:v>103.072</c:v>
                </c:pt>
                <c:pt idx="6">
                  <c:v>100.66800000000001</c:v>
                </c:pt>
                <c:pt idx="7">
                  <c:v>95.989000000000004</c:v>
                </c:pt>
                <c:pt idx="8">
                  <c:v>94.153000000000006</c:v>
                </c:pt>
                <c:pt idx="9">
                  <c:v>93.620999999999995</c:v>
                </c:pt>
                <c:pt idx="10">
                  <c:v>93.578999999999994</c:v>
                </c:pt>
                <c:pt idx="11">
                  <c:v>92.24</c:v>
                </c:pt>
                <c:pt idx="12">
                  <c:v>88.88</c:v>
                </c:pt>
                <c:pt idx="13">
                  <c:v>86.105999999999995</c:v>
                </c:pt>
                <c:pt idx="14">
                  <c:v>83.694999999999993</c:v>
                </c:pt>
                <c:pt idx="15">
                  <c:v>85.239000000000004</c:v>
                </c:pt>
                <c:pt idx="16">
                  <c:v>84.86</c:v>
                </c:pt>
                <c:pt idx="17">
                  <c:v>84.234999999999999</c:v>
                </c:pt>
                <c:pt idx="18">
                  <c:v>83.978999999999999</c:v>
                </c:pt>
                <c:pt idx="19">
                  <c:v>81.406000000000006</c:v>
                </c:pt>
                <c:pt idx="20">
                  <c:v>80.92</c:v>
                </c:pt>
                <c:pt idx="21">
                  <c:v>81.289000000000001</c:v>
                </c:pt>
                <c:pt idx="22">
                  <c:v>77.793999999999997</c:v>
                </c:pt>
                <c:pt idx="23">
                  <c:v>77.525999999999996</c:v>
                </c:pt>
                <c:pt idx="24">
                  <c:v>77.533000000000001</c:v>
                </c:pt>
                <c:pt idx="25">
                  <c:v>78.738</c:v>
                </c:pt>
                <c:pt idx="26">
                  <c:v>81.387</c:v>
                </c:pt>
                <c:pt idx="27">
                  <c:v>83.57</c:v>
                </c:pt>
                <c:pt idx="28">
                  <c:v>84.516999999999996</c:v>
                </c:pt>
                <c:pt idx="29">
                  <c:v>86.058000000000007</c:v>
                </c:pt>
                <c:pt idx="30">
                  <c:v>86.355000000000004</c:v>
                </c:pt>
                <c:pt idx="31">
                  <c:v>84.736000000000004</c:v>
                </c:pt>
                <c:pt idx="32">
                  <c:v>84.168999999999997</c:v>
                </c:pt>
                <c:pt idx="33">
                  <c:v>83.093999999999994</c:v>
                </c:pt>
                <c:pt idx="34">
                  <c:v>83.451999999999998</c:v>
                </c:pt>
                <c:pt idx="35">
                  <c:v>84.171999999999997</c:v>
                </c:pt>
                <c:pt idx="36">
                  <c:v>87.281000000000006</c:v>
                </c:pt>
                <c:pt idx="37">
                  <c:v>87.588999999999999</c:v>
                </c:pt>
                <c:pt idx="38">
                  <c:v>84.69</c:v>
                </c:pt>
                <c:pt idx="39">
                  <c:v>83.998999999999995</c:v>
                </c:pt>
                <c:pt idx="40">
                  <c:v>86.043000000000006</c:v>
                </c:pt>
                <c:pt idx="41">
                  <c:v>85.418000000000006</c:v>
                </c:pt>
                <c:pt idx="42">
                  <c:v>87.313000000000002</c:v>
                </c:pt>
                <c:pt idx="43">
                  <c:v>83.09</c:v>
                </c:pt>
                <c:pt idx="44">
                  <c:v>81.64</c:v>
                </c:pt>
                <c:pt idx="45">
                  <c:v>82.254000000000005</c:v>
                </c:pt>
                <c:pt idx="46">
                  <c:v>82.53</c:v>
                </c:pt>
                <c:pt idx="47">
                  <c:v>82.403000000000006</c:v>
                </c:pt>
                <c:pt idx="48">
                  <c:v>84.914000000000001</c:v>
                </c:pt>
                <c:pt idx="49">
                  <c:v>84.778000000000006</c:v>
                </c:pt>
                <c:pt idx="50">
                  <c:v>85.513999999999996</c:v>
                </c:pt>
                <c:pt idx="51">
                  <c:v>85.105999999999995</c:v>
                </c:pt>
                <c:pt idx="52">
                  <c:v>86.241</c:v>
                </c:pt>
                <c:pt idx="53">
                  <c:v>82.712000000000003</c:v>
                </c:pt>
                <c:pt idx="54">
                  <c:v>80.465000000000003</c:v>
                </c:pt>
                <c:pt idx="55">
                  <c:v>77.192999999999998</c:v>
                </c:pt>
                <c:pt idx="56">
                  <c:v>78.057000000000002</c:v>
                </c:pt>
                <c:pt idx="57">
                  <c:v>79.253</c:v>
                </c:pt>
                <c:pt idx="58">
                  <c:v>75.671999999999997</c:v>
                </c:pt>
                <c:pt idx="59">
                  <c:v>78.012</c:v>
                </c:pt>
                <c:pt idx="60">
                  <c:v>79.432000000000002</c:v>
                </c:pt>
                <c:pt idx="61">
                  <c:v>77.930000000000007</c:v>
                </c:pt>
                <c:pt idx="62">
                  <c:v>77.012</c:v>
                </c:pt>
                <c:pt idx="63">
                  <c:v>79.397000000000006</c:v>
                </c:pt>
                <c:pt idx="64">
                  <c:v>76.667000000000002</c:v>
                </c:pt>
                <c:pt idx="65">
                  <c:v>78.307000000000002</c:v>
                </c:pt>
                <c:pt idx="66">
                  <c:v>78.198999999999998</c:v>
                </c:pt>
                <c:pt idx="67">
                  <c:v>76.572999999999993</c:v>
                </c:pt>
                <c:pt idx="68">
                  <c:v>74.731999999999999</c:v>
                </c:pt>
                <c:pt idx="69">
                  <c:v>74.739000000000004</c:v>
                </c:pt>
                <c:pt idx="70">
                  <c:v>77.578000000000003</c:v>
                </c:pt>
                <c:pt idx="71">
                  <c:v>80.406000000000006</c:v>
                </c:pt>
                <c:pt idx="72">
                  <c:v>81.322999999999993</c:v>
                </c:pt>
                <c:pt idx="73">
                  <c:v>77.971000000000004</c:v>
                </c:pt>
                <c:pt idx="74">
                  <c:v>75.197000000000003</c:v>
                </c:pt>
                <c:pt idx="75">
                  <c:v>72.400999999999996</c:v>
                </c:pt>
                <c:pt idx="76">
                  <c:v>75.266000000000005</c:v>
                </c:pt>
                <c:pt idx="77">
                  <c:v>77.424999999999997</c:v>
                </c:pt>
                <c:pt idx="78">
                  <c:v>75.355000000000004</c:v>
                </c:pt>
                <c:pt idx="79">
                  <c:v>75.850999999999999</c:v>
                </c:pt>
                <c:pt idx="80">
                  <c:v>76.721000000000004</c:v>
                </c:pt>
                <c:pt idx="81">
                  <c:v>80.727000000000004</c:v>
                </c:pt>
                <c:pt idx="82">
                  <c:v>82.929000000000002</c:v>
                </c:pt>
                <c:pt idx="83">
                  <c:v>83.558999999999997</c:v>
                </c:pt>
                <c:pt idx="84">
                  <c:v>88.611000000000004</c:v>
                </c:pt>
                <c:pt idx="85">
                  <c:v>90.613</c:v>
                </c:pt>
                <c:pt idx="86">
                  <c:v>92.156000000000006</c:v>
                </c:pt>
                <c:pt idx="87">
                  <c:v>97.054000000000002</c:v>
                </c:pt>
                <c:pt idx="88">
                  <c:v>102.03400000000001</c:v>
                </c:pt>
                <c:pt idx="89">
                  <c:v>97.004000000000005</c:v>
                </c:pt>
                <c:pt idx="90">
                  <c:v>96.698999999999998</c:v>
                </c:pt>
                <c:pt idx="91">
                  <c:v>96.563999999999993</c:v>
                </c:pt>
              </c:numCache>
            </c:numRef>
          </c:val>
          <c:smooth val="0"/>
          <c:extLst>
            <c:ext xmlns:c16="http://schemas.microsoft.com/office/drawing/2014/chart" uri="{C3380CC4-5D6E-409C-BE32-E72D297353CC}">
              <c16:uniqueId val="{00000000-7E29-4BB5-A97D-59760A6F0407}"/>
            </c:ext>
          </c:extLst>
        </c:ser>
        <c:ser>
          <c:idx val="1"/>
          <c:order val="1"/>
          <c:tx>
            <c:strRef>
              <c:f>Commodities!$P$6</c:f>
              <c:strCache>
                <c:ptCount val="1"/>
                <c:pt idx="0">
                  <c:v>Метали</c:v>
                </c:pt>
              </c:strCache>
            </c:strRef>
          </c:tx>
          <c:spPr>
            <a:ln w="22225" cap="rnd">
              <a:solidFill>
                <a:srgbClr val="EC008C"/>
              </a:solidFill>
              <a:round/>
            </a:ln>
            <a:effectLst/>
          </c:spPr>
          <c:marker>
            <c:symbol val="none"/>
          </c:marker>
          <c:cat>
            <c:numRef>
              <c:f>Commodities!$I$8:$I$99</c:f>
              <c:numCache>
                <c:formatCode>yyyy</c:formatCode>
                <c:ptCount val="92"/>
                <c:pt idx="0">
                  <c:v>41640</c:v>
                </c:pt>
                <c:pt idx="1">
                  <c:v>41671</c:v>
                </c:pt>
                <c:pt idx="2">
                  <c:v>41699</c:v>
                </c:pt>
                <c:pt idx="3">
                  <c:v>41730</c:v>
                </c:pt>
                <c:pt idx="4">
                  <c:v>41760</c:v>
                </c:pt>
                <c:pt idx="5">
                  <c:v>41791</c:v>
                </c:pt>
                <c:pt idx="6">
                  <c:v>41821</c:v>
                </c:pt>
                <c:pt idx="7">
                  <c:v>41852</c:v>
                </c:pt>
                <c:pt idx="8">
                  <c:v>41883</c:v>
                </c:pt>
                <c:pt idx="9">
                  <c:v>41913</c:v>
                </c:pt>
                <c:pt idx="10">
                  <c:v>41944</c:v>
                </c:pt>
                <c:pt idx="11">
                  <c:v>41974</c:v>
                </c:pt>
                <c:pt idx="12">
                  <c:v>42005</c:v>
                </c:pt>
                <c:pt idx="13">
                  <c:v>42036</c:v>
                </c:pt>
                <c:pt idx="14">
                  <c:v>42064</c:v>
                </c:pt>
                <c:pt idx="15">
                  <c:v>42095</c:v>
                </c:pt>
                <c:pt idx="16">
                  <c:v>42125</c:v>
                </c:pt>
                <c:pt idx="17">
                  <c:v>42156</c:v>
                </c:pt>
                <c:pt idx="18">
                  <c:v>42186</c:v>
                </c:pt>
                <c:pt idx="19">
                  <c:v>42217</c:v>
                </c:pt>
                <c:pt idx="20">
                  <c:v>42248</c:v>
                </c:pt>
                <c:pt idx="21">
                  <c:v>42278</c:v>
                </c:pt>
                <c:pt idx="22">
                  <c:v>42309</c:v>
                </c:pt>
                <c:pt idx="23">
                  <c:v>42339</c:v>
                </c:pt>
                <c:pt idx="24">
                  <c:v>42370</c:v>
                </c:pt>
                <c:pt idx="25">
                  <c:v>42401</c:v>
                </c:pt>
                <c:pt idx="26">
                  <c:v>42430</c:v>
                </c:pt>
                <c:pt idx="27">
                  <c:v>42461</c:v>
                </c:pt>
                <c:pt idx="28">
                  <c:v>42491</c:v>
                </c:pt>
                <c:pt idx="29">
                  <c:v>42522</c:v>
                </c:pt>
                <c:pt idx="30">
                  <c:v>42552</c:v>
                </c:pt>
                <c:pt idx="31">
                  <c:v>42583</c:v>
                </c:pt>
                <c:pt idx="32">
                  <c:v>42614</c:v>
                </c:pt>
                <c:pt idx="33">
                  <c:v>42644</c:v>
                </c:pt>
                <c:pt idx="34">
                  <c:v>42675</c:v>
                </c:pt>
                <c:pt idx="35">
                  <c:v>42705</c:v>
                </c:pt>
                <c:pt idx="36">
                  <c:v>42736</c:v>
                </c:pt>
                <c:pt idx="37">
                  <c:v>42767</c:v>
                </c:pt>
                <c:pt idx="38">
                  <c:v>42795</c:v>
                </c:pt>
                <c:pt idx="39">
                  <c:v>42826</c:v>
                </c:pt>
                <c:pt idx="40">
                  <c:v>42856</c:v>
                </c:pt>
                <c:pt idx="41">
                  <c:v>42887</c:v>
                </c:pt>
                <c:pt idx="42">
                  <c:v>42917</c:v>
                </c:pt>
                <c:pt idx="43">
                  <c:v>42948</c:v>
                </c:pt>
                <c:pt idx="44">
                  <c:v>42979</c:v>
                </c:pt>
                <c:pt idx="45">
                  <c:v>43009</c:v>
                </c:pt>
                <c:pt idx="46">
                  <c:v>43040</c:v>
                </c:pt>
                <c:pt idx="47">
                  <c:v>43070</c:v>
                </c:pt>
                <c:pt idx="48">
                  <c:v>43101</c:v>
                </c:pt>
                <c:pt idx="49">
                  <c:v>43132</c:v>
                </c:pt>
                <c:pt idx="50">
                  <c:v>43160</c:v>
                </c:pt>
                <c:pt idx="51">
                  <c:v>43191</c:v>
                </c:pt>
                <c:pt idx="52">
                  <c:v>43221</c:v>
                </c:pt>
                <c:pt idx="53">
                  <c:v>43252</c:v>
                </c:pt>
                <c:pt idx="54">
                  <c:v>43282</c:v>
                </c:pt>
                <c:pt idx="55">
                  <c:v>43313</c:v>
                </c:pt>
                <c:pt idx="56">
                  <c:v>43344</c:v>
                </c:pt>
                <c:pt idx="57">
                  <c:v>43374</c:v>
                </c:pt>
                <c:pt idx="58">
                  <c:v>43405</c:v>
                </c:pt>
                <c:pt idx="59">
                  <c:v>43435</c:v>
                </c:pt>
                <c:pt idx="60">
                  <c:v>43466</c:v>
                </c:pt>
                <c:pt idx="61">
                  <c:v>43497</c:v>
                </c:pt>
                <c:pt idx="62">
                  <c:v>43525</c:v>
                </c:pt>
                <c:pt idx="63">
                  <c:v>43556</c:v>
                </c:pt>
                <c:pt idx="64">
                  <c:v>43586</c:v>
                </c:pt>
                <c:pt idx="65">
                  <c:v>43617</c:v>
                </c:pt>
                <c:pt idx="66">
                  <c:v>43647</c:v>
                </c:pt>
                <c:pt idx="67">
                  <c:v>43678</c:v>
                </c:pt>
                <c:pt idx="68">
                  <c:v>43709</c:v>
                </c:pt>
                <c:pt idx="69">
                  <c:v>43739</c:v>
                </c:pt>
                <c:pt idx="70">
                  <c:v>43770</c:v>
                </c:pt>
                <c:pt idx="71">
                  <c:v>43800</c:v>
                </c:pt>
                <c:pt idx="72">
                  <c:v>43831</c:v>
                </c:pt>
                <c:pt idx="73">
                  <c:v>43862</c:v>
                </c:pt>
                <c:pt idx="74">
                  <c:v>43891</c:v>
                </c:pt>
                <c:pt idx="75">
                  <c:v>43922</c:v>
                </c:pt>
                <c:pt idx="76">
                  <c:v>43952</c:v>
                </c:pt>
                <c:pt idx="77">
                  <c:v>43983</c:v>
                </c:pt>
                <c:pt idx="78">
                  <c:v>44013</c:v>
                </c:pt>
                <c:pt idx="79">
                  <c:v>44044</c:v>
                </c:pt>
                <c:pt idx="80">
                  <c:v>44075</c:v>
                </c:pt>
                <c:pt idx="81">
                  <c:v>44105</c:v>
                </c:pt>
                <c:pt idx="82">
                  <c:v>44136</c:v>
                </c:pt>
                <c:pt idx="83">
                  <c:v>44166</c:v>
                </c:pt>
                <c:pt idx="84">
                  <c:v>44197</c:v>
                </c:pt>
                <c:pt idx="85">
                  <c:v>44228</c:v>
                </c:pt>
                <c:pt idx="86">
                  <c:v>44256</c:v>
                </c:pt>
                <c:pt idx="87">
                  <c:v>44287</c:v>
                </c:pt>
                <c:pt idx="88">
                  <c:v>44317</c:v>
                </c:pt>
                <c:pt idx="89">
                  <c:v>44348</c:v>
                </c:pt>
                <c:pt idx="90">
                  <c:v>44378</c:v>
                </c:pt>
                <c:pt idx="91">
                  <c:v>44409</c:v>
                </c:pt>
              </c:numCache>
            </c:numRef>
          </c:cat>
          <c:val>
            <c:numRef>
              <c:f>Commodities!$P$8:$P$99</c:f>
              <c:numCache>
                <c:formatCode>0.00</c:formatCode>
                <c:ptCount val="92"/>
                <c:pt idx="0">
                  <c:v>110.399</c:v>
                </c:pt>
                <c:pt idx="1">
                  <c:v>107.32899999999999</c:v>
                </c:pt>
                <c:pt idx="2">
                  <c:v>102.152</c:v>
                </c:pt>
                <c:pt idx="3">
                  <c:v>105.383</c:v>
                </c:pt>
                <c:pt idx="4">
                  <c:v>102.354</c:v>
                </c:pt>
                <c:pt idx="5">
                  <c:v>99.828000000000003</c:v>
                </c:pt>
                <c:pt idx="6">
                  <c:v>102.67700000000001</c:v>
                </c:pt>
                <c:pt idx="7">
                  <c:v>102.042</c:v>
                </c:pt>
                <c:pt idx="8">
                  <c:v>97.103999999999999</c:v>
                </c:pt>
                <c:pt idx="9">
                  <c:v>92.632999999999996</c:v>
                </c:pt>
                <c:pt idx="10">
                  <c:v>91.289000000000001</c:v>
                </c:pt>
                <c:pt idx="11">
                  <c:v>86.81</c:v>
                </c:pt>
                <c:pt idx="12">
                  <c:v>83.474000000000004</c:v>
                </c:pt>
                <c:pt idx="13">
                  <c:v>80.176000000000002</c:v>
                </c:pt>
                <c:pt idx="14">
                  <c:v>78.180000000000007</c:v>
                </c:pt>
                <c:pt idx="15">
                  <c:v>76.611000000000004</c:v>
                </c:pt>
                <c:pt idx="16">
                  <c:v>80.444999999999993</c:v>
                </c:pt>
                <c:pt idx="17">
                  <c:v>76.760000000000005</c:v>
                </c:pt>
                <c:pt idx="18">
                  <c:v>69.897000000000006</c:v>
                </c:pt>
                <c:pt idx="19">
                  <c:v>68.921999999999997</c:v>
                </c:pt>
                <c:pt idx="20">
                  <c:v>69.138999999999996</c:v>
                </c:pt>
                <c:pt idx="21">
                  <c:v>67.215000000000003</c:v>
                </c:pt>
                <c:pt idx="22">
                  <c:v>61.753999999999998</c:v>
                </c:pt>
                <c:pt idx="23">
                  <c:v>58.942999999999998</c:v>
                </c:pt>
                <c:pt idx="24">
                  <c:v>58.451999999999998</c:v>
                </c:pt>
                <c:pt idx="25">
                  <c:v>61.319000000000003</c:v>
                </c:pt>
                <c:pt idx="26">
                  <c:v>66.326999999999998</c:v>
                </c:pt>
                <c:pt idx="27">
                  <c:v>67.537999999999997</c:v>
                </c:pt>
                <c:pt idx="28">
                  <c:v>65.177000000000007</c:v>
                </c:pt>
                <c:pt idx="29">
                  <c:v>64.442999999999998</c:v>
                </c:pt>
                <c:pt idx="30">
                  <c:v>68.158000000000001</c:v>
                </c:pt>
                <c:pt idx="31">
                  <c:v>69.251999999999995</c:v>
                </c:pt>
                <c:pt idx="32">
                  <c:v>67.561000000000007</c:v>
                </c:pt>
                <c:pt idx="33">
                  <c:v>68.16</c:v>
                </c:pt>
                <c:pt idx="34">
                  <c:v>77.575999999999993</c:v>
                </c:pt>
                <c:pt idx="35">
                  <c:v>80.266000000000005</c:v>
                </c:pt>
                <c:pt idx="36">
                  <c:v>81.17</c:v>
                </c:pt>
                <c:pt idx="37">
                  <c:v>86</c:v>
                </c:pt>
                <c:pt idx="38">
                  <c:v>85.028000000000006</c:v>
                </c:pt>
                <c:pt idx="39">
                  <c:v>77.966999999999999</c:v>
                </c:pt>
                <c:pt idx="40">
                  <c:v>74.543000000000006</c:v>
                </c:pt>
                <c:pt idx="41">
                  <c:v>73.293000000000006</c:v>
                </c:pt>
                <c:pt idx="42">
                  <c:v>78.161000000000001</c:v>
                </c:pt>
                <c:pt idx="43">
                  <c:v>84.397000000000006</c:v>
                </c:pt>
                <c:pt idx="44">
                  <c:v>83.332999999999998</c:v>
                </c:pt>
                <c:pt idx="45">
                  <c:v>82.063000000000002</c:v>
                </c:pt>
                <c:pt idx="46">
                  <c:v>82.837999999999994</c:v>
                </c:pt>
                <c:pt idx="47">
                  <c:v>85.649000000000001</c:v>
                </c:pt>
                <c:pt idx="48">
                  <c:v>89.49</c:v>
                </c:pt>
                <c:pt idx="49">
                  <c:v>89.941000000000003</c:v>
                </c:pt>
                <c:pt idx="50">
                  <c:v>86.498000000000005</c:v>
                </c:pt>
                <c:pt idx="51">
                  <c:v>87.164000000000001</c:v>
                </c:pt>
                <c:pt idx="52">
                  <c:v>87.284000000000006</c:v>
                </c:pt>
                <c:pt idx="53">
                  <c:v>87.783000000000001</c:v>
                </c:pt>
                <c:pt idx="54">
                  <c:v>82.266000000000005</c:v>
                </c:pt>
                <c:pt idx="55">
                  <c:v>80.968000000000004</c:v>
                </c:pt>
                <c:pt idx="56">
                  <c:v>80.453000000000003</c:v>
                </c:pt>
                <c:pt idx="57">
                  <c:v>82.260999999999996</c:v>
                </c:pt>
                <c:pt idx="58">
                  <c:v>81.128</c:v>
                </c:pt>
                <c:pt idx="59">
                  <c:v>79.427999999999997</c:v>
                </c:pt>
                <c:pt idx="60">
                  <c:v>80.625</c:v>
                </c:pt>
                <c:pt idx="61">
                  <c:v>86.712999999999994</c:v>
                </c:pt>
                <c:pt idx="62">
                  <c:v>87.403000000000006</c:v>
                </c:pt>
                <c:pt idx="63">
                  <c:v>89.072000000000003</c:v>
                </c:pt>
                <c:pt idx="64">
                  <c:v>88.573999999999998</c:v>
                </c:pt>
                <c:pt idx="65">
                  <c:v>90.156000000000006</c:v>
                </c:pt>
                <c:pt idx="66">
                  <c:v>93.921000000000006</c:v>
                </c:pt>
                <c:pt idx="67">
                  <c:v>84.84</c:v>
                </c:pt>
                <c:pt idx="68">
                  <c:v>85.570999999999998</c:v>
                </c:pt>
                <c:pt idx="69">
                  <c:v>83.557000000000002</c:v>
                </c:pt>
                <c:pt idx="70">
                  <c:v>80.135999999999996</c:v>
                </c:pt>
                <c:pt idx="71">
                  <c:v>82.799000000000007</c:v>
                </c:pt>
                <c:pt idx="72">
                  <c:v>83.989000000000004</c:v>
                </c:pt>
                <c:pt idx="73">
                  <c:v>79.319000000000003</c:v>
                </c:pt>
                <c:pt idx="74">
                  <c:v>75.856999999999999</c:v>
                </c:pt>
                <c:pt idx="75">
                  <c:v>73.259</c:v>
                </c:pt>
                <c:pt idx="76">
                  <c:v>77.436999999999998</c:v>
                </c:pt>
                <c:pt idx="77">
                  <c:v>83.664000000000001</c:v>
                </c:pt>
                <c:pt idx="78">
                  <c:v>87.685000000000002</c:v>
                </c:pt>
                <c:pt idx="79">
                  <c:v>93.489000000000004</c:v>
                </c:pt>
                <c:pt idx="80">
                  <c:v>95.347999999999999</c:v>
                </c:pt>
                <c:pt idx="81">
                  <c:v>94.57</c:v>
                </c:pt>
                <c:pt idx="82">
                  <c:v>98.838999999999999</c:v>
                </c:pt>
                <c:pt idx="83">
                  <c:v>112.08199999999999</c:v>
                </c:pt>
                <c:pt idx="84">
                  <c:v>117.874</c:v>
                </c:pt>
                <c:pt idx="85">
                  <c:v>119.82</c:v>
                </c:pt>
                <c:pt idx="86">
                  <c:v>122.45099999999999</c:v>
                </c:pt>
                <c:pt idx="87">
                  <c:v>126.952</c:v>
                </c:pt>
                <c:pt idx="88">
                  <c:v>139.34700000000001</c:v>
                </c:pt>
                <c:pt idx="89">
                  <c:v>142.744</c:v>
                </c:pt>
                <c:pt idx="90">
                  <c:v>142.334</c:v>
                </c:pt>
                <c:pt idx="91">
                  <c:v>126.71299999999999</c:v>
                </c:pt>
              </c:numCache>
            </c:numRef>
          </c:val>
          <c:smooth val="0"/>
          <c:extLst>
            <c:ext xmlns:c16="http://schemas.microsoft.com/office/drawing/2014/chart" uri="{C3380CC4-5D6E-409C-BE32-E72D297353CC}">
              <c16:uniqueId val="{00000001-7E29-4BB5-A97D-59760A6F0407}"/>
            </c:ext>
          </c:extLst>
        </c:ser>
        <c:ser>
          <c:idx val="2"/>
          <c:order val="2"/>
          <c:tx>
            <c:strRef>
              <c:f>Commodities!$Q$6</c:f>
              <c:strCache>
                <c:ptCount val="1"/>
                <c:pt idx="0">
                  <c:v>Просечна цена нафте</c:v>
                </c:pt>
              </c:strCache>
            </c:strRef>
          </c:tx>
          <c:spPr>
            <a:ln w="22225" cap="rnd">
              <a:solidFill>
                <a:srgbClr val="003891"/>
              </a:solidFill>
              <a:round/>
            </a:ln>
            <a:effectLst/>
          </c:spPr>
          <c:marker>
            <c:symbol val="none"/>
          </c:marker>
          <c:cat>
            <c:numRef>
              <c:f>Commodities!$I$8:$I$99</c:f>
              <c:numCache>
                <c:formatCode>yyyy</c:formatCode>
                <c:ptCount val="92"/>
                <c:pt idx="0">
                  <c:v>41640</c:v>
                </c:pt>
                <c:pt idx="1">
                  <c:v>41671</c:v>
                </c:pt>
                <c:pt idx="2">
                  <c:v>41699</c:v>
                </c:pt>
                <c:pt idx="3">
                  <c:v>41730</c:v>
                </c:pt>
                <c:pt idx="4">
                  <c:v>41760</c:v>
                </c:pt>
                <c:pt idx="5">
                  <c:v>41791</c:v>
                </c:pt>
                <c:pt idx="6">
                  <c:v>41821</c:v>
                </c:pt>
                <c:pt idx="7">
                  <c:v>41852</c:v>
                </c:pt>
                <c:pt idx="8">
                  <c:v>41883</c:v>
                </c:pt>
                <c:pt idx="9">
                  <c:v>41913</c:v>
                </c:pt>
                <c:pt idx="10">
                  <c:v>41944</c:v>
                </c:pt>
                <c:pt idx="11">
                  <c:v>41974</c:v>
                </c:pt>
                <c:pt idx="12">
                  <c:v>42005</c:v>
                </c:pt>
                <c:pt idx="13">
                  <c:v>42036</c:v>
                </c:pt>
                <c:pt idx="14">
                  <c:v>42064</c:v>
                </c:pt>
                <c:pt idx="15">
                  <c:v>42095</c:v>
                </c:pt>
                <c:pt idx="16">
                  <c:v>42125</c:v>
                </c:pt>
                <c:pt idx="17">
                  <c:v>42156</c:v>
                </c:pt>
                <c:pt idx="18">
                  <c:v>42186</c:v>
                </c:pt>
                <c:pt idx="19">
                  <c:v>42217</c:v>
                </c:pt>
                <c:pt idx="20">
                  <c:v>42248</c:v>
                </c:pt>
                <c:pt idx="21">
                  <c:v>42278</c:v>
                </c:pt>
                <c:pt idx="22">
                  <c:v>42309</c:v>
                </c:pt>
                <c:pt idx="23">
                  <c:v>42339</c:v>
                </c:pt>
                <c:pt idx="24">
                  <c:v>42370</c:v>
                </c:pt>
                <c:pt idx="25">
                  <c:v>42401</c:v>
                </c:pt>
                <c:pt idx="26">
                  <c:v>42430</c:v>
                </c:pt>
                <c:pt idx="27">
                  <c:v>42461</c:v>
                </c:pt>
                <c:pt idx="28">
                  <c:v>42491</c:v>
                </c:pt>
                <c:pt idx="29">
                  <c:v>42522</c:v>
                </c:pt>
                <c:pt idx="30">
                  <c:v>42552</c:v>
                </c:pt>
                <c:pt idx="31">
                  <c:v>42583</c:v>
                </c:pt>
                <c:pt idx="32">
                  <c:v>42614</c:v>
                </c:pt>
                <c:pt idx="33">
                  <c:v>42644</c:v>
                </c:pt>
                <c:pt idx="34">
                  <c:v>42675</c:v>
                </c:pt>
                <c:pt idx="35">
                  <c:v>42705</c:v>
                </c:pt>
                <c:pt idx="36">
                  <c:v>42736</c:v>
                </c:pt>
                <c:pt idx="37">
                  <c:v>42767</c:v>
                </c:pt>
                <c:pt idx="38">
                  <c:v>42795</c:v>
                </c:pt>
                <c:pt idx="39">
                  <c:v>42826</c:v>
                </c:pt>
                <c:pt idx="40">
                  <c:v>42856</c:v>
                </c:pt>
                <c:pt idx="41">
                  <c:v>42887</c:v>
                </c:pt>
                <c:pt idx="42">
                  <c:v>42917</c:v>
                </c:pt>
                <c:pt idx="43">
                  <c:v>42948</c:v>
                </c:pt>
                <c:pt idx="44">
                  <c:v>42979</c:v>
                </c:pt>
                <c:pt idx="45">
                  <c:v>43009</c:v>
                </c:pt>
                <c:pt idx="46">
                  <c:v>43040</c:v>
                </c:pt>
                <c:pt idx="47">
                  <c:v>43070</c:v>
                </c:pt>
                <c:pt idx="48">
                  <c:v>43101</c:v>
                </c:pt>
                <c:pt idx="49">
                  <c:v>43132</c:v>
                </c:pt>
                <c:pt idx="50">
                  <c:v>43160</c:v>
                </c:pt>
                <c:pt idx="51">
                  <c:v>43191</c:v>
                </c:pt>
                <c:pt idx="52">
                  <c:v>43221</c:v>
                </c:pt>
                <c:pt idx="53">
                  <c:v>43252</c:v>
                </c:pt>
                <c:pt idx="54">
                  <c:v>43282</c:v>
                </c:pt>
                <c:pt idx="55">
                  <c:v>43313</c:v>
                </c:pt>
                <c:pt idx="56">
                  <c:v>43344</c:v>
                </c:pt>
                <c:pt idx="57">
                  <c:v>43374</c:v>
                </c:pt>
                <c:pt idx="58">
                  <c:v>43405</c:v>
                </c:pt>
                <c:pt idx="59">
                  <c:v>43435</c:v>
                </c:pt>
                <c:pt idx="60">
                  <c:v>43466</c:v>
                </c:pt>
                <c:pt idx="61">
                  <c:v>43497</c:v>
                </c:pt>
                <c:pt idx="62">
                  <c:v>43525</c:v>
                </c:pt>
                <c:pt idx="63">
                  <c:v>43556</c:v>
                </c:pt>
                <c:pt idx="64">
                  <c:v>43586</c:v>
                </c:pt>
                <c:pt idx="65">
                  <c:v>43617</c:v>
                </c:pt>
                <c:pt idx="66">
                  <c:v>43647</c:v>
                </c:pt>
                <c:pt idx="67">
                  <c:v>43678</c:v>
                </c:pt>
                <c:pt idx="68">
                  <c:v>43709</c:v>
                </c:pt>
                <c:pt idx="69">
                  <c:v>43739</c:v>
                </c:pt>
                <c:pt idx="70">
                  <c:v>43770</c:v>
                </c:pt>
                <c:pt idx="71">
                  <c:v>43800</c:v>
                </c:pt>
                <c:pt idx="72">
                  <c:v>43831</c:v>
                </c:pt>
                <c:pt idx="73">
                  <c:v>43862</c:v>
                </c:pt>
                <c:pt idx="74">
                  <c:v>43891</c:v>
                </c:pt>
                <c:pt idx="75">
                  <c:v>43922</c:v>
                </c:pt>
                <c:pt idx="76">
                  <c:v>43952</c:v>
                </c:pt>
                <c:pt idx="77">
                  <c:v>43983</c:v>
                </c:pt>
                <c:pt idx="78">
                  <c:v>44013</c:v>
                </c:pt>
                <c:pt idx="79">
                  <c:v>44044</c:v>
                </c:pt>
                <c:pt idx="80">
                  <c:v>44075</c:v>
                </c:pt>
                <c:pt idx="81">
                  <c:v>44105</c:v>
                </c:pt>
                <c:pt idx="82">
                  <c:v>44136</c:v>
                </c:pt>
                <c:pt idx="83">
                  <c:v>44166</c:v>
                </c:pt>
                <c:pt idx="84">
                  <c:v>44197</c:v>
                </c:pt>
                <c:pt idx="85">
                  <c:v>44228</c:v>
                </c:pt>
                <c:pt idx="86">
                  <c:v>44256</c:v>
                </c:pt>
                <c:pt idx="87">
                  <c:v>44287</c:v>
                </c:pt>
                <c:pt idx="88">
                  <c:v>44317</c:v>
                </c:pt>
                <c:pt idx="89">
                  <c:v>44348</c:v>
                </c:pt>
                <c:pt idx="90">
                  <c:v>44378</c:v>
                </c:pt>
                <c:pt idx="91">
                  <c:v>44409</c:v>
                </c:pt>
              </c:numCache>
            </c:numRef>
          </c:cat>
          <c:val>
            <c:numRef>
              <c:f>Commodities!$Q$8:$Q$99</c:f>
              <c:numCache>
                <c:formatCode>0.00</c:formatCode>
                <c:ptCount val="92"/>
                <c:pt idx="0">
                  <c:v>106.056</c:v>
                </c:pt>
                <c:pt idx="1">
                  <c:v>108.277</c:v>
                </c:pt>
                <c:pt idx="2">
                  <c:v>106.72199999999999</c:v>
                </c:pt>
                <c:pt idx="3">
                  <c:v>107.398</c:v>
                </c:pt>
                <c:pt idx="4">
                  <c:v>108.056</c:v>
                </c:pt>
                <c:pt idx="5">
                  <c:v>111.04900000000001</c:v>
                </c:pt>
                <c:pt idx="6">
                  <c:v>107.71599999999999</c:v>
                </c:pt>
                <c:pt idx="7">
                  <c:v>103.46899999999999</c:v>
                </c:pt>
                <c:pt idx="8">
                  <c:v>100.943</c:v>
                </c:pt>
                <c:pt idx="9">
                  <c:v>91.46</c:v>
                </c:pt>
                <c:pt idx="10">
                  <c:v>82.941000000000003</c:v>
                </c:pt>
                <c:pt idx="11">
                  <c:v>65.912000000000006</c:v>
                </c:pt>
                <c:pt idx="12">
                  <c:v>53.290999999999997</c:v>
                </c:pt>
                <c:pt idx="13">
                  <c:v>61.932000000000002</c:v>
                </c:pt>
                <c:pt idx="14">
                  <c:v>60.588000000000001</c:v>
                </c:pt>
                <c:pt idx="15">
                  <c:v>65.828999999999994</c:v>
                </c:pt>
                <c:pt idx="16">
                  <c:v>70.367000000000004</c:v>
                </c:pt>
                <c:pt idx="17">
                  <c:v>68.813000000000002</c:v>
                </c:pt>
                <c:pt idx="18">
                  <c:v>61.405000000000001</c:v>
                </c:pt>
                <c:pt idx="19">
                  <c:v>51.344999999999999</c:v>
                </c:pt>
                <c:pt idx="20">
                  <c:v>51.923999999999999</c:v>
                </c:pt>
                <c:pt idx="21">
                  <c:v>52.625</c:v>
                </c:pt>
                <c:pt idx="22">
                  <c:v>49.098999999999997</c:v>
                </c:pt>
                <c:pt idx="23">
                  <c:v>41.537999999999997</c:v>
                </c:pt>
                <c:pt idx="24">
                  <c:v>34.084000000000003</c:v>
                </c:pt>
                <c:pt idx="25">
                  <c:v>35.156999999999996</c:v>
                </c:pt>
                <c:pt idx="26">
                  <c:v>42.075000000000003</c:v>
                </c:pt>
                <c:pt idx="27">
                  <c:v>45.313000000000002</c:v>
                </c:pt>
                <c:pt idx="28">
                  <c:v>50.923000000000002</c:v>
                </c:pt>
                <c:pt idx="29">
                  <c:v>52.807000000000002</c:v>
                </c:pt>
                <c:pt idx="30">
                  <c:v>49.616</c:v>
                </c:pt>
                <c:pt idx="31">
                  <c:v>49.895000000000003</c:v>
                </c:pt>
                <c:pt idx="32">
                  <c:v>50.011000000000003</c:v>
                </c:pt>
                <c:pt idx="33">
                  <c:v>55.335999999999999</c:v>
                </c:pt>
                <c:pt idx="34">
                  <c:v>51.241999999999997</c:v>
                </c:pt>
                <c:pt idx="35">
                  <c:v>60.295000000000002</c:v>
                </c:pt>
                <c:pt idx="36">
                  <c:v>61.024000000000001</c:v>
                </c:pt>
                <c:pt idx="37">
                  <c:v>61.615000000000002</c:v>
                </c:pt>
                <c:pt idx="38">
                  <c:v>57.76</c:v>
                </c:pt>
                <c:pt idx="39">
                  <c:v>58.86</c:v>
                </c:pt>
                <c:pt idx="40">
                  <c:v>55.747</c:v>
                </c:pt>
                <c:pt idx="41">
                  <c:v>51.161000000000001</c:v>
                </c:pt>
                <c:pt idx="42">
                  <c:v>52.389000000000003</c:v>
                </c:pt>
                <c:pt idx="43">
                  <c:v>54.084000000000003</c:v>
                </c:pt>
                <c:pt idx="44">
                  <c:v>56.621000000000002</c:v>
                </c:pt>
                <c:pt idx="45">
                  <c:v>59.183</c:v>
                </c:pt>
                <c:pt idx="46">
                  <c:v>64.484999999999999</c:v>
                </c:pt>
                <c:pt idx="47">
                  <c:v>65.409000000000006</c:v>
                </c:pt>
                <c:pt idx="48">
                  <c:v>69.272999999999996</c:v>
                </c:pt>
                <c:pt idx="49">
                  <c:v>65.679000000000002</c:v>
                </c:pt>
                <c:pt idx="50">
                  <c:v>66.334000000000003</c:v>
                </c:pt>
                <c:pt idx="51">
                  <c:v>70.986999999999995</c:v>
                </c:pt>
                <c:pt idx="52">
                  <c:v>76.926000000000002</c:v>
                </c:pt>
                <c:pt idx="53">
                  <c:v>75.968999999999994</c:v>
                </c:pt>
                <c:pt idx="54">
                  <c:v>77.141000000000005</c:v>
                </c:pt>
                <c:pt idx="55">
                  <c:v>75.811999999999998</c:v>
                </c:pt>
                <c:pt idx="56">
                  <c:v>79.971000000000004</c:v>
                </c:pt>
                <c:pt idx="57">
                  <c:v>81.751999999999995</c:v>
                </c:pt>
                <c:pt idx="58">
                  <c:v>66.813000000000002</c:v>
                </c:pt>
                <c:pt idx="59">
                  <c:v>57.655999999999999</c:v>
                </c:pt>
                <c:pt idx="60">
                  <c:v>60.113</c:v>
                </c:pt>
                <c:pt idx="61">
                  <c:v>65.055999999999997</c:v>
                </c:pt>
                <c:pt idx="62">
                  <c:v>67.632000000000005</c:v>
                </c:pt>
                <c:pt idx="63">
                  <c:v>72.561999999999998</c:v>
                </c:pt>
                <c:pt idx="64">
                  <c:v>71.043999999999997</c:v>
                </c:pt>
                <c:pt idx="65">
                  <c:v>63.250999999999998</c:v>
                </c:pt>
                <c:pt idx="66">
                  <c:v>65.171000000000006</c:v>
                </c:pt>
                <c:pt idx="67">
                  <c:v>61.39</c:v>
                </c:pt>
                <c:pt idx="68">
                  <c:v>64.061999999999998</c:v>
                </c:pt>
                <c:pt idx="69">
                  <c:v>60.807000000000002</c:v>
                </c:pt>
                <c:pt idx="70">
                  <c:v>63.820999999999998</c:v>
                </c:pt>
                <c:pt idx="71">
                  <c:v>66.727999999999994</c:v>
                </c:pt>
                <c:pt idx="72">
                  <c:v>64.781999999999996</c:v>
                </c:pt>
                <c:pt idx="73">
                  <c:v>56.447000000000003</c:v>
                </c:pt>
                <c:pt idx="74">
                  <c:v>34.113</c:v>
                </c:pt>
                <c:pt idx="75">
                  <c:v>22.736000000000001</c:v>
                </c:pt>
                <c:pt idx="76">
                  <c:v>32.595999999999997</c:v>
                </c:pt>
                <c:pt idx="77">
                  <c:v>41.662999999999997</c:v>
                </c:pt>
                <c:pt idx="78">
                  <c:v>43.792999999999999</c:v>
                </c:pt>
                <c:pt idx="79">
                  <c:v>44.429000000000002</c:v>
                </c:pt>
                <c:pt idx="80">
                  <c:v>41.421999999999997</c:v>
                </c:pt>
                <c:pt idx="81">
                  <c:v>40.594000000000001</c:v>
                </c:pt>
                <c:pt idx="82">
                  <c:v>42.871000000000002</c:v>
                </c:pt>
                <c:pt idx="83">
                  <c:v>48.591000000000001</c:v>
                </c:pt>
                <c:pt idx="84">
                  <c:v>52.98</c:v>
                </c:pt>
                <c:pt idx="85">
                  <c:v>59.786999999999999</c:v>
                </c:pt>
                <c:pt idx="86">
                  <c:v>63.273000000000003</c:v>
                </c:pt>
                <c:pt idx="87">
                  <c:v>61.826000000000001</c:v>
                </c:pt>
                <c:pt idx="88">
                  <c:v>64.344999999999999</c:v>
                </c:pt>
                <c:pt idx="89">
                  <c:v>69.150000000000006</c:v>
                </c:pt>
                <c:pt idx="90">
                  <c:v>70.855999999999995</c:v>
                </c:pt>
                <c:pt idx="91">
                  <c:v>66.495999999999995</c:v>
                </c:pt>
              </c:numCache>
            </c:numRef>
          </c:val>
          <c:smooth val="0"/>
          <c:extLst>
            <c:ext xmlns:c16="http://schemas.microsoft.com/office/drawing/2014/chart" uri="{C3380CC4-5D6E-409C-BE32-E72D297353CC}">
              <c16:uniqueId val="{00000002-7E29-4BB5-A97D-59760A6F0407}"/>
            </c:ext>
          </c:extLst>
        </c:ser>
        <c:ser>
          <c:idx val="4"/>
          <c:order val="3"/>
          <c:tx>
            <c:strRef>
              <c:f>Commodities!$R$6</c:f>
              <c:strCache>
                <c:ptCount val="1"/>
                <c:pt idx="0">
                  <c:v>100</c:v>
                </c:pt>
              </c:strCache>
            </c:strRef>
          </c:tx>
          <c:spPr>
            <a:ln w="6350" cap="rnd">
              <a:solidFill>
                <a:srgbClr val="898989"/>
              </a:solidFill>
              <a:round/>
            </a:ln>
            <a:effectLst/>
          </c:spPr>
          <c:marker>
            <c:symbol val="none"/>
          </c:marker>
          <c:cat>
            <c:numRef>
              <c:f>Commodities!$I$8:$I$99</c:f>
              <c:numCache>
                <c:formatCode>yyyy</c:formatCode>
                <c:ptCount val="92"/>
                <c:pt idx="0">
                  <c:v>41640</c:v>
                </c:pt>
                <c:pt idx="1">
                  <c:v>41671</c:v>
                </c:pt>
                <c:pt idx="2">
                  <c:v>41699</c:v>
                </c:pt>
                <c:pt idx="3">
                  <c:v>41730</c:v>
                </c:pt>
                <c:pt idx="4">
                  <c:v>41760</c:v>
                </c:pt>
                <c:pt idx="5">
                  <c:v>41791</c:v>
                </c:pt>
                <c:pt idx="6">
                  <c:v>41821</c:v>
                </c:pt>
                <c:pt idx="7">
                  <c:v>41852</c:v>
                </c:pt>
                <c:pt idx="8">
                  <c:v>41883</c:v>
                </c:pt>
                <c:pt idx="9">
                  <c:v>41913</c:v>
                </c:pt>
                <c:pt idx="10">
                  <c:v>41944</c:v>
                </c:pt>
                <c:pt idx="11">
                  <c:v>41974</c:v>
                </c:pt>
                <c:pt idx="12">
                  <c:v>42005</c:v>
                </c:pt>
                <c:pt idx="13">
                  <c:v>42036</c:v>
                </c:pt>
                <c:pt idx="14">
                  <c:v>42064</c:v>
                </c:pt>
                <c:pt idx="15">
                  <c:v>42095</c:v>
                </c:pt>
                <c:pt idx="16">
                  <c:v>42125</c:v>
                </c:pt>
                <c:pt idx="17">
                  <c:v>42156</c:v>
                </c:pt>
                <c:pt idx="18">
                  <c:v>42186</c:v>
                </c:pt>
                <c:pt idx="19">
                  <c:v>42217</c:v>
                </c:pt>
                <c:pt idx="20">
                  <c:v>42248</c:v>
                </c:pt>
                <c:pt idx="21">
                  <c:v>42278</c:v>
                </c:pt>
                <c:pt idx="22">
                  <c:v>42309</c:v>
                </c:pt>
                <c:pt idx="23">
                  <c:v>42339</c:v>
                </c:pt>
                <c:pt idx="24">
                  <c:v>42370</c:v>
                </c:pt>
                <c:pt idx="25">
                  <c:v>42401</c:v>
                </c:pt>
                <c:pt idx="26">
                  <c:v>42430</c:v>
                </c:pt>
                <c:pt idx="27">
                  <c:v>42461</c:v>
                </c:pt>
                <c:pt idx="28">
                  <c:v>42491</c:v>
                </c:pt>
                <c:pt idx="29">
                  <c:v>42522</c:v>
                </c:pt>
                <c:pt idx="30">
                  <c:v>42552</c:v>
                </c:pt>
                <c:pt idx="31">
                  <c:v>42583</c:v>
                </c:pt>
                <c:pt idx="32">
                  <c:v>42614</c:v>
                </c:pt>
                <c:pt idx="33">
                  <c:v>42644</c:v>
                </c:pt>
                <c:pt idx="34">
                  <c:v>42675</c:v>
                </c:pt>
                <c:pt idx="35">
                  <c:v>42705</c:v>
                </c:pt>
                <c:pt idx="36">
                  <c:v>42736</c:v>
                </c:pt>
                <c:pt idx="37">
                  <c:v>42767</c:v>
                </c:pt>
                <c:pt idx="38">
                  <c:v>42795</c:v>
                </c:pt>
                <c:pt idx="39">
                  <c:v>42826</c:v>
                </c:pt>
                <c:pt idx="40">
                  <c:v>42856</c:v>
                </c:pt>
                <c:pt idx="41">
                  <c:v>42887</c:v>
                </c:pt>
                <c:pt idx="42">
                  <c:v>42917</c:v>
                </c:pt>
                <c:pt idx="43">
                  <c:v>42948</c:v>
                </c:pt>
                <c:pt idx="44">
                  <c:v>42979</c:v>
                </c:pt>
                <c:pt idx="45">
                  <c:v>43009</c:v>
                </c:pt>
                <c:pt idx="46">
                  <c:v>43040</c:v>
                </c:pt>
                <c:pt idx="47">
                  <c:v>43070</c:v>
                </c:pt>
                <c:pt idx="48">
                  <c:v>43101</c:v>
                </c:pt>
                <c:pt idx="49">
                  <c:v>43132</c:v>
                </c:pt>
                <c:pt idx="50">
                  <c:v>43160</c:v>
                </c:pt>
                <c:pt idx="51">
                  <c:v>43191</c:v>
                </c:pt>
                <c:pt idx="52">
                  <c:v>43221</c:v>
                </c:pt>
                <c:pt idx="53">
                  <c:v>43252</c:v>
                </c:pt>
                <c:pt idx="54">
                  <c:v>43282</c:v>
                </c:pt>
                <c:pt idx="55">
                  <c:v>43313</c:v>
                </c:pt>
                <c:pt idx="56">
                  <c:v>43344</c:v>
                </c:pt>
                <c:pt idx="57">
                  <c:v>43374</c:v>
                </c:pt>
                <c:pt idx="58">
                  <c:v>43405</c:v>
                </c:pt>
                <c:pt idx="59">
                  <c:v>43435</c:v>
                </c:pt>
                <c:pt idx="60">
                  <c:v>43466</c:v>
                </c:pt>
                <c:pt idx="61">
                  <c:v>43497</c:v>
                </c:pt>
                <c:pt idx="62">
                  <c:v>43525</c:v>
                </c:pt>
                <c:pt idx="63">
                  <c:v>43556</c:v>
                </c:pt>
                <c:pt idx="64">
                  <c:v>43586</c:v>
                </c:pt>
                <c:pt idx="65">
                  <c:v>43617</c:v>
                </c:pt>
                <c:pt idx="66">
                  <c:v>43647</c:v>
                </c:pt>
                <c:pt idx="67">
                  <c:v>43678</c:v>
                </c:pt>
                <c:pt idx="68">
                  <c:v>43709</c:v>
                </c:pt>
                <c:pt idx="69">
                  <c:v>43739</c:v>
                </c:pt>
                <c:pt idx="70">
                  <c:v>43770</c:v>
                </c:pt>
                <c:pt idx="71">
                  <c:v>43800</c:v>
                </c:pt>
                <c:pt idx="72">
                  <c:v>43831</c:v>
                </c:pt>
                <c:pt idx="73">
                  <c:v>43862</c:v>
                </c:pt>
                <c:pt idx="74">
                  <c:v>43891</c:v>
                </c:pt>
                <c:pt idx="75">
                  <c:v>43922</c:v>
                </c:pt>
                <c:pt idx="76">
                  <c:v>43952</c:v>
                </c:pt>
                <c:pt idx="77">
                  <c:v>43983</c:v>
                </c:pt>
                <c:pt idx="78">
                  <c:v>44013</c:v>
                </c:pt>
                <c:pt idx="79">
                  <c:v>44044</c:v>
                </c:pt>
                <c:pt idx="80">
                  <c:v>44075</c:v>
                </c:pt>
                <c:pt idx="81">
                  <c:v>44105</c:v>
                </c:pt>
                <c:pt idx="82">
                  <c:v>44136</c:v>
                </c:pt>
                <c:pt idx="83">
                  <c:v>44166</c:v>
                </c:pt>
                <c:pt idx="84">
                  <c:v>44197</c:v>
                </c:pt>
                <c:pt idx="85">
                  <c:v>44228</c:v>
                </c:pt>
                <c:pt idx="86">
                  <c:v>44256</c:v>
                </c:pt>
                <c:pt idx="87">
                  <c:v>44287</c:v>
                </c:pt>
                <c:pt idx="88">
                  <c:v>44317</c:v>
                </c:pt>
                <c:pt idx="89">
                  <c:v>44348</c:v>
                </c:pt>
                <c:pt idx="90">
                  <c:v>44378</c:v>
                </c:pt>
                <c:pt idx="91">
                  <c:v>44409</c:v>
                </c:pt>
              </c:numCache>
            </c:numRef>
          </c:cat>
          <c:val>
            <c:numRef>
              <c:f>Commodities!$R$8:$R$99</c:f>
              <c:numCache>
                <c:formatCode>General</c:formatCode>
                <c:ptCount val="92"/>
                <c:pt idx="0">
                  <c:v>100</c:v>
                </c:pt>
                <c:pt idx="1">
                  <c:v>100</c:v>
                </c:pt>
                <c:pt idx="2">
                  <c:v>100</c:v>
                </c:pt>
                <c:pt idx="3">
                  <c:v>100</c:v>
                </c:pt>
                <c:pt idx="4">
                  <c:v>100</c:v>
                </c:pt>
                <c:pt idx="5">
                  <c:v>100</c:v>
                </c:pt>
                <c:pt idx="6">
                  <c:v>100</c:v>
                </c:pt>
                <c:pt idx="7">
                  <c:v>100</c:v>
                </c:pt>
                <c:pt idx="8">
                  <c:v>100</c:v>
                </c:pt>
                <c:pt idx="9">
                  <c:v>100</c:v>
                </c:pt>
                <c:pt idx="10">
                  <c:v>100</c:v>
                </c:pt>
                <c:pt idx="11">
                  <c:v>100</c:v>
                </c:pt>
                <c:pt idx="12">
                  <c:v>100</c:v>
                </c:pt>
                <c:pt idx="13">
                  <c:v>100</c:v>
                </c:pt>
                <c:pt idx="14">
                  <c:v>100</c:v>
                </c:pt>
                <c:pt idx="15">
                  <c:v>100</c:v>
                </c:pt>
                <c:pt idx="16">
                  <c:v>100</c:v>
                </c:pt>
                <c:pt idx="17">
                  <c:v>100</c:v>
                </c:pt>
                <c:pt idx="18">
                  <c:v>100</c:v>
                </c:pt>
                <c:pt idx="19">
                  <c:v>100</c:v>
                </c:pt>
                <c:pt idx="20">
                  <c:v>100</c:v>
                </c:pt>
                <c:pt idx="21">
                  <c:v>100</c:v>
                </c:pt>
                <c:pt idx="22">
                  <c:v>100</c:v>
                </c:pt>
                <c:pt idx="23">
                  <c:v>100</c:v>
                </c:pt>
                <c:pt idx="24">
                  <c:v>100</c:v>
                </c:pt>
                <c:pt idx="25">
                  <c:v>100</c:v>
                </c:pt>
                <c:pt idx="26">
                  <c:v>100</c:v>
                </c:pt>
                <c:pt idx="27">
                  <c:v>100</c:v>
                </c:pt>
                <c:pt idx="28">
                  <c:v>100</c:v>
                </c:pt>
                <c:pt idx="29">
                  <c:v>100</c:v>
                </c:pt>
                <c:pt idx="30">
                  <c:v>100</c:v>
                </c:pt>
                <c:pt idx="31">
                  <c:v>100</c:v>
                </c:pt>
                <c:pt idx="32">
                  <c:v>100</c:v>
                </c:pt>
                <c:pt idx="33">
                  <c:v>100</c:v>
                </c:pt>
                <c:pt idx="34">
                  <c:v>100</c:v>
                </c:pt>
                <c:pt idx="35">
                  <c:v>100</c:v>
                </c:pt>
                <c:pt idx="36">
                  <c:v>100</c:v>
                </c:pt>
                <c:pt idx="37">
                  <c:v>100</c:v>
                </c:pt>
                <c:pt idx="38">
                  <c:v>100</c:v>
                </c:pt>
                <c:pt idx="39">
                  <c:v>100</c:v>
                </c:pt>
                <c:pt idx="40">
                  <c:v>100</c:v>
                </c:pt>
                <c:pt idx="41">
                  <c:v>100</c:v>
                </c:pt>
                <c:pt idx="42">
                  <c:v>100</c:v>
                </c:pt>
                <c:pt idx="43">
                  <c:v>100</c:v>
                </c:pt>
                <c:pt idx="44">
                  <c:v>100</c:v>
                </c:pt>
                <c:pt idx="45">
                  <c:v>100</c:v>
                </c:pt>
                <c:pt idx="46">
                  <c:v>100</c:v>
                </c:pt>
                <c:pt idx="47">
                  <c:v>100</c:v>
                </c:pt>
                <c:pt idx="48">
                  <c:v>100</c:v>
                </c:pt>
                <c:pt idx="49">
                  <c:v>100</c:v>
                </c:pt>
                <c:pt idx="50">
                  <c:v>100</c:v>
                </c:pt>
                <c:pt idx="51">
                  <c:v>100</c:v>
                </c:pt>
                <c:pt idx="52">
                  <c:v>100</c:v>
                </c:pt>
                <c:pt idx="53">
                  <c:v>100</c:v>
                </c:pt>
                <c:pt idx="54">
                  <c:v>100</c:v>
                </c:pt>
                <c:pt idx="55">
                  <c:v>100</c:v>
                </c:pt>
                <c:pt idx="56">
                  <c:v>100</c:v>
                </c:pt>
                <c:pt idx="57">
                  <c:v>100</c:v>
                </c:pt>
                <c:pt idx="58">
                  <c:v>100</c:v>
                </c:pt>
                <c:pt idx="59">
                  <c:v>100</c:v>
                </c:pt>
                <c:pt idx="60">
                  <c:v>100</c:v>
                </c:pt>
                <c:pt idx="61">
                  <c:v>100</c:v>
                </c:pt>
                <c:pt idx="62">
                  <c:v>100</c:v>
                </c:pt>
                <c:pt idx="63">
                  <c:v>100</c:v>
                </c:pt>
                <c:pt idx="64">
                  <c:v>100</c:v>
                </c:pt>
                <c:pt idx="65">
                  <c:v>100</c:v>
                </c:pt>
                <c:pt idx="66">
                  <c:v>100</c:v>
                </c:pt>
                <c:pt idx="67">
                  <c:v>100</c:v>
                </c:pt>
                <c:pt idx="68">
                  <c:v>100</c:v>
                </c:pt>
                <c:pt idx="69">
                  <c:v>100</c:v>
                </c:pt>
                <c:pt idx="70">
                  <c:v>100</c:v>
                </c:pt>
                <c:pt idx="71">
                  <c:v>100</c:v>
                </c:pt>
                <c:pt idx="72">
                  <c:v>100</c:v>
                </c:pt>
                <c:pt idx="73">
                  <c:v>100</c:v>
                </c:pt>
                <c:pt idx="74">
                  <c:v>100</c:v>
                </c:pt>
                <c:pt idx="75">
                  <c:v>100</c:v>
                </c:pt>
                <c:pt idx="76">
                  <c:v>100</c:v>
                </c:pt>
                <c:pt idx="77">
                  <c:v>100</c:v>
                </c:pt>
                <c:pt idx="78">
                  <c:v>100</c:v>
                </c:pt>
                <c:pt idx="79">
                  <c:v>100</c:v>
                </c:pt>
                <c:pt idx="80">
                  <c:v>100</c:v>
                </c:pt>
                <c:pt idx="81">
                  <c:v>100</c:v>
                </c:pt>
                <c:pt idx="82">
                  <c:v>100</c:v>
                </c:pt>
                <c:pt idx="83">
                  <c:v>100</c:v>
                </c:pt>
                <c:pt idx="84">
                  <c:v>100</c:v>
                </c:pt>
                <c:pt idx="85">
                  <c:v>100</c:v>
                </c:pt>
                <c:pt idx="86">
                  <c:v>100</c:v>
                </c:pt>
                <c:pt idx="87">
                  <c:v>100</c:v>
                </c:pt>
                <c:pt idx="88">
                  <c:v>100</c:v>
                </c:pt>
                <c:pt idx="89">
                  <c:v>100</c:v>
                </c:pt>
                <c:pt idx="90">
                  <c:v>100</c:v>
                </c:pt>
                <c:pt idx="91">
                  <c:v>100</c:v>
                </c:pt>
              </c:numCache>
            </c:numRef>
          </c:val>
          <c:smooth val="0"/>
          <c:extLst>
            <c:ext xmlns:c16="http://schemas.microsoft.com/office/drawing/2014/chart" uri="{C3380CC4-5D6E-409C-BE32-E72D297353CC}">
              <c16:uniqueId val="{00000003-7E29-4BB5-A97D-59760A6F0407}"/>
            </c:ext>
          </c:extLst>
        </c:ser>
        <c:ser>
          <c:idx val="3"/>
          <c:order val="4"/>
          <c:tx>
            <c:strRef>
              <c:f>Commodities!$S$6</c:f>
              <c:strCache>
                <c:ptCount val="1"/>
                <c:pt idx="0">
                  <c:v>Series 4</c:v>
                </c:pt>
              </c:strCache>
            </c:strRef>
          </c:tx>
          <c:spPr>
            <a:ln w="28575" cap="rnd">
              <a:noFill/>
              <a:round/>
            </a:ln>
            <a:effectLst/>
          </c:spPr>
          <c:marker>
            <c:symbol val="square"/>
            <c:size val="3"/>
            <c:spPr>
              <a:solidFill>
                <a:schemeClr val="bg1"/>
              </a:solidFill>
              <a:ln w="9525">
                <a:noFill/>
              </a:ln>
              <a:effectLst/>
            </c:spPr>
          </c:marker>
          <c:dPt>
            <c:idx val="0"/>
            <c:marker>
              <c:symbol val="square"/>
              <c:size val="4"/>
              <c:spPr>
                <a:solidFill>
                  <a:schemeClr val="bg1"/>
                </a:solidFill>
                <a:ln w="9525">
                  <a:noFill/>
                </a:ln>
                <a:effectLst/>
              </c:spPr>
            </c:marker>
            <c:bubble3D val="0"/>
            <c:extLst>
              <c:ext xmlns:c16="http://schemas.microsoft.com/office/drawing/2014/chart" uri="{C3380CC4-5D6E-409C-BE32-E72D297353CC}">
                <c16:uniqueId val="{00000004-7E29-4BB5-A97D-59760A6F0407}"/>
              </c:ext>
            </c:extLst>
          </c:dPt>
          <c:dPt>
            <c:idx val="12"/>
            <c:marker>
              <c:symbol val="square"/>
              <c:size val="2"/>
              <c:spPr>
                <a:solidFill>
                  <a:schemeClr val="bg1"/>
                </a:solidFill>
                <a:ln w="9525">
                  <a:noFill/>
                </a:ln>
                <a:effectLst/>
              </c:spPr>
            </c:marker>
            <c:bubble3D val="0"/>
            <c:extLst>
              <c:ext xmlns:c16="http://schemas.microsoft.com/office/drawing/2014/chart" uri="{C3380CC4-5D6E-409C-BE32-E72D297353CC}">
                <c16:uniqueId val="{00000005-7E29-4BB5-A97D-59760A6F0407}"/>
              </c:ext>
            </c:extLst>
          </c:dPt>
          <c:dPt>
            <c:idx val="24"/>
            <c:marker>
              <c:symbol val="square"/>
              <c:size val="2"/>
              <c:spPr>
                <a:solidFill>
                  <a:schemeClr val="bg1"/>
                </a:solidFill>
                <a:ln w="9525">
                  <a:noFill/>
                </a:ln>
                <a:effectLst/>
              </c:spPr>
            </c:marker>
            <c:bubble3D val="0"/>
            <c:extLst>
              <c:ext xmlns:c16="http://schemas.microsoft.com/office/drawing/2014/chart" uri="{C3380CC4-5D6E-409C-BE32-E72D297353CC}">
                <c16:uniqueId val="{00000006-7E29-4BB5-A97D-59760A6F0407}"/>
              </c:ext>
            </c:extLst>
          </c:dPt>
          <c:dPt>
            <c:idx val="36"/>
            <c:marker>
              <c:symbol val="square"/>
              <c:size val="2"/>
              <c:spPr>
                <a:solidFill>
                  <a:schemeClr val="bg1"/>
                </a:solidFill>
                <a:ln w="9525">
                  <a:noFill/>
                </a:ln>
                <a:effectLst/>
              </c:spPr>
            </c:marker>
            <c:bubble3D val="0"/>
            <c:extLst>
              <c:ext xmlns:c16="http://schemas.microsoft.com/office/drawing/2014/chart" uri="{C3380CC4-5D6E-409C-BE32-E72D297353CC}">
                <c16:uniqueId val="{00000007-7E29-4BB5-A97D-59760A6F0407}"/>
              </c:ext>
            </c:extLst>
          </c:dPt>
          <c:dPt>
            <c:idx val="48"/>
            <c:marker>
              <c:symbol val="square"/>
              <c:size val="2"/>
              <c:spPr>
                <a:solidFill>
                  <a:schemeClr val="bg1"/>
                </a:solidFill>
                <a:ln w="9525">
                  <a:noFill/>
                </a:ln>
                <a:effectLst/>
              </c:spPr>
            </c:marker>
            <c:bubble3D val="0"/>
            <c:extLst>
              <c:ext xmlns:c16="http://schemas.microsoft.com/office/drawing/2014/chart" uri="{C3380CC4-5D6E-409C-BE32-E72D297353CC}">
                <c16:uniqueId val="{00000008-7E29-4BB5-A97D-59760A6F0407}"/>
              </c:ext>
            </c:extLst>
          </c:dPt>
          <c:dPt>
            <c:idx val="60"/>
            <c:marker>
              <c:symbol val="square"/>
              <c:size val="2"/>
              <c:spPr>
                <a:solidFill>
                  <a:schemeClr val="bg1"/>
                </a:solidFill>
                <a:ln w="9525">
                  <a:noFill/>
                </a:ln>
                <a:effectLst/>
              </c:spPr>
            </c:marker>
            <c:bubble3D val="0"/>
            <c:extLst>
              <c:ext xmlns:c16="http://schemas.microsoft.com/office/drawing/2014/chart" uri="{C3380CC4-5D6E-409C-BE32-E72D297353CC}">
                <c16:uniqueId val="{00000009-7E29-4BB5-A97D-59760A6F0407}"/>
              </c:ext>
            </c:extLst>
          </c:dPt>
          <c:dLbls>
            <c:dLbl>
              <c:idx val="0"/>
              <c:layout>
                <c:manualLayout>
                  <c:x val="-1.2860820819110759E-2"/>
                  <c:y val="2.7303803803803688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4-7E29-4BB5-A97D-59760A6F0407}"/>
                </c:ext>
              </c:extLst>
            </c:dLbl>
            <c:dLbl>
              <c:idx val="12"/>
              <c:layout>
                <c:manualLayout>
                  <c:x val="-1.2869581596235536E-2"/>
                  <c:y val="2.7303803803803688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5-7E29-4BB5-A97D-59760A6F0407}"/>
                </c:ext>
              </c:extLst>
            </c:dLbl>
            <c:dLbl>
              <c:idx val="24"/>
              <c:layout>
                <c:manualLayout>
                  <c:x val="-1.2239170675634781E-2"/>
                  <c:y val="2.7303803803803688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6-7E29-4BB5-A97D-59760A6F0407}"/>
                </c:ext>
              </c:extLst>
            </c:dLbl>
            <c:dLbl>
              <c:idx val="36"/>
              <c:layout>
                <c:manualLayout>
                  <c:x val="-1.165986428826169E-2"/>
                  <c:y val="2.7303803803803688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7-7E29-4BB5-A97D-59760A6F0407}"/>
                </c:ext>
              </c:extLst>
            </c:dLbl>
            <c:dLbl>
              <c:idx val="48"/>
              <c:layout>
                <c:manualLayout>
                  <c:x val="-1.1622630985481568E-2"/>
                  <c:y val="2.7303803803803688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8-7E29-4BB5-A97D-59760A6F0407}"/>
                </c:ext>
              </c:extLst>
            </c:dLbl>
            <c:dLbl>
              <c:idx val="60"/>
              <c:layout>
                <c:manualLayout>
                  <c:x val="-1.3205776418397364E-2"/>
                  <c:y val="2.7303803803803688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9-7E29-4BB5-A97D-59760A6F0407}"/>
                </c:ext>
              </c:extLst>
            </c:dLbl>
            <c:dLbl>
              <c:idx val="72"/>
              <c:layout>
                <c:manualLayout>
                  <c:x val="-9.2930949301024551E-3"/>
                  <c:y val="2.5425425425425544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A-7E29-4BB5-A97D-59760A6F0407}"/>
                </c:ext>
              </c:extLst>
            </c:dLbl>
            <c:dLbl>
              <c:idx val="84"/>
              <c:layout>
                <c:manualLayout>
                  <c:x val="-1.8526488392152825E-2"/>
                  <c:y val="2.5425425425425544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B-7E29-4BB5-A97D-59760A6F0407}"/>
                </c:ext>
              </c:extLst>
            </c:dLbl>
            <c:numFmt formatCode="yyyy" sourceLinked="0"/>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tx2"/>
                    </a:solidFill>
                    <a:latin typeface="+mn-lt"/>
                    <a:ea typeface="+mn-ea"/>
                    <a:cs typeface="Arial" panose="020B0604020202020204" pitchFamily="34" charset="0"/>
                  </a:defRPr>
                </a:pPr>
                <a:endParaRPr lang="en-US"/>
              </a:p>
            </c:txPr>
            <c:dLblPos val="r"/>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Commodities!$I$8:$I$99</c:f>
              <c:numCache>
                <c:formatCode>yyyy</c:formatCode>
                <c:ptCount val="92"/>
                <c:pt idx="0">
                  <c:v>41640</c:v>
                </c:pt>
                <c:pt idx="1">
                  <c:v>41671</c:v>
                </c:pt>
                <c:pt idx="2">
                  <c:v>41699</c:v>
                </c:pt>
                <c:pt idx="3">
                  <c:v>41730</c:v>
                </c:pt>
                <c:pt idx="4">
                  <c:v>41760</c:v>
                </c:pt>
                <c:pt idx="5">
                  <c:v>41791</c:v>
                </c:pt>
                <c:pt idx="6">
                  <c:v>41821</c:v>
                </c:pt>
                <c:pt idx="7">
                  <c:v>41852</c:v>
                </c:pt>
                <c:pt idx="8">
                  <c:v>41883</c:v>
                </c:pt>
                <c:pt idx="9">
                  <c:v>41913</c:v>
                </c:pt>
                <c:pt idx="10">
                  <c:v>41944</c:v>
                </c:pt>
                <c:pt idx="11">
                  <c:v>41974</c:v>
                </c:pt>
                <c:pt idx="12">
                  <c:v>42005</c:v>
                </c:pt>
                <c:pt idx="13">
                  <c:v>42036</c:v>
                </c:pt>
                <c:pt idx="14">
                  <c:v>42064</c:v>
                </c:pt>
                <c:pt idx="15">
                  <c:v>42095</c:v>
                </c:pt>
                <c:pt idx="16">
                  <c:v>42125</c:v>
                </c:pt>
                <c:pt idx="17">
                  <c:v>42156</c:v>
                </c:pt>
                <c:pt idx="18">
                  <c:v>42186</c:v>
                </c:pt>
                <c:pt idx="19">
                  <c:v>42217</c:v>
                </c:pt>
                <c:pt idx="20">
                  <c:v>42248</c:v>
                </c:pt>
                <c:pt idx="21">
                  <c:v>42278</c:v>
                </c:pt>
                <c:pt idx="22">
                  <c:v>42309</c:v>
                </c:pt>
                <c:pt idx="23">
                  <c:v>42339</c:v>
                </c:pt>
                <c:pt idx="24">
                  <c:v>42370</c:v>
                </c:pt>
                <c:pt idx="25">
                  <c:v>42401</c:v>
                </c:pt>
                <c:pt idx="26">
                  <c:v>42430</c:v>
                </c:pt>
                <c:pt idx="27">
                  <c:v>42461</c:v>
                </c:pt>
                <c:pt idx="28">
                  <c:v>42491</c:v>
                </c:pt>
                <c:pt idx="29">
                  <c:v>42522</c:v>
                </c:pt>
                <c:pt idx="30">
                  <c:v>42552</c:v>
                </c:pt>
                <c:pt idx="31">
                  <c:v>42583</c:v>
                </c:pt>
                <c:pt idx="32">
                  <c:v>42614</c:v>
                </c:pt>
                <c:pt idx="33">
                  <c:v>42644</c:v>
                </c:pt>
                <c:pt idx="34">
                  <c:v>42675</c:v>
                </c:pt>
                <c:pt idx="35">
                  <c:v>42705</c:v>
                </c:pt>
                <c:pt idx="36">
                  <c:v>42736</c:v>
                </c:pt>
                <c:pt idx="37">
                  <c:v>42767</c:v>
                </c:pt>
                <c:pt idx="38">
                  <c:v>42795</c:v>
                </c:pt>
                <c:pt idx="39">
                  <c:v>42826</c:v>
                </c:pt>
                <c:pt idx="40">
                  <c:v>42856</c:v>
                </c:pt>
                <c:pt idx="41">
                  <c:v>42887</c:v>
                </c:pt>
                <c:pt idx="42">
                  <c:v>42917</c:v>
                </c:pt>
                <c:pt idx="43">
                  <c:v>42948</c:v>
                </c:pt>
                <c:pt idx="44">
                  <c:v>42979</c:v>
                </c:pt>
                <c:pt idx="45">
                  <c:v>43009</c:v>
                </c:pt>
                <c:pt idx="46">
                  <c:v>43040</c:v>
                </c:pt>
                <c:pt idx="47">
                  <c:v>43070</c:v>
                </c:pt>
                <c:pt idx="48">
                  <c:v>43101</c:v>
                </c:pt>
                <c:pt idx="49">
                  <c:v>43132</c:v>
                </c:pt>
                <c:pt idx="50">
                  <c:v>43160</c:v>
                </c:pt>
                <c:pt idx="51">
                  <c:v>43191</c:v>
                </c:pt>
                <c:pt idx="52">
                  <c:v>43221</c:v>
                </c:pt>
                <c:pt idx="53">
                  <c:v>43252</c:v>
                </c:pt>
                <c:pt idx="54">
                  <c:v>43282</c:v>
                </c:pt>
                <c:pt idx="55">
                  <c:v>43313</c:v>
                </c:pt>
                <c:pt idx="56">
                  <c:v>43344</c:v>
                </c:pt>
                <c:pt idx="57">
                  <c:v>43374</c:v>
                </c:pt>
                <c:pt idx="58">
                  <c:v>43405</c:v>
                </c:pt>
                <c:pt idx="59">
                  <c:v>43435</c:v>
                </c:pt>
                <c:pt idx="60">
                  <c:v>43466</c:v>
                </c:pt>
                <c:pt idx="61">
                  <c:v>43497</c:v>
                </c:pt>
                <c:pt idx="62">
                  <c:v>43525</c:v>
                </c:pt>
                <c:pt idx="63">
                  <c:v>43556</c:v>
                </c:pt>
                <c:pt idx="64">
                  <c:v>43586</c:v>
                </c:pt>
                <c:pt idx="65">
                  <c:v>43617</c:v>
                </c:pt>
                <c:pt idx="66">
                  <c:v>43647</c:v>
                </c:pt>
                <c:pt idx="67">
                  <c:v>43678</c:v>
                </c:pt>
                <c:pt idx="68">
                  <c:v>43709</c:v>
                </c:pt>
                <c:pt idx="69">
                  <c:v>43739</c:v>
                </c:pt>
                <c:pt idx="70">
                  <c:v>43770</c:v>
                </c:pt>
                <c:pt idx="71">
                  <c:v>43800</c:v>
                </c:pt>
                <c:pt idx="72">
                  <c:v>43831</c:v>
                </c:pt>
                <c:pt idx="73">
                  <c:v>43862</c:v>
                </c:pt>
                <c:pt idx="74">
                  <c:v>43891</c:v>
                </c:pt>
                <c:pt idx="75">
                  <c:v>43922</c:v>
                </c:pt>
                <c:pt idx="76">
                  <c:v>43952</c:v>
                </c:pt>
                <c:pt idx="77">
                  <c:v>43983</c:v>
                </c:pt>
                <c:pt idx="78">
                  <c:v>44013</c:v>
                </c:pt>
                <c:pt idx="79">
                  <c:v>44044</c:v>
                </c:pt>
                <c:pt idx="80">
                  <c:v>44075</c:v>
                </c:pt>
                <c:pt idx="81">
                  <c:v>44105</c:v>
                </c:pt>
                <c:pt idx="82">
                  <c:v>44136</c:v>
                </c:pt>
                <c:pt idx="83">
                  <c:v>44166</c:v>
                </c:pt>
                <c:pt idx="84">
                  <c:v>44197</c:v>
                </c:pt>
                <c:pt idx="85">
                  <c:v>44228</c:v>
                </c:pt>
                <c:pt idx="86">
                  <c:v>44256</c:v>
                </c:pt>
                <c:pt idx="87">
                  <c:v>44287</c:v>
                </c:pt>
                <c:pt idx="88">
                  <c:v>44317</c:v>
                </c:pt>
                <c:pt idx="89">
                  <c:v>44348</c:v>
                </c:pt>
                <c:pt idx="90">
                  <c:v>44378</c:v>
                </c:pt>
                <c:pt idx="91">
                  <c:v>44409</c:v>
                </c:pt>
              </c:numCache>
            </c:numRef>
          </c:cat>
          <c:val>
            <c:numRef>
              <c:f>Commodities!$S$8:$S$99</c:f>
              <c:numCache>
                <c:formatCode>General</c:formatCode>
                <c:ptCount val="92"/>
                <c:pt idx="0">
                  <c:v>20</c:v>
                </c:pt>
                <c:pt idx="12">
                  <c:v>20</c:v>
                </c:pt>
                <c:pt idx="24">
                  <c:v>20</c:v>
                </c:pt>
                <c:pt idx="36">
                  <c:v>20</c:v>
                </c:pt>
                <c:pt idx="48">
                  <c:v>20</c:v>
                </c:pt>
                <c:pt idx="60">
                  <c:v>20</c:v>
                </c:pt>
                <c:pt idx="72">
                  <c:v>20</c:v>
                </c:pt>
                <c:pt idx="84">
                  <c:v>20</c:v>
                </c:pt>
              </c:numCache>
            </c:numRef>
          </c:val>
          <c:smooth val="0"/>
          <c:extLst>
            <c:ext xmlns:c16="http://schemas.microsoft.com/office/drawing/2014/chart" uri="{C3380CC4-5D6E-409C-BE32-E72D297353CC}">
              <c16:uniqueId val="{0000000C-7E29-4BB5-A97D-59760A6F0407}"/>
            </c:ext>
          </c:extLst>
        </c:ser>
        <c:dLbls>
          <c:showLegendKey val="0"/>
          <c:showVal val="0"/>
          <c:showCatName val="0"/>
          <c:showSerName val="0"/>
          <c:showPercent val="0"/>
          <c:showBubbleSize val="0"/>
        </c:dLbls>
        <c:smooth val="0"/>
        <c:axId val="1768785920"/>
        <c:axId val="1768787008"/>
      </c:lineChart>
      <c:dateAx>
        <c:axId val="1768785920"/>
        <c:scaling>
          <c:orientation val="minMax"/>
        </c:scaling>
        <c:delete val="0"/>
        <c:axPos val="b"/>
        <c:numFmt formatCode="yyyy" sourceLinked="0"/>
        <c:majorTickMark val="none"/>
        <c:minorTickMark val="none"/>
        <c:tickLblPos val="none"/>
        <c:spPr>
          <a:noFill/>
          <a:ln w="6350" cap="flat" cmpd="sng" algn="ctr">
            <a:solidFill>
              <a:srgbClr val="898989"/>
            </a:solidFill>
            <a:round/>
          </a:ln>
          <a:effectLst/>
        </c:spPr>
        <c:txPr>
          <a:bodyPr rot="0" spcFirstLastPara="1" vertOverflow="ellipsis" wrap="square" anchor="ctr" anchorCtr="1"/>
          <a:lstStyle/>
          <a:p>
            <a:pPr>
              <a:defRPr sz="750" b="0" i="0" u="none" strike="noStrike" kern="1200" baseline="0">
                <a:solidFill>
                  <a:schemeClr val="tx2"/>
                </a:solidFill>
                <a:latin typeface="+mn-lt"/>
                <a:ea typeface="+mn-ea"/>
                <a:cs typeface="Arial" panose="020B0604020202020204" pitchFamily="34" charset="0"/>
              </a:defRPr>
            </a:pPr>
            <a:endParaRPr lang="en-US"/>
          </a:p>
        </c:txPr>
        <c:crossAx val="1768787008"/>
        <c:crosses val="autoZero"/>
        <c:auto val="1"/>
        <c:lblOffset val="100"/>
        <c:baseTimeUnit val="months"/>
        <c:majorUnit val="12"/>
        <c:minorUnit val="1"/>
      </c:dateAx>
      <c:valAx>
        <c:axId val="1768787008"/>
        <c:scaling>
          <c:orientation val="minMax"/>
          <c:max val="145"/>
          <c:min val="20"/>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Arial" panose="020B0604020202020204" pitchFamily="34" charset="0"/>
              </a:defRPr>
            </a:pPr>
            <a:endParaRPr lang="en-US"/>
          </a:p>
        </c:txPr>
        <c:crossAx val="1768785920"/>
        <c:crosses val="autoZero"/>
        <c:crossBetween val="between"/>
        <c:majorUnit val="20"/>
      </c:valAx>
      <c:spPr>
        <a:noFill/>
        <a:ln>
          <a:noFill/>
        </a:ln>
        <a:effectLst/>
      </c:spPr>
    </c:plotArea>
    <c:legend>
      <c:legendPos val="b"/>
      <c:legendEntry>
        <c:idx val="3"/>
        <c:delete val="1"/>
      </c:legendEntry>
      <c:legendEntry>
        <c:idx val="4"/>
        <c:delete val="1"/>
      </c:legendEntry>
      <c:layout>
        <c:manualLayout>
          <c:xMode val="edge"/>
          <c:yMode val="edge"/>
          <c:x val="5.9259259259259262E-2"/>
          <c:y val="0.90425125125125116"/>
          <c:w val="0.89999992693631548"/>
          <c:h val="9.5748748748748752E-2"/>
        </c:manualLayout>
      </c:layout>
      <c:overlay val="0"/>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Arial" panose="020B0604020202020204" pitchFamily="34" charset="0"/>
            </a:defRPr>
          </a:pPr>
          <a:endParaRPr lang="en-US"/>
        </a:p>
      </c:txPr>
    </c:legend>
    <c:plotVisOnly val="1"/>
    <c:dispBlanksAs val="gap"/>
    <c:showDLblsOverMax val="0"/>
  </c:chart>
  <c:spPr>
    <a:noFill/>
    <a:ln w="9525" cap="flat" cmpd="sng" algn="ctr">
      <a:noFill/>
      <a:round/>
    </a:ln>
    <a:effectLst/>
  </c:spPr>
  <c:txPr>
    <a:bodyPr/>
    <a:lstStyle/>
    <a:p>
      <a:pPr>
        <a:defRPr sz="750">
          <a:solidFill>
            <a:schemeClr val="tx2"/>
          </a:solidFill>
          <a:latin typeface="+mn-lt"/>
          <a:cs typeface="Arial" panose="020B0604020202020204" pitchFamily="34" charset="0"/>
        </a:defRPr>
      </a:pPr>
      <a:endParaRPr lang="en-US"/>
    </a:p>
  </c:txPr>
  <c:externalData r:id="rId4">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8583366760262072E-2"/>
          <c:y val="6.5355171586273103E-2"/>
          <c:w val="0.88461960155100949"/>
          <c:h val="0.84012119030477561"/>
        </c:manualLayout>
      </c:layout>
      <c:lineChart>
        <c:grouping val="standard"/>
        <c:varyColors val="0"/>
        <c:ser>
          <c:idx val="3"/>
          <c:order val="0"/>
          <c:tx>
            <c:strRef>
              <c:f>'Prerađivačka_6 graf'!$L$7</c:f>
              <c:strCache>
                <c:ptCount val="1"/>
                <c:pt idx="0">
                  <c:v>Series4</c:v>
                </c:pt>
              </c:strCache>
            </c:strRef>
          </c:tx>
          <c:spPr>
            <a:ln w="28575" cap="rnd">
              <a:solidFill>
                <a:schemeClr val="accent4"/>
              </a:solidFill>
              <a:round/>
            </a:ln>
            <a:effectLst/>
          </c:spPr>
          <c:marker>
            <c:symbol val="square"/>
            <c:size val="2"/>
            <c:spPr>
              <a:solidFill>
                <a:sysClr val="window" lastClr="FFFFFF"/>
              </a:solidFill>
              <a:ln w="9525">
                <a:noFill/>
              </a:ln>
              <a:effectLst/>
            </c:spPr>
          </c:marker>
          <c:dLbls>
            <c:dLbl>
              <c:idx val="0"/>
              <c:layout>
                <c:manualLayout>
                  <c:x val="0.10324613290554324"/>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55C-403E-A6F6-2B78AB1494C3}"/>
                </c:ext>
              </c:extLst>
            </c:dLbl>
            <c:dLbl>
              <c:idx val="12"/>
              <c:layout>
                <c:manualLayout>
                  <c:x val="0.10333789124109546"/>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55C-403E-A6F6-2B78AB1494C3}"/>
                </c:ext>
              </c:extLst>
            </c:dLbl>
            <c:dLbl>
              <c:idx val="24"/>
              <c:layout>
                <c:manualLayout>
                  <c:x val="4.0069999491000929E-2"/>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55C-403E-A6F6-2B78AB1494C3}"/>
                </c:ext>
              </c:extLst>
            </c:dLbl>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tx2"/>
                    </a:solidFill>
                    <a:latin typeface="+mn-lt"/>
                    <a:ea typeface="+mn-ea"/>
                    <a:cs typeface="+mn-cs"/>
                  </a:defRPr>
                </a:pPr>
                <a:endParaRPr lang="en-U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'Prerađivačka_6 graf'!$C$44:$C$75</c:f>
              <c:numCache>
                <c:formatCode>yyyy</c:formatCode>
                <c:ptCount val="32"/>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numCache>
            </c:numRef>
          </c:cat>
          <c:val>
            <c:numRef>
              <c:f>'Prerađivačka_6 graf'!$L$44:$L$75</c:f>
              <c:numCache>
                <c:formatCode>General</c:formatCode>
                <c:ptCount val="32"/>
                <c:pt idx="0">
                  <c:v>75</c:v>
                </c:pt>
                <c:pt idx="12">
                  <c:v>75</c:v>
                </c:pt>
                <c:pt idx="24">
                  <c:v>75</c:v>
                </c:pt>
              </c:numCache>
            </c:numRef>
          </c:val>
          <c:smooth val="0"/>
          <c:extLst>
            <c:ext xmlns:c16="http://schemas.microsoft.com/office/drawing/2014/chart" uri="{C3380CC4-5D6E-409C-BE32-E72D297353CC}">
              <c16:uniqueId val="{00000003-355C-403E-A6F6-2B78AB1494C3}"/>
            </c:ext>
          </c:extLst>
        </c:ser>
        <c:ser>
          <c:idx val="4"/>
          <c:order val="1"/>
          <c:tx>
            <c:strRef>
              <c:f>'Prerađivačka_6 graf'!$M$7</c:f>
              <c:strCache>
                <c:ptCount val="1"/>
                <c:pt idx="0">
                  <c:v>Series5</c:v>
                </c:pt>
              </c:strCache>
            </c:strRef>
          </c:tx>
          <c:spPr>
            <a:ln w="25400" cap="rnd">
              <a:noFill/>
              <a:round/>
            </a:ln>
            <a:effectLst/>
          </c:spPr>
          <c:marker>
            <c:symbol val="none"/>
          </c:marker>
          <c:dLbls>
            <c:dLbl>
              <c:idx val="0"/>
              <c:tx>
                <c:rich>
                  <a:bodyPr/>
                  <a:lstStyle/>
                  <a:p>
                    <a:fld id="{C3CB51DF-8520-487A-B9C1-E318AF21E3C4}"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4-355C-403E-A6F6-2B78AB1494C3}"/>
                </c:ext>
              </c:extLst>
            </c:dLbl>
            <c:dLbl>
              <c:idx val="1"/>
              <c:tx>
                <c:rich>
                  <a:bodyPr/>
                  <a:lstStyle/>
                  <a:p>
                    <a:fld id="{ECB7CCE4-6A2C-4AE1-8296-06D9F752D309}"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5-355C-403E-A6F6-2B78AB1494C3}"/>
                </c:ext>
              </c:extLst>
            </c:dLbl>
            <c:dLbl>
              <c:idx val="2"/>
              <c:tx>
                <c:rich>
                  <a:bodyPr/>
                  <a:lstStyle/>
                  <a:p>
                    <a:fld id="{9030CF0E-3170-4B7E-BEDD-1DFF3E154BA1}"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6-355C-403E-A6F6-2B78AB1494C3}"/>
                </c:ext>
              </c:extLst>
            </c:dLbl>
            <c:dLbl>
              <c:idx val="3"/>
              <c:tx>
                <c:rich>
                  <a:bodyPr/>
                  <a:lstStyle/>
                  <a:p>
                    <a:fld id="{CA558026-B29E-4E9A-9BF8-58F7D14A2EDB}"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7-355C-403E-A6F6-2B78AB1494C3}"/>
                </c:ext>
              </c:extLst>
            </c:dLbl>
            <c:dLbl>
              <c:idx val="4"/>
              <c:tx>
                <c:rich>
                  <a:bodyPr/>
                  <a:lstStyle/>
                  <a:p>
                    <a:fld id="{552ECC01-187A-46D7-9FDA-9567F0CADA03}"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8-355C-403E-A6F6-2B78AB1494C3}"/>
                </c:ext>
              </c:extLst>
            </c:dLbl>
            <c:dLbl>
              <c:idx val="5"/>
              <c:tx>
                <c:rich>
                  <a:bodyPr/>
                  <a:lstStyle/>
                  <a:p>
                    <a:fld id="{855A8790-C2F2-443C-AF78-43F71F25D749}"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9-355C-403E-A6F6-2B78AB1494C3}"/>
                </c:ext>
              </c:extLst>
            </c:dLbl>
            <c:dLbl>
              <c:idx val="6"/>
              <c:tx>
                <c:rich>
                  <a:bodyPr/>
                  <a:lstStyle/>
                  <a:p>
                    <a:fld id="{9DF29345-F95F-4D86-AD4B-31BD1640147B}"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A-355C-403E-A6F6-2B78AB1494C3}"/>
                </c:ext>
              </c:extLst>
            </c:dLbl>
            <c:dLbl>
              <c:idx val="7"/>
              <c:tx>
                <c:rich>
                  <a:bodyPr/>
                  <a:lstStyle/>
                  <a:p>
                    <a:fld id="{DEA32277-1669-48AA-AE57-7D116CB5E5AB}"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B-355C-403E-A6F6-2B78AB1494C3}"/>
                </c:ext>
              </c:extLst>
            </c:dLbl>
            <c:dLbl>
              <c:idx val="8"/>
              <c:tx>
                <c:rich>
                  <a:bodyPr/>
                  <a:lstStyle/>
                  <a:p>
                    <a:fld id="{1B46F2D4-2FF4-4AC1-A4E1-08563684F2DA}"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C-355C-403E-A6F6-2B78AB1494C3}"/>
                </c:ext>
              </c:extLst>
            </c:dLbl>
            <c:dLbl>
              <c:idx val="9"/>
              <c:tx>
                <c:rich>
                  <a:bodyPr/>
                  <a:lstStyle/>
                  <a:p>
                    <a:fld id="{D6002704-F7CF-419E-B256-0C288F18AFC9}"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D-355C-403E-A6F6-2B78AB1494C3}"/>
                </c:ext>
              </c:extLst>
            </c:dLbl>
            <c:dLbl>
              <c:idx val="10"/>
              <c:tx>
                <c:rich>
                  <a:bodyPr/>
                  <a:lstStyle/>
                  <a:p>
                    <a:fld id="{AEDF6F63-8881-4931-AA81-5A8F264A590A}"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E-355C-403E-A6F6-2B78AB1494C3}"/>
                </c:ext>
              </c:extLst>
            </c:dLbl>
            <c:dLbl>
              <c:idx val="11"/>
              <c:tx>
                <c:rich>
                  <a:bodyPr/>
                  <a:lstStyle/>
                  <a:p>
                    <a:fld id="{AB9707B4-77CE-4FC0-AC53-9CB2FE0BA021}"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F-355C-403E-A6F6-2B78AB1494C3}"/>
                </c:ext>
              </c:extLst>
            </c:dLbl>
            <c:dLbl>
              <c:idx val="12"/>
              <c:tx>
                <c:rich>
                  <a:bodyPr/>
                  <a:lstStyle/>
                  <a:p>
                    <a:fld id="{A9E9430A-4171-4073-87CB-0DD7FB04B224}"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0-355C-403E-A6F6-2B78AB1494C3}"/>
                </c:ext>
              </c:extLst>
            </c:dLbl>
            <c:dLbl>
              <c:idx val="13"/>
              <c:tx>
                <c:rich>
                  <a:bodyPr/>
                  <a:lstStyle/>
                  <a:p>
                    <a:fld id="{833F8F18-B8A1-4888-94B7-2D4BEFF1FA5C}"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1-355C-403E-A6F6-2B78AB1494C3}"/>
                </c:ext>
              </c:extLst>
            </c:dLbl>
            <c:dLbl>
              <c:idx val="14"/>
              <c:tx>
                <c:rich>
                  <a:bodyPr/>
                  <a:lstStyle/>
                  <a:p>
                    <a:fld id="{88B8776F-0205-4A9A-8A04-02E30FD8707E}"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2-355C-403E-A6F6-2B78AB1494C3}"/>
                </c:ext>
              </c:extLst>
            </c:dLbl>
            <c:dLbl>
              <c:idx val="15"/>
              <c:tx>
                <c:rich>
                  <a:bodyPr/>
                  <a:lstStyle/>
                  <a:p>
                    <a:fld id="{874CB110-D57F-4286-A4D2-FCD8D1C17DE9}"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3-355C-403E-A6F6-2B78AB1494C3}"/>
                </c:ext>
              </c:extLst>
            </c:dLbl>
            <c:dLbl>
              <c:idx val="16"/>
              <c:tx>
                <c:rich>
                  <a:bodyPr/>
                  <a:lstStyle/>
                  <a:p>
                    <a:fld id="{83E8EB7A-8C93-49D4-9622-705695C193B1}"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4-355C-403E-A6F6-2B78AB1494C3}"/>
                </c:ext>
              </c:extLst>
            </c:dLbl>
            <c:dLbl>
              <c:idx val="17"/>
              <c:tx>
                <c:rich>
                  <a:bodyPr/>
                  <a:lstStyle/>
                  <a:p>
                    <a:fld id="{2C1E5A32-E4FB-406A-B2E9-C9B063351F04}"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5-355C-403E-A6F6-2B78AB1494C3}"/>
                </c:ext>
              </c:extLst>
            </c:dLbl>
            <c:dLbl>
              <c:idx val="18"/>
              <c:tx>
                <c:rich>
                  <a:bodyPr/>
                  <a:lstStyle/>
                  <a:p>
                    <a:fld id="{79327B37-5BCE-4456-91E8-7F15213C49AE}"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6-355C-403E-A6F6-2B78AB1494C3}"/>
                </c:ext>
              </c:extLst>
            </c:dLbl>
            <c:dLbl>
              <c:idx val="19"/>
              <c:tx>
                <c:rich>
                  <a:bodyPr/>
                  <a:lstStyle/>
                  <a:p>
                    <a:fld id="{63BDA327-102F-46BA-A415-3DC50FAEE33C}"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7-355C-403E-A6F6-2B78AB1494C3}"/>
                </c:ext>
              </c:extLst>
            </c:dLbl>
            <c:dLbl>
              <c:idx val="20"/>
              <c:tx>
                <c:rich>
                  <a:bodyPr/>
                  <a:lstStyle/>
                  <a:p>
                    <a:fld id="{4386DDC6-E74D-42C7-BCE1-08FDD847B0EE}"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8-355C-403E-A6F6-2B78AB1494C3}"/>
                </c:ext>
              </c:extLst>
            </c:dLbl>
            <c:dLbl>
              <c:idx val="21"/>
              <c:tx>
                <c:rich>
                  <a:bodyPr/>
                  <a:lstStyle/>
                  <a:p>
                    <a:fld id="{B73ADECE-3975-4A57-A72A-1B910659490B}"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9-355C-403E-A6F6-2B78AB1494C3}"/>
                </c:ext>
              </c:extLst>
            </c:dLbl>
            <c:dLbl>
              <c:idx val="22"/>
              <c:tx>
                <c:rich>
                  <a:bodyPr/>
                  <a:lstStyle/>
                  <a:p>
                    <a:fld id="{CED44EAD-DB68-4DEB-A8E8-908D4A2E42EE}"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A-355C-403E-A6F6-2B78AB1494C3}"/>
                </c:ext>
              </c:extLst>
            </c:dLbl>
            <c:dLbl>
              <c:idx val="23"/>
              <c:tx>
                <c:rich>
                  <a:bodyPr/>
                  <a:lstStyle/>
                  <a:p>
                    <a:fld id="{DD92A59E-ADD1-40B2-B3A9-393168953F2E}"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B-355C-403E-A6F6-2B78AB1494C3}"/>
                </c:ext>
              </c:extLst>
            </c:dLbl>
            <c:dLbl>
              <c:idx val="24"/>
              <c:tx>
                <c:rich>
                  <a:bodyPr/>
                  <a:lstStyle/>
                  <a:p>
                    <a:fld id="{4ED547C0-436D-4FE6-935B-7B9D56B296BD}"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C-355C-403E-A6F6-2B78AB1494C3}"/>
                </c:ext>
              </c:extLst>
            </c:dLbl>
            <c:dLbl>
              <c:idx val="25"/>
              <c:tx>
                <c:rich>
                  <a:bodyPr/>
                  <a:lstStyle/>
                  <a:p>
                    <a:fld id="{F92B63E3-FB3B-45D8-BAC3-735B9F008460}"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D-355C-403E-A6F6-2B78AB1494C3}"/>
                </c:ext>
              </c:extLst>
            </c:dLbl>
            <c:dLbl>
              <c:idx val="26"/>
              <c:tx>
                <c:rich>
                  <a:bodyPr/>
                  <a:lstStyle/>
                  <a:p>
                    <a:fld id="{5B907670-F51F-41DA-91CC-593DF227F9C3}"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E-355C-403E-A6F6-2B78AB1494C3}"/>
                </c:ext>
              </c:extLst>
            </c:dLbl>
            <c:dLbl>
              <c:idx val="27"/>
              <c:tx>
                <c:rich>
                  <a:bodyPr/>
                  <a:lstStyle/>
                  <a:p>
                    <a:fld id="{24EBE952-197A-42C1-AE97-2EA3004A31DB}"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F-355C-403E-A6F6-2B78AB1494C3}"/>
                </c:ext>
              </c:extLst>
            </c:dLbl>
            <c:dLbl>
              <c:idx val="28"/>
              <c:tx>
                <c:rich>
                  <a:bodyPr/>
                  <a:lstStyle/>
                  <a:p>
                    <a:fld id="{8AE748E0-2B6D-466B-A647-9140297226A0}"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0-355C-403E-A6F6-2B78AB1494C3}"/>
                </c:ext>
              </c:extLst>
            </c:dLbl>
            <c:dLbl>
              <c:idx val="29"/>
              <c:tx>
                <c:rich>
                  <a:bodyPr/>
                  <a:lstStyle/>
                  <a:p>
                    <a:fld id="{64EE4C52-AA70-4D74-8255-10AD81B057BF}"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1-355C-403E-A6F6-2B78AB1494C3}"/>
                </c:ext>
              </c:extLst>
            </c:dLbl>
            <c:dLbl>
              <c:idx val="30"/>
              <c:tx>
                <c:rich>
                  <a:bodyPr/>
                  <a:lstStyle/>
                  <a:p>
                    <a:fld id="{18B27D82-06F0-4216-A60C-708FEAF11C5B}"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2-355C-403E-A6F6-2B78AB1494C3}"/>
                </c:ext>
              </c:extLst>
            </c:dLbl>
            <c:dLbl>
              <c:idx val="31"/>
              <c:tx>
                <c:rich>
                  <a:bodyPr/>
                  <a:lstStyle/>
                  <a:p>
                    <a:fld id="{62AC06E0-74A6-4534-9A5A-8C1AB2BCC9B3}"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3-355C-403E-A6F6-2B78AB1494C3}"/>
                </c:ext>
              </c:extLst>
            </c:dLbl>
            <c:spPr>
              <a:noFill/>
              <a:ln>
                <a:noFill/>
              </a:ln>
              <a:effectLst/>
            </c:spPr>
            <c:txPr>
              <a:bodyPr rot="0" spcFirstLastPara="1" vertOverflow="ellipsis" vert="horz" wrap="square" lIns="38100" tIns="19050" rIns="38100" bIns="19050" anchor="ctr" anchorCtr="1">
                <a:spAutoFit/>
              </a:bodyPr>
              <a:lstStyle/>
              <a:p>
                <a:pPr>
                  <a:defRPr sz="500" b="0" i="0" u="none" strike="noStrike" kern="1200" baseline="0">
                    <a:solidFill>
                      <a:schemeClr val="tx2"/>
                    </a:solidFill>
                    <a:latin typeface="+mn-lt"/>
                    <a:ea typeface="+mn-ea"/>
                    <a:cs typeface="+mn-cs"/>
                  </a:defRPr>
                </a:pPr>
                <a:endParaRPr lang="en-US"/>
              </a:p>
            </c:txPr>
            <c:dLblPos val="t"/>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0"/>
              </c:ext>
            </c:extLst>
          </c:dLbls>
          <c:cat>
            <c:numRef>
              <c:f>'Prerađivačka_6 graf'!$C$44:$C$75</c:f>
              <c:numCache>
                <c:formatCode>yyyy</c:formatCode>
                <c:ptCount val="32"/>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numCache>
            </c:numRef>
          </c:cat>
          <c:val>
            <c:numRef>
              <c:f>'Prerađivačka_6 graf'!$M$44:$M$75</c:f>
              <c:numCache>
                <c:formatCode>General</c:formatCode>
                <c:ptCount val="32"/>
                <c:pt idx="0">
                  <c:v>75</c:v>
                </c:pt>
                <c:pt idx="1">
                  <c:v>75</c:v>
                </c:pt>
                <c:pt idx="2">
                  <c:v>75</c:v>
                </c:pt>
                <c:pt idx="3">
                  <c:v>75</c:v>
                </c:pt>
                <c:pt idx="4">
                  <c:v>75</c:v>
                </c:pt>
                <c:pt idx="5">
                  <c:v>75</c:v>
                </c:pt>
                <c:pt idx="6">
                  <c:v>75</c:v>
                </c:pt>
                <c:pt idx="7">
                  <c:v>75</c:v>
                </c:pt>
                <c:pt idx="8">
                  <c:v>75</c:v>
                </c:pt>
                <c:pt idx="9">
                  <c:v>75</c:v>
                </c:pt>
                <c:pt idx="10">
                  <c:v>75</c:v>
                </c:pt>
                <c:pt idx="11">
                  <c:v>75</c:v>
                </c:pt>
                <c:pt idx="12">
                  <c:v>75</c:v>
                </c:pt>
                <c:pt idx="13">
                  <c:v>75</c:v>
                </c:pt>
                <c:pt idx="14">
                  <c:v>75</c:v>
                </c:pt>
                <c:pt idx="15">
                  <c:v>75</c:v>
                </c:pt>
                <c:pt idx="16">
                  <c:v>75</c:v>
                </c:pt>
                <c:pt idx="17">
                  <c:v>75</c:v>
                </c:pt>
                <c:pt idx="18">
                  <c:v>75</c:v>
                </c:pt>
                <c:pt idx="19">
                  <c:v>75</c:v>
                </c:pt>
                <c:pt idx="20">
                  <c:v>75</c:v>
                </c:pt>
                <c:pt idx="21">
                  <c:v>75</c:v>
                </c:pt>
                <c:pt idx="22">
                  <c:v>75</c:v>
                </c:pt>
                <c:pt idx="23">
                  <c:v>75</c:v>
                </c:pt>
                <c:pt idx="24">
                  <c:v>75</c:v>
                </c:pt>
                <c:pt idx="25">
                  <c:v>75</c:v>
                </c:pt>
                <c:pt idx="26">
                  <c:v>75</c:v>
                </c:pt>
                <c:pt idx="27">
                  <c:v>75</c:v>
                </c:pt>
                <c:pt idx="28">
                  <c:v>75</c:v>
                </c:pt>
                <c:pt idx="29">
                  <c:v>75</c:v>
                </c:pt>
                <c:pt idx="30">
                  <c:v>75</c:v>
                </c:pt>
                <c:pt idx="31">
                  <c:v>75</c:v>
                </c:pt>
              </c:numCache>
            </c:numRef>
          </c:val>
          <c:smooth val="0"/>
          <c:extLst>
            <c:ext xmlns:c15="http://schemas.microsoft.com/office/drawing/2012/chart" uri="{02D57815-91ED-43cb-92C2-25804820EDAC}">
              <c15:datalabelsRange>
                <c15:f>'Prerađivačka_6 graf'!$E$44:$E$75</c15:f>
                <c15:dlblRangeCache>
                  <c:ptCount val="32"/>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pt idx="24">
                    <c:v>I</c:v>
                  </c:pt>
                  <c:pt idx="25">
                    <c:v>II</c:v>
                  </c:pt>
                  <c:pt idx="26">
                    <c:v>III</c:v>
                  </c:pt>
                  <c:pt idx="27">
                    <c:v>IV</c:v>
                  </c:pt>
                  <c:pt idx="28">
                    <c:v>V</c:v>
                  </c:pt>
                  <c:pt idx="29">
                    <c:v>VI</c:v>
                  </c:pt>
                  <c:pt idx="30">
                    <c:v>VII</c:v>
                  </c:pt>
                  <c:pt idx="31">
                    <c:v>VIII</c:v>
                  </c:pt>
                </c15:dlblRangeCache>
              </c15:datalabelsRange>
            </c:ext>
            <c:ext xmlns:c16="http://schemas.microsoft.com/office/drawing/2014/chart" uri="{C3380CC4-5D6E-409C-BE32-E72D297353CC}">
              <c16:uniqueId val="{00000024-355C-403E-A6F6-2B78AB1494C3}"/>
            </c:ext>
          </c:extLst>
        </c:ser>
        <c:ser>
          <c:idx val="0"/>
          <c:order val="2"/>
          <c:tx>
            <c:strRef>
              <c:f>'Prerađivačka_6 graf'!$N$7</c:f>
              <c:strCache>
                <c:ptCount val="1"/>
                <c:pt idx="0">
                  <c:v>y</c:v>
                </c:pt>
              </c:strCache>
            </c:strRef>
          </c:tx>
          <c:spPr>
            <a:ln w="12700" cap="rnd">
              <a:solidFill>
                <a:srgbClr val="92278F"/>
              </a:solidFill>
              <a:prstDash val="sysDash"/>
              <a:round/>
            </a:ln>
            <a:effectLst/>
          </c:spPr>
          <c:marker>
            <c:symbol val="none"/>
          </c:marker>
          <c:cat>
            <c:numRef>
              <c:f>'Prerađivačka_6 graf'!$C$44:$C$75</c:f>
              <c:numCache>
                <c:formatCode>yyyy</c:formatCode>
                <c:ptCount val="32"/>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numCache>
            </c:numRef>
          </c:cat>
          <c:val>
            <c:numRef>
              <c:f>'Prerađivačka_6 graf'!$N$44:$N$75</c:f>
              <c:numCache>
                <c:formatCode>0.0</c:formatCode>
                <c:ptCount val="32"/>
                <c:pt idx="0">
                  <c:v>79.493883856716451</c:v>
                </c:pt>
                <c:pt idx="1">
                  <c:v>86.203086330556971</c:v>
                </c:pt>
                <c:pt idx="2">
                  <c:v>98.401636282994275</c:v>
                </c:pt>
                <c:pt idx="3">
                  <c:v>97.283435870687512</c:v>
                </c:pt>
                <c:pt idx="4">
                  <c:v>95.250344211947962</c:v>
                </c:pt>
                <c:pt idx="5">
                  <c:v>92.810634221460504</c:v>
                </c:pt>
                <c:pt idx="6">
                  <c:v>94.437107548452161</c:v>
                </c:pt>
                <c:pt idx="7">
                  <c:v>92.912288804397491</c:v>
                </c:pt>
                <c:pt idx="8">
                  <c:v>105.61911167151969</c:v>
                </c:pt>
                <c:pt idx="9">
                  <c:v>120.15571703150749</c:v>
                </c:pt>
                <c:pt idx="10">
                  <c:v>107.14393041557435</c:v>
                </c:pt>
                <c:pt idx="11">
                  <c:v>99.21487294649009</c:v>
                </c:pt>
                <c:pt idx="12">
                  <c:v>85.5421686746988</c:v>
                </c:pt>
                <c:pt idx="13">
                  <c:v>90.358974358974351</c:v>
                </c:pt>
                <c:pt idx="14">
                  <c:v>99.431818181818187</c:v>
                </c:pt>
                <c:pt idx="15">
                  <c:v>87.467588591184096</c:v>
                </c:pt>
                <c:pt idx="16">
                  <c:v>95.62043795620437</c:v>
                </c:pt>
                <c:pt idx="17">
                  <c:v>99.195171026156927</c:v>
                </c:pt>
                <c:pt idx="18">
                  <c:v>97.034764826175874</c:v>
                </c:pt>
                <c:pt idx="19">
                  <c:v>93.07923771313942</c:v>
                </c:pt>
                <c:pt idx="20">
                  <c:v>113.28841626755421</c:v>
                </c:pt>
                <c:pt idx="21">
                  <c:v>123.41910869388752</c:v>
                </c:pt>
                <c:pt idx="22">
                  <c:v>111.14538517736831</c:v>
                </c:pt>
                <c:pt idx="23">
                  <c:v>104.32664989041321</c:v>
                </c:pt>
                <c:pt idx="24">
                  <c:v>85.2</c:v>
                </c:pt>
                <c:pt idx="25">
                  <c:v>88.1</c:v>
                </c:pt>
                <c:pt idx="26">
                  <c:v>105</c:v>
                </c:pt>
                <c:pt idx="27">
                  <c:v>101.2</c:v>
                </c:pt>
                <c:pt idx="28">
                  <c:v>91.7</c:v>
                </c:pt>
                <c:pt idx="29">
                  <c:v>98.6</c:v>
                </c:pt>
                <c:pt idx="30">
                  <c:v>94.8</c:v>
                </c:pt>
                <c:pt idx="31">
                  <c:v>92.8</c:v>
                </c:pt>
              </c:numCache>
            </c:numRef>
          </c:val>
          <c:smooth val="0"/>
          <c:extLst>
            <c:ext xmlns:c16="http://schemas.microsoft.com/office/drawing/2014/chart" uri="{C3380CC4-5D6E-409C-BE32-E72D297353CC}">
              <c16:uniqueId val="{00000025-355C-403E-A6F6-2B78AB1494C3}"/>
            </c:ext>
          </c:extLst>
        </c:ser>
        <c:ser>
          <c:idx val="1"/>
          <c:order val="3"/>
          <c:tx>
            <c:strRef>
              <c:f>'Prerađivačka_6 graf'!$O$7</c:f>
              <c:strCache>
                <c:ptCount val="1"/>
                <c:pt idx="0">
                  <c:v>sa</c:v>
                </c:pt>
              </c:strCache>
            </c:strRef>
          </c:tx>
          <c:spPr>
            <a:ln w="22225" cap="rnd">
              <a:solidFill>
                <a:srgbClr val="25AAE1"/>
              </a:solidFill>
              <a:round/>
            </a:ln>
            <a:effectLst/>
          </c:spPr>
          <c:marker>
            <c:symbol val="none"/>
          </c:marker>
          <c:cat>
            <c:numRef>
              <c:f>'Prerađivačka_6 graf'!$C$44:$C$75</c:f>
              <c:numCache>
                <c:formatCode>yyyy</c:formatCode>
                <c:ptCount val="32"/>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numCache>
            </c:numRef>
          </c:cat>
          <c:val>
            <c:numRef>
              <c:f>'Prerađivačka_6 graf'!$O$44:$O$75</c:f>
              <c:numCache>
                <c:formatCode>0.0</c:formatCode>
                <c:ptCount val="32"/>
                <c:pt idx="0">
                  <c:v>99.061692178290642</c:v>
                </c:pt>
                <c:pt idx="1">
                  <c:v>101.44714486732214</c:v>
                </c:pt>
                <c:pt idx="2">
                  <c:v>100.73240334250126</c:v>
                </c:pt>
                <c:pt idx="3">
                  <c:v>101.62320956888681</c:v>
                </c:pt>
                <c:pt idx="4">
                  <c:v>97.760193501233331</c:v>
                </c:pt>
                <c:pt idx="5">
                  <c:v>94.523388121944109</c:v>
                </c:pt>
                <c:pt idx="6">
                  <c:v>98.642166865806999</c:v>
                </c:pt>
                <c:pt idx="7">
                  <c:v>98.491159412100117</c:v>
                </c:pt>
                <c:pt idx="8">
                  <c:v>94.539116069675416</c:v>
                </c:pt>
                <c:pt idx="9">
                  <c:v>96.02825452220327</c:v>
                </c:pt>
                <c:pt idx="10">
                  <c:v>95.66969131834486</c:v>
                </c:pt>
                <c:pt idx="11">
                  <c:v>96.535099339034147</c:v>
                </c:pt>
                <c:pt idx="12">
                  <c:v>105.0942158507257</c:v>
                </c:pt>
                <c:pt idx="13">
                  <c:v>98.892757838051423</c:v>
                </c:pt>
                <c:pt idx="14">
                  <c:v>99.105861301303278</c:v>
                </c:pt>
                <c:pt idx="15">
                  <c:v>91.014384122254924</c:v>
                </c:pt>
                <c:pt idx="16">
                  <c:v>99.967203022512564</c:v>
                </c:pt>
                <c:pt idx="17">
                  <c:v>98.681474188498555</c:v>
                </c:pt>
                <c:pt idx="18">
                  <c:v>100.84274300189583</c:v>
                </c:pt>
                <c:pt idx="19">
                  <c:v>100.19466427968494</c:v>
                </c:pt>
                <c:pt idx="20">
                  <c:v>100.55222478675874</c:v>
                </c:pt>
                <c:pt idx="21">
                  <c:v>100.30978820268739</c:v>
                </c:pt>
                <c:pt idx="22">
                  <c:v>100.00967441262252</c:v>
                </c:pt>
                <c:pt idx="23">
                  <c:v>100.44483849773474</c:v>
                </c:pt>
                <c:pt idx="24">
                  <c:v>105.13535755471825</c:v>
                </c:pt>
                <c:pt idx="25">
                  <c:v>103.23797730762794</c:v>
                </c:pt>
                <c:pt idx="26">
                  <c:v>102.49490771293769</c:v>
                </c:pt>
                <c:pt idx="27">
                  <c:v>105.28768078820968</c:v>
                </c:pt>
                <c:pt idx="28">
                  <c:v>93.338803652627718</c:v>
                </c:pt>
                <c:pt idx="29">
                  <c:v>98.561452219044853</c:v>
                </c:pt>
                <c:pt idx="30">
                  <c:v>99.70113799445032</c:v>
                </c:pt>
                <c:pt idx="31">
                  <c:v>98.640628729018019</c:v>
                </c:pt>
              </c:numCache>
            </c:numRef>
          </c:val>
          <c:smooth val="0"/>
          <c:extLst>
            <c:ext xmlns:c16="http://schemas.microsoft.com/office/drawing/2014/chart" uri="{C3380CC4-5D6E-409C-BE32-E72D297353CC}">
              <c16:uniqueId val="{00000026-355C-403E-A6F6-2B78AB1494C3}"/>
            </c:ext>
          </c:extLst>
        </c:ser>
        <c:ser>
          <c:idx val="2"/>
          <c:order val="4"/>
          <c:tx>
            <c:strRef>
              <c:f>'Prerađivačka_6 graf'!$P$7</c:f>
              <c:strCache>
                <c:ptCount val="1"/>
                <c:pt idx="0">
                  <c:v>t</c:v>
                </c:pt>
              </c:strCache>
            </c:strRef>
          </c:tx>
          <c:spPr>
            <a:ln w="25400" cap="rnd">
              <a:solidFill>
                <a:srgbClr val="FF0000"/>
              </a:solidFill>
              <a:round/>
            </a:ln>
            <a:effectLst/>
          </c:spPr>
          <c:marker>
            <c:symbol val="none"/>
          </c:marker>
          <c:cat>
            <c:numRef>
              <c:f>'Prerađivačka_6 graf'!$C$44:$C$75</c:f>
              <c:numCache>
                <c:formatCode>yyyy</c:formatCode>
                <c:ptCount val="32"/>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numCache>
            </c:numRef>
          </c:cat>
          <c:val>
            <c:numRef>
              <c:f>'Prerađivačka_6 graf'!$P$44:$P$75</c:f>
              <c:numCache>
                <c:formatCode>0.0</c:formatCode>
                <c:ptCount val="32"/>
                <c:pt idx="0">
                  <c:v>99.661896309553782</c:v>
                </c:pt>
                <c:pt idx="1">
                  <c:v>99.892714999264868</c:v>
                </c:pt>
                <c:pt idx="2">
                  <c:v>100.08364387129311</c:v>
                </c:pt>
                <c:pt idx="3">
                  <c:v>99.959945843891077</c:v>
                </c:pt>
                <c:pt idx="4">
                  <c:v>99.401209683886634</c:v>
                </c:pt>
                <c:pt idx="5">
                  <c:v>98.509706307545954</c:v>
                </c:pt>
                <c:pt idx="6">
                  <c:v>97.572225109309741</c:v>
                </c:pt>
                <c:pt idx="7">
                  <c:v>96.778117928021771</c:v>
                </c:pt>
                <c:pt idx="8">
                  <c:v>96.252517398405431</c:v>
                </c:pt>
                <c:pt idx="9">
                  <c:v>96.068048950286482</c:v>
                </c:pt>
                <c:pt idx="10">
                  <c:v>96.231696826623107</c:v>
                </c:pt>
                <c:pt idx="11">
                  <c:v>96.719398226200283</c:v>
                </c:pt>
                <c:pt idx="12">
                  <c:v>97.441009418245372</c:v>
                </c:pt>
                <c:pt idx="13">
                  <c:v>98.18751520235358</c:v>
                </c:pt>
                <c:pt idx="14">
                  <c:v>98.757767094727484</c:v>
                </c:pt>
                <c:pt idx="15">
                  <c:v>99.14279653054416</c:v>
                </c:pt>
                <c:pt idx="16">
                  <c:v>99.467965084451492</c:v>
                </c:pt>
                <c:pt idx="17">
                  <c:v>99.745617816574892</c:v>
                </c:pt>
                <c:pt idx="18">
                  <c:v>99.921626647325667</c:v>
                </c:pt>
                <c:pt idx="19">
                  <c:v>100.04628622957399</c:v>
                </c:pt>
                <c:pt idx="20">
                  <c:v>100.23282616778168</c:v>
                </c:pt>
                <c:pt idx="21">
                  <c:v>100.60633273065574</c:v>
                </c:pt>
                <c:pt idx="22">
                  <c:v>101.19301040144562</c:v>
                </c:pt>
                <c:pt idx="23">
                  <c:v>101.88527161520075</c:v>
                </c:pt>
                <c:pt idx="24">
                  <c:v>102.39247418667041</c:v>
                </c:pt>
                <c:pt idx="25">
                  <c:v>102.51241776195164</c:v>
                </c:pt>
                <c:pt idx="26">
                  <c:v>102.07797512082912</c:v>
                </c:pt>
                <c:pt idx="27">
                  <c:v>101.21870909903222</c:v>
                </c:pt>
                <c:pt idx="28">
                  <c:v>100.22418987010511</c:v>
                </c:pt>
                <c:pt idx="29">
                  <c:v>99.472764832005993</c:v>
                </c:pt>
                <c:pt idx="30">
                  <c:v>99.22900597452157</c:v>
                </c:pt>
                <c:pt idx="31">
                  <c:v>99.507823559363857</c:v>
                </c:pt>
              </c:numCache>
            </c:numRef>
          </c:val>
          <c:smooth val="0"/>
          <c:extLst>
            <c:ext xmlns:c16="http://schemas.microsoft.com/office/drawing/2014/chart" uri="{C3380CC4-5D6E-409C-BE32-E72D297353CC}">
              <c16:uniqueId val="{00000027-355C-403E-A6F6-2B78AB1494C3}"/>
            </c:ext>
          </c:extLst>
        </c:ser>
        <c:dLbls>
          <c:showLegendKey val="0"/>
          <c:showVal val="0"/>
          <c:showCatName val="0"/>
          <c:showSerName val="0"/>
          <c:showPercent val="0"/>
          <c:showBubbleSize val="0"/>
        </c:dLbls>
        <c:marker val="1"/>
        <c:smooth val="0"/>
        <c:axId val="2092140400"/>
        <c:axId val="2092173040"/>
      </c:lineChart>
      <c:dateAx>
        <c:axId val="2092140400"/>
        <c:scaling>
          <c:orientation val="minMax"/>
        </c:scaling>
        <c:delete val="0"/>
        <c:axPos val="b"/>
        <c:numFmt formatCode="yyyy" sourceLinked="1"/>
        <c:majorTickMark val="none"/>
        <c:minorTickMark val="none"/>
        <c:tickLblPos val="none"/>
        <c:spPr>
          <a:noFill/>
          <a:ln w="6350" cap="flat" cmpd="sng" algn="ctr">
            <a:solidFill>
              <a:srgbClr val="898989"/>
            </a:solidFill>
            <a:round/>
          </a:ln>
          <a:effectLst/>
        </c:spPr>
        <c:txPr>
          <a:bodyPr rot="0" spcFirstLastPara="1" vertOverflow="ellipsis" wrap="square" anchor="ctr" anchorCtr="1"/>
          <a:lstStyle/>
          <a:p>
            <a:pPr algn="ctr">
              <a:defRPr sz="750" b="0" i="0" u="none" strike="noStrike" kern="1200" baseline="0">
                <a:solidFill>
                  <a:schemeClr val="tx2"/>
                </a:solidFill>
                <a:latin typeface="+mn-lt"/>
                <a:ea typeface="+mn-ea"/>
                <a:cs typeface="+mn-cs"/>
              </a:defRPr>
            </a:pPr>
            <a:endParaRPr lang="en-US"/>
          </a:p>
        </c:txPr>
        <c:crossAx val="2092173040"/>
        <c:crosses val="autoZero"/>
        <c:auto val="1"/>
        <c:lblOffset val="0"/>
        <c:baseTimeUnit val="months"/>
        <c:majorUnit val="12"/>
        <c:majorTimeUnit val="months"/>
      </c:dateAx>
      <c:valAx>
        <c:axId val="2092173040"/>
        <c:scaling>
          <c:orientation val="minMax"/>
          <c:max val="125"/>
          <c:min val="75"/>
        </c:scaling>
        <c:delete val="0"/>
        <c:axPos val="l"/>
        <c:numFmt formatCode="0" sourceLinked="0"/>
        <c:majorTickMark val="out"/>
        <c:minorTickMark val="none"/>
        <c:tickLblPos val="nextTo"/>
        <c:spPr>
          <a:noFill/>
          <a:ln w="6350">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2092140400"/>
        <c:crosses val="autoZero"/>
        <c:crossBetween val="midCat"/>
      </c:valAx>
      <c:spPr>
        <a:solidFill>
          <a:sysClr val="window" lastClr="FFFFFF"/>
        </a:solidFill>
        <a:ln>
          <a:noFill/>
        </a:ln>
        <a:effectLst/>
      </c:spPr>
    </c:plotArea>
    <c:plotVisOnly val="1"/>
    <c:dispBlanksAs val="gap"/>
    <c:showDLblsOverMax val="0"/>
  </c:chart>
  <c:spPr>
    <a:solidFill>
      <a:schemeClr val="bg1"/>
    </a:solidFill>
    <a:ln w="9525" cap="flat" cmpd="sng" algn="ctr">
      <a:noFill/>
      <a:round/>
    </a:ln>
    <a:effectLst/>
  </c:spPr>
  <c:txPr>
    <a:bodyPr/>
    <a:lstStyle/>
    <a:p>
      <a:pPr>
        <a:defRPr sz="750">
          <a:solidFill>
            <a:schemeClr val="tx2"/>
          </a:solidFill>
          <a:latin typeface="+mn-lt"/>
        </a:defRPr>
      </a:pPr>
      <a:endParaRPr lang="en-US"/>
    </a:p>
  </c:txPr>
  <c:externalData r:id="rId4">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8583366760262072E-2"/>
          <c:y val="6.5355171586273103E-2"/>
          <c:w val="0.88461960155100949"/>
          <c:h val="0.84012119030477561"/>
        </c:manualLayout>
      </c:layout>
      <c:lineChart>
        <c:grouping val="standard"/>
        <c:varyColors val="0"/>
        <c:ser>
          <c:idx val="3"/>
          <c:order val="0"/>
          <c:tx>
            <c:strRef>
              <c:f>'Prerađivačka_6 graf'!$BA$7</c:f>
              <c:strCache>
                <c:ptCount val="1"/>
                <c:pt idx="0">
                  <c:v>Series4</c:v>
                </c:pt>
              </c:strCache>
            </c:strRef>
          </c:tx>
          <c:spPr>
            <a:ln w="28575" cap="rnd">
              <a:solidFill>
                <a:schemeClr val="accent4"/>
              </a:solidFill>
              <a:round/>
            </a:ln>
            <a:effectLst/>
          </c:spPr>
          <c:marker>
            <c:symbol val="square"/>
            <c:size val="2"/>
            <c:spPr>
              <a:solidFill>
                <a:sysClr val="window" lastClr="FFFFFF"/>
              </a:solidFill>
              <a:ln w="9525">
                <a:noFill/>
              </a:ln>
              <a:effectLst/>
            </c:spPr>
          </c:marker>
          <c:dLbls>
            <c:dLbl>
              <c:idx val="0"/>
              <c:layout>
                <c:manualLayout>
                  <c:x val="9.8683655358548464E-2"/>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AF4-419D-903B-4A8B0083A4F2}"/>
                </c:ext>
              </c:extLst>
            </c:dLbl>
            <c:dLbl>
              <c:idx val="12"/>
              <c:layout>
                <c:manualLayout>
                  <c:x val="9.8630741499544178E-2"/>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1-EAF4-419D-903B-4A8B0083A4F2}"/>
                </c:ext>
              </c:extLst>
            </c:dLbl>
            <c:dLbl>
              <c:idx val="24"/>
              <c:layout>
                <c:manualLayout>
                  <c:x val="3.9726203634663351E-2"/>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2-EAF4-419D-903B-4A8B0083A4F2}"/>
                </c:ext>
              </c:extLst>
            </c:dLbl>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tx2"/>
                    </a:solidFill>
                    <a:latin typeface="+mn-lt"/>
                    <a:ea typeface="+mn-ea"/>
                    <a:cs typeface="+mn-cs"/>
                  </a:defRPr>
                </a:pPr>
                <a:endParaRPr lang="en-U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'Prerađivačka_6 graf'!$C$44:$C$75</c:f>
              <c:numCache>
                <c:formatCode>yyyy</c:formatCode>
                <c:ptCount val="32"/>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numCache>
            </c:numRef>
          </c:cat>
          <c:val>
            <c:numRef>
              <c:f>'Prerađivačka_6 graf'!$BA$44:$BA$75</c:f>
              <c:numCache>
                <c:formatCode>General</c:formatCode>
                <c:ptCount val="32"/>
                <c:pt idx="0">
                  <c:v>40</c:v>
                </c:pt>
                <c:pt idx="12">
                  <c:v>40</c:v>
                </c:pt>
                <c:pt idx="24">
                  <c:v>40</c:v>
                </c:pt>
              </c:numCache>
            </c:numRef>
          </c:val>
          <c:smooth val="0"/>
          <c:extLst>
            <c:ext xmlns:c16="http://schemas.microsoft.com/office/drawing/2014/chart" uri="{C3380CC4-5D6E-409C-BE32-E72D297353CC}">
              <c16:uniqueId val="{00000003-EAF4-419D-903B-4A8B0083A4F2}"/>
            </c:ext>
          </c:extLst>
        </c:ser>
        <c:ser>
          <c:idx val="4"/>
          <c:order val="1"/>
          <c:tx>
            <c:strRef>
              <c:f>'Prerađivačka_6 graf'!$BB$7</c:f>
              <c:strCache>
                <c:ptCount val="1"/>
                <c:pt idx="0">
                  <c:v>Series5</c:v>
                </c:pt>
              </c:strCache>
            </c:strRef>
          </c:tx>
          <c:spPr>
            <a:ln w="25400" cap="rnd">
              <a:noFill/>
              <a:round/>
            </a:ln>
            <a:effectLst/>
          </c:spPr>
          <c:marker>
            <c:symbol val="none"/>
          </c:marker>
          <c:dLbls>
            <c:dLbl>
              <c:idx val="0"/>
              <c:tx>
                <c:rich>
                  <a:bodyPr/>
                  <a:lstStyle/>
                  <a:p>
                    <a:fld id="{FB6FA3DB-3888-4F3C-A6EF-53BD26FB7503}"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4-EAF4-419D-903B-4A8B0083A4F2}"/>
                </c:ext>
              </c:extLst>
            </c:dLbl>
            <c:dLbl>
              <c:idx val="1"/>
              <c:tx>
                <c:rich>
                  <a:bodyPr/>
                  <a:lstStyle/>
                  <a:p>
                    <a:fld id="{4A1A3637-23EC-4586-ACC2-D9F830DFCAD5}"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5-EAF4-419D-903B-4A8B0083A4F2}"/>
                </c:ext>
              </c:extLst>
            </c:dLbl>
            <c:dLbl>
              <c:idx val="2"/>
              <c:tx>
                <c:rich>
                  <a:bodyPr/>
                  <a:lstStyle/>
                  <a:p>
                    <a:fld id="{D39F6D60-F7DE-4024-86C1-2FD0C9C3B9C7}"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6-EAF4-419D-903B-4A8B0083A4F2}"/>
                </c:ext>
              </c:extLst>
            </c:dLbl>
            <c:dLbl>
              <c:idx val="3"/>
              <c:tx>
                <c:rich>
                  <a:bodyPr/>
                  <a:lstStyle/>
                  <a:p>
                    <a:fld id="{2EFC0509-2DBB-4894-9349-F064BE36E78C}"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7-EAF4-419D-903B-4A8B0083A4F2}"/>
                </c:ext>
              </c:extLst>
            </c:dLbl>
            <c:dLbl>
              <c:idx val="4"/>
              <c:tx>
                <c:rich>
                  <a:bodyPr/>
                  <a:lstStyle/>
                  <a:p>
                    <a:fld id="{691DEEDB-0ADA-4093-966A-FC55F6253159}"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8-EAF4-419D-903B-4A8B0083A4F2}"/>
                </c:ext>
              </c:extLst>
            </c:dLbl>
            <c:dLbl>
              <c:idx val="5"/>
              <c:tx>
                <c:rich>
                  <a:bodyPr/>
                  <a:lstStyle/>
                  <a:p>
                    <a:fld id="{70414215-E047-41C3-92F7-2215B1BAA72C}"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9-EAF4-419D-903B-4A8B0083A4F2}"/>
                </c:ext>
              </c:extLst>
            </c:dLbl>
            <c:dLbl>
              <c:idx val="6"/>
              <c:tx>
                <c:rich>
                  <a:bodyPr/>
                  <a:lstStyle/>
                  <a:p>
                    <a:fld id="{3CF0F75E-E9A7-4C81-8D3B-3431BD38B236}"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A-EAF4-419D-903B-4A8B0083A4F2}"/>
                </c:ext>
              </c:extLst>
            </c:dLbl>
            <c:dLbl>
              <c:idx val="7"/>
              <c:tx>
                <c:rich>
                  <a:bodyPr/>
                  <a:lstStyle/>
                  <a:p>
                    <a:fld id="{F69E0D5C-CABC-42A5-B0F3-3D060CD88ADA}"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B-EAF4-419D-903B-4A8B0083A4F2}"/>
                </c:ext>
              </c:extLst>
            </c:dLbl>
            <c:dLbl>
              <c:idx val="8"/>
              <c:tx>
                <c:rich>
                  <a:bodyPr/>
                  <a:lstStyle/>
                  <a:p>
                    <a:fld id="{1008C0DB-E569-4897-8B11-6DAA4A8DAB07}"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C-EAF4-419D-903B-4A8B0083A4F2}"/>
                </c:ext>
              </c:extLst>
            </c:dLbl>
            <c:dLbl>
              <c:idx val="9"/>
              <c:tx>
                <c:rich>
                  <a:bodyPr/>
                  <a:lstStyle/>
                  <a:p>
                    <a:fld id="{4DC3BD2B-2BFA-4F68-9259-A16BCD44EBFA}"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D-EAF4-419D-903B-4A8B0083A4F2}"/>
                </c:ext>
              </c:extLst>
            </c:dLbl>
            <c:dLbl>
              <c:idx val="10"/>
              <c:tx>
                <c:rich>
                  <a:bodyPr/>
                  <a:lstStyle/>
                  <a:p>
                    <a:fld id="{473C0892-B3A1-49C9-B34C-F35CD28DF7D5}"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E-EAF4-419D-903B-4A8B0083A4F2}"/>
                </c:ext>
              </c:extLst>
            </c:dLbl>
            <c:dLbl>
              <c:idx val="11"/>
              <c:tx>
                <c:rich>
                  <a:bodyPr/>
                  <a:lstStyle/>
                  <a:p>
                    <a:fld id="{B9AE5880-8F04-490C-A0FF-BF71069A1D85}"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F-EAF4-419D-903B-4A8B0083A4F2}"/>
                </c:ext>
              </c:extLst>
            </c:dLbl>
            <c:dLbl>
              <c:idx val="12"/>
              <c:tx>
                <c:rich>
                  <a:bodyPr/>
                  <a:lstStyle/>
                  <a:p>
                    <a:fld id="{55AB556E-7068-4488-9381-5EF3EBE911DA}"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0-EAF4-419D-903B-4A8B0083A4F2}"/>
                </c:ext>
              </c:extLst>
            </c:dLbl>
            <c:dLbl>
              <c:idx val="13"/>
              <c:tx>
                <c:rich>
                  <a:bodyPr/>
                  <a:lstStyle/>
                  <a:p>
                    <a:fld id="{AEEE882C-AD56-4BFA-B9D6-F458D1919A3E}"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1-EAF4-419D-903B-4A8B0083A4F2}"/>
                </c:ext>
              </c:extLst>
            </c:dLbl>
            <c:dLbl>
              <c:idx val="14"/>
              <c:tx>
                <c:rich>
                  <a:bodyPr/>
                  <a:lstStyle/>
                  <a:p>
                    <a:fld id="{7FB0F216-0F37-43F6-A1EA-8477EC91657D}"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2-EAF4-419D-903B-4A8B0083A4F2}"/>
                </c:ext>
              </c:extLst>
            </c:dLbl>
            <c:dLbl>
              <c:idx val="15"/>
              <c:tx>
                <c:rich>
                  <a:bodyPr/>
                  <a:lstStyle/>
                  <a:p>
                    <a:fld id="{25E41173-DA28-47B7-863C-DEA02AFA778F}"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3-EAF4-419D-903B-4A8B0083A4F2}"/>
                </c:ext>
              </c:extLst>
            </c:dLbl>
            <c:dLbl>
              <c:idx val="16"/>
              <c:tx>
                <c:rich>
                  <a:bodyPr/>
                  <a:lstStyle/>
                  <a:p>
                    <a:fld id="{F7013510-AD4D-45CD-A443-5B2831CD6344}"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4-EAF4-419D-903B-4A8B0083A4F2}"/>
                </c:ext>
              </c:extLst>
            </c:dLbl>
            <c:dLbl>
              <c:idx val="17"/>
              <c:tx>
                <c:rich>
                  <a:bodyPr/>
                  <a:lstStyle/>
                  <a:p>
                    <a:fld id="{750B38BC-DC70-4757-986B-4CCCC3D62FB5}"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5-EAF4-419D-903B-4A8B0083A4F2}"/>
                </c:ext>
              </c:extLst>
            </c:dLbl>
            <c:dLbl>
              <c:idx val="18"/>
              <c:tx>
                <c:rich>
                  <a:bodyPr/>
                  <a:lstStyle/>
                  <a:p>
                    <a:fld id="{7D159157-C197-48D3-AD0C-E12882D727F3}"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6-EAF4-419D-903B-4A8B0083A4F2}"/>
                </c:ext>
              </c:extLst>
            </c:dLbl>
            <c:dLbl>
              <c:idx val="19"/>
              <c:tx>
                <c:rich>
                  <a:bodyPr/>
                  <a:lstStyle/>
                  <a:p>
                    <a:fld id="{15F5667F-E3ED-4FE8-BF89-5FC6D65B36B2}"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7-EAF4-419D-903B-4A8B0083A4F2}"/>
                </c:ext>
              </c:extLst>
            </c:dLbl>
            <c:dLbl>
              <c:idx val="20"/>
              <c:tx>
                <c:rich>
                  <a:bodyPr/>
                  <a:lstStyle/>
                  <a:p>
                    <a:fld id="{EFD52F91-6992-46BB-B147-30A530CD34C5}"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8-EAF4-419D-903B-4A8B0083A4F2}"/>
                </c:ext>
              </c:extLst>
            </c:dLbl>
            <c:dLbl>
              <c:idx val="21"/>
              <c:tx>
                <c:rich>
                  <a:bodyPr/>
                  <a:lstStyle/>
                  <a:p>
                    <a:fld id="{5FD89658-6EAB-4D65-A2E8-2F2302541594}"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9-EAF4-419D-903B-4A8B0083A4F2}"/>
                </c:ext>
              </c:extLst>
            </c:dLbl>
            <c:dLbl>
              <c:idx val="22"/>
              <c:tx>
                <c:rich>
                  <a:bodyPr/>
                  <a:lstStyle/>
                  <a:p>
                    <a:fld id="{2EBF3B54-DA21-47F4-9872-A642066ABAF7}"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A-EAF4-419D-903B-4A8B0083A4F2}"/>
                </c:ext>
              </c:extLst>
            </c:dLbl>
            <c:dLbl>
              <c:idx val="23"/>
              <c:tx>
                <c:rich>
                  <a:bodyPr/>
                  <a:lstStyle/>
                  <a:p>
                    <a:fld id="{BE06D826-D1E9-4A76-8288-E8518812F3DD}"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B-EAF4-419D-903B-4A8B0083A4F2}"/>
                </c:ext>
              </c:extLst>
            </c:dLbl>
            <c:dLbl>
              <c:idx val="24"/>
              <c:tx>
                <c:rich>
                  <a:bodyPr/>
                  <a:lstStyle/>
                  <a:p>
                    <a:fld id="{062A3F67-40DE-43B2-B6E3-9D0E1D8E6C6A}"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C-EAF4-419D-903B-4A8B0083A4F2}"/>
                </c:ext>
              </c:extLst>
            </c:dLbl>
            <c:dLbl>
              <c:idx val="25"/>
              <c:tx>
                <c:rich>
                  <a:bodyPr/>
                  <a:lstStyle/>
                  <a:p>
                    <a:fld id="{CCC98A0C-9442-4562-843E-CA22C805E207}"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D-EAF4-419D-903B-4A8B0083A4F2}"/>
                </c:ext>
              </c:extLst>
            </c:dLbl>
            <c:dLbl>
              <c:idx val="26"/>
              <c:tx>
                <c:rich>
                  <a:bodyPr/>
                  <a:lstStyle/>
                  <a:p>
                    <a:fld id="{AC16010A-9DED-479D-A59F-4C1E262472E4}"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E-EAF4-419D-903B-4A8B0083A4F2}"/>
                </c:ext>
              </c:extLst>
            </c:dLbl>
            <c:dLbl>
              <c:idx val="27"/>
              <c:tx>
                <c:rich>
                  <a:bodyPr/>
                  <a:lstStyle/>
                  <a:p>
                    <a:fld id="{B4324953-8321-4725-92EC-70B3348ECC90}"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F-EAF4-419D-903B-4A8B0083A4F2}"/>
                </c:ext>
              </c:extLst>
            </c:dLbl>
            <c:dLbl>
              <c:idx val="28"/>
              <c:tx>
                <c:rich>
                  <a:bodyPr/>
                  <a:lstStyle/>
                  <a:p>
                    <a:fld id="{EFCBCA2E-3A78-4938-BEA8-51FC736E06B0}"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0-EAF4-419D-903B-4A8B0083A4F2}"/>
                </c:ext>
              </c:extLst>
            </c:dLbl>
            <c:dLbl>
              <c:idx val="29"/>
              <c:tx>
                <c:rich>
                  <a:bodyPr/>
                  <a:lstStyle/>
                  <a:p>
                    <a:fld id="{9122BCD8-3A34-4B9D-B630-45D53190EC51}"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1-EAF4-419D-903B-4A8B0083A4F2}"/>
                </c:ext>
              </c:extLst>
            </c:dLbl>
            <c:dLbl>
              <c:idx val="30"/>
              <c:tx>
                <c:rich>
                  <a:bodyPr/>
                  <a:lstStyle/>
                  <a:p>
                    <a:fld id="{BA7298DB-A99E-4035-876F-F2CB96D7AFA7}"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2-EAF4-419D-903B-4A8B0083A4F2}"/>
                </c:ext>
              </c:extLst>
            </c:dLbl>
            <c:dLbl>
              <c:idx val="31"/>
              <c:tx>
                <c:rich>
                  <a:bodyPr/>
                  <a:lstStyle/>
                  <a:p>
                    <a:fld id="{92F23980-1B49-4460-8375-F24AF53D4ED4}"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3-EAF4-419D-903B-4A8B0083A4F2}"/>
                </c:ext>
              </c:extLst>
            </c:dLbl>
            <c:spPr>
              <a:noFill/>
              <a:ln>
                <a:noFill/>
              </a:ln>
              <a:effectLst/>
            </c:spPr>
            <c:txPr>
              <a:bodyPr rot="0" spcFirstLastPara="1" vertOverflow="ellipsis" vert="horz" wrap="square" lIns="38100" tIns="19050" rIns="38100" bIns="19050" anchor="ctr" anchorCtr="1">
                <a:spAutoFit/>
              </a:bodyPr>
              <a:lstStyle/>
              <a:p>
                <a:pPr>
                  <a:defRPr sz="500" b="0" i="0" u="none" strike="noStrike" kern="1200" baseline="0">
                    <a:solidFill>
                      <a:schemeClr val="tx2"/>
                    </a:solidFill>
                    <a:latin typeface="+mn-lt"/>
                    <a:ea typeface="+mn-ea"/>
                    <a:cs typeface="+mn-cs"/>
                  </a:defRPr>
                </a:pPr>
                <a:endParaRPr lang="en-US"/>
              </a:p>
            </c:txPr>
            <c:dLblPos val="t"/>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0"/>
              </c:ext>
            </c:extLst>
          </c:dLbls>
          <c:cat>
            <c:numRef>
              <c:f>'Prerađivačka_6 graf'!$C$44:$C$75</c:f>
              <c:numCache>
                <c:formatCode>yyyy</c:formatCode>
                <c:ptCount val="32"/>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numCache>
            </c:numRef>
          </c:cat>
          <c:val>
            <c:numRef>
              <c:f>'Prerađivačka_6 graf'!$BB$44:$BB$75</c:f>
              <c:numCache>
                <c:formatCode>General</c:formatCode>
                <c:ptCount val="32"/>
                <c:pt idx="0">
                  <c:v>40</c:v>
                </c:pt>
                <c:pt idx="1">
                  <c:v>40</c:v>
                </c:pt>
                <c:pt idx="2">
                  <c:v>40</c:v>
                </c:pt>
                <c:pt idx="3">
                  <c:v>40</c:v>
                </c:pt>
                <c:pt idx="4">
                  <c:v>40</c:v>
                </c:pt>
                <c:pt idx="5">
                  <c:v>40</c:v>
                </c:pt>
                <c:pt idx="6">
                  <c:v>40</c:v>
                </c:pt>
                <c:pt idx="7">
                  <c:v>40</c:v>
                </c:pt>
                <c:pt idx="8">
                  <c:v>40</c:v>
                </c:pt>
                <c:pt idx="9">
                  <c:v>40</c:v>
                </c:pt>
                <c:pt idx="10">
                  <c:v>40</c:v>
                </c:pt>
                <c:pt idx="11">
                  <c:v>40</c:v>
                </c:pt>
                <c:pt idx="12">
                  <c:v>40</c:v>
                </c:pt>
                <c:pt idx="13">
                  <c:v>40</c:v>
                </c:pt>
                <c:pt idx="14">
                  <c:v>40</c:v>
                </c:pt>
                <c:pt idx="15">
                  <c:v>40</c:v>
                </c:pt>
                <c:pt idx="16">
                  <c:v>40</c:v>
                </c:pt>
                <c:pt idx="17">
                  <c:v>40</c:v>
                </c:pt>
                <c:pt idx="18">
                  <c:v>40</c:v>
                </c:pt>
                <c:pt idx="19">
                  <c:v>40</c:v>
                </c:pt>
                <c:pt idx="20">
                  <c:v>40</c:v>
                </c:pt>
                <c:pt idx="21">
                  <c:v>40</c:v>
                </c:pt>
                <c:pt idx="22">
                  <c:v>40</c:v>
                </c:pt>
                <c:pt idx="23">
                  <c:v>40</c:v>
                </c:pt>
                <c:pt idx="24">
                  <c:v>40</c:v>
                </c:pt>
                <c:pt idx="25">
                  <c:v>40</c:v>
                </c:pt>
                <c:pt idx="26">
                  <c:v>40</c:v>
                </c:pt>
                <c:pt idx="27">
                  <c:v>40</c:v>
                </c:pt>
                <c:pt idx="28">
                  <c:v>40</c:v>
                </c:pt>
                <c:pt idx="29">
                  <c:v>40</c:v>
                </c:pt>
                <c:pt idx="30">
                  <c:v>40</c:v>
                </c:pt>
                <c:pt idx="31">
                  <c:v>40</c:v>
                </c:pt>
              </c:numCache>
            </c:numRef>
          </c:val>
          <c:smooth val="0"/>
          <c:extLst>
            <c:ext xmlns:c15="http://schemas.microsoft.com/office/drawing/2012/chart" uri="{02D57815-91ED-43cb-92C2-25804820EDAC}">
              <c15:datalabelsRange>
                <c15:f>'Prerađivačka_6 graf'!$E$44:$E$75</c15:f>
                <c15:dlblRangeCache>
                  <c:ptCount val="32"/>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pt idx="24">
                    <c:v>I</c:v>
                  </c:pt>
                  <c:pt idx="25">
                    <c:v>II</c:v>
                  </c:pt>
                  <c:pt idx="26">
                    <c:v>III</c:v>
                  </c:pt>
                  <c:pt idx="27">
                    <c:v>IV</c:v>
                  </c:pt>
                  <c:pt idx="28">
                    <c:v>V</c:v>
                  </c:pt>
                  <c:pt idx="29">
                    <c:v>VI</c:v>
                  </c:pt>
                  <c:pt idx="30">
                    <c:v>VII</c:v>
                  </c:pt>
                  <c:pt idx="31">
                    <c:v>VIII</c:v>
                  </c:pt>
                </c15:dlblRangeCache>
              </c15:datalabelsRange>
            </c:ext>
            <c:ext xmlns:c16="http://schemas.microsoft.com/office/drawing/2014/chart" uri="{C3380CC4-5D6E-409C-BE32-E72D297353CC}">
              <c16:uniqueId val="{00000024-EAF4-419D-903B-4A8B0083A4F2}"/>
            </c:ext>
          </c:extLst>
        </c:ser>
        <c:ser>
          <c:idx val="0"/>
          <c:order val="2"/>
          <c:tx>
            <c:strRef>
              <c:f>'Prerađivačka_6 graf'!$BC$7</c:f>
              <c:strCache>
                <c:ptCount val="1"/>
                <c:pt idx="0">
                  <c:v>y</c:v>
                </c:pt>
              </c:strCache>
            </c:strRef>
          </c:tx>
          <c:spPr>
            <a:ln w="12700" cap="rnd">
              <a:solidFill>
                <a:srgbClr val="92278F"/>
              </a:solidFill>
              <a:prstDash val="sysDash"/>
              <a:round/>
            </a:ln>
            <a:effectLst/>
          </c:spPr>
          <c:marker>
            <c:symbol val="none"/>
          </c:marker>
          <c:cat>
            <c:numRef>
              <c:f>'Prerađivačka_6 graf'!$C$44:$C$75</c:f>
              <c:numCache>
                <c:formatCode>yyyy</c:formatCode>
                <c:ptCount val="32"/>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numCache>
            </c:numRef>
          </c:cat>
          <c:val>
            <c:numRef>
              <c:f>'Prerađivačka_6 graf'!$BC$44:$BC$75</c:f>
              <c:numCache>
                <c:formatCode>0.0</c:formatCode>
                <c:ptCount val="32"/>
                <c:pt idx="0">
                  <c:v>70.701360522560137</c:v>
                </c:pt>
                <c:pt idx="1">
                  <c:v>78.34955801305091</c:v>
                </c:pt>
                <c:pt idx="2">
                  <c:v>82.084724229337098</c:v>
                </c:pt>
                <c:pt idx="3">
                  <c:v>80.928601352867574</c:v>
                </c:pt>
                <c:pt idx="4">
                  <c:v>92.134100001726154</c:v>
                </c:pt>
                <c:pt idx="5">
                  <c:v>93.11235782027731</c:v>
                </c:pt>
                <c:pt idx="6">
                  <c:v>96.313928862808325</c:v>
                </c:pt>
                <c:pt idx="7">
                  <c:v>81.106466410785956</c:v>
                </c:pt>
                <c:pt idx="8">
                  <c:v>98.626174615747402</c:v>
                </c:pt>
                <c:pt idx="9">
                  <c:v>106.63010222207497</c:v>
                </c:pt>
                <c:pt idx="10">
                  <c:v>101.91667818723762</c:v>
                </c:pt>
                <c:pt idx="11">
                  <c:v>84.841632627072158</c:v>
                </c:pt>
                <c:pt idx="12">
                  <c:v>88.672566371681413</c:v>
                </c:pt>
                <c:pt idx="13">
                  <c:v>95.767634854771785</c:v>
                </c:pt>
                <c:pt idx="14">
                  <c:v>90.006752194463218</c:v>
                </c:pt>
                <c:pt idx="15">
                  <c:v>59.107635694572217</c:v>
                </c:pt>
                <c:pt idx="16">
                  <c:v>84.782608695652172</c:v>
                </c:pt>
                <c:pt idx="17">
                  <c:v>101.58856235107227</c:v>
                </c:pt>
                <c:pt idx="18">
                  <c:v>108.51063829787235</c:v>
                </c:pt>
                <c:pt idx="19">
                  <c:v>91.798695246971107</c:v>
                </c:pt>
                <c:pt idx="20">
                  <c:v>128.89843692125342</c:v>
                </c:pt>
                <c:pt idx="21">
                  <c:v>132.72094229202165</c:v>
                </c:pt>
                <c:pt idx="22">
                  <c:v>112.80835617453144</c:v>
                </c:pt>
                <c:pt idx="23">
                  <c:v>107.8302096451589</c:v>
                </c:pt>
                <c:pt idx="24">
                  <c:v>100.2</c:v>
                </c:pt>
                <c:pt idx="25">
                  <c:v>115.4</c:v>
                </c:pt>
                <c:pt idx="26">
                  <c:v>133.30000000000001</c:v>
                </c:pt>
                <c:pt idx="27">
                  <c:v>128.5</c:v>
                </c:pt>
                <c:pt idx="28">
                  <c:v>117</c:v>
                </c:pt>
                <c:pt idx="29">
                  <c:v>127.9</c:v>
                </c:pt>
                <c:pt idx="30">
                  <c:v>117.4</c:v>
                </c:pt>
                <c:pt idx="31">
                  <c:v>98.5</c:v>
                </c:pt>
              </c:numCache>
            </c:numRef>
          </c:val>
          <c:smooth val="0"/>
          <c:extLst>
            <c:ext xmlns:c16="http://schemas.microsoft.com/office/drawing/2014/chart" uri="{C3380CC4-5D6E-409C-BE32-E72D297353CC}">
              <c16:uniqueId val="{00000025-EAF4-419D-903B-4A8B0083A4F2}"/>
            </c:ext>
          </c:extLst>
        </c:ser>
        <c:ser>
          <c:idx val="1"/>
          <c:order val="3"/>
          <c:tx>
            <c:strRef>
              <c:f>'Prerađivačka_6 graf'!$BD$7</c:f>
              <c:strCache>
                <c:ptCount val="1"/>
                <c:pt idx="0">
                  <c:v>sa</c:v>
                </c:pt>
              </c:strCache>
            </c:strRef>
          </c:tx>
          <c:spPr>
            <a:ln w="22225" cap="rnd">
              <a:solidFill>
                <a:srgbClr val="25AAE1"/>
              </a:solidFill>
              <a:round/>
            </a:ln>
            <a:effectLst/>
          </c:spPr>
          <c:marker>
            <c:symbol val="none"/>
          </c:marker>
          <c:cat>
            <c:numRef>
              <c:f>'Prerađivačka_6 graf'!$C$44:$C$75</c:f>
              <c:numCache>
                <c:formatCode>yyyy</c:formatCode>
                <c:ptCount val="32"/>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numCache>
            </c:numRef>
          </c:cat>
          <c:val>
            <c:numRef>
              <c:f>'Prerađivačka_6 graf'!$BD$44:$BD$75</c:f>
              <c:numCache>
                <c:formatCode>0.0</c:formatCode>
                <c:ptCount val="32"/>
                <c:pt idx="0">
                  <c:v>87.814471409716589</c:v>
                </c:pt>
                <c:pt idx="1">
                  <c:v>85.130263758633802</c:v>
                </c:pt>
                <c:pt idx="2">
                  <c:v>81.882852126374686</c:v>
                </c:pt>
                <c:pt idx="3">
                  <c:v>81.675782483984193</c:v>
                </c:pt>
                <c:pt idx="4">
                  <c:v>94.404211703538778</c:v>
                </c:pt>
                <c:pt idx="5">
                  <c:v>86.815734048899301</c:v>
                </c:pt>
                <c:pt idx="6">
                  <c:v>91.287128899033888</c:v>
                </c:pt>
                <c:pt idx="7">
                  <c:v>89.6041244032251</c:v>
                </c:pt>
                <c:pt idx="8">
                  <c:v>88.342980120080725</c:v>
                </c:pt>
                <c:pt idx="9">
                  <c:v>90.37031308759623</c:v>
                </c:pt>
                <c:pt idx="10">
                  <c:v>96.734328349821595</c:v>
                </c:pt>
                <c:pt idx="11">
                  <c:v>94.012043255264587</c:v>
                </c:pt>
                <c:pt idx="12">
                  <c:v>107.77051192102249</c:v>
                </c:pt>
                <c:pt idx="13">
                  <c:v>100.876140973007</c:v>
                </c:pt>
                <c:pt idx="14">
                  <c:v>88.121623017503936</c:v>
                </c:pt>
                <c:pt idx="15">
                  <c:v>59.395569078204268</c:v>
                </c:pt>
                <c:pt idx="16">
                  <c:v>89.077893574118605</c:v>
                </c:pt>
                <c:pt idx="17">
                  <c:v>93.353997856489869</c:v>
                </c:pt>
                <c:pt idx="18">
                  <c:v>103.60260058816222</c:v>
                </c:pt>
                <c:pt idx="19">
                  <c:v>104.91890987262229</c:v>
                </c:pt>
                <c:pt idx="20">
                  <c:v>113.600295310492</c:v>
                </c:pt>
                <c:pt idx="21">
                  <c:v>113.72691283127234</c:v>
                </c:pt>
                <c:pt idx="22">
                  <c:v>106.79255860986896</c:v>
                </c:pt>
                <c:pt idx="23">
                  <c:v>117.06048046978628</c:v>
                </c:pt>
                <c:pt idx="24">
                  <c:v>121.66440493802678</c:v>
                </c:pt>
                <c:pt idx="25">
                  <c:v>123.16475308937024</c:v>
                </c:pt>
                <c:pt idx="26">
                  <c:v>128.70883003099354</c:v>
                </c:pt>
                <c:pt idx="27">
                  <c:v>128.82698259390597</c:v>
                </c:pt>
                <c:pt idx="28">
                  <c:v>120.30305962343273</c:v>
                </c:pt>
                <c:pt idx="29">
                  <c:v>119.36243659848299</c:v>
                </c:pt>
                <c:pt idx="30">
                  <c:v>114.46352549107226</c:v>
                </c:pt>
                <c:pt idx="31">
                  <c:v>112.0085881932164</c:v>
                </c:pt>
              </c:numCache>
            </c:numRef>
          </c:val>
          <c:smooth val="0"/>
          <c:extLst>
            <c:ext xmlns:c16="http://schemas.microsoft.com/office/drawing/2014/chart" uri="{C3380CC4-5D6E-409C-BE32-E72D297353CC}">
              <c16:uniqueId val="{00000026-EAF4-419D-903B-4A8B0083A4F2}"/>
            </c:ext>
          </c:extLst>
        </c:ser>
        <c:ser>
          <c:idx val="2"/>
          <c:order val="4"/>
          <c:tx>
            <c:strRef>
              <c:f>'Prerađivačka_6 graf'!$BE$7</c:f>
              <c:strCache>
                <c:ptCount val="1"/>
                <c:pt idx="0">
                  <c:v>t</c:v>
                </c:pt>
              </c:strCache>
            </c:strRef>
          </c:tx>
          <c:spPr>
            <a:ln w="25400" cap="rnd">
              <a:solidFill>
                <a:srgbClr val="FF0000"/>
              </a:solidFill>
              <a:round/>
            </a:ln>
            <a:effectLst/>
          </c:spPr>
          <c:marker>
            <c:symbol val="none"/>
          </c:marker>
          <c:cat>
            <c:numRef>
              <c:f>'Prerađivačka_6 graf'!$C$44:$C$75</c:f>
              <c:numCache>
                <c:formatCode>yyyy</c:formatCode>
                <c:ptCount val="32"/>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numCache>
            </c:numRef>
          </c:cat>
          <c:val>
            <c:numRef>
              <c:f>'Prerađivačka_6 graf'!$BE$44:$BE$75</c:f>
              <c:numCache>
                <c:formatCode>0.0</c:formatCode>
                <c:ptCount val="32"/>
                <c:pt idx="0">
                  <c:v>86.050870633992716</c:v>
                </c:pt>
                <c:pt idx="1">
                  <c:v>84.696102694143264</c:v>
                </c:pt>
                <c:pt idx="2">
                  <c:v>84.023392629590276</c:v>
                </c:pt>
                <c:pt idx="3">
                  <c:v>84.320552249177254</c:v>
                </c:pt>
                <c:pt idx="4">
                  <c:v>85.33425686964388</c:v>
                </c:pt>
                <c:pt idx="5">
                  <c:v>86.714725896349776</c:v>
                </c:pt>
                <c:pt idx="6">
                  <c:v>88.228431702170838</c:v>
                </c:pt>
                <c:pt idx="7">
                  <c:v>89.615912289593282</c:v>
                </c:pt>
                <c:pt idx="8">
                  <c:v>90.947150758693766</c:v>
                </c:pt>
                <c:pt idx="9">
                  <c:v>92.290261001099552</c:v>
                </c:pt>
                <c:pt idx="10">
                  <c:v>93.663642489036619</c:v>
                </c:pt>
                <c:pt idx="11">
                  <c:v>94.823194312344256</c:v>
                </c:pt>
                <c:pt idx="12">
                  <c:v>95.228085045512273</c:v>
                </c:pt>
                <c:pt idx="13">
                  <c:v>94.853550280512948</c:v>
                </c:pt>
                <c:pt idx="14">
                  <c:v>94.01606480263824</c:v>
                </c:pt>
                <c:pt idx="15">
                  <c:v>93.66594395636254</c:v>
                </c:pt>
                <c:pt idx="16">
                  <c:v>94.784419994800274</c:v>
                </c:pt>
                <c:pt idx="17">
                  <c:v>97.472452525819278</c:v>
                </c:pt>
                <c:pt idx="18">
                  <c:v>101.17238302321314</c:v>
                </c:pt>
                <c:pt idx="19">
                  <c:v>105.26772727955689</c:v>
                </c:pt>
                <c:pt idx="20">
                  <c:v>109.00585557306874</c:v>
                </c:pt>
                <c:pt idx="21">
                  <c:v>112.10487054807597</c:v>
                </c:pt>
                <c:pt idx="22">
                  <c:v>115.06345295632387</c:v>
                </c:pt>
                <c:pt idx="23">
                  <c:v>118.08378610318493</c:v>
                </c:pt>
                <c:pt idx="24">
                  <c:v>121.22293211797</c:v>
                </c:pt>
                <c:pt idx="25">
                  <c:v>123.96603576712002</c:v>
                </c:pt>
                <c:pt idx="26">
                  <c:v>125.31988590576468</c:v>
                </c:pt>
                <c:pt idx="27">
                  <c:v>124.78323967318136</c:v>
                </c:pt>
                <c:pt idx="28">
                  <c:v>122.46417982122661</c:v>
                </c:pt>
                <c:pt idx="29">
                  <c:v>119.31519201837352</c:v>
                </c:pt>
                <c:pt idx="30">
                  <c:v>116.51330145745327</c:v>
                </c:pt>
                <c:pt idx="31">
                  <c:v>114.80741860223756</c:v>
                </c:pt>
              </c:numCache>
            </c:numRef>
          </c:val>
          <c:smooth val="0"/>
          <c:extLst>
            <c:ext xmlns:c16="http://schemas.microsoft.com/office/drawing/2014/chart" uri="{C3380CC4-5D6E-409C-BE32-E72D297353CC}">
              <c16:uniqueId val="{00000027-EAF4-419D-903B-4A8B0083A4F2}"/>
            </c:ext>
          </c:extLst>
        </c:ser>
        <c:dLbls>
          <c:showLegendKey val="0"/>
          <c:showVal val="0"/>
          <c:showCatName val="0"/>
          <c:showSerName val="0"/>
          <c:showPercent val="0"/>
          <c:showBubbleSize val="0"/>
        </c:dLbls>
        <c:marker val="1"/>
        <c:smooth val="0"/>
        <c:axId val="2092180656"/>
        <c:axId val="2092165968"/>
      </c:lineChart>
      <c:dateAx>
        <c:axId val="2092180656"/>
        <c:scaling>
          <c:orientation val="minMax"/>
        </c:scaling>
        <c:delete val="0"/>
        <c:axPos val="b"/>
        <c:numFmt formatCode="yyyy" sourceLinked="1"/>
        <c:majorTickMark val="none"/>
        <c:minorTickMark val="none"/>
        <c:tickLblPos val="none"/>
        <c:spPr>
          <a:noFill/>
          <a:ln w="6350" cap="flat" cmpd="sng" algn="ctr">
            <a:solidFill>
              <a:srgbClr val="898989"/>
            </a:solidFill>
            <a:round/>
          </a:ln>
          <a:effectLst/>
        </c:spPr>
        <c:txPr>
          <a:bodyPr rot="0" spcFirstLastPara="1" vertOverflow="ellipsis" wrap="square" anchor="ctr" anchorCtr="1"/>
          <a:lstStyle/>
          <a:p>
            <a:pPr algn="ctr">
              <a:defRPr sz="750" b="0" i="0" u="none" strike="noStrike" kern="1200" baseline="0">
                <a:solidFill>
                  <a:schemeClr val="tx2"/>
                </a:solidFill>
                <a:latin typeface="+mn-lt"/>
                <a:ea typeface="+mn-ea"/>
                <a:cs typeface="+mn-cs"/>
              </a:defRPr>
            </a:pPr>
            <a:endParaRPr lang="en-US"/>
          </a:p>
        </c:txPr>
        <c:crossAx val="2092165968"/>
        <c:crosses val="autoZero"/>
        <c:auto val="1"/>
        <c:lblOffset val="0"/>
        <c:baseTimeUnit val="months"/>
        <c:majorUnit val="12"/>
        <c:majorTimeUnit val="months"/>
      </c:dateAx>
      <c:valAx>
        <c:axId val="2092165968"/>
        <c:scaling>
          <c:orientation val="minMax"/>
          <c:max val="140"/>
          <c:min val="40"/>
        </c:scaling>
        <c:delete val="0"/>
        <c:axPos val="l"/>
        <c:numFmt formatCode="0" sourceLinked="0"/>
        <c:majorTickMark val="out"/>
        <c:minorTickMark val="none"/>
        <c:tickLblPos val="nextTo"/>
        <c:spPr>
          <a:noFill/>
          <a:ln w="6350">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2092180656"/>
        <c:crosses val="autoZero"/>
        <c:crossBetween val="midCat"/>
        <c:majorUnit val="10"/>
      </c:valAx>
      <c:spPr>
        <a:solidFill>
          <a:sysClr val="window" lastClr="FFFFFF"/>
        </a:solidFill>
        <a:ln>
          <a:noFill/>
        </a:ln>
        <a:effectLst/>
      </c:spPr>
    </c:plotArea>
    <c:plotVisOnly val="1"/>
    <c:dispBlanksAs val="gap"/>
    <c:showDLblsOverMax val="0"/>
  </c:chart>
  <c:spPr>
    <a:solidFill>
      <a:schemeClr val="bg1"/>
    </a:solidFill>
    <a:ln w="9525" cap="flat" cmpd="sng" algn="ctr">
      <a:noFill/>
      <a:round/>
    </a:ln>
    <a:effectLst/>
  </c:spPr>
  <c:txPr>
    <a:bodyPr/>
    <a:lstStyle/>
    <a:p>
      <a:pPr>
        <a:defRPr sz="750">
          <a:solidFill>
            <a:schemeClr val="tx2"/>
          </a:solidFill>
          <a:latin typeface="+mn-lt"/>
        </a:defRPr>
      </a:pPr>
      <a:endParaRPr lang="en-US"/>
    </a:p>
  </c:txPr>
  <c:externalData r:id="rId4">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8583366760262072E-2"/>
          <c:y val="6.5355171586273103E-2"/>
          <c:w val="0.88461960155100949"/>
          <c:h val="0.84012119030477561"/>
        </c:manualLayout>
      </c:layout>
      <c:lineChart>
        <c:grouping val="standard"/>
        <c:varyColors val="0"/>
        <c:ser>
          <c:idx val="3"/>
          <c:order val="0"/>
          <c:tx>
            <c:strRef>
              <c:f>'Prerađivačka_6 graf'!$AV$7</c:f>
              <c:strCache>
                <c:ptCount val="1"/>
                <c:pt idx="0">
                  <c:v>Series4</c:v>
                </c:pt>
              </c:strCache>
            </c:strRef>
          </c:tx>
          <c:spPr>
            <a:ln w="28575" cap="rnd">
              <a:solidFill>
                <a:schemeClr val="accent4"/>
              </a:solidFill>
              <a:round/>
            </a:ln>
            <a:effectLst/>
          </c:spPr>
          <c:marker>
            <c:symbol val="square"/>
            <c:size val="2"/>
            <c:spPr>
              <a:solidFill>
                <a:sysClr val="window" lastClr="FFFFFF"/>
              </a:solidFill>
              <a:ln w="9525">
                <a:noFill/>
              </a:ln>
              <a:effectLst/>
            </c:spPr>
          </c:marker>
          <c:dLbls>
            <c:dLbl>
              <c:idx val="0"/>
              <c:layout>
                <c:manualLayout>
                  <c:x val="0.10298920956599689"/>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F42-45AB-B92A-2ACCF5F08D6C}"/>
                </c:ext>
              </c:extLst>
            </c:dLbl>
            <c:dLbl>
              <c:idx val="12"/>
              <c:layout>
                <c:manualLayout>
                  <c:x val="0.10300063607570721"/>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F42-45AB-B92A-2ACCF5F08D6C}"/>
                </c:ext>
              </c:extLst>
            </c:dLbl>
            <c:dLbl>
              <c:idx val="24"/>
              <c:layout>
                <c:manualLayout>
                  <c:x val="4.4251755787094185E-2"/>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2-8F42-45AB-B92A-2ACCF5F08D6C}"/>
                </c:ext>
              </c:extLst>
            </c:dLbl>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tx2"/>
                    </a:solidFill>
                    <a:latin typeface="+mn-lt"/>
                    <a:ea typeface="+mn-ea"/>
                    <a:cs typeface="+mn-cs"/>
                  </a:defRPr>
                </a:pPr>
                <a:endParaRPr lang="en-U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'Prerađivačka_6 graf'!$C$44:$C$75</c:f>
              <c:numCache>
                <c:formatCode>yyyy</c:formatCode>
                <c:ptCount val="32"/>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numCache>
            </c:numRef>
          </c:cat>
          <c:val>
            <c:numRef>
              <c:f>'Prerađivačka_6 graf'!$AV$44:$AV$75</c:f>
              <c:numCache>
                <c:formatCode>General</c:formatCode>
                <c:ptCount val="32"/>
                <c:pt idx="0">
                  <c:v>55</c:v>
                </c:pt>
                <c:pt idx="12">
                  <c:v>55</c:v>
                </c:pt>
                <c:pt idx="24">
                  <c:v>55</c:v>
                </c:pt>
              </c:numCache>
            </c:numRef>
          </c:val>
          <c:smooth val="0"/>
          <c:extLst>
            <c:ext xmlns:c16="http://schemas.microsoft.com/office/drawing/2014/chart" uri="{C3380CC4-5D6E-409C-BE32-E72D297353CC}">
              <c16:uniqueId val="{00000003-8F42-45AB-B92A-2ACCF5F08D6C}"/>
            </c:ext>
          </c:extLst>
        </c:ser>
        <c:ser>
          <c:idx val="4"/>
          <c:order val="1"/>
          <c:tx>
            <c:strRef>
              <c:f>'Prerađivačka_6 graf'!$AW$7</c:f>
              <c:strCache>
                <c:ptCount val="1"/>
                <c:pt idx="0">
                  <c:v>Series5</c:v>
                </c:pt>
              </c:strCache>
            </c:strRef>
          </c:tx>
          <c:spPr>
            <a:ln w="25400" cap="rnd">
              <a:noFill/>
              <a:round/>
            </a:ln>
            <a:effectLst/>
          </c:spPr>
          <c:marker>
            <c:symbol val="none"/>
          </c:marker>
          <c:dLbls>
            <c:dLbl>
              <c:idx val="0"/>
              <c:tx>
                <c:rich>
                  <a:bodyPr/>
                  <a:lstStyle/>
                  <a:p>
                    <a:fld id="{0CC2D9C3-FBA8-4848-9844-D4B48E8E1450}"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4-8F42-45AB-B92A-2ACCF5F08D6C}"/>
                </c:ext>
              </c:extLst>
            </c:dLbl>
            <c:dLbl>
              <c:idx val="1"/>
              <c:tx>
                <c:rich>
                  <a:bodyPr/>
                  <a:lstStyle/>
                  <a:p>
                    <a:fld id="{99F767D6-7CF2-49C0-9581-FEFA78F7E413}"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5-8F42-45AB-B92A-2ACCF5F08D6C}"/>
                </c:ext>
              </c:extLst>
            </c:dLbl>
            <c:dLbl>
              <c:idx val="2"/>
              <c:tx>
                <c:rich>
                  <a:bodyPr/>
                  <a:lstStyle/>
                  <a:p>
                    <a:fld id="{3DB86AE2-DD88-4D37-82E4-A21361954FDE}"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6-8F42-45AB-B92A-2ACCF5F08D6C}"/>
                </c:ext>
              </c:extLst>
            </c:dLbl>
            <c:dLbl>
              <c:idx val="3"/>
              <c:tx>
                <c:rich>
                  <a:bodyPr/>
                  <a:lstStyle/>
                  <a:p>
                    <a:fld id="{701C739C-436F-4759-B101-9DCE28F9A959}"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7-8F42-45AB-B92A-2ACCF5F08D6C}"/>
                </c:ext>
              </c:extLst>
            </c:dLbl>
            <c:dLbl>
              <c:idx val="4"/>
              <c:tx>
                <c:rich>
                  <a:bodyPr/>
                  <a:lstStyle/>
                  <a:p>
                    <a:fld id="{3AB68FDA-199B-4C66-B7C2-2092C26FA57B}"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8-8F42-45AB-B92A-2ACCF5F08D6C}"/>
                </c:ext>
              </c:extLst>
            </c:dLbl>
            <c:dLbl>
              <c:idx val="5"/>
              <c:tx>
                <c:rich>
                  <a:bodyPr/>
                  <a:lstStyle/>
                  <a:p>
                    <a:fld id="{F161A818-0C28-4630-AAF7-419E010B5541}"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9-8F42-45AB-B92A-2ACCF5F08D6C}"/>
                </c:ext>
              </c:extLst>
            </c:dLbl>
            <c:dLbl>
              <c:idx val="6"/>
              <c:tx>
                <c:rich>
                  <a:bodyPr/>
                  <a:lstStyle/>
                  <a:p>
                    <a:fld id="{D0A6DEBE-7DF8-4E55-91A6-F0DCD698BCD8}"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A-8F42-45AB-B92A-2ACCF5F08D6C}"/>
                </c:ext>
              </c:extLst>
            </c:dLbl>
            <c:dLbl>
              <c:idx val="7"/>
              <c:tx>
                <c:rich>
                  <a:bodyPr/>
                  <a:lstStyle/>
                  <a:p>
                    <a:fld id="{6574BD6F-CE4A-484C-8A54-C4FD2C503B5B}"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B-8F42-45AB-B92A-2ACCF5F08D6C}"/>
                </c:ext>
              </c:extLst>
            </c:dLbl>
            <c:dLbl>
              <c:idx val="8"/>
              <c:tx>
                <c:rich>
                  <a:bodyPr/>
                  <a:lstStyle/>
                  <a:p>
                    <a:fld id="{CCE0E8E7-B9DD-4871-B840-F684244E70D7}"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C-8F42-45AB-B92A-2ACCF5F08D6C}"/>
                </c:ext>
              </c:extLst>
            </c:dLbl>
            <c:dLbl>
              <c:idx val="9"/>
              <c:tx>
                <c:rich>
                  <a:bodyPr/>
                  <a:lstStyle/>
                  <a:p>
                    <a:fld id="{9074BA90-26C7-4891-B78E-8B8327DAB2C7}"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D-8F42-45AB-B92A-2ACCF5F08D6C}"/>
                </c:ext>
              </c:extLst>
            </c:dLbl>
            <c:dLbl>
              <c:idx val="10"/>
              <c:tx>
                <c:rich>
                  <a:bodyPr/>
                  <a:lstStyle/>
                  <a:p>
                    <a:fld id="{C41C46AE-B31C-4C0E-9D12-B570CA0F7943}"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E-8F42-45AB-B92A-2ACCF5F08D6C}"/>
                </c:ext>
              </c:extLst>
            </c:dLbl>
            <c:dLbl>
              <c:idx val="11"/>
              <c:tx>
                <c:rich>
                  <a:bodyPr/>
                  <a:lstStyle/>
                  <a:p>
                    <a:fld id="{28526B52-9AAB-446F-9864-F64A150D2967}"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F-8F42-45AB-B92A-2ACCF5F08D6C}"/>
                </c:ext>
              </c:extLst>
            </c:dLbl>
            <c:dLbl>
              <c:idx val="12"/>
              <c:tx>
                <c:rich>
                  <a:bodyPr/>
                  <a:lstStyle/>
                  <a:p>
                    <a:fld id="{D2569D01-4453-4D50-A0BB-57184F3E505B}"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0-8F42-45AB-B92A-2ACCF5F08D6C}"/>
                </c:ext>
              </c:extLst>
            </c:dLbl>
            <c:dLbl>
              <c:idx val="13"/>
              <c:tx>
                <c:rich>
                  <a:bodyPr/>
                  <a:lstStyle/>
                  <a:p>
                    <a:fld id="{A3F76107-85E5-4B07-8786-CAD4C9226C9D}"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1-8F42-45AB-B92A-2ACCF5F08D6C}"/>
                </c:ext>
              </c:extLst>
            </c:dLbl>
            <c:dLbl>
              <c:idx val="14"/>
              <c:tx>
                <c:rich>
                  <a:bodyPr/>
                  <a:lstStyle/>
                  <a:p>
                    <a:fld id="{2D4635C1-EC02-422F-B9D4-38B6FCD636F0}"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2-8F42-45AB-B92A-2ACCF5F08D6C}"/>
                </c:ext>
              </c:extLst>
            </c:dLbl>
            <c:dLbl>
              <c:idx val="15"/>
              <c:tx>
                <c:rich>
                  <a:bodyPr/>
                  <a:lstStyle/>
                  <a:p>
                    <a:fld id="{340AEBD7-A4AF-419C-8426-99C08C891171}"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3-8F42-45AB-B92A-2ACCF5F08D6C}"/>
                </c:ext>
              </c:extLst>
            </c:dLbl>
            <c:dLbl>
              <c:idx val="16"/>
              <c:tx>
                <c:rich>
                  <a:bodyPr/>
                  <a:lstStyle/>
                  <a:p>
                    <a:fld id="{BEB4D074-7CA4-4AB4-99DB-E03B76C1DE2A}"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4-8F42-45AB-B92A-2ACCF5F08D6C}"/>
                </c:ext>
              </c:extLst>
            </c:dLbl>
            <c:dLbl>
              <c:idx val="17"/>
              <c:tx>
                <c:rich>
                  <a:bodyPr/>
                  <a:lstStyle/>
                  <a:p>
                    <a:fld id="{2C3F17FD-8C24-4CB2-9151-F250E70C2EE0}"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5-8F42-45AB-B92A-2ACCF5F08D6C}"/>
                </c:ext>
              </c:extLst>
            </c:dLbl>
            <c:dLbl>
              <c:idx val="18"/>
              <c:tx>
                <c:rich>
                  <a:bodyPr/>
                  <a:lstStyle/>
                  <a:p>
                    <a:fld id="{C35381B7-D273-462F-B3E2-4FFDE4EA06C6}"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6-8F42-45AB-B92A-2ACCF5F08D6C}"/>
                </c:ext>
              </c:extLst>
            </c:dLbl>
            <c:dLbl>
              <c:idx val="19"/>
              <c:tx>
                <c:rich>
                  <a:bodyPr/>
                  <a:lstStyle/>
                  <a:p>
                    <a:fld id="{1BEFFD4D-93E4-4440-BFEB-83985E703E49}"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7-8F42-45AB-B92A-2ACCF5F08D6C}"/>
                </c:ext>
              </c:extLst>
            </c:dLbl>
            <c:dLbl>
              <c:idx val="20"/>
              <c:tx>
                <c:rich>
                  <a:bodyPr/>
                  <a:lstStyle/>
                  <a:p>
                    <a:fld id="{1DEA5D7E-3280-41F7-B15E-4697E34A965C}"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8-8F42-45AB-B92A-2ACCF5F08D6C}"/>
                </c:ext>
              </c:extLst>
            </c:dLbl>
            <c:dLbl>
              <c:idx val="21"/>
              <c:tx>
                <c:rich>
                  <a:bodyPr/>
                  <a:lstStyle/>
                  <a:p>
                    <a:fld id="{7B730F9D-F9B5-42E3-A777-0B421C41216E}"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9-8F42-45AB-B92A-2ACCF5F08D6C}"/>
                </c:ext>
              </c:extLst>
            </c:dLbl>
            <c:dLbl>
              <c:idx val="22"/>
              <c:tx>
                <c:rich>
                  <a:bodyPr/>
                  <a:lstStyle/>
                  <a:p>
                    <a:fld id="{02AEB2CC-CC4C-43B4-B61F-EC7D583EC6B1}"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A-8F42-45AB-B92A-2ACCF5F08D6C}"/>
                </c:ext>
              </c:extLst>
            </c:dLbl>
            <c:dLbl>
              <c:idx val="23"/>
              <c:tx>
                <c:rich>
                  <a:bodyPr/>
                  <a:lstStyle/>
                  <a:p>
                    <a:fld id="{CBAF6192-0C79-49F4-8FBD-BEB30DE98E5D}"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B-8F42-45AB-B92A-2ACCF5F08D6C}"/>
                </c:ext>
              </c:extLst>
            </c:dLbl>
            <c:dLbl>
              <c:idx val="24"/>
              <c:tx>
                <c:rich>
                  <a:bodyPr/>
                  <a:lstStyle/>
                  <a:p>
                    <a:fld id="{B2BFA41F-F48D-40FD-82BE-D344D85C4B6D}"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C-8F42-45AB-B92A-2ACCF5F08D6C}"/>
                </c:ext>
              </c:extLst>
            </c:dLbl>
            <c:dLbl>
              <c:idx val="25"/>
              <c:tx>
                <c:rich>
                  <a:bodyPr/>
                  <a:lstStyle/>
                  <a:p>
                    <a:fld id="{B3AB1121-4B4A-43B2-BDEF-BB0300462469}"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D-8F42-45AB-B92A-2ACCF5F08D6C}"/>
                </c:ext>
              </c:extLst>
            </c:dLbl>
            <c:dLbl>
              <c:idx val="26"/>
              <c:tx>
                <c:rich>
                  <a:bodyPr/>
                  <a:lstStyle/>
                  <a:p>
                    <a:fld id="{C1ABABC8-5B8F-4F3E-A16A-215547A39318}"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E-8F42-45AB-B92A-2ACCF5F08D6C}"/>
                </c:ext>
              </c:extLst>
            </c:dLbl>
            <c:dLbl>
              <c:idx val="27"/>
              <c:tx>
                <c:rich>
                  <a:bodyPr/>
                  <a:lstStyle/>
                  <a:p>
                    <a:fld id="{8456D769-023E-4B31-9954-436A4828013D}"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F-8F42-45AB-B92A-2ACCF5F08D6C}"/>
                </c:ext>
              </c:extLst>
            </c:dLbl>
            <c:dLbl>
              <c:idx val="28"/>
              <c:tx>
                <c:rich>
                  <a:bodyPr/>
                  <a:lstStyle/>
                  <a:p>
                    <a:fld id="{3710FF4D-7C3C-4E49-8AAA-58A4D640F445}"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0-8F42-45AB-B92A-2ACCF5F08D6C}"/>
                </c:ext>
              </c:extLst>
            </c:dLbl>
            <c:dLbl>
              <c:idx val="29"/>
              <c:tx>
                <c:rich>
                  <a:bodyPr/>
                  <a:lstStyle/>
                  <a:p>
                    <a:fld id="{5D4D64BC-C92B-4C2D-BBBD-2DAA1397B8D3}"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1-8F42-45AB-B92A-2ACCF5F08D6C}"/>
                </c:ext>
              </c:extLst>
            </c:dLbl>
            <c:dLbl>
              <c:idx val="30"/>
              <c:tx>
                <c:rich>
                  <a:bodyPr/>
                  <a:lstStyle/>
                  <a:p>
                    <a:fld id="{E2FA22EC-D5F9-450D-9FE1-5BB189830247}"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2-8F42-45AB-B92A-2ACCF5F08D6C}"/>
                </c:ext>
              </c:extLst>
            </c:dLbl>
            <c:dLbl>
              <c:idx val="31"/>
              <c:tx>
                <c:rich>
                  <a:bodyPr/>
                  <a:lstStyle/>
                  <a:p>
                    <a:fld id="{5A639F1A-E3AE-4923-BD51-873CB709BAD2}"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3-8F42-45AB-B92A-2ACCF5F08D6C}"/>
                </c:ext>
              </c:extLst>
            </c:dLbl>
            <c:spPr>
              <a:noFill/>
              <a:ln>
                <a:noFill/>
              </a:ln>
              <a:effectLst/>
            </c:spPr>
            <c:txPr>
              <a:bodyPr rot="0" spcFirstLastPara="1" vertOverflow="ellipsis" vert="horz" wrap="square" lIns="38100" tIns="19050" rIns="38100" bIns="19050" anchor="ctr" anchorCtr="1">
                <a:spAutoFit/>
              </a:bodyPr>
              <a:lstStyle/>
              <a:p>
                <a:pPr>
                  <a:defRPr sz="500" b="0" i="0" u="none" strike="noStrike" kern="1200" baseline="0">
                    <a:solidFill>
                      <a:schemeClr val="tx2"/>
                    </a:solidFill>
                    <a:latin typeface="+mn-lt"/>
                    <a:ea typeface="+mn-ea"/>
                    <a:cs typeface="+mn-cs"/>
                  </a:defRPr>
                </a:pPr>
                <a:endParaRPr lang="en-US"/>
              </a:p>
            </c:txPr>
            <c:dLblPos val="t"/>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0"/>
              </c:ext>
            </c:extLst>
          </c:dLbls>
          <c:cat>
            <c:numRef>
              <c:f>'Prerađivačka_6 graf'!$C$44:$C$75</c:f>
              <c:numCache>
                <c:formatCode>yyyy</c:formatCode>
                <c:ptCount val="32"/>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numCache>
            </c:numRef>
          </c:cat>
          <c:val>
            <c:numRef>
              <c:f>'Prerađivačka_6 graf'!$AW$44:$AW$75</c:f>
              <c:numCache>
                <c:formatCode>General</c:formatCode>
                <c:ptCount val="32"/>
                <c:pt idx="0">
                  <c:v>55</c:v>
                </c:pt>
                <c:pt idx="1">
                  <c:v>55</c:v>
                </c:pt>
                <c:pt idx="2">
                  <c:v>55</c:v>
                </c:pt>
                <c:pt idx="3">
                  <c:v>55</c:v>
                </c:pt>
                <c:pt idx="4">
                  <c:v>55</c:v>
                </c:pt>
                <c:pt idx="5">
                  <c:v>55</c:v>
                </c:pt>
                <c:pt idx="6">
                  <c:v>55</c:v>
                </c:pt>
                <c:pt idx="7">
                  <c:v>55</c:v>
                </c:pt>
                <c:pt idx="8">
                  <c:v>55</c:v>
                </c:pt>
                <c:pt idx="9">
                  <c:v>55</c:v>
                </c:pt>
                <c:pt idx="10">
                  <c:v>55</c:v>
                </c:pt>
                <c:pt idx="11">
                  <c:v>55</c:v>
                </c:pt>
                <c:pt idx="12">
                  <c:v>55</c:v>
                </c:pt>
                <c:pt idx="13">
                  <c:v>55</c:v>
                </c:pt>
                <c:pt idx="14">
                  <c:v>55</c:v>
                </c:pt>
                <c:pt idx="15">
                  <c:v>55</c:v>
                </c:pt>
                <c:pt idx="16">
                  <c:v>55</c:v>
                </c:pt>
                <c:pt idx="17">
                  <c:v>55</c:v>
                </c:pt>
                <c:pt idx="18">
                  <c:v>55</c:v>
                </c:pt>
                <c:pt idx="19">
                  <c:v>55</c:v>
                </c:pt>
                <c:pt idx="20">
                  <c:v>55</c:v>
                </c:pt>
                <c:pt idx="21">
                  <c:v>55</c:v>
                </c:pt>
                <c:pt idx="22">
                  <c:v>55</c:v>
                </c:pt>
                <c:pt idx="23">
                  <c:v>55</c:v>
                </c:pt>
                <c:pt idx="24">
                  <c:v>55</c:v>
                </c:pt>
                <c:pt idx="25">
                  <c:v>55</c:v>
                </c:pt>
                <c:pt idx="26">
                  <c:v>55</c:v>
                </c:pt>
                <c:pt idx="27">
                  <c:v>55</c:v>
                </c:pt>
                <c:pt idx="28">
                  <c:v>55</c:v>
                </c:pt>
                <c:pt idx="29">
                  <c:v>55</c:v>
                </c:pt>
                <c:pt idx="30">
                  <c:v>55</c:v>
                </c:pt>
                <c:pt idx="31">
                  <c:v>55</c:v>
                </c:pt>
              </c:numCache>
            </c:numRef>
          </c:val>
          <c:smooth val="0"/>
          <c:extLst>
            <c:ext xmlns:c15="http://schemas.microsoft.com/office/drawing/2012/chart" uri="{02D57815-91ED-43cb-92C2-25804820EDAC}">
              <c15:datalabelsRange>
                <c15:f>'Prerađivačka_6 graf'!$E$44:$E$75</c15:f>
                <c15:dlblRangeCache>
                  <c:ptCount val="32"/>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pt idx="24">
                    <c:v>I</c:v>
                  </c:pt>
                  <c:pt idx="25">
                    <c:v>II</c:v>
                  </c:pt>
                  <c:pt idx="26">
                    <c:v>III</c:v>
                  </c:pt>
                  <c:pt idx="27">
                    <c:v>IV</c:v>
                  </c:pt>
                  <c:pt idx="28">
                    <c:v>V</c:v>
                  </c:pt>
                  <c:pt idx="29">
                    <c:v>VI</c:v>
                  </c:pt>
                  <c:pt idx="30">
                    <c:v>VII</c:v>
                  </c:pt>
                  <c:pt idx="31">
                    <c:v>VIII</c:v>
                  </c:pt>
                </c15:dlblRangeCache>
              </c15:datalabelsRange>
            </c:ext>
            <c:ext xmlns:c16="http://schemas.microsoft.com/office/drawing/2014/chart" uri="{C3380CC4-5D6E-409C-BE32-E72D297353CC}">
              <c16:uniqueId val="{00000024-8F42-45AB-B92A-2ACCF5F08D6C}"/>
            </c:ext>
          </c:extLst>
        </c:ser>
        <c:ser>
          <c:idx val="0"/>
          <c:order val="2"/>
          <c:tx>
            <c:strRef>
              <c:f>'Prerađivačka_6 graf'!$AX$7</c:f>
              <c:strCache>
                <c:ptCount val="1"/>
                <c:pt idx="0">
                  <c:v>y</c:v>
                </c:pt>
              </c:strCache>
            </c:strRef>
          </c:tx>
          <c:spPr>
            <a:ln w="12700" cap="rnd">
              <a:solidFill>
                <a:srgbClr val="92278F"/>
              </a:solidFill>
              <a:prstDash val="sysDash"/>
              <a:round/>
            </a:ln>
            <a:effectLst/>
          </c:spPr>
          <c:marker>
            <c:symbol val="none"/>
          </c:marker>
          <c:cat>
            <c:numRef>
              <c:f>'Prerađivačka_6 graf'!$C$44:$C$75</c:f>
              <c:numCache>
                <c:formatCode>yyyy</c:formatCode>
                <c:ptCount val="32"/>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numCache>
            </c:numRef>
          </c:cat>
          <c:val>
            <c:numRef>
              <c:f>'Prerađivačka_6 graf'!$AX$44:$AX$75</c:f>
              <c:numCache>
                <c:formatCode>0.0</c:formatCode>
                <c:ptCount val="32"/>
                <c:pt idx="0">
                  <c:v>73.104775855463444</c:v>
                </c:pt>
                <c:pt idx="1">
                  <c:v>78.058136836324294</c:v>
                </c:pt>
                <c:pt idx="2">
                  <c:v>102.39792786296809</c:v>
                </c:pt>
                <c:pt idx="3">
                  <c:v>92.832817003374728</c:v>
                </c:pt>
                <c:pt idx="4">
                  <c:v>97.871580759767653</c:v>
                </c:pt>
                <c:pt idx="5">
                  <c:v>97.188358555510973</c:v>
                </c:pt>
                <c:pt idx="6">
                  <c:v>93.857650309759748</c:v>
                </c:pt>
                <c:pt idx="7">
                  <c:v>84.463345001230564</c:v>
                </c:pt>
                <c:pt idx="8">
                  <c:v>95.565705820401419</c:v>
                </c:pt>
                <c:pt idx="9">
                  <c:v>101.7147056587114</c:v>
                </c:pt>
                <c:pt idx="10">
                  <c:v>106.24105276191185</c:v>
                </c:pt>
                <c:pt idx="11">
                  <c:v>98.81101129062057</c:v>
                </c:pt>
                <c:pt idx="12">
                  <c:v>81.293302540415709</c:v>
                </c:pt>
                <c:pt idx="13">
                  <c:v>97.198275862068968</c:v>
                </c:pt>
                <c:pt idx="14">
                  <c:v>84.400294334069173</c:v>
                </c:pt>
                <c:pt idx="15">
                  <c:v>71.221662468513841</c:v>
                </c:pt>
                <c:pt idx="16">
                  <c:v>86.173184357541913</c:v>
                </c:pt>
                <c:pt idx="17">
                  <c:v>104.39121756487025</c:v>
                </c:pt>
                <c:pt idx="18">
                  <c:v>102.9673590504451</c:v>
                </c:pt>
                <c:pt idx="19">
                  <c:v>110.53191489361703</c:v>
                </c:pt>
                <c:pt idx="20">
                  <c:v>113.61334060624951</c:v>
                </c:pt>
                <c:pt idx="21">
                  <c:v>108.65736772383698</c:v>
                </c:pt>
                <c:pt idx="22">
                  <c:v>103.23385022987613</c:v>
                </c:pt>
                <c:pt idx="23">
                  <c:v>139.14127639678955</c:v>
                </c:pt>
                <c:pt idx="24">
                  <c:v>70.400000000000006</c:v>
                </c:pt>
                <c:pt idx="25">
                  <c:v>90.2</c:v>
                </c:pt>
                <c:pt idx="26">
                  <c:v>114.7</c:v>
                </c:pt>
                <c:pt idx="27">
                  <c:v>113.1</c:v>
                </c:pt>
                <c:pt idx="28">
                  <c:v>104.4</c:v>
                </c:pt>
                <c:pt idx="29">
                  <c:v>104.6</c:v>
                </c:pt>
                <c:pt idx="30">
                  <c:v>104.1</c:v>
                </c:pt>
                <c:pt idx="31">
                  <c:v>103.9</c:v>
                </c:pt>
              </c:numCache>
            </c:numRef>
          </c:val>
          <c:smooth val="0"/>
          <c:extLst>
            <c:ext xmlns:c16="http://schemas.microsoft.com/office/drawing/2014/chart" uri="{C3380CC4-5D6E-409C-BE32-E72D297353CC}">
              <c16:uniqueId val="{00000025-8F42-45AB-B92A-2ACCF5F08D6C}"/>
            </c:ext>
          </c:extLst>
        </c:ser>
        <c:ser>
          <c:idx val="1"/>
          <c:order val="3"/>
          <c:tx>
            <c:strRef>
              <c:f>'Prerađivačka_6 graf'!$AY$7</c:f>
              <c:strCache>
                <c:ptCount val="1"/>
                <c:pt idx="0">
                  <c:v>sa</c:v>
                </c:pt>
              </c:strCache>
            </c:strRef>
          </c:tx>
          <c:spPr>
            <a:ln w="22225" cap="rnd">
              <a:solidFill>
                <a:srgbClr val="25AAE1"/>
              </a:solidFill>
              <a:round/>
            </a:ln>
            <a:effectLst/>
          </c:spPr>
          <c:marker>
            <c:symbol val="none"/>
          </c:marker>
          <c:cat>
            <c:numRef>
              <c:f>'Prerađivačka_6 graf'!$C$44:$C$75</c:f>
              <c:numCache>
                <c:formatCode>yyyy</c:formatCode>
                <c:ptCount val="32"/>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numCache>
            </c:numRef>
          </c:cat>
          <c:val>
            <c:numRef>
              <c:f>'Prerađivačka_6 graf'!$AY$44:$AY$75</c:f>
              <c:numCache>
                <c:formatCode>0.0</c:formatCode>
                <c:ptCount val="32"/>
                <c:pt idx="0">
                  <c:v>90.995504246610196</c:v>
                </c:pt>
                <c:pt idx="1">
                  <c:v>86.984557463072719</c:v>
                </c:pt>
                <c:pt idx="2">
                  <c:v>95.219861640853949</c:v>
                </c:pt>
                <c:pt idx="3">
                  <c:v>97.44331211330892</c:v>
                </c:pt>
                <c:pt idx="4">
                  <c:v>97.36835077438198</c:v>
                </c:pt>
                <c:pt idx="5">
                  <c:v>94.608486851574611</c:v>
                </c:pt>
                <c:pt idx="6">
                  <c:v>93.513717411956407</c:v>
                </c:pt>
                <c:pt idx="7">
                  <c:v>86.976235841673571</c:v>
                </c:pt>
                <c:pt idx="8">
                  <c:v>89.75050479653018</c:v>
                </c:pt>
                <c:pt idx="9">
                  <c:v>93.671672602641152</c:v>
                </c:pt>
                <c:pt idx="10">
                  <c:v>100.184002793649</c:v>
                </c:pt>
                <c:pt idx="11">
                  <c:v>94.695224888897201</c:v>
                </c:pt>
                <c:pt idx="12">
                  <c:v>101.01842988446658</c:v>
                </c:pt>
                <c:pt idx="13">
                  <c:v>104.63864687272051</c:v>
                </c:pt>
                <c:pt idx="14">
                  <c:v>77.494037380647612</c:v>
                </c:pt>
                <c:pt idx="15">
                  <c:v>74.885871152548717</c:v>
                </c:pt>
                <c:pt idx="16">
                  <c:v>87.646964180182067</c:v>
                </c:pt>
                <c:pt idx="17">
                  <c:v>99.28307816122765</c:v>
                </c:pt>
                <c:pt idx="18">
                  <c:v>101.69812922841797</c:v>
                </c:pt>
                <c:pt idx="19">
                  <c:v>114.85702278600932</c:v>
                </c:pt>
                <c:pt idx="20">
                  <c:v>104.74106974999761</c:v>
                </c:pt>
                <c:pt idx="21">
                  <c:v>101.10610027641981</c:v>
                </c:pt>
                <c:pt idx="22">
                  <c:v>97.181338941976009</c:v>
                </c:pt>
                <c:pt idx="23">
                  <c:v>131.89219975734991</c:v>
                </c:pt>
                <c:pt idx="24">
                  <c:v>88.815931911619586</c:v>
                </c:pt>
                <c:pt idx="25">
                  <c:v>102.28235101806031</c:v>
                </c:pt>
                <c:pt idx="26">
                  <c:v>104.73092305747828</c:v>
                </c:pt>
                <c:pt idx="27">
                  <c:v>119.04200083783648</c:v>
                </c:pt>
                <c:pt idx="28">
                  <c:v>103.96820807091186</c:v>
                </c:pt>
                <c:pt idx="29">
                  <c:v>99.457657671060986</c:v>
                </c:pt>
                <c:pt idx="30">
                  <c:v>104.05249004377747</c:v>
                </c:pt>
                <c:pt idx="31">
                  <c:v>105.69652082569951</c:v>
                </c:pt>
              </c:numCache>
            </c:numRef>
          </c:val>
          <c:smooth val="0"/>
          <c:extLst>
            <c:ext xmlns:c16="http://schemas.microsoft.com/office/drawing/2014/chart" uri="{C3380CC4-5D6E-409C-BE32-E72D297353CC}">
              <c16:uniqueId val="{00000026-8F42-45AB-B92A-2ACCF5F08D6C}"/>
            </c:ext>
          </c:extLst>
        </c:ser>
        <c:ser>
          <c:idx val="2"/>
          <c:order val="4"/>
          <c:tx>
            <c:strRef>
              <c:f>'Prerađivačka_6 graf'!$AZ$7</c:f>
              <c:strCache>
                <c:ptCount val="1"/>
                <c:pt idx="0">
                  <c:v>t</c:v>
                </c:pt>
              </c:strCache>
            </c:strRef>
          </c:tx>
          <c:spPr>
            <a:ln w="25400" cap="rnd">
              <a:solidFill>
                <a:srgbClr val="FF0000"/>
              </a:solidFill>
              <a:round/>
            </a:ln>
            <a:effectLst/>
          </c:spPr>
          <c:marker>
            <c:symbol val="none"/>
          </c:marker>
          <c:cat>
            <c:numRef>
              <c:f>'Prerađivačka_6 graf'!$C$44:$C$75</c:f>
              <c:numCache>
                <c:formatCode>yyyy</c:formatCode>
                <c:ptCount val="32"/>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numCache>
            </c:numRef>
          </c:cat>
          <c:val>
            <c:numRef>
              <c:f>'Prerađivačka_6 graf'!$AZ$44:$AZ$75</c:f>
              <c:numCache>
                <c:formatCode>0.0</c:formatCode>
                <c:ptCount val="32"/>
                <c:pt idx="0">
                  <c:v>89.102732501309006</c:v>
                </c:pt>
                <c:pt idx="1">
                  <c:v>91.482909812706495</c:v>
                </c:pt>
                <c:pt idx="2">
                  <c:v>93.801223876070665</c:v>
                </c:pt>
                <c:pt idx="3">
                  <c:v>95.160983077049636</c:v>
                </c:pt>
                <c:pt idx="4">
                  <c:v>95.128347912846692</c:v>
                </c:pt>
                <c:pt idx="5">
                  <c:v>94.077069031771629</c:v>
                </c:pt>
                <c:pt idx="6">
                  <c:v>92.712223125859964</c:v>
                </c:pt>
                <c:pt idx="7">
                  <c:v>91.929800013680691</c:v>
                </c:pt>
                <c:pt idx="8">
                  <c:v>92.29170538723497</c:v>
                </c:pt>
                <c:pt idx="9">
                  <c:v>93.715719534437667</c:v>
                </c:pt>
                <c:pt idx="10">
                  <c:v>95.355368482227249</c:v>
                </c:pt>
                <c:pt idx="11">
                  <c:v>96.085819920016064</c:v>
                </c:pt>
                <c:pt idx="12">
                  <c:v>95.415026141688173</c:v>
                </c:pt>
                <c:pt idx="13">
                  <c:v>93.811565926157485</c:v>
                </c:pt>
                <c:pt idx="14">
                  <c:v>92.31450314507552</c:v>
                </c:pt>
                <c:pt idx="15">
                  <c:v>92.13138941146893</c:v>
                </c:pt>
                <c:pt idx="16">
                  <c:v>93.695318384397765</c:v>
                </c:pt>
                <c:pt idx="17">
                  <c:v>96.46632034104843</c:v>
                </c:pt>
                <c:pt idx="18">
                  <c:v>99.336620158810334</c:v>
                </c:pt>
                <c:pt idx="19">
                  <c:v>101.33245559196415</c:v>
                </c:pt>
                <c:pt idx="20">
                  <c:v>101.81411678998239</c:v>
                </c:pt>
                <c:pt idx="21">
                  <c:v>101.169559228555</c:v>
                </c:pt>
                <c:pt idx="22">
                  <c:v>100.23103952861845</c:v>
                </c:pt>
                <c:pt idx="23">
                  <c:v>99.922614710797262</c:v>
                </c:pt>
                <c:pt idx="24">
                  <c:v>100.51960691473744</c:v>
                </c:pt>
                <c:pt idx="25">
                  <c:v>101.51706759129858</c:v>
                </c:pt>
                <c:pt idx="26">
                  <c:v>102.51397921223234</c:v>
                </c:pt>
                <c:pt idx="27">
                  <c:v>103.15672070983034</c:v>
                </c:pt>
                <c:pt idx="28">
                  <c:v>103.38823243796519</c:v>
                </c:pt>
                <c:pt idx="29">
                  <c:v>103.44294477466049</c:v>
                </c:pt>
                <c:pt idx="30">
                  <c:v>103.69155586802796</c:v>
                </c:pt>
                <c:pt idx="31">
                  <c:v>104.00015157720681</c:v>
                </c:pt>
              </c:numCache>
            </c:numRef>
          </c:val>
          <c:smooth val="0"/>
          <c:extLst>
            <c:ext xmlns:c16="http://schemas.microsoft.com/office/drawing/2014/chart" uri="{C3380CC4-5D6E-409C-BE32-E72D297353CC}">
              <c16:uniqueId val="{00000027-8F42-45AB-B92A-2ACCF5F08D6C}"/>
            </c:ext>
          </c:extLst>
        </c:ser>
        <c:dLbls>
          <c:showLegendKey val="0"/>
          <c:showVal val="0"/>
          <c:showCatName val="0"/>
          <c:showSerName val="0"/>
          <c:showPercent val="0"/>
          <c:showBubbleSize val="0"/>
        </c:dLbls>
        <c:marker val="1"/>
        <c:smooth val="0"/>
        <c:axId val="2092180656"/>
        <c:axId val="2092165968"/>
      </c:lineChart>
      <c:dateAx>
        <c:axId val="2092180656"/>
        <c:scaling>
          <c:orientation val="minMax"/>
        </c:scaling>
        <c:delete val="0"/>
        <c:axPos val="b"/>
        <c:numFmt formatCode="yyyy" sourceLinked="1"/>
        <c:majorTickMark val="none"/>
        <c:minorTickMark val="none"/>
        <c:tickLblPos val="none"/>
        <c:spPr>
          <a:noFill/>
          <a:ln w="6350" cap="flat" cmpd="sng" algn="ctr">
            <a:solidFill>
              <a:srgbClr val="898989"/>
            </a:solidFill>
            <a:round/>
          </a:ln>
          <a:effectLst/>
        </c:spPr>
        <c:txPr>
          <a:bodyPr rot="0" spcFirstLastPara="1" vertOverflow="ellipsis" wrap="square" anchor="ctr" anchorCtr="1"/>
          <a:lstStyle/>
          <a:p>
            <a:pPr algn="ctr">
              <a:defRPr sz="750" b="0" i="0" u="none" strike="noStrike" kern="1200" baseline="0">
                <a:solidFill>
                  <a:schemeClr val="tx2"/>
                </a:solidFill>
                <a:latin typeface="+mn-lt"/>
                <a:ea typeface="+mn-ea"/>
                <a:cs typeface="+mn-cs"/>
              </a:defRPr>
            </a:pPr>
            <a:endParaRPr lang="en-US"/>
          </a:p>
        </c:txPr>
        <c:crossAx val="2092165968"/>
        <c:crosses val="autoZero"/>
        <c:auto val="1"/>
        <c:lblOffset val="0"/>
        <c:baseTimeUnit val="months"/>
        <c:majorUnit val="12"/>
        <c:majorTimeUnit val="months"/>
      </c:dateAx>
      <c:valAx>
        <c:axId val="2092165968"/>
        <c:scaling>
          <c:orientation val="minMax"/>
          <c:max val="140"/>
          <c:min val="55"/>
        </c:scaling>
        <c:delete val="0"/>
        <c:axPos val="l"/>
        <c:numFmt formatCode="0" sourceLinked="0"/>
        <c:majorTickMark val="out"/>
        <c:minorTickMark val="none"/>
        <c:tickLblPos val="nextTo"/>
        <c:spPr>
          <a:noFill/>
          <a:ln w="6350">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2092180656"/>
        <c:crosses val="autoZero"/>
        <c:crossBetween val="midCat"/>
        <c:majorUnit val="10"/>
      </c:valAx>
      <c:spPr>
        <a:solidFill>
          <a:sysClr val="window" lastClr="FFFFFF"/>
        </a:solidFill>
        <a:ln>
          <a:noFill/>
        </a:ln>
        <a:effectLst/>
      </c:spPr>
    </c:plotArea>
    <c:plotVisOnly val="1"/>
    <c:dispBlanksAs val="gap"/>
    <c:showDLblsOverMax val="0"/>
  </c:chart>
  <c:spPr>
    <a:solidFill>
      <a:schemeClr val="bg1"/>
    </a:solidFill>
    <a:ln w="9525" cap="flat" cmpd="sng" algn="ctr">
      <a:noFill/>
      <a:round/>
    </a:ln>
    <a:effectLst/>
  </c:spPr>
  <c:txPr>
    <a:bodyPr/>
    <a:lstStyle/>
    <a:p>
      <a:pPr>
        <a:defRPr sz="750">
          <a:solidFill>
            <a:schemeClr val="tx2"/>
          </a:solidFill>
          <a:latin typeface="+mn-lt"/>
        </a:defRPr>
      </a:pPr>
      <a:endParaRPr lang="en-US"/>
    </a:p>
  </c:txPr>
  <c:externalData r:id="rId4">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8583366760262072E-2"/>
          <c:y val="6.5355171586273103E-2"/>
          <c:w val="0.88461960155100949"/>
          <c:h val="0.84012119030477561"/>
        </c:manualLayout>
      </c:layout>
      <c:lineChart>
        <c:grouping val="standard"/>
        <c:varyColors val="0"/>
        <c:ser>
          <c:idx val="3"/>
          <c:order val="0"/>
          <c:tx>
            <c:strRef>
              <c:f>'Prerađivačka_6 graf'!$BF$7</c:f>
              <c:strCache>
                <c:ptCount val="1"/>
                <c:pt idx="0">
                  <c:v>Series4</c:v>
                </c:pt>
              </c:strCache>
            </c:strRef>
          </c:tx>
          <c:spPr>
            <a:ln w="28575" cap="rnd">
              <a:solidFill>
                <a:schemeClr val="accent4"/>
              </a:solidFill>
              <a:round/>
            </a:ln>
            <a:effectLst/>
          </c:spPr>
          <c:marker>
            <c:symbol val="square"/>
            <c:size val="2"/>
            <c:spPr>
              <a:solidFill>
                <a:sysClr val="window" lastClr="FFFFFF"/>
              </a:solidFill>
              <a:ln w="9525">
                <a:noFill/>
              </a:ln>
              <a:effectLst/>
            </c:spPr>
          </c:marker>
          <c:dLbls>
            <c:dLbl>
              <c:idx val="0"/>
              <c:layout>
                <c:manualLayout>
                  <c:x val="9.8674697586815935E-2"/>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0F9-4423-92BE-D3BEC7D3FBD8}"/>
                </c:ext>
              </c:extLst>
            </c:dLbl>
            <c:dLbl>
              <c:idx val="12"/>
              <c:layout>
                <c:manualLayout>
                  <c:x val="0.10301432721042526"/>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0F9-4423-92BE-D3BEC7D3FBD8}"/>
                </c:ext>
              </c:extLst>
            </c:dLbl>
            <c:dLbl>
              <c:idx val="24"/>
              <c:layout>
                <c:manualLayout>
                  <c:x val="3.9726217373666391E-2"/>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0F9-4423-92BE-D3BEC7D3FBD8}"/>
                </c:ext>
              </c:extLst>
            </c:dLbl>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tx2"/>
                    </a:solidFill>
                    <a:latin typeface="+mn-lt"/>
                    <a:ea typeface="+mn-ea"/>
                    <a:cs typeface="+mn-cs"/>
                  </a:defRPr>
                </a:pPr>
                <a:endParaRPr lang="en-U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'Prerađivačka_6 graf'!$C$44:$C$75</c:f>
              <c:numCache>
                <c:formatCode>yyyy</c:formatCode>
                <c:ptCount val="32"/>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numCache>
            </c:numRef>
          </c:cat>
          <c:val>
            <c:numRef>
              <c:f>'Prerađivačka_6 graf'!$BF$44:$BF$75</c:f>
              <c:numCache>
                <c:formatCode>General</c:formatCode>
                <c:ptCount val="32"/>
                <c:pt idx="0">
                  <c:v>60</c:v>
                </c:pt>
                <c:pt idx="12">
                  <c:v>60</c:v>
                </c:pt>
                <c:pt idx="24">
                  <c:v>60</c:v>
                </c:pt>
              </c:numCache>
            </c:numRef>
          </c:val>
          <c:smooth val="0"/>
          <c:extLst>
            <c:ext xmlns:c16="http://schemas.microsoft.com/office/drawing/2014/chart" uri="{C3380CC4-5D6E-409C-BE32-E72D297353CC}">
              <c16:uniqueId val="{00000003-D0F9-4423-92BE-D3BEC7D3FBD8}"/>
            </c:ext>
          </c:extLst>
        </c:ser>
        <c:ser>
          <c:idx val="4"/>
          <c:order val="1"/>
          <c:tx>
            <c:strRef>
              <c:f>'Prerađivačka_6 graf'!$BG$7</c:f>
              <c:strCache>
                <c:ptCount val="1"/>
                <c:pt idx="0">
                  <c:v>Series5</c:v>
                </c:pt>
              </c:strCache>
            </c:strRef>
          </c:tx>
          <c:spPr>
            <a:ln w="25400" cap="rnd">
              <a:noFill/>
              <a:round/>
            </a:ln>
            <a:effectLst/>
          </c:spPr>
          <c:marker>
            <c:symbol val="none"/>
          </c:marker>
          <c:dLbls>
            <c:dLbl>
              <c:idx val="0"/>
              <c:tx>
                <c:rich>
                  <a:bodyPr/>
                  <a:lstStyle/>
                  <a:p>
                    <a:fld id="{052C9E61-E258-456B-9701-06BD253DE057}"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4-D0F9-4423-92BE-D3BEC7D3FBD8}"/>
                </c:ext>
              </c:extLst>
            </c:dLbl>
            <c:dLbl>
              <c:idx val="1"/>
              <c:tx>
                <c:rich>
                  <a:bodyPr/>
                  <a:lstStyle/>
                  <a:p>
                    <a:fld id="{9EE312FD-B029-4BF3-BB44-E0CC848EE388}"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5-D0F9-4423-92BE-D3BEC7D3FBD8}"/>
                </c:ext>
              </c:extLst>
            </c:dLbl>
            <c:dLbl>
              <c:idx val="2"/>
              <c:tx>
                <c:rich>
                  <a:bodyPr/>
                  <a:lstStyle/>
                  <a:p>
                    <a:fld id="{7DB27E0D-326C-44E5-A5FE-17D0C25196EB}"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6-D0F9-4423-92BE-D3BEC7D3FBD8}"/>
                </c:ext>
              </c:extLst>
            </c:dLbl>
            <c:dLbl>
              <c:idx val="3"/>
              <c:tx>
                <c:rich>
                  <a:bodyPr/>
                  <a:lstStyle/>
                  <a:p>
                    <a:fld id="{2A396F51-2882-4719-A280-6D8D1E8A7DD6}"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7-D0F9-4423-92BE-D3BEC7D3FBD8}"/>
                </c:ext>
              </c:extLst>
            </c:dLbl>
            <c:dLbl>
              <c:idx val="4"/>
              <c:tx>
                <c:rich>
                  <a:bodyPr/>
                  <a:lstStyle/>
                  <a:p>
                    <a:fld id="{2035463C-6977-43EB-BFA2-62DA0D3DF0A0}"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8-D0F9-4423-92BE-D3BEC7D3FBD8}"/>
                </c:ext>
              </c:extLst>
            </c:dLbl>
            <c:dLbl>
              <c:idx val="5"/>
              <c:tx>
                <c:rich>
                  <a:bodyPr/>
                  <a:lstStyle/>
                  <a:p>
                    <a:fld id="{0D2C609D-77F5-4736-A89E-7FAFF4FE3A34}"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9-D0F9-4423-92BE-D3BEC7D3FBD8}"/>
                </c:ext>
              </c:extLst>
            </c:dLbl>
            <c:dLbl>
              <c:idx val="6"/>
              <c:tx>
                <c:rich>
                  <a:bodyPr/>
                  <a:lstStyle/>
                  <a:p>
                    <a:fld id="{108BFA8B-D23C-408B-8881-7342CD9D3D3E}"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A-D0F9-4423-92BE-D3BEC7D3FBD8}"/>
                </c:ext>
              </c:extLst>
            </c:dLbl>
            <c:dLbl>
              <c:idx val="7"/>
              <c:tx>
                <c:rich>
                  <a:bodyPr/>
                  <a:lstStyle/>
                  <a:p>
                    <a:fld id="{0EBE6941-1124-4ADC-AEB3-7E5C307C5ED6}"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B-D0F9-4423-92BE-D3BEC7D3FBD8}"/>
                </c:ext>
              </c:extLst>
            </c:dLbl>
            <c:dLbl>
              <c:idx val="8"/>
              <c:tx>
                <c:rich>
                  <a:bodyPr/>
                  <a:lstStyle/>
                  <a:p>
                    <a:fld id="{493EC8A7-A73D-4DAE-B002-4DDA3431DC30}"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C-D0F9-4423-92BE-D3BEC7D3FBD8}"/>
                </c:ext>
              </c:extLst>
            </c:dLbl>
            <c:dLbl>
              <c:idx val="9"/>
              <c:tx>
                <c:rich>
                  <a:bodyPr/>
                  <a:lstStyle/>
                  <a:p>
                    <a:fld id="{8711A195-072F-4EF5-AB20-F124489CFF62}"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D-D0F9-4423-92BE-D3BEC7D3FBD8}"/>
                </c:ext>
              </c:extLst>
            </c:dLbl>
            <c:dLbl>
              <c:idx val="10"/>
              <c:tx>
                <c:rich>
                  <a:bodyPr/>
                  <a:lstStyle/>
                  <a:p>
                    <a:fld id="{D41E0996-0619-443F-A027-EECC431C71E2}"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E-D0F9-4423-92BE-D3BEC7D3FBD8}"/>
                </c:ext>
              </c:extLst>
            </c:dLbl>
            <c:dLbl>
              <c:idx val="11"/>
              <c:tx>
                <c:rich>
                  <a:bodyPr/>
                  <a:lstStyle/>
                  <a:p>
                    <a:fld id="{6DAD5027-F229-4F8C-BB91-5CFF10A67153}"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F-D0F9-4423-92BE-D3BEC7D3FBD8}"/>
                </c:ext>
              </c:extLst>
            </c:dLbl>
            <c:dLbl>
              <c:idx val="12"/>
              <c:tx>
                <c:rich>
                  <a:bodyPr/>
                  <a:lstStyle/>
                  <a:p>
                    <a:fld id="{157E202B-DDA2-40AF-AD8A-C1B6AC327CE7}"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0-D0F9-4423-92BE-D3BEC7D3FBD8}"/>
                </c:ext>
              </c:extLst>
            </c:dLbl>
            <c:dLbl>
              <c:idx val="13"/>
              <c:tx>
                <c:rich>
                  <a:bodyPr/>
                  <a:lstStyle/>
                  <a:p>
                    <a:fld id="{FE22A289-C503-432E-A607-E5F4C27AFAA8}"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1-D0F9-4423-92BE-D3BEC7D3FBD8}"/>
                </c:ext>
              </c:extLst>
            </c:dLbl>
            <c:dLbl>
              <c:idx val="14"/>
              <c:tx>
                <c:rich>
                  <a:bodyPr/>
                  <a:lstStyle/>
                  <a:p>
                    <a:fld id="{4ABD23FD-1F59-44AA-8330-1CB114ED90E1}"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2-D0F9-4423-92BE-D3BEC7D3FBD8}"/>
                </c:ext>
              </c:extLst>
            </c:dLbl>
            <c:dLbl>
              <c:idx val="15"/>
              <c:tx>
                <c:rich>
                  <a:bodyPr/>
                  <a:lstStyle/>
                  <a:p>
                    <a:fld id="{EB46B5EA-A9EF-45B4-B338-5EF674668FDE}"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3-D0F9-4423-92BE-D3BEC7D3FBD8}"/>
                </c:ext>
              </c:extLst>
            </c:dLbl>
            <c:dLbl>
              <c:idx val="16"/>
              <c:tx>
                <c:rich>
                  <a:bodyPr/>
                  <a:lstStyle/>
                  <a:p>
                    <a:fld id="{E5621608-0A42-4B92-B54D-A5376075F0A0}"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4-D0F9-4423-92BE-D3BEC7D3FBD8}"/>
                </c:ext>
              </c:extLst>
            </c:dLbl>
            <c:dLbl>
              <c:idx val="17"/>
              <c:tx>
                <c:rich>
                  <a:bodyPr/>
                  <a:lstStyle/>
                  <a:p>
                    <a:fld id="{9A9D1243-246F-42B2-A86B-5BE3F8518803}"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5-D0F9-4423-92BE-D3BEC7D3FBD8}"/>
                </c:ext>
              </c:extLst>
            </c:dLbl>
            <c:dLbl>
              <c:idx val="18"/>
              <c:tx>
                <c:rich>
                  <a:bodyPr/>
                  <a:lstStyle/>
                  <a:p>
                    <a:fld id="{98E65891-3B61-4FD6-8A9A-7EF2D71DCABC}"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6-D0F9-4423-92BE-D3BEC7D3FBD8}"/>
                </c:ext>
              </c:extLst>
            </c:dLbl>
            <c:dLbl>
              <c:idx val="19"/>
              <c:tx>
                <c:rich>
                  <a:bodyPr/>
                  <a:lstStyle/>
                  <a:p>
                    <a:fld id="{ED48F90B-823D-4BDD-A9B1-E02D126FE578}"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7-D0F9-4423-92BE-D3BEC7D3FBD8}"/>
                </c:ext>
              </c:extLst>
            </c:dLbl>
            <c:dLbl>
              <c:idx val="20"/>
              <c:tx>
                <c:rich>
                  <a:bodyPr/>
                  <a:lstStyle/>
                  <a:p>
                    <a:fld id="{56951AD4-4400-4761-B027-94821437FE20}"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8-D0F9-4423-92BE-D3BEC7D3FBD8}"/>
                </c:ext>
              </c:extLst>
            </c:dLbl>
            <c:dLbl>
              <c:idx val="21"/>
              <c:tx>
                <c:rich>
                  <a:bodyPr/>
                  <a:lstStyle/>
                  <a:p>
                    <a:fld id="{647F0598-908D-49A9-BF8C-5963682FA05C}"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9-D0F9-4423-92BE-D3BEC7D3FBD8}"/>
                </c:ext>
              </c:extLst>
            </c:dLbl>
            <c:dLbl>
              <c:idx val="22"/>
              <c:tx>
                <c:rich>
                  <a:bodyPr/>
                  <a:lstStyle/>
                  <a:p>
                    <a:fld id="{72EE9183-F6DB-4E27-A75C-10EDED0E1E80}"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A-D0F9-4423-92BE-D3BEC7D3FBD8}"/>
                </c:ext>
              </c:extLst>
            </c:dLbl>
            <c:dLbl>
              <c:idx val="23"/>
              <c:tx>
                <c:rich>
                  <a:bodyPr/>
                  <a:lstStyle/>
                  <a:p>
                    <a:fld id="{795510C5-B095-4913-9E92-32637B7D2C1C}"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B-D0F9-4423-92BE-D3BEC7D3FBD8}"/>
                </c:ext>
              </c:extLst>
            </c:dLbl>
            <c:dLbl>
              <c:idx val="24"/>
              <c:tx>
                <c:rich>
                  <a:bodyPr/>
                  <a:lstStyle/>
                  <a:p>
                    <a:fld id="{B21FF994-E6AC-4140-AA01-F0EA60D6891B}"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C-D0F9-4423-92BE-D3BEC7D3FBD8}"/>
                </c:ext>
              </c:extLst>
            </c:dLbl>
            <c:dLbl>
              <c:idx val="25"/>
              <c:tx>
                <c:rich>
                  <a:bodyPr/>
                  <a:lstStyle/>
                  <a:p>
                    <a:fld id="{41858D1D-F828-423E-85FA-CD35AAE10807}"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D-D0F9-4423-92BE-D3BEC7D3FBD8}"/>
                </c:ext>
              </c:extLst>
            </c:dLbl>
            <c:dLbl>
              <c:idx val="26"/>
              <c:tx>
                <c:rich>
                  <a:bodyPr/>
                  <a:lstStyle/>
                  <a:p>
                    <a:fld id="{D156829D-2206-4B8D-9F6E-A5280E75677A}"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E-D0F9-4423-92BE-D3BEC7D3FBD8}"/>
                </c:ext>
              </c:extLst>
            </c:dLbl>
            <c:dLbl>
              <c:idx val="27"/>
              <c:tx>
                <c:rich>
                  <a:bodyPr/>
                  <a:lstStyle/>
                  <a:p>
                    <a:fld id="{16835AAD-D42D-485D-BA10-E62D2AACB252}"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F-D0F9-4423-92BE-D3BEC7D3FBD8}"/>
                </c:ext>
              </c:extLst>
            </c:dLbl>
            <c:dLbl>
              <c:idx val="28"/>
              <c:tx>
                <c:rich>
                  <a:bodyPr/>
                  <a:lstStyle/>
                  <a:p>
                    <a:fld id="{5F549B37-897B-4EED-9407-8F11400A3D39}"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0-D0F9-4423-92BE-D3BEC7D3FBD8}"/>
                </c:ext>
              </c:extLst>
            </c:dLbl>
            <c:dLbl>
              <c:idx val="29"/>
              <c:tx>
                <c:rich>
                  <a:bodyPr/>
                  <a:lstStyle/>
                  <a:p>
                    <a:fld id="{91B23B04-2E03-4B0E-8B13-6A2644A503D0}"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1-D0F9-4423-92BE-D3BEC7D3FBD8}"/>
                </c:ext>
              </c:extLst>
            </c:dLbl>
            <c:dLbl>
              <c:idx val="30"/>
              <c:tx>
                <c:rich>
                  <a:bodyPr/>
                  <a:lstStyle/>
                  <a:p>
                    <a:fld id="{DE6A1B56-9EE7-4217-9040-E181155C8DFA}"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2-D0F9-4423-92BE-D3BEC7D3FBD8}"/>
                </c:ext>
              </c:extLst>
            </c:dLbl>
            <c:dLbl>
              <c:idx val="31"/>
              <c:tx>
                <c:rich>
                  <a:bodyPr/>
                  <a:lstStyle/>
                  <a:p>
                    <a:fld id="{3E2A6AA5-3195-4BB3-8CF2-09C1ACB42BC1}"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3-D0F9-4423-92BE-D3BEC7D3FBD8}"/>
                </c:ext>
              </c:extLst>
            </c:dLbl>
            <c:spPr>
              <a:noFill/>
              <a:ln>
                <a:noFill/>
              </a:ln>
              <a:effectLst/>
            </c:spPr>
            <c:txPr>
              <a:bodyPr rot="0" spcFirstLastPara="1" vertOverflow="ellipsis" vert="horz" wrap="square" lIns="38100" tIns="19050" rIns="38100" bIns="19050" anchor="ctr" anchorCtr="1">
                <a:spAutoFit/>
              </a:bodyPr>
              <a:lstStyle/>
              <a:p>
                <a:pPr>
                  <a:defRPr sz="500" b="0" i="0" u="none" strike="noStrike" kern="1200" baseline="0">
                    <a:solidFill>
                      <a:schemeClr val="tx2"/>
                    </a:solidFill>
                    <a:latin typeface="+mn-lt"/>
                    <a:ea typeface="+mn-ea"/>
                    <a:cs typeface="+mn-cs"/>
                  </a:defRPr>
                </a:pPr>
                <a:endParaRPr lang="en-US"/>
              </a:p>
            </c:txPr>
            <c:dLblPos val="t"/>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0"/>
              </c:ext>
            </c:extLst>
          </c:dLbls>
          <c:cat>
            <c:numRef>
              <c:f>'Prerađivačka_6 graf'!$C$44:$C$75</c:f>
              <c:numCache>
                <c:formatCode>yyyy</c:formatCode>
                <c:ptCount val="32"/>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numCache>
            </c:numRef>
          </c:cat>
          <c:val>
            <c:numRef>
              <c:f>'Prerađivačka_6 graf'!$BG$44:$BG$75</c:f>
              <c:numCache>
                <c:formatCode>General</c:formatCode>
                <c:ptCount val="32"/>
                <c:pt idx="0">
                  <c:v>60</c:v>
                </c:pt>
                <c:pt idx="1">
                  <c:v>60</c:v>
                </c:pt>
                <c:pt idx="2">
                  <c:v>60</c:v>
                </c:pt>
                <c:pt idx="3">
                  <c:v>60</c:v>
                </c:pt>
                <c:pt idx="4">
                  <c:v>60</c:v>
                </c:pt>
                <c:pt idx="5">
                  <c:v>60</c:v>
                </c:pt>
                <c:pt idx="6">
                  <c:v>60</c:v>
                </c:pt>
                <c:pt idx="7">
                  <c:v>60</c:v>
                </c:pt>
                <c:pt idx="8">
                  <c:v>60</c:v>
                </c:pt>
                <c:pt idx="9">
                  <c:v>60</c:v>
                </c:pt>
                <c:pt idx="10">
                  <c:v>60</c:v>
                </c:pt>
                <c:pt idx="11">
                  <c:v>60</c:v>
                </c:pt>
                <c:pt idx="12">
                  <c:v>60</c:v>
                </c:pt>
                <c:pt idx="13">
                  <c:v>60</c:v>
                </c:pt>
                <c:pt idx="14">
                  <c:v>60</c:v>
                </c:pt>
                <c:pt idx="15">
                  <c:v>60</c:v>
                </c:pt>
                <c:pt idx="16">
                  <c:v>60</c:v>
                </c:pt>
                <c:pt idx="17">
                  <c:v>60</c:v>
                </c:pt>
                <c:pt idx="18">
                  <c:v>60</c:v>
                </c:pt>
                <c:pt idx="19">
                  <c:v>60</c:v>
                </c:pt>
                <c:pt idx="20">
                  <c:v>60</c:v>
                </c:pt>
                <c:pt idx="21">
                  <c:v>60</c:v>
                </c:pt>
                <c:pt idx="22">
                  <c:v>60</c:v>
                </c:pt>
                <c:pt idx="23">
                  <c:v>60</c:v>
                </c:pt>
                <c:pt idx="24">
                  <c:v>60</c:v>
                </c:pt>
                <c:pt idx="25">
                  <c:v>60</c:v>
                </c:pt>
                <c:pt idx="26">
                  <c:v>60</c:v>
                </c:pt>
                <c:pt idx="27">
                  <c:v>60</c:v>
                </c:pt>
                <c:pt idx="28">
                  <c:v>60</c:v>
                </c:pt>
                <c:pt idx="29">
                  <c:v>60</c:v>
                </c:pt>
                <c:pt idx="30">
                  <c:v>60</c:v>
                </c:pt>
                <c:pt idx="31">
                  <c:v>60</c:v>
                </c:pt>
              </c:numCache>
            </c:numRef>
          </c:val>
          <c:smooth val="0"/>
          <c:extLst>
            <c:ext xmlns:c15="http://schemas.microsoft.com/office/drawing/2012/chart" uri="{02D57815-91ED-43cb-92C2-25804820EDAC}">
              <c15:datalabelsRange>
                <c15:f>'Prerađivačka_6 graf'!$E$44:$E$75</c15:f>
                <c15:dlblRangeCache>
                  <c:ptCount val="32"/>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pt idx="24">
                    <c:v>I</c:v>
                  </c:pt>
                  <c:pt idx="25">
                    <c:v>II</c:v>
                  </c:pt>
                  <c:pt idx="26">
                    <c:v>III</c:v>
                  </c:pt>
                  <c:pt idx="27">
                    <c:v>IV</c:v>
                  </c:pt>
                  <c:pt idx="28">
                    <c:v>V</c:v>
                  </c:pt>
                  <c:pt idx="29">
                    <c:v>VI</c:v>
                  </c:pt>
                  <c:pt idx="30">
                    <c:v>VII</c:v>
                  </c:pt>
                  <c:pt idx="31">
                    <c:v>VIII</c:v>
                  </c:pt>
                </c15:dlblRangeCache>
              </c15:datalabelsRange>
            </c:ext>
            <c:ext xmlns:c16="http://schemas.microsoft.com/office/drawing/2014/chart" uri="{C3380CC4-5D6E-409C-BE32-E72D297353CC}">
              <c16:uniqueId val="{00000024-D0F9-4423-92BE-D3BEC7D3FBD8}"/>
            </c:ext>
          </c:extLst>
        </c:ser>
        <c:ser>
          <c:idx val="0"/>
          <c:order val="2"/>
          <c:tx>
            <c:strRef>
              <c:f>'Prerađivačka_6 graf'!$BH$7</c:f>
              <c:strCache>
                <c:ptCount val="1"/>
                <c:pt idx="0">
                  <c:v>y</c:v>
                </c:pt>
              </c:strCache>
            </c:strRef>
          </c:tx>
          <c:spPr>
            <a:ln w="12700" cap="rnd">
              <a:solidFill>
                <a:srgbClr val="92278F"/>
              </a:solidFill>
              <a:prstDash val="sysDash"/>
              <a:round/>
            </a:ln>
            <a:effectLst/>
          </c:spPr>
          <c:marker>
            <c:symbol val="none"/>
          </c:marker>
          <c:cat>
            <c:numRef>
              <c:f>'Prerađivačka_6 graf'!$C$44:$C$75</c:f>
              <c:numCache>
                <c:formatCode>yyyy</c:formatCode>
                <c:ptCount val="32"/>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numCache>
            </c:numRef>
          </c:cat>
          <c:val>
            <c:numRef>
              <c:f>'Prerađivačka_6 graf'!$BH$44:$BH$75</c:f>
              <c:numCache>
                <c:formatCode>0.0</c:formatCode>
                <c:ptCount val="32"/>
                <c:pt idx="0">
                  <c:v>91.292092574651903</c:v>
                </c:pt>
                <c:pt idx="1">
                  <c:v>102.43282251596536</c:v>
                </c:pt>
                <c:pt idx="2">
                  <c:v>116.25558003574317</c:v>
                </c:pt>
                <c:pt idx="3">
                  <c:v>102.43282251596536</c:v>
                </c:pt>
                <c:pt idx="4">
                  <c:v>101.60758326105324</c:v>
                </c:pt>
                <c:pt idx="5">
                  <c:v>103.15490686401345</c:v>
                </c:pt>
                <c:pt idx="6">
                  <c:v>93.045725991340134</c:v>
                </c:pt>
                <c:pt idx="7">
                  <c:v>98.51293605513284</c:v>
                </c:pt>
                <c:pt idx="8">
                  <c:v>102.6391323296934</c:v>
                </c:pt>
                <c:pt idx="9">
                  <c:v>111.2009895994065</c:v>
                </c:pt>
                <c:pt idx="10">
                  <c:v>111.92307394745458</c:v>
                </c:pt>
                <c:pt idx="11">
                  <c:v>143.79794016843474</c:v>
                </c:pt>
                <c:pt idx="12">
                  <c:v>91.988130563798222</c:v>
                </c:pt>
                <c:pt idx="13">
                  <c:v>110.13727560718056</c:v>
                </c:pt>
                <c:pt idx="14">
                  <c:v>99.755501222493891</c:v>
                </c:pt>
                <c:pt idx="15">
                  <c:v>70.110192837465561</c:v>
                </c:pt>
                <c:pt idx="16">
                  <c:v>84.096198603568666</c:v>
                </c:pt>
                <c:pt idx="17">
                  <c:v>106.59630606860158</c:v>
                </c:pt>
                <c:pt idx="18">
                  <c:v>93.783783783783775</c:v>
                </c:pt>
                <c:pt idx="19">
                  <c:v>102.54385964912281</c:v>
                </c:pt>
                <c:pt idx="20">
                  <c:v>111.63781624500663</c:v>
                </c:pt>
                <c:pt idx="21">
                  <c:v>111.63781624500663</c:v>
                </c:pt>
                <c:pt idx="22">
                  <c:v>106.52463382157123</c:v>
                </c:pt>
                <c:pt idx="23">
                  <c:v>112.80958721704395</c:v>
                </c:pt>
                <c:pt idx="24">
                  <c:v>93</c:v>
                </c:pt>
                <c:pt idx="25">
                  <c:v>104.3</c:v>
                </c:pt>
                <c:pt idx="26">
                  <c:v>122.4</c:v>
                </c:pt>
                <c:pt idx="27">
                  <c:v>101.8</c:v>
                </c:pt>
                <c:pt idx="28">
                  <c:v>107.9</c:v>
                </c:pt>
                <c:pt idx="29">
                  <c:v>121.2</c:v>
                </c:pt>
                <c:pt idx="30">
                  <c:v>104.1</c:v>
                </c:pt>
                <c:pt idx="31">
                  <c:v>116.9</c:v>
                </c:pt>
              </c:numCache>
            </c:numRef>
          </c:val>
          <c:smooth val="0"/>
          <c:extLst>
            <c:ext xmlns:c16="http://schemas.microsoft.com/office/drawing/2014/chart" uri="{C3380CC4-5D6E-409C-BE32-E72D297353CC}">
              <c16:uniqueId val="{00000025-D0F9-4423-92BE-D3BEC7D3FBD8}"/>
            </c:ext>
          </c:extLst>
        </c:ser>
        <c:ser>
          <c:idx val="1"/>
          <c:order val="3"/>
          <c:tx>
            <c:strRef>
              <c:f>'Prerađivačka_6 graf'!$BI$7</c:f>
              <c:strCache>
                <c:ptCount val="1"/>
                <c:pt idx="0">
                  <c:v>sa</c:v>
                </c:pt>
              </c:strCache>
            </c:strRef>
          </c:tx>
          <c:spPr>
            <a:ln w="22225" cap="rnd">
              <a:solidFill>
                <a:srgbClr val="25AAE1"/>
              </a:solidFill>
              <a:round/>
            </a:ln>
            <a:effectLst/>
          </c:spPr>
          <c:marker>
            <c:symbol val="none"/>
          </c:marker>
          <c:cat>
            <c:numRef>
              <c:f>'Prerađivačka_6 graf'!$C$44:$C$75</c:f>
              <c:numCache>
                <c:formatCode>yyyy</c:formatCode>
                <c:ptCount val="32"/>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numCache>
            </c:numRef>
          </c:cat>
          <c:val>
            <c:numRef>
              <c:f>'Prerađivačka_6 graf'!$BI$44:$BI$75</c:f>
              <c:numCache>
                <c:formatCode>0.0</c:formatCode>
                <c:ptCount val="32"/>
                <c:pt idx="0">
                  <c:v>108.44023235124617</c:v>
                </c:pt>
                <c:pt idx="1">
                  <c:v>102.86904317954193</c:v>
                </c:pt>
                <c:pt idx="2">
                  <c:v>110.75912508710866</c:v>
                </c:pt>
                <c:pt idx="3">
                  <c:v>103.82246069855347</c:v>
                </c:pt>
                <c:pt idx="4">
                  <c:v>105.35989941415188</c:v>
                </c:pt>
                <c:pt idx="5">
                  <c:v>100.1791329724221</c:v>
                </c:pt>
                <c:pt idx="6">
                  <c:v>99.337864351580336</c:v>
                </c:pt>
                <c:pt idx="7">
                  <c:v>98.657743816184009</c:v>
                </c:pt>
                <c:pt idx="8">
                  <c:v>96.565000947374841</c:v>
                </c:pt>
                <c:pt idx="9">
                  <c:v>104.81921378193877</c:v>
                </c:pt>
                <c:pt idx="10">
                  <c:v>110.37130748383269</c:v>
                </c:pt>
                <c:pt idx="11">
                  <c:v>135.60798867208536</c:v>
                </c:pt>
                <c:pt idx="12">
                  <c:v>107.43795530770129</c:v>
                </c:pt>
                <c:pt idx="13">
                  <c:v>111.18886336789372</c:v>
                </c:pt>
                <c:pt idx="14">
                  <c:v>92.762529984499636</c:v>
                </c:pt>
                <c:pt idx="15">
                  <c:v>72.644243978680052</c:v>
                </c:pt>
                <c:pt idx="16">
                  <c:v>90.626478942792119</c:v>
                </c:pt>
                <c:pt idx="17">
                  <c:v>98.627733256422857</c:v>
                </c:pt>
                <c:pt idx="18">
                  <c:v>100.15645102093882</c:v>
                </c:pt>
                <c:pt idx="19">
                  <c:v>104.68503562465408</c:v>
                </c:pt>
                <c:pt idx="20">
                  <c:v>102.57468135041398</c:v>
                </c:pt>
                <c:pt idx="21">
                  <c:v>107.58130707225487</c:v>
                </c:pt>
                <c:pt idx="22">
                  <c:v>104.26533637331914</c:v>
                </c:pt>
                <c:pt idx="23">
                  <c:v>102.28802658971311</c:v>
                </c:pt>
                <c:pt idx="24">
                  <c:v>111.03258320761681</c:v>
                </c:pt>
                <c:pt idx="25">
                  <c:v>107.89575992272195</c:v>
                </c:pt>
                <c:pt idx="26">
                  <c:v>111.12813546900929</c:v>
                </c:pt>
                <c:pt idx="27">
                  <c:v>107.57421631734231</c:v>
                </c:pt>
                <c:pt idx="28">
                  <c:v>111.55218102498978</c:v>
                </c:pt>
                <c:pt idx="29">
                  <c:v>112.42855493466701</c:v>
                </c:pt>
                <c:pt idx="30">
                  <c:v>113.33282840845528</c:v>
                </c:pt>
                <c:pt idx="31">
                  <c:v>116.33491198221554</c:v>
                </c:pt>
              </c:numCache>
            </c:numRef>
          </c:val>
          <c:smooth val="0"/>
          <c:extLst>
            <c:ext xmlns:c16="http://schemas.microsoft.com/office/drawing/2014/chart" uri="{C3380CC4-5D6E-409C-BE32-E72D297353CC}">
              <c16:uniqueId val="{00000026-D0F9-4423-92BE-D3BEC7D3FBD8}"/>
            </c:ext>
          </c:extLst>
        </c:ser>
        <c:ser>
          <c:idx val="2"/>
          <c:order val="4"/>
          <c:tx>
            <c:strRef>
              <c:f>'Prerađivačka_6 graf'!$BJ$7</c:f>
              <c:strCache>
                <c:ptCount val="1"/>
                <c:pt idx="0">
                  <c:v>t</c:v>
                </c:pt>
              </c:strCache>
            </c:strRef>
          </c:tx>
          <c:spPr>
            <a:ln w="25400" cap="rnd">
              <a:solidFill>
                <a:srgbClr val="FF0000"/>
              </a:solidFill>
              <a:round/>
            </a:ln>
            <a:effectLst/>
          </c:spPr>
          <c:marker>
            <c:symbol val="none"/>
          </c:marker>
          <c:cat>
            <c:numRef>
              <c:f>'Prerađivačka_6 graf'!$C$44:$C$75</c:f>
              <c:numCache>
                <c:formatCode>yyyy</c:formatCode>
                <c:ptCount val="32"/>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numCache>
            </c:numRef>
          </c:cat>
          <c:val>
            <c:numRef>
              <c:f>'Prerađivačka_6 graf'!$BJ$44:$BJ$75</c:f>
              <c:numCache>
                <c:formatCode>0.0</c:formatCode>
                <c:ptCount val="32"/>
                <c:pt idx="0">
                  <c:v>104.8942130751322</c:v>
                </c:pt>
                <c:pt idx="1">
                  <c:v>105.59627383573014</c:v>
                </c:pt>
                <c:pt idx="2">
                  <c:v>105.9478137084419</c:v>
                </c:pt>
                <c:pt idx="3">
                  <c:v>105.20667604748971</c:v>
                </c:pt>
                <c:pt idx="4">
                  <c:v>103.31880996603893</c:v>
                </c:pt>
                <c:pt idx="5">
                  <c:v>101.20249475724496</c:v>
                </c:pt>
                <c:pt idx="6">
                  <c:v>99.818360754625559</c:v>
                </c:pt>
                <c:pt idx="7">
                  <c:v>99.843441376351507</c:v>
                </c:pt>
                <c:pt idx="8">
                  <c:v>101.50061309773805</c:v>
                </c:pt>
                <c:pt idx="9">
                  <c:v>104.17807758897473</c:v>
                </c:pt>
                <c:pt idx="10">
                  <c:v>106.56796259063474</c:v>
                </c:pt>
                <c:pt idx="11">
                  <c:v>107.42182996359358</c:v>
                </c:pt>
                <c:pt idx="12">
                  <c:v>106.05611978970444</c:v>
                </c:pt>
                <c:pt idx="13">
                  <c:v>102.89311388380074</c:v>
                </c:pt>
                <c:pt idx="14">
                  <c:v>99.232562651752858</c:v>
                </c:pt>
                <c:pt idx="15">
                  <c:v>96.498058133060994</c:v>
                </c:pt>
                <c:pt idx="16">
                  <c:v>95.740747877149872</c:v>
                </c:pt>
                <c:pt idx="17">
                  <c:v>96.98156133467262</c:v>
                </c:pt>
                <c:pt idx="18">
                  <c:v>99.322639000989227</c:v>
                </c:pt>
                <c:pt idx="19">
                  <c:v>101.85556705311868</c:v>
                </c:pt>
                <c:pt idx="20">
                  <c:v>103.76618744231807</c:v>
                </c:pt>
                <c:pt idx="21">
                  <c:v>104.92990301452271</c:v>
                </c:pt>
                <c:pt idx="22">
                  <c:v>105.75337672264205</c:v>
                </c:pt>
                <c:pt idx="23">
                  <c:v>106.46604784207116</c:v>
                </c:pt>
                <c:pt idx="24">
                  <c:v>107.35423608477504</c:v>
                </c:pt>
                <c:pt idx="25">
                  <c:v>108.28449714443839</c:v>
                </c:pt>
                <c:pt idx="26">
                  <c:v>109.29727012585704</c:v>
                </c:pt>
                <c:pt idx="27">
                  <c:v>110.43812662126724</c:v>
                </c:pt>
                <c:pt idx="28">
                  <c:v>111.70846953637623</c:v>
                </c:pt>
                <c:pt idx="29">
                  <c:v>112.64484100275889</c:v>
                </c:pt>
                <c:pt idx="30">
                  <c:v>113.33571181268384</c:v>
                </c:pt>
                <c:pt idx="31">
                  <c:v>113.5267671115548</c:v>
                </c:pt>
              </c:numCache>
            </c:numRef>
          </c:val>
          <c:smooth val="0"/>
          <c:extLst>
            <c:ext xmlns:c16="http://schemas.microsoft.com/office/drawing/2014/chart" uri="{C3380CC4-5D6E-409C-BE32-E72D297353CC}">
              <c16:uniqueId val="{00000027-D0F9-4423-92BE-D3BEC7D3FBD8}"/>
            </c:ext>
          </c:extLst>
        </c:ser>
        <c:dLbls>
          <c:showLegendKey val="0"/>
          <c:showVal val="0"/>
          <c:showCatName val="0"/>
          <c:showSerName val="0"/>
          <c:showPercent val="0"/>
          <c:showBubbleSize val="0"/>
        </c:dLbls>
        <c:marker val="1"/>
        <c:smooth val="0"/>
        <c:axId val="2092180656"/>
        <c:axId val="2092165968"/>
      </c:lineChart>
      <c:dateAx>
        <c:axId val="2092180656"/>
        <c:scaling>
          <c:orientation val="minMax"/>
        </c:scaling>
        <c:delete val="0"/>
        <c:axPos val="b"/>
        <c:numFmt formatCode="yyyy" sourceLinked="1"/>
        <c:majorTickMark val="none"/>
        <c:minorTickMark val="none"/>
        <c:tickLblPos val="none"/>
        <c:spPr>
          <a:noFill/>
          <a:ln w="6350" cap="flat" cmpd="sng" algn="ctr">
            <a:solidFill>
              <a:srgbClr val="898989"/>
            </a:solidFill>
            <a:round/>
          </a:ln>
          <a:effectLst/>
        </c:spPr>
        <c:txPr>
          <a:bodyPr rot="0" spcFirstLastPara="1" vertOverflow="ellipsis" wrap="square" anchor="ctr" anchorCtr="1"/>
          <a:lstStyle/>
          <a:p>
            <a:pPr algn="ctr">
              <a:defRPr sz="750" b="0" i="0" u="none" strike="noStrike" kern="1200" baseline="0">
                <a:solidFill>
                  <a:schemeClr val="tx2"/>
                </a:solidFill>
                <a:latin typeface="+mn-lt"/>
                <a:ea typeface="+mn-ea"/>
                <a:cs typeface="+mn-cs"/>
              </a:defRPr>
            </a:pPr>
            <a:endParaRPr lang="en-US"/>
          </a:p>
        </c:txPr>
        <c:crossAx val="2092165968"/>
        <c:crosses val="autoZero"/>
        <c:auto val="1"/>
        <c:lblOffset val="0"/>
        <c:baseTimeUnit val="months"/>
        <c:majorUnit val="12"/>
        <c:majorTimeUnit val="months"/>
      </c:dateAx>
      <c:valAx>
        <c:axId val="2092165968"/>
        <c:scaling>
          <c:orientation val="minMax"/>
          <c:max val="145"/>
          <c:min val="60"/>
        </c:scaling>
        <c:delete val="0"/>
        <c:axPos val="l"/>
        <c:numFmt formatCode="0" sourceLinked="0"/>
        <c:majorTickMark val="out"/>
        <c:minorTickMark val="none"/>
        <c:tickLblPos val="nextTo"/>
        <c:spPr>
          <a:noFill/>
          <a:ln w="6350">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2092180656"/>
        <c:crosses val="autoZero"/>
        <c:crossBetween val="midCat"/>
        <c:majorUnit val="10"/>
      </c:valAx>
      <c:spPr>
        <a:solidFill>
          <a:sysClr val="window" lastClr="FFFFFF"/>
        </a:solidFill>
        <a:ln>
          <a:noFill/>
        </a:ln>
        <a:effectLst/>
      </c:spPr>
    </c:plotArea>
    <c:plotVisOnly val="1"/>
    <c:dispBlanksAs val="gap"/>
    <c:showDLblsOverMax val="0"/>
  </c:chart>
  <c:spPr>
    <a:solidFill>
      <a:schemeClr val="bg1"/>
    </a:solidFill>
    <a:ln w="9525" cap="flat" cmpd="sng" algn="ctr">
      <a:noFill/>
      <a:round/>
    </a:ln>
    <a:effectLst/>
  </c:spPr>
  <c:txPr>
    <a:bodyPr/>
    <a:lstStyle/>
    <a:p>
      <a:pPr>
        <a:defRPr sz="750">
          <a:solidFill>
            <a:schemeClr val="tx2"/>
          </a:solidFill>
          <a:latin typeface="+mn-lt"/>
        </a:defRPr>
      </a:pPr>
      <a:endParaRPr lang="en-US"/>
    </a:p>
  </c:txPr>
  <c:externalData r:id="rId4">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8583366760262072E-2"/>
          <c:y val="6.5355171586273103E-2"/>
          <c:w val="0.88461960155100949"/>
          <c:h val="0.84012119030477561"/>
        </c:manualLayout>
      </c:layout>
      <c:lineChart>
        <c:grouping val="standard"/>
        <c:varyColors val="0"/>
        <c:ser>
          <c:idx val="3"/>
          <c:order val="0"/>
          <c:tx>
            <c:strRef>
              <c:f>'Prerađivačka_6 graf'!$BK$7</c:f>
              <c:strCache>
                <c:ptCount val="1"/>
                <c:pt idx="0">
                  <c:v>Series4</c:v>
                </c:pt>
              </c:strCache>
            </c:strRef>
          </c:tx>
          <c:spPr>
            <a:ln w="28575" cap="rnd">
              <a:solidFill>
                <a:schemeClr val="accent4"/>
              </a:solidFill>
              <a:round/>
            </a:ln>
            <a:effectLst/>
          </c:spPr>
          <c:marker>
            <c:symbol val="square"/>
            <c:size val="2"/>
            <c:spPr>
              <a:solidFill>
                <a:sysClr val="window" lastClr="FFFFFF"/>
              </a:solidFill>
              <a:ln w="9525">
                <a:noFill/>
              </a:ln>
              <a:effectLst/>
            </c:spPr>
          </c:marker>
          <c:dLbls>
            <c:dLbl>
              <c:idx val="0"/>
              <c:layout>
                <c:manualLayout>
                  <c:x val="9.868334364519897E-2"/>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C7F-488E-A738-4962A0039412}"/>
                </c:ext>
              </c:extLst>
            </c:dLbl>
            <c:dLbl>
              <c:idx val="12"/>
              <c:layout>
                <c:manualLayout>
                  <c:x val="0.1030229732688083"/>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C7F-488E-A738-4962A0039412}"/>
                </c:ext>
              </c:extLst>
            </c:dLbl>
            <c:dLbl>
              <c:idx val="24"/>
              <c:layout>
                <c:manualLayout>
                  <c:x val="4.4118415032244451E-2"/>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C7F-488E-A738-4962A0039412}"/>
                </c:ext>
              </c:extLst>
            </c:dLbl>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tx2"/>
                    </a:solidFill>
                    <a:latin typeface="+mn-lt"/>
                    <a:ea typeface="+mn-ea"/>
                    <a:cs typeface="+mn-cs"/>
                  </a:defRPr>
                </a:pPr>
                <a:endParaRPr lang="en-U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'Prerađivačka_6 graf'!$C$44:$C$75</c:f>
              <c:numCache>
                <c:formatCode>yyyy</c:formatCode>
                <c:ptCount val="32"/>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numCache>
            </c:numRef>
          </c:cat>
          <c:val>
            <c:numRef>
              <c:f>'Prerađivačka_6 graf'!$BK$44:$BK$75</c:f>
              <c:numCache>
                <c:formatCode>General</c:formatCode>
                <c:ptCount val="32"/>
                <c:pt idx="0">
                  <c:v>30</c:v>
                </c:pt>
                <c:pt idx="12">
                  <c:v>30</c:v>
                </c:pt>
                <c:pt idx="24">
                  <c:v>30</c:v>
                </c:pt>
              </c:numCache>
            </c:numRef>
          </c:val>
          <c:smooth val="0"/>
          <c:extLst>
            <c:ext xmlns:c16="http://schemas.microsoft.com/office/drawing/2014/chart" uri="{C3380CC4-5D6E-409C-BE32-E72D297353CC}">
              <c16:uniqueId val="{00000003-1C7F-488E-A738-4962A0039412}"/>
            </c:ext>
          </c:extLst>
        </c:ser>
        <c:ser>
          <c:idx val="4"/>
          <c:order val="1"/>
          <c:tx>
            <c:strRef>
              <c:f>'Prerađivačka_6 graf'!$BL$7</c:f>
              <c:strCache>
                <c:ptCount val="1"/>
                <c:pt idx="0">
                  <c:v>Series5</c:v>
                </c:pt>
              </c:strCache>
            </c:strRef>
          </c:tx>
          <c:spPr>
            <a:ln w="25400" cap="rnd">
              <a:noFill/>
              <a:round/>
            </a:ln>
            <a:effectLst/>
          </c:spPr>
          <c:marker>
            <c:symbol val="none"/>
          </c:marker>
          <c:dLbls>
            <c:dLbl>
              <c:idx val="0"/>
              <c:tx>
                <c:rich>
                  <a:bodyPr/>
                  <a:lstStyle/>
                  <a:p>
                    <a:fld id="{A5B7A77A-8D94-402F-88D1-466970673CDB}"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4-1C7F-488E-A738-4962A0039412}"/>
                </c:ext>
              </c:extLst>
            </c:dLbl>
            <c:dLbl>
              <c:idx val="1"/>
              <c:tx>
                <c:rich>
                  <a:bodyPr/>
                  <a:lstStyle/>
                  <a:p>
                    <a:fld id="{72858F97-BC11-4F03-8601-8D4245116221}"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5-1C7F-488E-A738-4962A0039412}"/>
                </c:ext>
              </c:extLst>
            </c:dLbl>
            <c:dLbl>
              <c:idx val="2"/>
              <c:tx>
                <c:rich>
                  <a:bodyPr/>
                  <a:lstStyle/>
                  <a:p>
                    <a:fld id="{B89390CB-DC60-4B37-B9E3-CE7C11308339}"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6-1C7F-488E-A738-4962A0039412}"/>
                </c:ext>
              </c:extLst>
            </c:dLbl>
            <c:dLbl>
              <c:idx val="3"/>
              <c:tx>
                <c:rich>
                  <a:bodyPr/>
                  <a:lstStyle/>
                  <a:p>
                    <a:fld id="{86907945-45E4-4690-8777-64023C44DE7A}"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7-1C7F-488E-A738-4962A0039412}"/>
                </c:ext>
              </c:extLst>
            </c:dLbl>
            <c:dLbl>
              <c:idx val="4"/>
              <c:tx>
                <c:rich>
                  <a:bodyPr/>
                  <a:lstStyle/>
                  <a:p>
                    <a:fld id="{6B175FC7-C24E-4132-8CC8-33EAD593D913}"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8-1C7F-488E-A738-4962A0039412}"/>
                </c:ext>
              </c:extLst>
            </c:dLbl>
            <c:dLbl>
              <c:idx val="5"/>
              <c:tx>
                <c:rich>
                  <a:bodyPr/>
                  <a:lstStyle/>
                  <a:p>
                    <a:fld id="{81F5A6AA-BF88-4C6A-9BD6-574553A9D580}"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9-1C7F-488E-A738-4962A0039412}"/>
                </c:ext>
              </c:extLst>
            </c:dLbl>
            <c:dLbl>
              <c:idx val="6"/>
              <c:tx>
                <c:rich>
                  <a:bodyPr/>
                  <a:lstStyle/>
                  <a:p>
                    <a:fld id="{487EAF40-FD74-4E0C-ADB9-138674196275}"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A-1C7F-488E-A738-4962A0039412}"/>
                </c:ext>
              </c:extLst>
            </c:dLbl>
            <c:dLbl>
              <c:idx val="7"/>
              <c:tx>
                <c:rich>
                  <a:bodyPr/>
                  <a:lstStyle/>
                  <a:p>
                    <a:fld id="{45892AA3-9FB2-4949-A944-DBA2BD682DF7}"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B-1C7F-488E-A738-4962A0039412}"/>
                </c:ext>
              </c:extLst>
            </c:dLbl>
            <c:dLbl>
              <c:idx val="8"/>
              <c:tx>
                <c:rich>
                  <a:bodyPr/>
                  <a:lstStyle/>
                  <a:p>
                    <a:fld id="{631A6FE1-C106-4AA8-B409-E76D04015FF2}"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C-1C7F-488E-A738-4962A0039412}"/>
                </c:ext>
              </c:extLst>
            </c:dLbl>
            <c:dLbl>
              <c:idx val="9"/>
              <c:tx>
                <c:rich>
                  <a:bodyPr/>
                  <a:lstStyle/>
                  <a:p>
                    <a:fld id="{83AFB517-F006-4AD2-AE67-2A529004467F}"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D-1C7F-488E-A738-4962A0039412}"/>
                </c:ext>
              </c:extLst>
            </c:dLbl>
            <c:dLbl>
              <c:idx val="10"/>
              <c:tx>
                <c:rich>
                  <a:bodyPr/>
                  <a:lstStyle/>
                  <a:p>
                    <a:fld id="{C2431732-3594-4CE1-8EDA-63A20E01EC5F}"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E-1C7F-488E-A738-4962A0039412}"/>
                </c:ext>
              </c:extLst>
            </c:dLbl>
            <c:dLbl>
              <c:idx val="11"/>
              <c:tx>
                <c:rich>
                  <a:bodyPr/>
                  <a:lstStyle/>
                  <a:p>
                    <a:fld id="{FA60AB9C-FF97-45FA-A177-26E32326BEBA}"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F-1C7F-488E-A738-4962A0039412}"/>
                </c:ext>
              </c:extLst>
            </c:dLbl>
            <c:dLbl>
              <c:idx val="12"/>
              <c:tx>
                <c:rich>
                  <a:bodyPr/>
                  <a:lstStyle/>
                  <a:p>
                    <a:fld id="{3641154F-C34B-4FD0-B504-40F1A840E139}"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0-1C7F-488E-A738-4962A0039412}"/>
                </c:ext>
              </c:extLst>
            </c:dLbl>
            <c:dLbl>
              <c:idx val="13"/>
              <c:tx>
                <c:rich>
                  <a:bodyPr/>
                  <a:lstStyle/>
                  <a:p>
                    <a:fld id="{2AF13F71-D555-4C5C-9504-55DD797012EA}"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1-1C7F-488E-A738-4962A0039412}"/>
                </c:ext>
              </c:extLst>
            </c:dLbl>
            <c:dLbl>
              <c:idx val="14"/>
              <c:tx>
                <c:rich>
                  <a:bodyPr/>
                  <a:lstStyle/>
                  <a:p>
                    <a:fld id="{607A43C8-BAD2-407F-8137-694570185021}"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2-1C7F-488E-A738-4962A0039412}"/>
                </c:ext>
              </c:extLst>
            </c:dLbl>
            <c:dLbl>
              <c:idx val="15"/>
              <c:tx>
                <c:rich>
                  <a:bodyPr/>
                  <a:lstStyle/>
                  <a:p>
                    <a:fld id="{B320A5C7-0718-4D7F-9E45-591C0FB45381}"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3-1C7F-488E-A738-4962A0039412}"/>
                </c:ext>
              </c:extLst>
            </c:dLbl>
            <c:dLbl>
              <c:idx val="16"/>
              <c:tx>
                <c:rich>
                  <a:bodyPr/>
                  <a:lstStyle/>
                  <a:p>
                    <a:fld id="{80E5C336-3549-45A2-AE31-555F51F48F25}"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4-1C7F-488E-A738-4962A0039412}"/>
                </c:ext>
              </c:extLst>
            </c:dLbl>
            <c:dLbl>
              <c:idx val="17"/>
              <c:tx>
                <c:rich>
                  <a:bodyPr/>
                  <a:lstStyle/>
                  <a:p>
                    <a:fld id="{194046A7-E5C5-454C-B428-325F63259D0D}"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5-1C7F-488E-A738-4962A0039412}"/>
                </c:ext>
              </c:extLst>
            </c:dLbl>
            <c:dLbl>
              <c:idx val="18"/>
              <c:tx>
                <c:rich>
                  <a:bodyPr/>
                  <a:lstStyle/>
                  <a:p>
                    <a:fld id="{08C38F40-55FB-4FB0-A116-6D5E908C788C}"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6-1C7F-488E-A738-4962A0039412}"/>
                </c:ext>
              </c:extLst>
            </c:dLbl>
            <c:dLbl>
              <c:idx val="19"/>
              <c:tx>
                <c:rich>
                  <a:bodyPr/>
                  <a:lstStyle/>
                  <a:p>
                    <a:fld id="{23D7E370-1835-411B-8745-FD1AFA489370}"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7-1C7F-488E-A738-4962A0039412}"/>
                </c:ext>
              </c:extLst>
            </c:dLbl>
            <c:dLbl>
              <c:idx val="20"/>
              <c:tx>
                <c:rich>
                  <a:bodyPr/>
                  <a:lstStyle/>
                  <a:p>
                    <a:fld id="{BA1D2007-59AF-4BE8-8707-25D849274787}"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8-1C7F-488E-A738-4962A0039412}"/>
                </c:ext>
              </c:extLst>
            </c:dLbl>
            <c:dLbl>
              <c:idx val="21"/>
              <c:tx>
                <c:rich>
                  <a:bodyPr/>
                  <a:lstStyle/>
                  <a:p>
                    <a:fld id="{1833A63A-D55B-43CD-B223-29A39EB14453}"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9-1C7F-488E-A738-4962A0039412}"/>
                </c:ext>
              </c:extLst>
            </c:dLbl>
            <c:dLbl>
              <c:idx val="22"/>
              <c:tx>
                <c:rich>
                  <a:bodyPr/>
                  <a:lstStyle/>
                  <a:p>
                    <a:fld id="{E82931E1-EDA2-41B7-B181-829872488BF1}"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A-1C7F-488E-A738-4962A0039412}"/>
                </c:ext>
              </c:extLst>
            </c:dLbl>
            <c:dLbl>
              <c:idx val="23"/>
              <c:tx>
                <c:rich>
                  <a:bodyPr/>
                  <a:lstStyle/>
                  <a:p>
                    <a:fld id="{BA7502BE-1922-4247-9A52-073FA439875E}"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B-1C7F-488E-A738-4962A0039412}"/>
                </c:ext>
              </c:extLst>
            </c:dLbl>
            <c:dLbl>
              <c:idx val="24"/>
              <c:tx>
                <c:rich>
                  <a:bodyPr/>
                  <a:lstStyle/>
                  <a:p>
                    <a:fld id="{BD24014A-8884-4F1A-99EE-009A3C066D65}"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C-1C7F-488E-A738-4962A0039412}"/>
                </c:ext>
              </c:extLst>
            </c:dLbl>
            <c:dLbl>
              <c:idx val="25"/>
              <c:tx>
                <c:rich>
                  <a:bodyPr/>
                  <a:lstStyle/>
                  <a:p>
                    <a:fld id="{498F2BD2-F00B-4370-A811-DED02D29A3D8}"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D-1C7F-488E-A738-4962A0039412}"/>
                </c:ext>
              </c:extLst>
            </c:dLbl>
            <c:dLbl>
              <c:idx val="26"/>
              <c:tx>
                <c:rich>
                  <a:bodyPr/>
                  <a:lstStyle/>
                  <a:p>
                    <a:fld id="{3252EE98-EC2C-4265-968F-BC8FCD416724}"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E-1C7F-488E-A738-4962A0039412}"/>
                </c:ext>
              </c:extLst>
            </c:dLbl>
            <c:dLbl>
              <c:idx val="27"/>
              <c:tx>
                <c:rich>
                  <a:bodyPr/>
                  <a:lstStyle/>
                  <a:p>
                    <a:fld id="{FA8ADAD7-8CDA-49E4-AD5F-5D85918E2DE8}"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F-1C7F-488E-A738-4962A0039412}"/>
                </c:ext>
              </c:extLst>
            </c:dLbl>
            <c:dLbl>
              <c:idx val="28"/>
              <c:tx>
                <c:rich>
                  <a:bodyPr/>
                  <a:lstStyle/>
                  <a:p>
                    <a:fld id="{9BE5DAD6-E55A-427C-B0B0-DCD0C53ACE86}"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0-1C7F-488E-A738-4962A0039412}"/>
                </c:ext>
              </c:extLst>
            </c:dLbl>
            <c:dLbl>
              <c:idx val="29"/>
              <c:tx>
                <c:rich>
                  <a:bodyPr/>
                  <a:lstStyle/>
                  <a:p>
                    <a:fld id="{3C197A58-F6E9-44FC-AFC2-7F4EF36B3881}"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1-1C7F-488E-A738-4962A0039412}"/>
                </c:ext>
              </c:extLst>
            </c:dLbl>
            <c:dLbl>
              <c:idx val="30"/>
              <c:tx>
                <c:rich>
                  <a:bodyPr/>
                  <a:lstStyle/>
                  <a:p>
                    <a:fld id="{EA0DDAFC-B29A-4820-9654-2D176F484BA2}"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2-1C7F-488E-A738-4962A0039412}"/>
                </c:ext>
              </c:extLst>
            </c:dLbl>
            <c:dLbl>
              <c:idx val="31"/>
              <c:tx>
                <c:rich>
                  <a:bodyPr/>
                  <a:lstStyle/>
                  <a:p>
                    <a:fld id="{D7315DDD-4B39-47C5-A294-8AE2DFD143D7}"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3-1C7F-488E-A738-4962A0039412}"/>
                </c:ext>
              </c:extLst>
            </c:dLbl>
            <c:spPr>
              <a:noFill/>
              <a:ln>
                <a:noFill/>
              </a:ln>
              <a:effectLst/>
            </c:spPr>
            <c:txPr>
              <a:bodyPr rot="0" spcFirstLastPara="1" vertOverflow="ellipsis" vert="horz" wrap="square" lIns="38100" tIns="19050" rIns="38100" bIns="19050" anchor="ctr" anchorCtr="1">
                <a:spAutoFit/>
              </a:bodyPr>
              <a:lstStyle/>
              <a:p>
                <a:pPr>
                  <a:defRPr sz="500" b="0" i="0" u="none" strike="noStrike" kern="1200" baseline="0">
                    <a:solidFill>
                      <a:schemeClr val="tx2"/>
                    </a:solidFill>
                    <a:latin typeface="+mn-lt"/>
                    <a:ea typeface="+mn-ea"/>
                    <a:cs typeface="+mn-cs"/>
                  </a:defRPr>
                </a:pPr>
                <a:endParaRPr lang="en-US"/>
              </a:p>
            </c:txPr>
            <c:dLblPos val="t"/>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0"/>
              </c:ext>
            </c:extLst>
          </c:dLbls>
          <c:cat>
            <c:numRef>
              <c:f>'Prerađivačka_6 graf'!$C$44:$C$75</c:f>
              <c:numCache>
                <c:formatCode>yyyy</c:formatCode>
                <c:ptCount val="32"/>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numCache>
            </c:numRef>
          </c:cat>
          <c:val>
            <c:numRef>
              <c:f>'Prerađivačka_6 graf'!$BL$44:$BL$75</c:f>
              <c:numCache>
                <c:formatCode>General</c:formatCode>
                <c:ptCount val="32"/>
                <c:pt idx="0">
                  <c:v>30</c:v>
                </c:pt>
                <c:pt idx="1">
                  <c:v>30</c:v>
                </c:pt>
                <c:pt idx="2">
                  <c:v>30</c:v>
                </c:pt>
                <c:pt idx="3">
                  <c:v>30</c:v>
                </c:pt>
                <c:pt idx="4">
                  <c:v>30</c:v>
                </c:pt>
                <c:pt idx="5">
                  <c:v>30</c:v>
                </c:pt>
                <c:pt idx="6">
                  <c:v>30</c:v>
                </c:pt>
                <c:pt idx="7">
                  <c:v>30</c:v>
                </c:pt>
                <c:pt idx="8">
                  <c:v>30</c:v>
                </c:pt>
                <c:pt idx="9">
                  <c:v>30</c:v>
                </c:pt>
                <c:pt idx="10">
                  <c:v>30</c:v>
                </c:pt>
                <c:pt idx="11">
                  <c:v>30</c:v>
                </c:pt>
                <c:pt idx="12">
                  <c:v>30</c:v>
                </c:pt>
                <c:pt idx="13">
                  <c:v>30</c:v>
                </c:pt>
                <c:pt idx="14">
                  <c:v>30</c:v>
                </c:pt>
                <c:pt idx="15">
                  <c:v>30</c:v>
                </c:pt>
                <c:pt idx="16">
                  <c:v>30</c:v>
                </c:pt>
                <c:pt idx="17">
                  <c:v>30</c:v>
                </c:pt>
                <c:pt idx="18">
                  <c:v>30</c:v>
                </c:pt>
                <c:pt idx="19">
                  <c:v>30</c:v>
                </c:pt>
                <c:pt idx="20">
                  <c:v>30</c:v>
                </c:pt>
                <c:pt idx="21">
                  <c:v>30</c:v>
                </c:pt>
                <c:pt idx="22">
                  <c:v>30</c:v>
                </c:pt>
                <c:pt idx="23">
                  <c:v>30</c:v>
                </c:pt>
                <c:pt idx="24">
                  <c:v>30</c:v>
                </c:pt>
                <c:pt idx="25">
                  <c:v>30</c:v>
                </c:pt>
                <c:pt idx="26">
                  <c:v>30</c:v>
                </c:pt>
                <c:pt idx="27">
                  <c:v>30</c:v>
                </c:pt>
                <c:pt idx="28">
                  <c:v>30</c:v>
                </c:pt>
                <c:pt idx="29">
                  <c:v>30</c:v>
                </c:pt>
                <c:pt idx="30">
                  <c:v>30</c:v>
                </c:pt>
                <c:pt idx="31">
                  <c:v>30</c:v>
                </c:pt>
              </c:numCache>
            </c:numRef>
          </c:val>
          <c:smooth val="0"/>
          <c:extLst>
            <c:ext xmlns:c15="http://schemas.microsoft.com/office/drawing/2012/chart" uri="{02D57815-91ED-43cb-92C2-25804820EDAC}">
              <c15:datalabelsRange>
                <c15:f>'Prerađivačka_6 graf'!$E$44:$E$75</c15:f>
                <c15:dlblRangeCache>
                  <c:ptCount val="32"/>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pt idx="24">
                    <c:v>I</c:v>
                  </c:pt>
                  <c:pt idx="25">
                    <c:v>II</c:v>
                  </c:pt>
                  <c:pt idx="26">
                    <c:v>III</c:v>
                  </c:pt>
                  <c:pt idx="27">
                    <c:v>IV</c:v>
                  </c:pt>
                  <c:pt idx="28">
                    <c:v>V</c:v>
                  </c:pt>
                  <c:pt idx="29">
                    <c:v>VI</c:v>
                  </c:pt>
                  <c:pt idx="30">
                    <c:v>VII</c:v>
                  </c:pt>
                  <c:pt idx="31">
                    <c:v>VIII</c:v>
                  </c:pt>
                </c15:dlblRangeCache>
              </c15:datalabelsRange>
            </c:ext>
            <c:ext xmlns:c16="http://schemas.microsoft.com/office/drawing/2014/chart" uri="{C3380CC4-5D6E-409C-BE32-E72D297353CC}">
              <c16:uniqueId val="{00000024-1C7F-488E-A738-4962A0039412}"/>
            </c:ext>
          </c:extLst>
        </c:ser>
        <c:ser>
          <c:idx val="0"/>
          <c:order val="2"/>
          <c:tx>
            <c:strRef>
              <c:f>'Prerađivačka_6 graf'!$BM$7</c:f>
              <c:strCache>
                <c:ptCount val="1"/>
                <c:pt idx="0">
                  <c:v>y</c:v>
                </c:pt>
              </c:strCache>
            </c:strRef>
          </c:tx>
          <c:spPr>
            <a:ln w="12700" cap="rnd">
              <a:solidFill>
                <a:srgbClr val="92278F"/>
              </a:solidFill>
              <a:prstDash val="sysDash"/>
              <a:round/>
            </a:ln>
            <a:effectLst/>
          </c:spPr>
          <c:marker>
            <c:symbol val="none"/>
          </c:marker>
          <c:cat>
            <c:numRef>
              <c:f>'Prerađivačka_6 graf'!$C$44:$C$75</c:f>
              <c:numCache>
                <c:formatCode>yyyy</c:formatCode>
                <c:ptCount val="32"/>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numCache>
            </c:numRef>
          </c:cat>
          <c:val>
            <c:numRef>
              <c:f>'Prerađivačka_6 graf'!$BM$44:$BM$75</c:f>
              <c:numCache>
                <c:formatCode>0.0</c:formatCode>
                <c:ptCount val="32"/>
                <c:pt idx="0">
                  <c:v>38.714521898435052</c:v>
                </c:pt>
                <c:pt idx="1">
                  <c:v>69.154184154456502</c:v>
                </c:pt>
                <c:pt idx="2">
                  <c:v>106.09552184380293</c:v>
                </c:pt>
                <c:pt idx="3">
                  <c:v>108.4597674559211</c:v>
                </c:pt>
                <c:pt idx="4">
                  <c:v>114.17336101854004</c:v>
                </c:pt>
                <c:pt idx="5">
                  <c:v>110.82401306803928</c:v>
                </c:pt>
                <c:pt idx="6">
                  <c:v>117.12866803368773</c:v>
                </c:pt>
                <c:pt idx="7">
                  <c:v>120.675036451865</c:v>
                </c:pt>
                <c:pt idx="8">
                  <c:v>117.03015779984946</c:v>
                </c:pt>
                <c:pt idx="9">
                  <c:v>125.40352767610132</c:v>
                </c:pt>
                <c:pt idx="10">
                  <c:v>104.61786833622908</c:v>
                </c:pt>
                <c:pt idx="11">
                  <c:v>81.17243268272388</c:v>
                </c:pt>
                <c:pt idx="12">
                  <c:v>51.980198019801982</c:v>
                </c:pt>
                <c:pt idx="13">
                  <c:v>73.388581952117875</c:v>
                </c:pt>
                <c:pt idx="14">
                  <c:v>89.465408805031444</c:v>
                </c:pt>
                <c:pt idx="15">
                  <c:v>76.220275344180223</c:v>
                </c:pt>
                <c:pt idx="16">
                  <c:v>109.66350301984468</c:v>
                </c:pt>
                <c:pt idx="17">
                  <c:v>108.29805249788316</c:v>
                </c:pt>
                <c:pt idx="18">
                  <c:v>114.7792706333973</c:v>
                </c:pt>
                <c:pt idx="19">
                  <c:v>117.39130434782609</c:v>
                </c:pt>
                <c:pt idx="20">
                  <c:v>123.87292491783938</c:v>
                </c:pt>
                <c:pt idx="21">
                  <c:v>122.65947585741974</c:v>
                </c:pt>
                <c:pt idx="22">
                  <c:v>112.85076261902756</c:v>
                </c:pt>
                <c:pt idx="23">
                  <c:v>102.43532485042554</c:v>
                </c:pt>
                <c:pt idx="24">
                  <c:v>52.5</c:v>
                </c:pt>
                <c:pt idx="25">
                  <c:v>79.7</c:v>
                </c:pt>
                <c:pt idx="26">
                  <c:v>113.8</c:v>
                </c:pt>
                <c:pt idx="27">
                  <c:v>121.8</c:v>
                </c:pt>
                <c:pt idx="28">
                  <c:v>127.1</c:v>
                </c:pt>
                <c:pt idx="29">
                  <c:v>127.9</c:v>
                </c:pt>
                <c:pt idx="30">
                  <c:v>120.1</c:v>
                </c:pt>
                <c:pt idx="31">
                  <c:v>113.4</c:v>
                </c:pt>
              </c:numCache>
            </c:numRef>
          </c:val>
          <c:smooth val="0"/>
          <c:extLst>
            <c:ext xmlns:c16="http://schemas.microsoft.com/office/drawing/2014/chart" uri="{C3380CC4-5D6E-409C-BE32-E72D297353CC}">
              <c16:uniqueId val="{00000025-1C7F-488E-A738-4962A0039412}"/>
            </c:ext>
          </c:extLst>
        </c:ser>
        <c:ser>
          <c:idx val="1"/>
          <c:order val="3"/>
          <c:tx>
            <c:strRef>
              <c:f>'Prerađivačka_6 graf'!$BN$7</c:f>
              <c:strCache>
                <c:ptCount val="1"/>
                <c:pt idx="0">
                  <c:v>sa</c:v>
                </c:pt>
              </c:strCache>
            </c:strRef>
          </c:tx>
          <c:spPr>
            <a:ln w="22225" cap="rnd">
              <a:solidFill>
                <a:srgbClr val="25AAE1"/>
              </a:solidFill>
              <a:round/>
            </a:ln>
            <a:effectLst/>
          </c:spPr>
          <c:marker>
            <c:symbol val="none"/>
          </c:marker>
          <c:cat>
            <c:numRef>
              <c:f>'Prerađivačka_6 graf'!$C$44:$C$75</c:f>
              <c:numCache>
                <c:formatCode>yyyy</c:formatCode>
                <c:ptCount val="32"/>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numCache>
            </c:numRef>
          </c:cat>
          <c:val>
            <c:numRef>
              <c:f>'Prerađivačka_6 graf'!$BN$44:$BN$75</c:f>
              <c:numCache>
                <c:formatCode>0.0</c:formatCode>
                <c:ptCount val="32"/>
                <c:pt idx="0">
                  <c:v>87.049330713095401</c:v>
                </c:pt>
                <c:pt idx="1">
                  <c:v>106.76086539845724</c:v>
                </c:pt>
                <c:pt idx="2">
                  <c:v>104.4603971090246</c:v>
                </c:pt>
                <c:pt idx="3">
                  <c:v>99.463774693342771</c:v>
                </c:pt>
                <c:pt idx="4">
                  <c:v>99.853001787411841</c:v>
                </c:pt>
                <c:pt idx="5">
                  <c:v>100.05757058382846</c:v>
                </c:pt>
                <c:pt idx="6">
                  <c:v>103.15912479290657</c:v>
                </c:pt>
                <c:pt idx="7">
                  <c:v>105.28715206268663</c:v>
                </c:pt>
                <c:pt idx="8">
                  <c:v>101.10998299385717</c:v>
                </c:pt>
                <c:pt idx="9">
                  <c:v>103.15917824153392</c:v>
                </c:pt>
                <c:pt idx="10">
                  <c:v>100.71865639432382</c:v>
                </c:pt>
                <c:pt idx="11">
                  <c:v>97.911132493172957</c:v>
                </c:pt>
                <c:pt idx="12">
                  <c:v>113.94775746340545</c:v>
                </c:pt>
                <c:pt idx="13">
                  <c:v>98.385000301035703</c:v>
                </c:pt>
                <c:pt idx="14">
                  <c:v>88.739370726967493</c:v>
                </c:pt>
                <c:pt idx="15">
                  <c:v>70.030373945062635</c:v>
                </c:pt>
                <c:pt idx="16">
                  <c:v>97.161834458387361</c:v>
                </c:pt>
                <c:pt idx="17">
                  <c:v>96.10591786079236</c:v>
                </c:pt>
                <c:pt idx="18">
                  <c:v>100.94708245303934</c:v>
                </c:pt>
                <c:pt idx="19">
                  <c:v>104.53764911119106</c:v>
                </c:pt>
                <c:pt idx="20">
                  <c:v>105.64974055090279</c:v>
                </c:pt>
                <c:pt idx="21">
                  <c:v>103.19667401264483</c:v>
                </c:pt>
                <c:pt idx="22">
                  <c:v>108.5774051863592</c:v>
                </c:pt>
                <c:pt idx="23">
                  <c:v>120.86086290618893</c:v>
                </c:pt>
                <c:pt idx="24">
                  <c:v>114.07844779180718</c:v>
                </c:pt>
                <c:pt idx="25">
                  <c:v>116.70128436916417</c:v>
                </c:pt>
                <c:pt idx="26">
                  <c:v>112.78669519773776</c:v>
                </c:pt>
                <c:pt idx="27">
                  <c:v>111.99432288630879</c:v>
                </c:pt>
                <c:pt idx="28">
                  <c:v>110.63104772132951</c:v>
                </c:pt>
                <c:pt idx="29">
                  <c:v>112.39201530628135</c:v>
                </c:pt>
                <c:pt idx="30">
                  <c:v>106.8840933159224</c:v>
                </c:pt>
                <c:pt idx="31">
                  <c:v>101.483327316895</c:v>
                </c:pt>
              </c:numCache>
            </c:numRef>
          </c:val>
          <c:smooth val="0"/>
          <c:extLst>
            <c:ext xmlns:c16="http://schemas.microsoft.com/office/drawing/2014/chart" uri="{C3380CC4-5D6E-409C-BE32-E72D297353CC}">
              <c16:uniqueId val="{00000026-1C7F-488E-A738-4962A0039412}"/>
            </c:ext>
          </c:extLst>
        </c:ser>
        <c:ser>
          <c:idx val="2"/>
          <c:order val="4"/>
          <c:tx>
            <c:strRef>
              <c:f>'Prerađivačka_6 graf'!$BO$7</c:f>
              <c:strCache>
                <c:ptCount val="1"/>
                <c:pt idx="0">
                  <c:v>t</c:v>
                </c:pt>
              </c:strCache>
            </c:strRef>
          </c:tx>
          <c:spPr>
            <a:ln w="25400" cap="rnd">
              <a:solidFill>
                <a:srgbClr val="FF0000"/>
              </a:solidFill>
              <a:round/>
            </a:ln>
            <a:effectLst/>
          </c:spPr>
          <c:marker>
            <c:symbol val="none"/>
          </c:marker>
          <c:cat>
            <c:numRef>
              <c:f>'Prerađivačka_6 graf'!$C$44:$C$75</c:f>
              <c:numCache>
                <c:formatCode>yyyy</c:formatCode>
                <c:ptCount val="32"/>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numCache>
            </c:numRef>
          </c:cat>
          <c:val>
            <c:numRef>
              <c:f>'Prerađivačka_6 graf'!$BO$44:$BO$75</c:f>
              <c:numCache>
                <c:formatCode>0.0</c:formatCode>
                <c:ptCount val="32"/>
                <c:pt idx="0">
                  <c:v>99.082198892884179</c:v>
                </c:pt>
                <c:pt idx="1">
                  <c:v>98.823302630680857</c:v>
                </c:pt>
                <c:pt idx="2">
                  <c:v>99.064261184953338</c:v>
                </c:pt>
                <c:pt idx="3">
                  <c:v>99.750521830174506</c:v>
                </c:pt>
                <c:pt idx="4">
                  <c:v>100.64819626283796</c:v>
                </c:pt>
                <c:pt idx="5">
                  <c:v>101.58848311365215</c:v>
                </c:pt>
                <c:pt idx="6">
                  <c:v>102.38902452524108</c:v>
                </c:pt>
                <c:pt idx="7">
                  <c:v>102.80010665390816</c:v>
                </c:pt>
                <c:pt idx="8">
                  <c:v>102.64529529690623</c:v>
                </c:pt>
                <c:pt idx="9">
                  <c:v>101.87556668442321</c:v>
                </c:pt>
                <c:pt idx="10">
                  <c:v>100.61255654362073</c:v>
                </c:pt>
                <c:pt idx="11">
                  <c:v>99.243212682282859</c:v>
                </c:pt>
                <c:pt idx="12">
                  <c:v>98.006553515611145</c:v>
                </c:pt>
                <c:pt idx="13">
                  <c:v>97.036758872493152</c:v>
                </c:pt>
                <c:pt idx="14">
                  <c:v>96.450194674390445</c:v>
                </c:pt>
                <c:pt idx="15">
                  <c:v>96.512810178262427</c:v>
                </c:pt>
                <c:pt idx="16">
                  <c:v>97.297426921854665</c:v>
                </c:pt>
                <c:pt idx="17">
                  <c:v>98.59691258629428</c:v>
                </c:pt>
                <c:pt idx="18">
                  <c:v>100.27962336486647</c:v>
                </c:pt>
                <c:pt idx="19">
                  <c:v>102.21415361353579</c:v>
                </c:pt>
                <c:pt idx="20">
                  <c:v>104.3815622753375</c:v>
                </c:pt>
                <c:pt idx="21">
                  <c:v>106.732471324182</c:v>
                </c:pt>
                <c:pt idx="22">
                  <c:v>109.15677253344512</c:v>
                </c:pt>
                <c:pt idx="23">
                  <c:v>111.29836637301779</c:v>
                </c:pt>
                <c:pt idx="24">
                  <c:v>112.97008150208578</c:v>
                </c:pt>
                <c:pt idx="25">
                  <c:v>114.03969284484647</c:v>
                </c:pt>
                <c:pt idx="26">
                  <c:v>114.12381055409985</c:v>
                </c:pt>
                <c:pt idx="27">
                  <c:v>113.06666569551834</c:v>
                </c:pt>
                <c:pt idx="28">
                  <c:v>111.17390625908402</c:v>
                </c:pt>
                <c:pt idx="29">
                  <c:v>108.95273110505924</c:v>
                </c:pt>
                <c:pt idx="30">
                  <c:v>106.82110697339954</c:v>
                </c:pt>
                <c:pt idx="31">
                  <c:v>105.19902698558171</c:v>
                </c:pt>
              </c:numCache>
            </c:numRef>
          </c:val>
          <c:smooth val="0"/>
          <c:extLst>
            <c:ext xmlns:c16="http://schemas.microsoft.com/office/drawing/2014/chart" uri="{C3380CC4-5D6E-409C-BE32-E72D297353CC}">
              <c16:uniqueId val="{00000027-1C7F-488E-A738-4962A0039412}"/>
            </c:ext>
          </c:extLst>
        </c:ser>
        <c:dLbls>
          <c:showLegendKey val="0"/>
          <c:showVal val="0"/>
          <c:showCatName val="0"/>
          <c:showSerName val="0"/>
          <c:showPercent val="0"/>
          <c:showBubbleSize val="0"/>
        </c:dLbls>
        <c:marker val="1"/>
        <c:smooth val="0"/>
        <c:axId val="2092180656"/>
        <c:axId val="2092165968"/>
      </c:lineChart>
      <c:dateAx>
        <c:axId val="2092180656"/>
        <c:scaling>
          <c:orientation val="minMax"/>
        </c:scaling>
        <c:delete val="0"/>
        <c:axPos val="b"/>
        <c:numFmt formatCode="yyyy" sourceLinked="1"/>
        <c:majorTickMark val="none"/>
        <c:minorTickMark val="none"/>
        <c:tickLblPos val="none"/>
        <c:spPr>
          <a:noFill/>
          <a:ln w="6350" cap="flat" cmpd="sng" algn="ctr">
            <a:solidFill>
              <a:srgbClr val="898989"/>
            </a:solidFill>
            <a:round/>
          </a:ln>
          <a:effectLst/>
        </c:spPr>
        <c:txPr>
          <a:bodyPr rot="0" spcFirstLastPara="1" vertOverflow="ellipsis" wrap="square" anchor="ctr" anchorCtr="1"/>
          <a:lstStyle/>
          <a:p>
            <a:pPr algn="ctr">
              <a:defRPr sz="750" b="0" i="0" u="none" strike="noStrike" kern="1200" baseline="0">
                <a:solidFill>
                  <a:schemeClr val="tx2"/>
                </a:solidFill>
                <a:latin typeface="+mn-lt"/>
                <a:ea typeface="+mn-ea"/>
                <a:cs typeface="+mn-cs"/>
              </a:defRPr>
            </a:pPr>
            <a:endParaRPr lang="en-US"/>
          </a:p>
        </c:txPr>
        <c:crossAx val="2092165968"/>
        <c:crosses val="autoZero"/>
        <c:auto val="1"/>
        <c:lblOffset val="0"/>
        <c:baseTimeUnit val="months"/>
        <c:majorUnit val="12"/>
        <c:majorTimeUnit val="months"/>
      </c:dateAx>
      <c:valAx>
        <c:axId val="2092165968"/>
        <c:scaling>
          <c:orientation val="minMax"/>
          <c:max val="135"/>
          <c:min val="30"/>
        </c:scaling>
        <c:delete val="0"/>
        <c:axPos val="l"/>
        <c:numFmt formatCode="0" sourceLinked="0"/>
        <c:majorTickMark val="out"/>
        <c:minorTickMark val="none"/>
        <c:tickLblPos val="nextTo"/>
        <c:spPr>
          <a:noFill/>
          <a:ln w="6350">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2092180656"/>
        <c:crosses val="autoZero"/>
        <c:crossBetween val="midCat"/>
        <c:majorUnit val="10"/>
      </c:valAx>
      <c:spPr>
        <a:solidFill>
          <a:sysClr val="window" lastClr="FFFFFF"/>
        </a:solidFill>
        <a:ln>
          <a:noFill/>
        </a:ln>
        <a:effectLst/>
      </c:spPr>
    </c:plotArea>
    <c:plotVisOnly val="1"/>
    <c:dispBlanksAs val="gap"/>
    <c:showDLblsOverMax val="0"/>
  </c:chart>
  <c:spPr>
    <a:solidFill>
      <a:schemeClr val="bg1"/>
    </a:solidFill>
    <a:ln w="9525" cap="flat" cmpd="sng" algn="ctr">
      <a:noFill/>
      <a:round/>
    </a:ln>
    <a:effectLst/>
  </c:spPr>
  <c:txPr>
    <a:bodyPr/>
    <a:lstStyle/>
    <a:p>
      <a:pPr>
        <a:defRPr sz="750">
          <a:solidFill>
            <a:schemeClr val="tx2"/>
          </a:solidFill>
          <a:latin typeface="+mn-lt"/>
        </a:defRPr>
      </a:pPr>
      <a:endParaRPr lang="en-US"/>
    </a:p>
  </c:txPr>
  <c:externalData r:id="rId4">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8583366760262072E-2"/>
          <c:y val="6.5355171586273103E-2"/>
          <c:w val="0.88461960155100949"/>
          <c:h val="0.84012119030477561"/>
        </c:manualLayout>
      </c:layout>
      <c:lineChart>
        <c:grouping val="standard"/>
        <c:varyColors val="0"/>
        <c:ser>
          <c:idx val="3"/>
          <c:order val="0"/>
          <c:tx>
            <c:strRef>
              <c:f>'Prerađivačka_6 graf'!$AK$7</c:f>
              <c:strCache>
                <c:ptCount val="1"/>
                <c:pt idx="0">
                  <c:v>Series4</c:v>
                </c:pt>
              </c:strCache>
            </c:strRef>
          </c:tx>
          <c:spPr>
            <a:ln w="28575" cap="rnd">
              <a:solidFill>
                <a:schemeClr val="accent4"/>
              </a:solidFill>
              <a:round/>
            </a:ln>
            <a:effectLst/>
          </c:spPr>
          <c:marker>
            <c:symbol val="square"/>
            <c:size val="2"/>
            <c:spPr>
              <a:solidFill>
                <a:sysClr val="window" lastClr="FFFFFF"/>
              </a:solidFill>
              <a:ln w="9525">
                <a:noFill/>
              </a:ln>
              <a:effectLst/>
            </c:spPr>
          </c:marker>
          <c:dLbls>
            <c:dLbl>
              <c:idx val="0"/>
              <c:layout>
                <c:manualLayout>
                  <c:x val="0.1029961347233971"/>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3C2-4DE4-9FCD-748070959078}"/>
                </c:ext>
              </c:extLst>
            </c:dLbl>
            <c:dLbl>
              <c:idx val="12"/>
              <c:layout>
                <c:manualLayout>
                  <c:x val="0.10739811102481596"/>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3C2-4DE4-9FCD-748070959078}"/>
                </c:ext>
              </c:extLst>
            </c:dLbl>
            <c:dLbl>
              <c:idx val="24"/>
              <c:layout>
                <c:manualLayout>
                  <c:x val="3.9854280837985437E-2"/>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3C2-4DE4-9FCD-748070959078}"/>
                </c:ext>
              </c:extLst>
            </c:dLbl>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tx2"/>
                    </a:solidFill>
                    <a:latin typeface="+mn-lt"/>
                    <a:ea typeface="+mn-ea"/>
                    <a:cs typeface="+mn-cs"/>
                  </a:defRPr>
                </a:pPr>
                <a:endParaRPr lang="en-U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'Prerađivačka_6 graf'!$C$44:$C$75</c:f>
              <c:numCache>
                <c:formatCode>yyyy</c:formatCode>
                <c:ptCount val="32"/>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numCache>
            </c:numRef>
          </c:cat>
          <c:val>
            <c:numRef>
              <c:f>'Prerađivačka_6 graf'!$AK$44:$AK$75</c:f>
              <c:numCache>
                <c:formatCode>General</c:formatCode>
                <c:ptCount val="32"/>
                <c:pt idx="0">
                  <c:v>65</c:v>
                </c:pt>
                <c:pt idx="12">
                  <c:v>65</c:v>
                </c:pt>
                <c:pt idx="24">
                  <c:v>65</c:v>
                </c:pt>
              </c:numCache>
            </c:numRef>
          </c:val>
          <c:smooth val="0"/>
          <c:extLst>
            <c:ext xmlns:c16="http://schemas.microsoft.com/office/drawing/2014/chart" uri="{C3380CC4-5D6E-409C-BE32-E72D297353CC}">
              <c16:uniqueId val="{00000003-53C2-4DE4-9FCD-748070959078}"/>
            </c:ext>
          </c:extLst>
        </c:ser>
        <c:ser>
          <c:idx val="4"/>
          <c:order val="1"/>
          <c:tx>
            <c:strRef>
              <c:f>'Prerađivačka_6 graf'!$AL$7</c:f>
              <c:strCache>
                <c:ptCount val="1"/>
                <c:pt idx="0">
                  <c:v>Series5</c:v>
                </c:pt>
              </c:strCache>
            </c:strRef>
          </c:tx>
          <c:spPr>
            <a:ln w="25400" cap="rnd">
              <a:noFill/>
              <a:round/>
            </a:ln>
            <a:effectLst/>
          </c:spPr>
          <c:marker>
            <c:symbol val="none"/>
          </c:marker>
          <c:dLbls>
            <c:dLbl>
              <c:idx val="0"/>
              <c:tx>
                <c:rich>
                  <a:bodyPr/>
                  <a:lstStyle/>
                  <a:p>
                    <a:fld id="{CB7E11F1-DA4B-4479-8D45-01AFE53D7D82}"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4-53C2-4DE4-9FCD-748070959078}"/>
                </c:ext>
              </c:extLst>
            </c:dLbl>
            <c:dLbl>
              <c:idx val="1"/>
              <c:tx>
                <c:rich>
                  <a:bodyPr/>
                  <a:lstStyle/>
                  <a:p>
                    <a:fld id="{982D72AE-2F91-4278-86E1-CF5A804F8EF6}"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5-53C2-4DE4-9FCD-748070959078}"/>
                </c:ext>
              </c:extLst>
            </c:dLbl>
            <c:dLbl>
              <c:idx val="2"/>
              <c:tx>
                <c:rich>
                  <a:bodyPr/>
                  <a:lstStyle/>
                  <a:p>
                    <a:fld id="{5A722BED-511A-48B0-B94A-5C5E8E507558}"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6-53C2-4DE4-9FCD-748070959078}"/>
                </c:ext>
              </c:extLst>
            </c:dLbl>
            <c:dLbl>
              <c:idx val="3"/>
              <c:tx>
                <c:rich>
                  <a:bodyPr/>
                  <a:lstStyle/>
                  <a:p>
                    <a:fld id="{D55BB0D2-B8BD-427E-A49F-F126E431DA2F}"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7-53C2-4DE4-9FCD-748070959078}"/>
                </c:ext>
              </c:extLst>
            </c:dLbl>
            <c:dLbl>
              <c:idx val="4"/>
              <c:tx>
                <c:rich>
                  <a:bodyPr/>
                  <a:lstStyle/>
                  <a:p>
                    <a:fld id="{0087B47B-326D-4E7B-B041-BEFDC15242E2}"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8-53C2-4DE4-9FCD-748070959078}"/>
                </c:ext>
              </c:extLst>
            </c:dLbl>
            <c:dLbl>
              <c:idx val="5"/>
              <c:tx>
                <c:rich>
                  <a:bodyPr/>
                  <a:lstStyle/>
                  <a:p>
                    <a:fld id="{27F2A78B-DD38-4861-88A4-A62D35A7CBF4}"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9-53C2-4DE4-9FCD-748070959078}"/>
                </c:ext>
              </c:extLst>
            </c:dLbl>
            <c:dLbl>
              <c:idx val="6"/>
              <c:tx>
                <c:rich>
                  <a:bodyPr/>
                  <a:lstStyle/>
                  <a:p>
                    <a:fld id="{A554231A-919C-4093-9B5F-9C03210B7955}"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A-53C2-4DE4-9FCD-748070959078}"/>
                </c:ext>
              </c:extLst>
            </c:dLbl>
            <c:dLbl>
              <c:idx val="7"/>
              <c:tx>
                <c:rich>
                  <a:bodyPr/>
                  <a:lstStyle/>
                  <a:p>
                    <a:fld id="{7C2E6D83-415D-42DC-BC50-FCB27DB1FE81}"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B-53C2-4DE4-9FCD-748070959078}"/>
                </c:ext>
              </c:extLst>
            </c:dLbl>
            <c:dLbl>
              <c:idx val="8"/>
              <c:tx>
                <c:rich>
                  <a:bodyPr/>
                  <a:lstStyle/>
                  <a:p>
                    <a:fld id="{A80B0E48-FB78-4363-9EF1-39E7355B0725}"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C-53C2-4DE4-9FCD-748070959078}"/>
                </c:ext>
              </c:extLst>
            </c:dLbl>
            <c:dLbl>
              <c:idx val="9"/>
              <c:tx>
                <c:rich>
                  <a:bodyPr/>
                  <a:lstStyle/>
                  <a:p>
                    <a:fld id="{B0877DDD-E593-46A4-AEE1-C1C7EC186179}"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D-53C2-4DE4-9FCD-748070959078}"/>
                </c:ext>
              </c:extLst>
            </c:dLbl>
            <c:dLbl>
              <c:idx val="10"/>
              <c:tx>
                <c:rich>
                  <a:bodyPr/>
                  <a:lstStyle/>
                  <a:p>
                    <a:fld id="{134BDB4F-AF57-463C-AFF0-4E1D9BC390F1}"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E-53C2-4DE4-9FCD-748070959078}"/>
                </c:ext>
              </c:extLst>
            </c:dLbl>
            <c:dLbl>
              <c:idx val="11"/>
              <c:tx>
                <c:rich>
                  <a:bodyPr/>
                  <a:lstStyle/>
                  <a:p>
                    <a:fld id="{2E73B4BE-69C2-4799-BC8F-A61D880357A7}"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F-53C2-4DE4-9FCD-748070959078}"/>
                </c:ext>
              </c:extLst>
            </c:dLbl>
            <c:dLbl>
              <c:idx val="12"/>
              <c:tx>
                <c:rich>
                  <a:bodyPr/>
                  <a:lstStyle/>
                  <a:p>
                    <a:fld id="{8F89D13D-0D9D-4F08-9C0C-DAF276C7D5C8}"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0-53C2-4DE4-9FCD-748070959078}"/>
                </c:ext>
              </c:extLst>
            </c:dLbl>
            <c:dLbl>
              <c:idx val="13"/>
              <c:tx>
                <c:rich>
                  <a:bodyPr/>
                  <a:lstStyle/>
                  <a:p>
                    <a:fld id="{64FEBAFD-7158-4980-B0DE-76DC22B03B54}"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1-53C2-4DE4-9FCD-748070959078}"/>
                </c:ext>
              </c:extLst>
            </c:dLbl>
            <c:dLbl>
              <c:idx val="14"/>
              <c:tx>
                <c:rich>
                  <a:bodyPr/>
                  <a:lstStyle/>
                  <a:p>
                    <a:fld id="{735A515A-D7B6-46A8-969A-5D6B31683469}"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2-53C2-4DE4-9FCD-748070959078}"/>
                </c:ext>
              </c:extLst>
            </c:dLbl>
            <c:dLbl>
              <c:idx val="15"/>
              <c:tx>
                <c:rich>
                  <a:bodyPr/>
                  <a:lstStyle/>
                  <a:p>
                    <a:fld id="{5B7FACA2-8EDF-4389-BA15-74BCBAC53E5E}"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3-53C2-4DE4-9FCD-748070959078}"/>
                </c:ext>
              </c:extLst>
            </c:dLbl>
            <c:dLbl>
              <c:idx val="16"/>
              <c:tx>
                <c:rich>
                  <a:bodyPr/>
                  <a:lstStyle/>
                  <a:p>
                    <a:fld id="{F403046A-A5EE-4B66-8BA7-0DA721C3FC97}"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4-53C2-4DE4-9FCD-748070959078}"/>
                </c:ext>
              </c:extLst>
            </c:dLbl>
            <c:dLbl>
              <c:idx val="17"/>
              <c:tx>
                <c:rich>
                  <a:bodyPr/>
                  <a:lstStyle/>
                  <a:p>
                    <a:fld id="{BC2D3384-9958-438B-A1F1-1EE710C63941}"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5-53C2-4DE4-9FCD-748070959078}"/>
                </c:ext>
              </c:extLst>
            </c:dLbl>
            <c:dLbl>
              <c:idx val="18"/>
              <c:tx>
                <c:rich>
                  <a:bodyPr/>
                  <a:lstStyle/>
                  <a:p>
                    <a:fld id="{487B5D4A-3284-4282-B1A8-D0F2BFA06D5D}"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6-53C2-4DE4-9FCD-748070959078}"/>
                </c:ext>
              </c:extLst>
            </c:dLbl>
            <c:dLbl>
              <c:idx val="19"/>
              <c:tx>
                <c:rich>
                  <a:bodyPr/>
                  <a:lstStyle/>
                  <a:p>
                    <a:fld id="{0A17D384-3A4F-463F-A80E-452330851D3D}"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7-53C2-4DE4-9FCD-748070959078}"/>
                </c:ext>
              </c:extLst>
            </c:dLbl>
            <c:dLbl>
              <c:idx val="20"/>
              <c:tx>
                <c:rich>
                  <a:bodyPr/>
                  <a:lstStyle/>
                  <a:p>
                    <a:fld id="{B22D5044-04DA-4922-8D1A-7788144F7854}"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8-53C2-4DE4-9FCD-748070959078}"/>
                </c:ext>
              </c:extLst>
            </c:dLbl>
            <c:dLbl>
              <c:idx val="21"/>
              <c:tx>
                <c:rich>
                  <a:bodyPr/>
                  <a:lstStyle/>
                  <a:p>
                    <a:fld id="{B2B2BFA8-CE36-4984-BDCB-F8891C829DD1}"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9-53C2-4DE4-9FCD-748070959078}"/>
                </c:ext>
              </c:extLst>
            </c:dLbl>
            <c:dLbl>
              <c:idx val="22"/>
              <c:tx>
                <c:rich>
                  <a:bodyPr/>
                  <a:lstStyle/>
                  <a:p>
                    <a:fld id="{992007AC-4D9B-40C9-A822-E26F61E9BEC5}"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A-53C2-4DE4-9FCD-748070959078}"/>
                </c:ext>
              </c:extLst>
            </c:dLbl>
            <c:dLbl>
              <c:idx val="23"/>
              <c:tx>
                <c:rich>
                  <a:bodyPr/>
                  <a:lstStyle/>
                  <a:p>
                    <a:fld id="{406975EC-9869-4AB9-BE95-C7D3E05FA1FD}"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B-53C2-4DE4-9FCD-748070959078}"/>
                </c:ext>
              </c:extLst>
            </c:dLbl>
            <c:dLbl>
              <c:idx val="24"/>
              <c:tx>
                <c:rich>
                  <a:bodyPr/>
                  <a:lstStyle/>
                  <a:p>
                    <a:fld id="{C6A15079-41C6-4BD8-B9A3-884239F573FF}"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C-53C2-4DE4-9FCD-748070959078}"/>
                </c:ext>
              </c:extLst>
            </c:dLbl>
            <c:dLbl>
              <c:idx val="25"/>
              <c:tx>
                <c:rich>
                  <a:bodyPr/>
                  <a:lstStyle/>
                  <a:p>
                    <a:fld id="{5CA4215F-93AF-42D5-AD09-232720AF012E}"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D-53C2-4DE4-9FCD-748070959078}"/>
                </c:ext>
              </c:extLst>
            </c:dLbl>
            <c:dLbl>
              <c:idx val="26"/>
              <c:tx>
                <c:rich>
                  <a:bodyPr/>
                  <a:lstStyle/>
                  <a:p>
                    <a:fld id="{9212C974-6897-4D61-BB2B-DC6144905833}"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E-53C2-4DE4-9FCD-748070959078}"/>
                </c:ext>
              </c:extLst>
            </c:dLbl>
            <c:dLbl>
              <c:idx val="27"/>
              <c:tx>
                <c:rich>
                  <a:bodyPr/>
                  <a:lstStyle/>
                  <a:p>
                    <a:fld id="{0B9B1F05-ACC7-4477-B249-9DEAB97BD827}"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F-53C2-4DE4-9FCD-748070959078}"/>
                </c:ext>
              </c:extLst>
            </c:dLbl>
            <c:dLbl>
              <c:idx val="28"/>
              <c:tx>
                <c:rich>
                  <a:bodyPr/>
                  <a:lstStyle/>
                  <a:p>
                    <a:fld id="{99FDC462-DD9C-4010-AF5D-D6603DA44AFD}"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0-53C2-4DE4-9FCD-748070959078}"/>
                </c:ext>
              </c:extLst>
            </c:dLbl>
            <c:dLbl>
              <c:idx val="29"/>
              <c:tx>
                <c:rich>
                  <a:bodyPr/>
                  <a:lstStyle/>
                  <a:p>
                    <a:fld id="{D032D34B-D77C-4DC6-946C-467CDF750AB3}"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1-53C2-4DE4-9FCD-748070959078}"/>
                </c:ext>
              </c:extLst>
            </c:dLbl>
            <c:dLbl>
              <c:idx val="30"/>
              <c:tx>
                <c:rich>
                  <a:bodyPr/>
                  <a:lstStyle/>
                  <a:p>
                    <a:fld id="{7273D5D9-92A9-4A29-9648-5BB42C583EB8}"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2-53C2-4DE4-9FCD-748070959078}"/>
                </c:ext>
              </c:extLst>
            </c:dLbl>
            <c:dLbl>
              <c:idx val="31"/>
              <c:tx>
                <c:rich>
                  <a:bodyPr/>
                  <a:lstStyle/>
                  <a:p>
                    <a:fld id="{3746AB06-423A-4D85-9201-7009AB71B22B}"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3-53C2-4DE4-9FCD-748070959078}"/>
                </c:ext>
              </c:extLst>
            </c:dLbl>
            <c:spPr>
              <a:noFill/>
              <a:ln>
                <a:noFill/>
              </a:ln>
              <a:effectLst/>
            </c:spPr>
            <c:txPr>
              <a:bodyPr rot="0" spcFirstLastPara="1" vertOverflow="ellipsis" vert="horz" wrap="square" lIns="38100" tIns="19050" rIns="38100" bIns="19050" anchor="ctr" anchorCtr="1">
                <a:spAutoFit/>
              </a:bodyPr>
              <a:lstStyle/>
              <a:p>
                <a:pPr>
                  <a:defRPr sz="500" b="0" i="0" u="none" strike="noStrike" kern="1200" baseline="0">
                    <a:solidFill>
                      <a:schemeClr val="tx2"/>
                    </a:solidFill>
                    <a:latin typeface="+mn-lt"/>
                    <a:ea typeface="+mn-ea"/>
                    <a:cs typeface="+mn-cs"/>
                  </a:defRPr>
                </a:pPr>
                <a:endParaRPr lang="en-US"/>
              </a:p>
            </c:txPr>
            <c:dLblPos val="t"/>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0"/>
              </c:ext>
            </c:extLst>
          </c:dLbls>
          <c:cat>
            <c:numRef>
              <c:f>'Prerađivačka_6 graf'!$C$44:$C$75</c:f>
              <c:numCache>
                <c:formatCode>yyyy</c:formatCode>
                <c:ptCount val="32"/>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numCache>
            </c:numRef>
          </c:cat>
          <c:val>
            <c:numRef>
              <c:f>'Prerađivačka_6 graf'!$AL$44:$AL$75</c:f>
              <c:numCache>
                <c:formatCode>General</c:formatCode>
                <c:ptCount val="32"/>
                <c:pt idx="0">
                  <c:v>65</c:v>
                </c:pt>
                <c:pt idx="1">
                  <c:v>65</c:v>
                </c:pt>
                <c:pt idx="2">
                  <c:v>65</c:v>
                </c:pt>
                <c:pt idx="3">
                  <c:v>65</c:v>
                </c:pt>
                <c:pt idx="4">
                  <c:v>65</c:v>
                </c:pt>
                <c:pt idx="5">
                  <c:v>65</c:v>
                </c:pt>
                <c:pt idx="6">
                  <c:v>65</c:v>
                </c:pt>
                <c:pt idx="7">
                  <c:v>65</c:v>
                </c:pt>
                <c:pt idx="8">
                  <c:v>65</c:v>
                </c:pt>
                <c:pt idx="9">
                  <c:v>65</c:v>
                </c:pt>
                <c:pt idx="10">
                  <c:v>65</c:v>
                </c:pt>
                <c:pt idx="11">
                  <c:v>65</c:v>
                </c:pt>
                <c:pt idx="12">
                  <c:v>65</c:v>
                </c:pt>
                <c:pt idx="13">
                  <c:v>65</c:v>
                </c:pt>
                <c:pt idx="14">
                  <c:v>65</c:v>
                </c:pt>
                <c:pt idx="15">
                  <c:v>65</c:v>
                </c:pt>
                <c:pt idx="16">
                  <c:v>65</c:v>
                </c:pt>
                <c:pt idx="17">
                  <c:v>65</c:v>
                </c:pt>
                <c:pt idx="18">
                  <c:v>65</c:v>
                </c:pt>
                <c:pt idx="19">
                  <c:v>65</c:v>
                </c:pt>
                <c:pt idx="20">
                  <c:v>65</c:v>
                </c:pt>
                <c:pt idx="21">
                  <c:v>65</c:v>
                </c:pt>
                <c:pt idx="22">
                  <c:v>65</c:v>
                </c:pt>
                <c:pt idx="23">
                  <c:v>65</c:v>
                </c:pt>
                <c:pt idx="24">
                  <c:v>65</c:v>
                </c:pt>
                <c:pt idx="25">
                  <c:v>65</c:v>
                </c:pt>
                <c:pt idx="26">
                  <c:v>65</c:v>
                </c:pt>
                <c:pt idx="27">
                  <c:v>65</c:v>
                </c:pt>
                <c:pt idx="28">
                  <c:v>65</c:v>
                </c:pt>
                <c:pt idx="29">
                  <c:v>65</c:v>
                </c:pt>
                <c:pt idx="30">
                  <c:v>65</c:v>
                </c:pt>
                <c:pt idx="31">
                  <c:v>65</c:v>
                </c:pt>
              </c:numCache>
            </c:numRef>
          </c:val>
          <c:smooth val="0"/>
          <c:extLst>
            <c:ext xmlns:c15="http://schemas.microsoft.com/office/drawing/2012/chart" uri="{02D57815-91ED-43cb-92C2-25804820EDAC}">
              <c15:datalabelsRange>
                <c15:f>'Prerađivačka_6 graf'!$E$44:$E$75</c15:f>
                <c15:dlblRangeCache>
                  <c:ptCount val="32"/>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pt idx="24">
                    <c:v>I</c:v>
                  </c:pt>
                  <c:pt idx="25">
                    <c:v>II</c:v>
                  </c:pt>
                  <c:pt idx="26">
                    <c:v>III</c:v>
                  </c:pt>
                  <c:pt idx="27">
                    <c:v>IV</c:v>
                  </c:pt>
                  <c:pt idx="28">
                    <c:v>V</c:v>
                  </c:pt>
                  <c:pt idx="29">
                    <c:v>VI</c:v>
                  </c:pt>
                  <c:pt idx="30">
                    <c:v>VII</c:v>
                  </c:pt>
                  <c:pt idx="31">
                    <c:v>VIII</c:v>
                  </c:pt>
                </c15:dlblRangeCache>
              </c15:datalabelsRange>
            </c:ext>
            <c:ext xmlns:c16="http://schemas.microsoft.com/office/drawing/2014/chart" uri="{C3380CC4-5D6E-409C-BE32-E72D297353CC}">
              <c16:uniqueId val="{00000024-53C2-4DE4-9FCD-748070959078}"/>
            </c:ext>
          </c:extLst>
        </c:ser>
        <c:ser>
          <c:idx val="0"/>
          <c:order val="2"/>
          <c:tx>
            <c:strRef>
              <c:f>'Prerađivačka_6 graf'!$AM$7</c:f>
              <c:strCache>
                <c:ptCount val="1"/>
                <c:pt idx="0">
                  <c:v>y</c:v>
                </c:pt>
              </c:strCache>
            </c:strRef>
          </c:tx>
          <c:spPr>
            <a:ln w="12700" cap="rnd">
              <a:solidFill>
                <a:srgbClr val="92278F"/>
              </a:solidFill>
              <a:prstDash val="sysDash"/>
              <a:round/>
            </a:ln>
            <a:effectLst/>
          </c:spPr>
          <c:marker>
            <c:symbol val="none"/>
          </c:marker>
          <c:cat>
            <c:numRef>
              <c:f>'Prerađivačka_6 graf'!$C$44:$C$75</c:f>
              <c:numCache>
                <c:formatCode>yyyy</c:formatCode>
                <c:ptCount val="32"/>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numCache>
            </c:numRef>
          </c:cat>
          <c:val>
            <c:numRef>
              <c:f>'Prerađivačka_6 graf'!$AM$44:$AM$75</c:f>
              <c:numCache>
                <c:formatCode>0.0</c:formatCode>
                <c:ptCount val="32"/>
                <c:pt idx="0">
                  <c:v>101.49052892992727</c:v>
                </c:pt>
                <c:pt idx="1">
                  <c:v>106.19766884636054</c:v>
                </c:pt>
                <c:pt idx="2">
                  <c:v>134.44050834496019</c:v>
                </c:pt>
                <c:pt idx="3">
                  <c:v>131.57030107884233</c:v>
                </c:pt>
                <c:pt idx="4">
                  <c:v>141.7882389462219</c:v>
                </c:pt>
                <c:pt idx="5">
                  <c:v>123.64852902435707</c:v>
                </c:pt>
                <c:pt idx="6">
                  <c:v>125.3706533840278</c:v>
                </c:pt>
                <c:pt idx="7">
                  <c:v>89.780083284166423</c:v>
                </c:pt>
                <c:pt idx="8">
                  <c:v>128.58528552207977</c:v>
                </c:pt>
                <c:pt idx="9">
                  <c:v>131.11106791626349</c:v>
                </c:pt>
                <c:pt idx="10">
                  <c:v>121.81159637404164</c:v>
                </c:pt>
                <c:pt idx="11">
                  <c:v>120.66351346759451</c:v>
                </c:pt>
                <c:pt idx="12">
                  <c:v>106.74603174603175</c:v>
                </c:pt>
                <c:pt idx="13">
                  <c:v>97.963142580019408</c:v>
                </c:pt>
                <c:pt idx="14">
                  <c:v>99.14236706689536</c:v>
                </c:pt>
                <c:pt idx="15">
                  <c:v>98.242368177613329</c:v>
                </c:pt>
                <c:pt idx="16">
                  <c:v>99.811498586239409</c:v>
                </c:pt>
                <c:pt idx="17">
                  <c:v>105.08474576271188</c:v>
                </c:pt>
                <c:pt idx="18">
                  <c:v>107.21847930702599</c:v>
                </c:pt>
                <c:pt idx="19">
                  <c:v>104.3557168784029</c:v>
                </c:pt>
                <c:pt idx="20">
                  <c:v>100.37422878527357</c:v>
                </c:pt>
                <c:pt idx="21">
                  <c:v>80.469303125316074</c:v>
                </c:pt>
                <c:pt idx="22">
                  <c:v>86.173763527864864</c:v>
                </c:pt>
                <c:pt idx="23">
                  <c:v>115.06018003438858</c:v>
                </c:pt>
                <c:pt idx="24">
                  <c:v>107.6</c:v>
                </c:pt>
                <c:pt idx="25">
                  <c:v>101</c:v>
                </c:pt>
                <c:pt idx="26">
                  <c:v>115.6</c:v>
                </c:pt>
                <c:pt idx="27">
                  <c:v>106.2</c:v>
                </c:pt>
                <c:pt idx="28">
                  <c:v>106</c:v>
                </c:pt>
                <c:pt idx="29">
                  <c:v>105.4</c:v>
                </c:pt>
                <c:pt idx="30">
                  <c:v>111.4</c:v>
                </c:pt>
                <c:pt idx="31">
                  <c:v>115</c:v>
                </c:pt>
              </c:numCache>
            </c:numRef>
          </c:val>
          <c:smooth val="0"/>
          <c:extLst>
            <c:ext xmlns:c16="http://schemas.microsoft.com/office/drawing/2014/chart" uri="{C3380CC4-5D6E-409C-BE32-E72D297353CC}">
              <c16:uniqueId val="{00000025-53C2-4DE4-9FCD-748070959078}"/>
            </c:ext>
          </c:extLst>
        </c:ser>
        <c:ser>
          <c:idx val="1"/>
          <c:order val="3"/>
          <c:tx>
            <c:strRef>
              <c:f>'Prerađivačka_6 graf'!$AN$7</c:f>
              <c:strCache>
                <c:ptCount val="1"/>
                <c:pt idx="0">
                  <c:v>sa</c:v>
                </c:pt>
              </c:strCache>
            </c:strRef>
          </c:tx>
          <c:spPr>
            <a:ln w="22225" cap="rnd">
              <a:solidFill>
                <a:srgbClr val="25AAE1"/>
              </a:solidFill>
              <a:round/>
            </a:ln>
            <a:effectLst/>
          </c:spPr>
          <c:marker>
            <c:symbol val="none"/>
          </c:marker>
          <c:cat>
            <c:numRef>
              <c:f>'Prerađivačka_6 graf'!$C$44:$C$75</c:f>
              <c:numCache>
                <c:formatCode>yyyy</c:formatCode>
                <c:ptCount val="32"/>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numCache>
            </c:numRef>
          </c:cat>
          <c:val>
            <c:numRef>
              <c:f>'Prerađivačka_6 graf'!$AN$44:$AN$75</c:f>
              <c:numCache>
                <c:formatCode>0.0</c:formatCode>
                <c:ptCount val="32"/>
                <c:pt idx="0">
                  <c:v>111.80428817418525</c:v>
                </c:pt>
                <c:pt idx="1">
                  <c:v>115.71442987445536</c:v>
                </c:pt>
                <c:pt idx="2">
                  <c:v>134.09134149549681</c:v>
                </c:pt>
                <c:pt idx="3">
                  <c:v>128.10539788592556</c:v>
                </c:pt>
                <c:pt idx="4">
                  <c:v>134.82498652113722</c:v>
                </c:pt>
                <c:pt idx="5">
                  <c:v>125.47254474638693</c:v>
                </c:pt>
                <c:pt idx="6">
                  <c:v>119.34980799432583</c:v>
                </c:pt>
                <c:pt idx="7">
                  <c:v>87.769560477191092</c:v>
                </c:pt>
                <c:pt idx="8">
                  <c:v>132.4815606813157</c:v>
                </c:pt>
                <c:pt idx="9">
                  <c:v>125.36914135180891</c:v>
                </c:pt>
                <c:pt idx="10">
                  <c:v>125.22628707592565</c:v>
                </c:pt>
                <c:pt idx="11">
                  <c:v>116.43769784663708</c:v>
                </c:pt>
                <c:pt idx="12">
                  <c:v>116.38629575325429</c:v>
                </c:pt>
                <c:pt idx="13">
                  <c:v>104.72153359770041</c:v>
                </c:pt>
                <c:pt idx="14">
                  <c:v>96.051758969851193</c:v>
                </c:pt>
                <c:pt idx="15">
                  <c:v>96.723487436837686</c:v>
                </c:pt>
                <c:pt idx="16">
                  <c:v>98.033159011080642</c:v>
                </c:pt>
                <c:pt idx="17">
                  <c:v>102.62048208205489</c:v>
                </c:pt>
                <c:pt idx="18">
                  <c:v>102.67591903001428</c:v>
                </c:pt>
                <c:pt idx="19">
                  <c:v>103.40312231768149</c:v>
                </c:pt>
                <c:pt idx="20">
                  <c:v>99.637224643519289</c:v>
                </c:pt>
                <c:pt idx="21">
                  <c:v>78.55958358843256</c:v>
                </c:pt>
                <c:pt idx="22">
                  <c:v>89.213629985106351</c:v>
                </c:pt>
                <c:pt idx="23">
                  <c:v>108.87652635618848</c:v>
                </c:pt>
                <c:pt idx="24">
                  <c:v>119.23648297982906</c:v>
                </c:pt>
                <c:pt idx="25">
                  <c:v>111.24300573360769</c:v>
                </c:pt>
                <c:pt idx="26">
                  <c:v>109.86473210271295</c:v>
                </c:pt>
                <c:pt idx="27">
                  <c:v>106.09757622773515</c:v>
                </c:pt>
                <c:pt idx="28">
                  <c:v>100.77509746374093</c:v>
                </c:pt>
                <c:pt idx="29">
                  <c:v>102.97637905595411</c:v>
                </c:pt>
                <c:pt idx="30">
                  <c:v>109.06051450900466</c:v>
                </c:pt>
                <c:pt idx="31">
                  <c:v>110.84115598770614</c:v>
                </c:pt>
              </c:numCache>
            </c:numRef>
          </c:val>
          <c:smooth val="0"/>
          <c:extLst>
            <c:ext xmlns:c16="http://schemas.microsoft.com/office/drawing/2014/chart" uri="{C3380CC4-5D6E-409C-BE32-E72D297353CC}">
              <c16:uniqueId val="{00000026-53C2-4DE4-9FCD-748070959078}"/>
            </c:ext>
          </c:extLst>
        </c:ser>
        <c:ser>
          <c:idx val="2"/>
          <c:order val="4"/>
          <c:tx>
            <c:strRef>
              <c:f>'Prerađivačka_6 graf'!$AO$7</c:f>
              <c:strCache>
                <c:ptCount val="1"/>
                <c:pt idx="0">
                  <c:v>t</c:v>
                </c:pt>
              </c:strCache>
            </c:strRef>
          </c:tx>
          <c:spPr>
            <a:ln w="25400" cap="rnd">
              <a:solidFill>
                <a:srgbClr val="FF0000"/>
              </a:solidFill>
              <a:round/>
            </a:ln>
            <a:effectLst/>
          </c:spPr>
          <c:marker>
            <c:symbol val="none"/>
          </c:marker>
          <c:cat>
            <c:numRef>
              <c:f>'Prerađivačka_6 graf'!$C$44:$C$75</c:f>
              <c:numCache>
                <c:formatCode>yyyy</c:formatCode>
                <c:ptCount val="32"/>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numCache>
            </c:numRef>
          </c:cat>
          <c:val>
            <c:numRef>
              <c:f>'Prerađivačka_6 graf'!$AO$44:$AO$75</c:f>
              <c:numCache>
                <c:formatCode>0.0</c:formatCode>
                <c:ptCount val="32"/>
                <c:pt idx="0">
                  <c:v>116.34949942170527</c:v>
                </c:pt>
                <c:pt idx="1">
                  <c:v>120.45808104509406</c:v>
                </c:pt>
                <c:pt idx="2">
                  <c:v>124.49316810392502</c:v>
                </c:pt>
                <c:pt idx="3">
                  <c:v>127.41339355959424</c:v>
                </c:pt>
                <c:pt idx="4">
                  <c:v>128.67264735221508</c:v>
                </c:pt>
                <c:pt idx="5">
                  <c:v>128.35967982673034</c:v>
                </c:pt>
                <c:pt idx="6">
                  <c:v>127.33433386964026</c:v>
                </c:pt>
                <c:pt idx="7">
                  <c:v>126.61297692759716</c:v>
                </c:pt>
                <c:pt idx="8">
                  <c:v>126.3011118668656</c:v>
                </c:pt>
                <c:pt idx="9">
                  <c:v>125.4906808743814</c:v>
                </c:pt>
                <c:pt idx="10">
                  <c:v>122.87683677758261</c:v>
                </c:pt>
                <c:pt idx="11">
                  <c:v>118.13989674572723</c:v>
                </c:pt>
                <c:pt idx="12">
                  <c:v>111.86938642796295</c:v>
                </c:pt>
                <c:pt idx="13">
                  <c:v>105.74256447011756</c:v>
                </c:pt>
                <c:pt idx="14">
                  <c:v>101.31167490629761</c:v>
                </c:pt>
                <c:pt idx="15">
                  <c:v>99.145660319881898</c:v>
                </c:pt>
                <c:pt idx="16">
                  <c:v>98.957261263662332</c:v>
                </c:pt>
                <c:pt idx="17">
                  <c:v>99.70726980969097</c:v>
                </c:pt>
                <c:pt idx="18">
                  <c:v>100.36008666031468</c:v>
                </c:pt>
                <c:pt idx="19">
                  <c:v>100.44425802850826</c:v>
                </c:pt>
                <c:pt idx="20">
                  <c:v>100.14077074780931</c:v>
                </c:pt>
                <c:pt idx="21">
                  <c:v>100.39109073668732</c:v>
                </c:pt>
                <c:pt idx="22">
                  <c:v>101.87959699490273</c:v>
                </c:pt>
                <c:pt idx="23">
                  <c:v>104.2877217040634</c:v>
                </c:pt>
                <c:pt idx="24">
                  <c:v>106.58083528007498</c:v>
                </c:pt>
                <c:pt idx="25">
                  <c:v>107.76974344044332</c:v>
                </c:pt>
                <c:pt idx="26">
                  <c:v>107.56544709158956</c:v>
                </c:pt>
                <c:pt idx="27">
                  <c:v>106.57055837719143</c:v>
                </c:pt>
                <c:pt idx="28">
                  <c:v>105.81213128615472</c:v>
                </c:pt>
                <c:pt idx="29">
                  <c:v>106.03257355780761</c:v>
                </c:pt>
                <c:pt idx="30">
                  <c:v>107.24364491179502</c:v>
                </c:pt>
                <c:pt idx="31">
                  <c:v>108.56554808806104</c:v>
                </c:pt>
              </c:numCache>
            </c:numRef>
          </c:val>
          <c:smooth val="0"/>
          <c:extLst>
            <c:ext xmlns:c16="http://schemas.microsoft.com/office/drawing/2014/chart" uri="{C3380CC4-5D6E-409C-BE32-E72D297353CC}">
              <c16:uniqueId val="{00000027-53C2-4DE4-9FCD-748070959078}"/>
            </c:ext>
          </c:extLst>
        </c:ser>
        <c:dLbls>
          <c:showLegendKey val="0"/>
          <c:showVal val="0"/>
          <c:showCatName val="0"/>
          <c:showSerName val="0"/>
          <c:showPercent val="0"/>
          <c:showBubbleSize val="0"/>
        </c:dLbls>
        <c:marker val="1"/>
        <c:smooth val="0"/>
        <c:axId val="2092180656"/>
        <c:axId val="2092165968"/>
      </c:lineChart>
      <c:dateAx>
        <c:axId val="2092180656"/>
        <c:scaling>
          <c:orientation val="minMax"/>
        </c:scaling>
        <c:delete val="0"/>
        <c:axPos val="b"/>
        <c:numFmt formatCode="yyyy" sourceLinked="1"/>
        <c:majorTickMark val="none"/>
        <c:minorTickMark val="none"/>
        <c:tickLblPos val="none"/>
        <c:spPr>
          <a:noFill/>
          <a:ln w="6350" cap="flat" cmpd="sng" algn="ctr">
            <a:solidFill>
              <a:srgbClr val="898989"/>
            </a:solidFill>
            <a:round/>
          </a:ln>
          <a:effectLst/>
        </c:spPr>
        <c:txPr>
          <a:bodyPr rot="0" spcFirstLastPara="1" vertOverflow="ellipsis" wrap="square" anchor="ctr" anchorCtr="1"/>
          <a:lstStyle/>
          <a:p>
            <a:pPr algn="ctr">
              <a:defRPr sz="750" b="0" i="0" u="none" strike="noStrike" kern="1200" baseline="0">
                <a:solidFill>
                  <a:schemeClr val="tx2"/>
                </a:solidFill>
                <a:latin typeface="+mn-lt"/>
                <a:ea typeface="+mn-ea"/>
                <a:cs typeface="+mn-cs"/>
              </a:defRPr>
            </a:pPr>
            <a:endParaRPr lang="en-US"/>
          </a:p>
        </c:txPr>
        <c:crossAx val="2092165968"/>
        <c:crosses val="autoZero"/>
        <c:auto val="1"/>
        <c:lblOffset val="0"/>
        <c:baseTimeUnit val="months"/>
        <c:majorUnit val="12"/>
        <c:majorTimeUnit val="months"/>
      </c:dateAx>
      <c:valAx>
        <c:axId val="2092165968"/>
        <c:scaling>
          <c:orientation val="minMax"/>
          <c:max val="145"/>
          <c:min val="65"/>
        </c:scaling>
        <c:delete val="0"/>
        <c:axPos val="l"/>
        <c:numFmt formatCode="0" sourceLinked="0"/>
        <c:majorTickMark val="out"/>
        <c:minorTickMark val="none"/>
        <c:tickLblPos val="nextTo"/>
        <c:spPr>
          <a:noFill/>
          <a:ln w="6350">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2092180656"/>
        <c:crosses val="autoZero"/>
        <c:crossBetween val="midCat"/>
        <c:majorUnit val="10"/>
      </c:valAx>
      <c:spPr>
        <a:solidFill>
          <a:sysClr val="window" lastClr="FFFFFF"/>
        </a:solidFill>
        <a:ln>
          <a:noFill/>
        </a:ln>
        <a:effectLst/>
      </c:spPr>
    </c:plotArea>
    <c:plotVisOnly val="1"/>
    <c:dispBlanksAs val="gap"/>
    <c:showDLblsOverMax val="0"/>
  </c:chart>
  <c:spPr>
    <a:solidFill>
      <a:schemeClr val="bg1"/>
    </a:solidFill>
    <a:ln w="9525" cap="flat" cmpd="sng" algn="ctr">
      <a:noFill/>
      <a:round/>
    </a:ln>
    <a:effectLst/>
  </c:spPr>
  <c:txPr>
    <a:bodyPr/>
    <a:lstStyle/>
    <a:p>
      <a:pPr>
        <a:defRPr sz="750">
          <a:solidFill>
            <a:schemeClr val="tx2"/>
          </a:solidFill>
          <a:latin typeface="+mn-lt"/>
        </a:defRPr>
      </a:pPr>
      <a:endParaRPr lang="en-US"/>
    </a:p>
  </c:txPr>
  <c:externalData r:id="rId4">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8583366760262072E-2"/>
          <c:y val="6.5355171586273103E-2"/>
          <c:w val="0.88461960155100949"/>
          <c:h val="0.84012119030477561"/>
        </c:manualLayout>
      </c:layout>
      <c:lineChart>
        <c:grouping val="standard"/>
        <c:varyColors val="0"/>
        <c:ser>
          <c:idx val="3"/>
          <c:order val="0"/>
          <c:tx>
            <c:strRef>
              <c:f>'Prerađivačka_6 graf'!$AF$7</c:f>
              <c:strCache>
                <c:ptCount val="1"/>
                <c:pt idx="0">
                  <c:v>Series4</c:v>
                </c:pt>
              </c:strCache>
            </c:strRef>
          </c:tx>
          <c:spPr>
            <a:ln w="28575" cap="rnd">
              <a:noFill/>
              <a:round/>
            </a:ln>
            <a:effectLst/>
          </c:spPr>
          <c:marker>
            <c:symbol val="square"/>
            <c:size val="2"/>
            <c:spPr>
              <a:solidFill>
                <a:sysClr val="window" lastClr="FFFFFF"/>
              </a:solidFill>
              <a:ln w="9525">
                <a:noFill/>
              </a:ln>
              <a:effectLst/>
            </c:spPr>
          </c:marker>
          <c:dLbls>
            <c:dLbl>
              <c:idx val="0"/>
              <c:layout>
                <c:manualLayout>
                  <c:x val="9.9216754451344036E-2"/>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D4D-46AB-ABF3-0F278182F1F6}"/>
                </c:ext>
              </c:extLst>
            </c:dLbl>
            <c:dLbl>
              <c:idx val="12"/>
              <c:layout>
                <c:manualLayout>
                  <c:x val="0.10306793087674636"/>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D4D-46AB-ABF3-0F278182F1F6}"/>
                </c:ext>
              </c:extLst>
            </c:dLbl>
            <c:dLbl>
              <c:idx val="24"/>
              <c:layout>
                <c:manualLayout>
                  <c:x val="4.4189221827070066E-2"/>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D4D-46AB-ABF3-0F278182F1F6}"/>
                </c:ext>
              </c:extLst>
            </c:dLbl>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'Prerađivačka_6 graf'!$C$44:$C$75</c:f>
              <c:numCache>
                <c:formatCode>yyyy</c:formatCode>
                <c:ptCount val="32"/>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numCache>
            </c:numRef>
          </c:cat>
          <c:val>
            <c:numRef>
              <c:f>'Prerađivačka_6 graf'!$AF$44:$AF$75</c:f>
              <c:numCache>
                <c:formatCode>General</c:formatCode>
                <c:ptCount val="32"/>
                <c:pt idx="0">
                  <c:v>40</c:v>
                </c:pt>
                <c:pt idx="12">
                  <c:v>40</c:v>
                </c:pt>
                <c:pt idx="24">
                  <c:v>40</c:v>
                </c:pt>
              </c:numCache>
            </c:numRef>
          </c:val>
          <c:smooth val="0"/>
          <c:extLst>
            <c:ext xmlns:c16="http://schemas.microsoft.com/office/drawing/2014/chart" uri="{C3380CC4-5D6E-409C-BE32-E72D297353CC}">
              <c16:uniqueId val="{00000003-1D4D-46AB-ABF3-0F278182F1F6}"/>
            </c:ext>
          </c:extLst>
        </c:ser>
        <c:ser>
          <c:idx val="4"/>
          <c:order val="1"/>
          <c:tx>
            <c:strRef>
              <c:f>'Prerađivačka_6 graf'!$AG$7</c:f>
              <c:strCache>
                <c:ptCount val="1"/>
                <c:pt idx="0">
                  <c:v>Series5</c:v>
                </c:pt>
              </c:strCache>
            </c:strRef>
          </c:tx>
          <c:spPr>
            <a:ln w="28575" cap="rnd">
              <a:noFill/>
              <a:round/>
            </a:ln>
            <a:effectLst/>
          </c:spPr>
          <c:marker>
            <c:symbol val="none"/>
          </c:marker>
          <c:dLbls>
            <c:dLbl>
              <c:idx val="0"/>
              <c:tx>
                <c:rich>
                  <a:bodyPr/>
                  <a:lstStyle/>
                  <a:p>
                    <a:fld id="{A0B0E4BA-5CBF-4328-A80C-08069E01C8FF}"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4-1D4D-46AB-ABF3-0F278182F1F6}"/>
                </c:ext>
              </c:extLst>
            </c:dLbl>
            <c:dLbl>
              <c:idx val="1"/>
              <c:tx>
                <c:rich>
                  <a:bodyPr/>
                  <a:lstStyle/>
                  <a:p>
                    <a:fld id="{5B92EDB7-5B62-4F29-A0A8-DC845AE63AED}"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5-1D4D-46AB-ABF3-0F278182F1F6}"/>
                </c:ext>
              </c:extLst>
            </c:dLbl>
            <c:dLbl>
              <c:idx val="2"/>
              <c:tx>
                <c:rich>
                  <a:bodyPr/>
                  <a:lstStyle/>
                  <a:p>
                    <a:fld id="{2EAC9D69-8977-43D7-BBDE-A352D1CBE3C6}"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6-1D4D-46AB-ABF3-0F278182F1F6}"/>
                </c:ext>
              </c:extLst>
            </c:dLbl>
            <c:dLbl>
              <c:idx val="3"/>
              <c:tx>
                <c:rich>
                  <a:bodyPr/>
                  <a:lstStyle/>
                  <a:p>
                    <a:fld id="{0D6C6C3C-01B6-4E40-B411-DD1D8BDBB333}"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7-1D4D-46AB-ABF3-0F278182F1F6}"/>
                </c:ext>
              </c:extLst>
            </c:dLbl>
            <c:dLbl>
              <c:idx val="4"/>
              <c:tx>
                <c:rich>
                  <a:bodyPr/>
                  <a:lstStyle/>
                  <a:p>
                    <a:fld id="{ECEAD47E-1C6C-4C62-8B55-5CDE78DEA2DA}"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8-1D4D-46AB-ABF3-0F278182F1F6}"/>
                </c:ext>
              </c:extLst>
            </c:dLbl>
            <c:dLbl>
              <c:idx val="5"/>
              <c:tx>
                <c:rich>
                  <a:bodyPr/>
                  <a:lstStyle/>
                  <a:p>
                    <a:fld id="{E4D9FC20-D952-4392-BFD5-C6C026058CD0}"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9-1D4D-46AB-ABF3-0F278182F1F6}"/>
                </c:ext>
              </c:extLst>
            </c:dLbl>
            <c:dLbl>
              <c:idx val="6"/>
              <c:tx>
                <c:rich>
                  <a:bodyPr/>
                  <a:lstStyle/>
                  <a:p>
                    <a:fld id="{D863C83C-40E8-46F0-867C-22EF21E97FD9}"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A-1D4D-46AB-ABF3-0F278182F1F6}"/>
                </c:ext>
              </c:extLst>
            </c:dLbl>
            <c:dLbl>
              <c:idx val="7"/>
              <c:tx>
                <c:rich>
                  <a:bodyPr/>
                  <a:lstStyle/>
                  <a:p>
                    <a:fld id="{9EFEFDA2-37BD-40A6-A4A0-7145E0873D28}"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B-1D4D-46AB-ABF3-0F278182F1F6}"/>
                </c:ext>
              </c:extLst>
            </c:dLbl>
            <c:dLbl>
              <c:idx val="8"/>
              <c:tx>
                <c:rich>
                  <a:bodyPr/>
                  <a:lstStyle/>
                  <a:p>
                    <a:fld id="{728A9EB2-59FE-430B-A265-C29032E72FE6}"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C-1D4D-46AB-ABF3-0F278182F1F6}"/>
                </c:ext>
              </c:extLst>
            </c:dLbl>
            <c:dLbl>
              <c:idx val="9"/>
              <c:tx>
                <c:rich>
                  <a:bodyPr/>
                  <a:lstStyle/>
                  <a:p>
                    <a:fld id="{F3E21D76-30BD-4EA7-A9A9-6BD0A21806BC}"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D-1D4D-46AB-ABF3-0F278182F1F6}"/>
                </c:ext>
              </c:extLst>
            </c:dLbl>
            <c:dLbl>
              <c:idx val="10"/>
              <c:tx>
                <c:rich>
                  <a:bodyPr/>
                  <a:lstStyle/>
                  <a:p>
                    <a:fld id="{4C03ACF7-E882-4010-9E5D-2FEA3D32892E}"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E-1D4D-46AB-ABF3-0F278182F1F6}"/>
                </c:ext>
              </c:extLst>
            </c:dLbl>
            <c:dLbl>
              <c:idx val="11"/>
              <c:tx>
                <c:rich>
                  <a:bodyPr/>
                  <a:lstStyle/>
                  <a:p>
                    <a:fld id="{D4F0EC76-22F1-4A54-ACBC-DA0D596D98B4}"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F-1D4D-46AB-ABF3-0F278182F1F6}"/>
                </c:ext>
              </c:extLst>
            </c:dLbl>
            <c:dLbl>
              <c:idx val="12"/>
              <c:tx>
                <c:rich>
                  <a:bodyPr/>
                  <a:lstStyle/>
                  <a:p>
                    <a:fld id="{126D6B7F-1275-4D7E-A8B4-B0094DE756F4}"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0-1D4D-46AB-ABF3-0F278182F1F6}"/>
                </c:ext>
              </c:extLst>
            </c:dLbl>
            <c:dLbl>
              <c:idx val="13"/>
              <c:tx>
                <c:rich>
                  <a:bodyPr/>
                  <a:lstStyle/>
                  <a:p>
                    <a:fld id="{1166078A-33A6-4850-9484-700476A24F80}"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1-1D4D-46AB-ABF3-0F278182F1F6}"/>
                </c:ext>
              </c:extLst>
            </c:dLbl>
            <c:dLbl>
              <c:idx val="14"/>
              <c:tx>
                <c:rich>
                  <a:bodyPr/>
                  <a:lstStyle/>
                  <a:p>
                    <a:fld id="{8120B8EF-B867-4FB9-8F9B-0736138B4624}"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2-1D4D-46AB-ABF3-0F278182F1F6}"/>
                </c:ext>
              </c:extLst>
            </c:dLbl>
            <c:dLbl>
              <c:idx val="15"/>
              <c:tx>
                <c:rich>
                  <a:bodyPr/>
                  <a:lstStyle/>
                  <a:p>
                    <a:fld id="{96847C94-DF3D-4A26-80DE-36D76702DDEC}"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3-1D4D-46AB-ABF3-0F278182F1F6}"/>
                </c:ext>
              </c:extLst>
            </c:dLbl>
            <c:dLbl>
              <c:idx val="16"/>
              <c:tx>
                <c:rich>
                  <a:bodyPr/>
                  <a:lstStyle/>
                  <a:p>
                    <a:fld id="{9E212A4F-233D-417F-915C-15B42876A594}"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4-1D4D-46AB-ABF3-0F278182F1F6}"/>
                </c:ext>
              </c:extLst>
            </c:dLbl>
            <c:dLbl>
              <c:idx val="17"/>
              <c:tx>
                <c:rich>
                  <a:bodyPr/>
                  <a:lstStyle/>
                  <a:p>
                    <a:fld id="{C29A397D-84D6-4639-9ABF-58E20E800877}"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5-1D4D-46AB-ABF3-0F278182F1F6}"/>
                </c:ext>
              </c:extLst>
            </c:dLbl>
            <c:dLbl>
              <c:idx val="18"/>
              <c:tx>
                <c:rich>
                  <a:bodyPr/>
                  <a:lstStyle/>
                  <a:p>
                    <a:fld id="{87B538C2-3B30-44B2-BE97-278F20A3DAAE}"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6-1D4D-46AB-ABF3-0F278182F1F6}"/>
                </c:ext>
              </c:extLst>
            </c:dLbl>
            <c:dLbl>
              <c:idx val="19"/>
              <c:tx>
                <c:rich>
                  <a:bodyPr/>
                  <a:lstStyle/>
                  <a:p>
                    <a:fld id="{FA78ABE7-3C27-4488-BC45-01D129002D5B}"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7-1D4D-46AB-ABF3-0F278182F1F6}"/>
                </c:ext>
              </c:extLst>
            </c:dLbl>
            <c:dLbl>
              <c:idx val="20"/>
              <c:tx>
                <c:rich>
                  <a:bodyPr/>
                  <a:lstStyle/>
                  <a:p>
                    <a:fld id="{8CC00ADD-2E77-401A-8994-18D54CD34317}"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8-1D4D-46AB-ABF3-0F278182F1F6}"/>
                </c:ext>
              </c:extLst>
            </c:dLbl>
            <c:dLbl>
              <c:idx val="21"/>
              <c:tx>
                <c:rich>
                  <a:bodyPr/>
                  <a:lstStyle/>
                  <a:p>
                    <a:fld id="{66C77A73-2BA5-4860-A387-E3C40B605A3E}"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9-1D4D-46AB-ABF3-0F278182F1F6}"/>
                </c:ext>
              </c:extLst>
            </c:dLbl>
            <c:dLbl>
              <c:idx val="22"/>
              <c:tx>
                <c:rich>
                  <a:bodyPr/>
                  <a:lstStyle/>
                  <a:p>
                    <a:fld id="{8EEB5894-2067-4FCA-87CA-9297FFA51A90}"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A-1D4D-46AB-ABF3-0F278182F1F6}"/>
                </c:ext>
              </c:extLst>
            </c:dLbl>
            <c:dLbl>
              <c:idx val="23"/>
              <c:tx>
                <c:rich>
                  <a:bodyPr/>
                  <a:lstStyle/>
                  <a:p>
                    <a:fld id="{40B00E19-2E44-4EFE-B241-A0C9C906318B}"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B-1D4D-46AB-ABF3-0F278182F1F6}"/>
                </c:ext>
              </c:extLst>
            </c:dLbl>
            <c:dLbl>
              <c:idx val="24"/>
              <c:tx>
                <c:rich>
                  <a:bodyPr/>
                  <a:lstStyle/>
                  <a:p>
                    <a:fld id="{32ECCD36-93D9-4071-97F8-3CDD59F4F385}"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C-1D4D-46AB-ABF3-0F278182F1F6}"/>
                </c:ext>
              </c:extLst>
            </c:dLbl>
            <c:dLbl>
              <c:idx val="25"/>
              <c:tx>
                <c:rich>
                  <a:bodyPr/>
                  <a:lstStyle/>
                  <a:p>
                    <a:fld id="{3743C9DD-5130-48CD-8C9E-B9B4E50B1BDE}"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D-1D4D-46AB-ABF3-0F278182F1F6}"/>
                </c:ext>
              </c:extLst>
            </c:dLbl>
            <c:dLbl>
              <c:idx val="26"/>
              <c:tx>
                <c:rich>
                  <a:bodyPr/>
                  <a:lstStyle/>
                  <a:p>
                    <a:fld id="{C96E5CA1-74BA-4990-8AF5-AB6CCEBB4B87}"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E-1D4D-46AB-ABF3-0F278182F1F6}"/>
                </c:ext>
              </c:extLst>
            </c:dLbl>
            <c:dLbl>
              <c:idx val="27"/>
              <c:tx>
                <c:rich>
                  <a:bodyPr/>
                  <a:lstStyle/>
                  <a:p>
                    <a:fld id="{8DD2E21A-B36F-48C5-95F0-5BAC6B4A8660}"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F-1D4D-46AB-ABF3-0F278182F1F6}"/>
                </c:ext>
              </c:extLst>
            </c:dLbl>
            <c:dLbl>
              <c:idx val="28"/>
              <c:tx>
                <c:rich>
                  <a:bodyPr/>
                  <a:lstStyle/>
                  <a:p>
                    <a:fld id="{D7677FCC-C553-49AF-809F-2B1BB1CED46B}"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0-1D4D-46AB-ABF3-0F278182F1F6}"/>
                </c:ext>
              </c:extLst>
            </c:dLbl>
            <c:dLbl>
              <c:idx val="29"/>
              <c:tx>
                <c:rich>
                  <a:bodyPr/>
                  <a:lstStyle/>
                  <a:p>
                    <a:fld id="{C93A9719-7BD4-4C50-B281-D20F731896D8}"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1-1D4D-46AB-ABF3-0F278182F1F6}"/>
                </c:ext>
              </c:extLst>
            </c:dLbl>
            <c:dLbl>
              <c:idx val="30"/>
              <c:tx>
                <c:rich>
                  <a:bodyPr/>
                  <a:lstStyle/>
                  <a:p>
                    <a:fld id="{EC990D36-040C-49CD-A8CB-E5EE12DCF850}"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2-1D4D-46AB-ABF3-0F278182F1F6}"/>
                </c:ext>
              </c:extLst>
            </c:dLbl>
            <c:dLbl>
              <c:idx val="31"/>
              <c:tx>
                <c:rich>
                  <a:bodyPr/>
                  <a:lstStyle/>
                  <a:p>
                    <a:fld id="{755D8B66-8831-4F39-8888-1559444E9ABE}"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3-1D4D-46AB-ABF3-0F278182F1F6}"/>
                </c:ext>
              </c:extLst>
            </c:dLbl>
            <c:spPr>
              <a:noFill/>
              <a:ln>
                <a:noFill/>
              </a:ln>
              <a:effectLst/>
            </c:spPr>
            <c:txPr>
              <a:bodyPr rot="0" spcFirstLastPara="1" vertOverflow="ellipsis" vert="horz" wrap="square" anchor="ctr" anchorCtr="1"/>
              <a:lstStyle/>
              <a:p>
                <a:pPr>
                  <a:defRPr sz="500" b="0" i="0" u="none" strike="noStrike" kern="1200" baseline="0">
                    <a:solidFill>
                      <a:schemeClr val="tx2"/>
                    </a:solidFill>
                    <a:latin typeface="+mn-lt"/>
                    <a:ea typeface="+mn-ea"/>
                    <a:cs typeface="+mn-cs"/>
                  </a:defRPr>
                </a:pPr>
                <a:endParaRPr lang="en-US"/>
              </a:p>
            </c:txPr>
            <c:dLblPos val="t"/>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0"/>
              </c:ext>
            </c:extLst>
          </c:dLbls>
          <c:cat>
            <c:numRef>
              <c:f>'Prerađivačka_6 graf'!$C$44:$C$75</c:f>
              <c:numCache>
                <c:formatCode>yyyy</c:formatCode>
                <c:ptCount val="32"/>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numCache>
            </c:numRef>
          </c:cat>
          <c:val>
            <c:numRef>
              <c:f>'Prerađivačka_6 graf'!$AG$44:$AG$75</c:f>
              <c:numCache>
                <c:formatCode>General</c:formatCode>
                <c:ptCount val="32"/>
                <c:pt idx="0">
                  <c:v>40</c:v>
                </c:pt>
                <c:pt idx="1">
                  <c:v>40</c:v>
                </c:pt>
                <c:pt idx="2">
                  <c:v>40</c:v>
                </c:pt>
                <c:pt idx="3">
                  <c:v>40</c:v>
                </c:pt>
                <c:pt idx="4">
                  <c:v>40</c:v>
                </c:pt>
                <c:pt idx="5">
                  <c:v>40</c:v>
                </c:pt>
                <c:pt idx="6">
                  <c:v>40</c:v>
                </c:pt>
                <c:pt idx="7">
                  <c:v>40</c:v>
                </c:pt>
                <c:pt idx="8">
                  <c:v>40</c:v>
                </c:pt>
                <c:pt idx="9">
                  <c:v>40</c:v>
                </c:pt>
                <c:pt idx="10">
                  <c:v>40</c:v>
                </c:pt>
                <c:pt idx="11">
                  <c:v>40</c:v>
                </c:pt>
                <c:pt idx="12">
                  <c:v>40</c:v>
                </c:pt>
                <c:pt idx="13">
                  <c:v>40</c:v>
                </c:pt>
                <c:pt idx="14">
                  <c:v>40</c:v>
                </c:pt>
                <c:pt idx="15">
                  <c:v>40</c:v>
                </c:pt>
                <c:pt idx="16">
                  <c:v>40</c:v>
                </c:pt>
                <c:pt idx="17">
                  <c:v>40</c:v>
                </c:pt>
                <c:pt idx="18">
                  <c:v>40</c:v>
                </c:pt>
                <c:pt idx="19">
                  <c:v>40</c:v>
                </c:pt>
                <c:pt idx="20">
                  <c:v>40</c:v>
                </c:pt>
                <c:pt idx="21">
                  <c:v>40</c:v>
                </c:pt>
                <c:pt idx="22">
                  <c:v>40</c:v>
                </c:pt>
                <c:pt idx="23">
                  <c:v>40</c:v>
                </c:pt>
                <c:pt idx="24">
                  <c:v>40</c:v>
                </c:pt>
                <c:pt idx="25">
                  <c:v>40</c:v>
                </c:pt>
                <c:pt idx="26">
                  <c:v>40</c:v>
                </c:pt>
                <c:pt idx="27">
                  <c:v>40</c:v>
                </c:pt>
                <c:pt idx="28">
                  <c:v>40</c:v>
                </c:pt>
                <c:pt idx="29">
                  <c:v>40</c:v>
                </c:pt>
                <c:pt idx="30">
                  <c:v>40</c:v>
                </c:pt>
                <c:pt idx="31">
                  <c:v>40</c:v>
                </c:pt>
              </c:numCache>
            </c:numRef>
          </c:val>
          <c:smooth val="0"/>
          <c:extLst>
            <c:ext xmlns:c15="http://schemas.microsoft.com/office/drawing/2012/chart" uri="{02D57815-91ED-43cb-92C2-25804820EDAC}">
              <c15:datalabelsRange>
                <c15:f>'Prerađivačka_6 graf'!$E$44:$E$75</c15:f>
                <c15:dlblRangeCache>
                  <c:ptCount val="32"/>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pt idx="24">
                    <c:v>I</c:v>
                  </c:pt>
                  <c:pt idx="25">
                    <c:v>II</c:v>
                  </c:pt>
                  <c:pt idx="26">
                    <c:v>III</c:v>
                  </c:pt>
                  <c:pt idx="27">
                    <c:v>IV</c:v>
                  </c:pt>
                  <c:pt idx="28">
                    <c:v>V</c:v>
                  </c:pt>
                  <c:pt idx="29">
                    <c:v>VI</c:v>
                  </c:pt>
                  <c:pt idx="30">
                    <c:v>VII</c:v>
                  </c:pt>
                  <c:pt idx="31">
                    <c:v>VIII</c:v>
                  </c:pt>
                </c15:dlblRangeCache>
              </c15:datalabelsRange>
            </c:ext>
            <c:ext xmlns:c16="http://schemas.microsoft.com/office/drawing/2014/chart" uri="{C3380CC4-5D6E-409C-BE32-E72D297353CC}">
              <c16:uniqueId val="{00000024-1D4D-46AB-ABF3-0F278182F1F6}"/>
            </c:ext>
          </c:extLst>
        </c:ser>
        <c:ser>
          <c:idx val="0"/>
          <c:order val="2"/>
          <c:tx>
            <c:strRef>
              <c:f>'Prerađivačka_6 graf'!$AH$7</c:f>
              <c:strCache>
                <c:ptCount val="1"/>
                <c:pt idx="0">
                  <c:v>y</c:v>
                </c:pt>
              </c:strCache>
            </c:strRef>
          </c:tx>
          <c:spPr>
            <a:ln w="12700" cap="rnd">
              <a:solidFill>
                <a:srgbClr val="7F3F98"/>
              </a:solidFill>
              <a:prstDash val="sysDash"/>
              <a:round/>
            </a:ln>
            <a:effectLst/>
          </c:spPr>
          <c:marker>
            <c:symbol val="none"/>
          </c:marker>
          <c:cat>
            <c:numRef>
              <c:f>'Prerađivačka_6 graf'!$C$44:$C$75</c:f>
              <c:numCache>
                <c:formatCode>yyyy</c:formatCode>
                <c:ptCount val="32"/>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numCache>
            </c:numRef>
          </c:cat>
          <c:val>
            <c:numRef>
              <c:f>'Prerađivačka_6 graf'!$AH$44:$AH$75</c:f>
              <c:numCache>
                <c:formatCode>0.0</c:formatCode>
                <c:ptCount val="32"/>
                <c:pt idx="0">
                  <c:v>84.939031530462188</c:v>
                </c:pt>
                <c:pt idx="1">
                  <c:v>99.278094297621095</c:v>
                </c:pt>
                <c:pt idx="2">
                  <c:v>112.92011929137647</c:v>
                </c:pt>
                <c:pt idx="3">
                  <c:v>104.25693553621795</c:v>
                </c:pt>
                <c:pt idx="4">
                  <c:v>109.73366089867447</c:v>
                </c:pt>
                <c:pt idx="5">
                  <c:v>105.35228060870925</c:v>
                </c:pt>
                <c:pt idx="6">
                  <c:v>112.92011929137647</c:v>
                </c:pt>
                <c:pt idx="7">
                  <c:v>98.879786998533362</c:v>
                </c:pt>
                <c:pt idx="8">
                  <c:v>110.13196819776223</c:v>
                </c:pt>
                <c:pt idx="9">
                  <c:v>111.62562056934127</c:v>
                </c:pt>
                <c:pt idx="10">
                  <c:v>104.05778188667408</c:v>
                </c:pt>
                <c:pt idx="11">
                  <c:v>87.926336273620294</c:v>
                </c:pt>
                <c:pt idx="12">
                  <c:v>88.708036622583933</c:v>
                </c:pt>
                <c:pt idx="13">
                  <c:v>108.69565217391306</c:v>
                </c:pt>
                <c:pt idx="14">
                  <c:v>106.2381852551985</c:v>
                </c:pt>
                <c:pt idx="15">
                  <c:v>52.696078431372548</c:v>
                </c:pt>
                <c:pt idx="16">
                  <c:v>87.007544006705785</c:v>
                </c:pt>
                <c:pt idx="17">
                  <c:v>98.764342453662849</c:v>
                </c:pt>
                <c:pt idx="18">
                  <c:v>105.28893241919688</c:v>
                </c:pt>
                <c:pt idx="19">
                  <c:v>102.98507462686565</c:v>
                </c:pt>
                <c:pt idx="20">
                  <c:v>118.61307572882522</c:v>
                </c:pt>
                <c:pt idx="21">
                  <c:v>119.7515956529239</c:v>
                </c:pt>
                <c:pt idx="22">
                  <c:v>111.26444712782471</c:v>
                </c:pt>
                <c:pt idx="23">
                  <c:v>102.88080041400723</c:v>
                </c:pt>
                <c:pt idx="24">
                  <c:v>87.2</c:v>
                </c:pt>
                <c:pt idx="25">
                  <c:v>105</c:v>
                </c:pt>
                <c:pt idx="26">
                  <c:v>112.4</c:v>
                </c:pt>
                <c:pt idx="27">
                  <c:v>107.5</c:v>
                </c:pt>
                <c:pt idx="28">
                  <c:v>103.8</c:v>
                </c:pt>
                <c:pt idx="29">
                  <c:v>111.9</c:v>
                </c:pt>
                <c:pt idx="30">
                  <c:v>107.4</c:v>
                </c:pt>
                <c:pt idx="31">
                  <c:v>96.6</c:v>
                </c:pt>
              </c:numCache>
            </c:numRef>
          </c:val>
          <c:smooth val="0"/>
          <c:extLst>
            <c:ext xmlns:c16="http://schemas.microsoft.com/office/drawing/2014/chart" uri="{C3380CC4-5D6E-409C-BE32-E72D297353CC}">
              <c16:uniqueId val="{00000025-1D4D-46AB-ABF3-0F278182F1F6}"/>
            </c:ext>
          </c:extLst>
        </c:ser>
        <c:ser>
          <c:idx val="1"/>
          <c:order val="3"/>
          <c:tx>
            <c:strRef>
              <c:f>'Prerađivačka_6 graf'!$AI$7</c:f>
              <c:strCache>
                <c:ptCount val="1"/>
                <c:pt idx="0">
                  <c:v>sa</c:v>
                </c:pt>
              </c:strCache>
            </c:strRef>
          </c:tx>
          <c:spPr>
            <a:ln w="22225" cap="rnd">
              <a:solidFill>
                <a:srgbClr val="25AAE1"/>
              </a:solidFill>
              <a:round/>
            </a:ln>
            <a:effectLst/>
          </c:spPr>
          <c:marker>
            <c:symbol val="none"/>
          </c:marker>
          <c:cat>
            <c:numRef>
              <c:f>'Prerađivačka_6 graf'!$C$44:$C$75</c:f>
              <c:numCache>
                <c:formatCode>yyyy</c:formatCode>
                <c:ptCount val="32"/>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numCache>
            </c:numRef>
          </c:cat>
          <c:val>
            <c:numRef>
              <c:f>'Prerađivačka_6 graf'!$AI$44:$AI$75</c:f>
              <c:numCache>
                <c:formatCode>0.0</c:formatCode>
                <c:ptCount val="32"/>
                <c:pt idx="0">
                  <c:v>101.77640823531671</c:v>
                </c:pt>
                <c:pt idx="1">
                  <c:v>101.26974820845261</c:v>
                </c:pt>
                <c:pt idx="2">
                  <c:v>104.62362199168109</c:v>
                </c:pt>
                <c:pt idx="3">
                  <c:v>104.59091827373076</c:v>
                </c:pt>
                <c:pt idx="4">
                  <c:v>108.24799513359034</c:v>
                </c:pt>
                <c:pt idx="5">
                  <c:v>102.86507272258388</c:v>
                </c:pt>
                <c:pt idx="6">
                  <c:v>106.44276210198534</c:v>
                </c:pt>
                <c:pt idx="7">
                  <c:v>102.06201108205215</c:v>
                </c:pt>
                <c:pt idx="8">
                  <c:v>103.17233512936339</c:v>
                </c:pt>
                <c:pt idx="9">
                  <c:v>101.72247575240553</c:v>
                </c:pt>
                <c:pt idx="10">
                  <c:v>104.68574180430585</c:v>
                </c:pt>
                <c:pt idx="11">
                  <c:v>100.33490217583932</c:v>
                </c:pt>
                <c:pt idx="12">
                  <c:v>106.15046486736868</c:v>
                </c:pt>
                <c:pt idx="13">
                  <c:v>104.15844592969384</c:v>
                </c:pt>
                <c:pt idx="14">
                  <c:v>97.722842048339302</c:v>
                </c:pt>
                <c:pt idx="15">
                  <c:v>52.890481284577959</c:v>
                </c:pt>
                <c:pt idx="16">
                  <c:v>88.206470634335432</c:v>
                </c:pt>
                <c:pt idx="17">
                  <c:v>94.546858036960217</c:v>
                </c:pt>
                <c:pt idx="18">
                  <c:v>99.655147449005668</c:v>
                </c:pt>
                <c:pt idx="19">
                  <c:v>108.51355041967794</c:v>
                </c:pt>
                <c:pt idx="20">
                  <c:v>108.85296511424421</c:v>
                </c:pt>
                <c:pt idx="21">
                  <c:v>110.00557413736944</c:v>
                </c:pt>
                <c:pt idx="22">
                  <c:v>110.56395365183532</c:v>
                </c:pt>
                <c:pt idx="23">
                  <c:v>115.40832393685838</c:v>
                </c:pt>
                <c:pt idx="24">
                  <c:v>105.48591766158945</c:v>
                </c:pt>
                <c:pt idx="25">
                  <c:v>107.11300959056013</c:v>
                </c:pt>
                <c:pt idx="26">
                  <c:v>102.56637247974999</c:v>
                </c:pt>
                <c:pt idx="27">
                  <c:v>108.26907092488301</c:v>
                </c:pt>
                <c:pt idx="28">
                  <c:v>103.22446502517867</c:v>
                </c:pt>
                <c:pt idx="29">
                  <c:v>107.68670855856682</c:v>
                </c:pt>
                <c:pt idx="30">
                  <c:v>103.5915851314445</c:v>
                </c:pt>
                <c:pt idx="31">
                  <c:v>100.69206942929921</c:v>
                </c:pt>
              </c:numCache>
            </c:numRef>
          </c:val>
          <c:smooth val="0"/>
          <c:extLst>
            <c:ext xmlns:c16="http://schemas.microsoft.com/office/drawing/2014/chart" uri="{C3380CC4-5D6E-409C-BE32-E72D297353CC}">
              <c16:uniqueId val="{00000026-1D4D-46AB-ABF3-0F278182F1F6}"/>
            </c:ext>
          </c:extLst>
        </c:ser>
        <c:ser>
          <c:idx val="2"/>
          <c:order val="4"/>
          <c:tx>
            <c:strRef>
              <c:f>'Prerađivačka_6 graf'!$AJ$7</c:f>
              <c:strCache>
                <c:ptCount val="1"/>
                <c:pt idx="0">
                  <c:v>t</c:v>
                </c:pt>
              </c:strCache>
            </c:strRef>
          </c:tx>
          <c:spPr>
            <a:ln w="25400" cap="rnd">
              <a:solidFill>
                <a:srgbClr val="FF0000"/>
              </a:solidFill>
              <a:round/>
            </a:ln>
            <a:effectLst/>
          </c:spPr>
          <c:marker>
            <c:symbol val="none"/>
          </c:marker>
          <c:cat>
            <c:numRef>
              <c:f>'Prerađivačka_6 graf'!$C$44:$C$75</c:f>
              <c:numCache>
                <c:formatCode>yyyy</c:formatCode>
                <c:ptCount val="32"/>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numCache>
            </c:numRef>
          </c:cat>
          <c:val>
            <c:numRef>
              <c:f>'Prerađivačka_6 graf'!$AJ$44:$AJ$75</c:f>
              <c:numCache>
                <c:formatCode>0.0</c:formatCode>
                <c:ptCount val="32"/>
                <c:pt idx="0">
                  <c:v>100.78551601098646</c:v>
                </c:pt>
                <c:pt idx="1">
                  <c:v>102.18722031778385</c:v>
                </c:pt>
                <c:pt idx="2">
                  <c:v>103.70431643974014</c:v>
                </c:pt>
                <c:pt idx="3">
                  <c:v>104.8770595622092</c:v>
                </c:pt>
                <c:pt idx="4">
                  <c:v>105.36894951859033</c:v>
                </c:pt>
                <c:pt idx="5">
                  <c:v>105.19493279053421</c:v>
                </c:pt>
                <c:pt idx="6">
                  <c:v>104.56314202842775</c:v>
                </c:pt>
                <c:pt idx="7">
                  <c:v>103.79862700882127</c:v>
                </c:pt>
                <c:pt idx="8">
                  <c:v>103.18383602835986</c:v>
                </c:pt>
                <c:pt idx="9">
                  <c:v>102.87660844182895</c:v>
                </c:pt>
                <c:pt idx="10">
                  <c:v>102.66554336245022</c:v>
                </c:pt>
                <c:pt idx="11">
                  <c:v>102.2942454864354</c:v>
                </c:pt>
                <c:pt idx="12">
                  <c:v>101.45728745325283</c:v>
                </c:pt>
                <c:pt idx="13">
                  <c:v>100.13183416462952</c:v>
                </c:pt>
                <c:pt idx="14">
                  <c:v>98.537028581295075</c:v>
                </c:pt>
                <c:pt idx="15">
                  <c:v>97.374187449435382</c:v>
                </c:pt>
                <c:pt idx="16">
                  <c:v>97.252129891993121</c:v>
                </c:pt>
                <c:pt idx="17">
                  <c:v>98.534836756649952</c:v>
                </c:pt>
                <c:pt idx="18">
                  <c:v>101.09620493574522</c:v>
                </c:pt>
                <c:pt idx="19">
                  <c:v>104.30314800683361</c:v>
                </c:pt>
                <c:pt idx="20">
                  <c:v>107.17554148232458</c:v>
                </c:pt>
                <c:pt idx="21">
                  <c:v>108.93357076945836</c:v>
                </c:pt>
                <c:pt idx="22">
                  <c:v>109.47566440952292</c:v>
                </c:pt>
                <c:pt idx="23">
                  <c:v>108.94234949504038</c:v>
                </c:pt>
                <c:pt idx="24">
                  <c:v>107.91022172425019</c:v>
                </c:pt>
                <c:pt idx="25">
                  <c:v>107.03110599215717</c:v>
                </c:pt>
                <c:pt idx="26">
                  <c:v>106.46515892922076</c:v>
                </c:pt>
                <c:pt idx="27">
                  <c:v>106.02264449988722</c:v>
                </c:pt>
                <c:pt idx="28">
                  <c:v>105.48292021042889</c:v>
                </c:pt>
                <c:pt idx="29">
                  <c:v>104.64469586531817</c:v>
                </c:pt>
                <c:pt idx="30">
                  <c:v>103.60585268308863</c:v>
                </c:pt>
                <c:pt idx="31">
                  <c:v>102.67186801351107</c:v>
                </c:pt>
              </c:numCache>
            </c:numRef>
          </c:val>
          <c:smooth val="0"/>
          <c:extLst>
            <c:ext xmlns:c16="http://schemas.microsoft.com/office/drawing/2014/chart" uri="{C3380CC4-5D6E-409C-BE32-E72D297353CC}">
              <c16:uniqueId val="{00000027-1D4D-46AB-ABF3-0F278182F1F6}"/>
            </c:ext>
          </c:extLst>
        </c:ser>
        <c:dLbls>
          <c:showLegendKey val="0"/>
          <c:showVal val="0"/>
          <c:showCatName val="0"/>
          <c:showSerName val="0"/>
          <c:showPercent val="0"/>
          <c:showBubbleSize val="0"/>
        </c:dLbls>
        <c:marker val="1"/>
        <c:smooth val="0"/>
        <c:axId val="2092125712"/>
        <c:axId val="2092128432"/>
      </c:lineChart>
      <c:dateAx>
        <c:axId val="2092125712"/>
        <c:scaling>
          <c:orientation val="minMax"/>
        </c:scaling>
        <c:delete val="0"/>
        <c:axPos val="b"/>
        <c:numFmt formatCode="yyyy" sourceLinked="1"/>
        <c:majorTickMark val="none"/>
        <c:minorTickMark val="none"/>
        <c:tickLblPos val="none"/>
        <c:spPr>
          <a:noFill/>
          <a:ln w="6350" cap="flat" cmpd="sng" algn="ctr">
            <a:solidFill>
              <a:srgbClr val="898989"/>
            </a:solidFill>
            <a:round/>
          </a:ln>
          <a:effectLst/>
        </c:spPr>
        <c:txPr>
          <a:bodyPr rot="0" spcFirstLastPara="1" vertOverflow="ellipsis" wrap="square" anchor="ctr" anchorCtr="1"/>
          <a:lstStyle/>
          <a:p>
            <a:pPr algn="ctr">
              <a:defRPr sz="750" b="0" i="0" u="none" strike="noStrike" kern="1200" baseline="0">
                <a:solidFill>
                  <a:schemeClr val="tx2"/>
                </a:solidFill>
                <a:latin typeface="+mn-lt"/>
                <a:ea typeface="+mn-ea"/>
                <a:cs typeface="+mn-cs"/>
              </a:defRPr>
            </a:pPr>
            <a:endParaRPr lang="en-US"/>
          </a:p>
        </c:txPr>
        <c:crossAx val="2092128432"/>
        <c:crosses val="autoZero"/>
        <c:auto val="1"/>
        <c:lblOffset val="0"/>
        <c:baseTimeUnit val="months"/>
        <c:majorUnit val="12"/>
        <c:majorTimeUnit val="months"/>
      </c:dateAx>
      <c:valAx>
        <c:axId val="2092128432"/>
        <c:scaling>
          <c:orientation val="minMax"/>
          <c:max val="120"/>
          <c:min val="40"/>
        </c:scaling>
        <c:delete val="0"/>
        <c:axPos val="l"/>
        <c:numFmt formatCode="0" sourceLinked="0"/>
        <c:majorTickMark val="out"/>
        <c:minorTickMark val="none"/>
        <c:tickLblPos val="nextTo"/>
        <c:spPr>
          <a:noFill/>
          <a:ln w="6350">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2092125712"/>
        <c:crosses val="autoZero"/>
        <c:crossBetween val="midCat"/>
        <c:majorUnit val="10"/>
      </c:valAx>
      <c:spPr>
        <a:solidFill>
          <a:sysClr val="window" lastClr="FFFFFF"/>
        </a:solidFill>
        <a:ln>
          <a:noFill/>
        </a:ln>
        <a:effectLst/>
      </c:spPr>
    </c:plotArea>
    <c:plotVisOnly val="1"/>
    <c:dispBlanksAs val="gap"/>
    <c:showDLblsOverMax val="0"/>
  </c:chart>
  <c:spPr>
    <a:solidFill>
      <a:schemeClr val="bg1"/>
    </a:solidFill>
    <a:ln w="9525" cap="flat" cmpd="sng" algn="ctr">
      <a:noFill/>
      <a:round/>
    </a:ln>
    <a:effectLst/>
  </c:spPr>
  <c:txPr>
    <a:bodyPr/>
    <a:lstStyle/>
    <a:p>
      <a:pPr>
        <a:defRPr sz="750">
          <a:solidFill>
            <a:schemeClr val="tx2"/>
          </a:solidFill>
          <a:latin typeface="+mn-lt"/>
        </a:defRPr>
      </a:pPr>
      <a:endParaRPr lang="en-US"/>
    </a:p>
  </c:txPr>
  <c:externalData r:id="rId4">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8583366760262072E-2"/>
          <c:y val="6.5355171586273103E-2"/>
          <c:w val="0.88461960155100949"/>
          <c:h val="0.84012119030477561"/>
        </c:manualLayout>
      </c:layout>
      <c:lineChart>
        <c:grouping val="standard"/>
        <c:varyColors val="0"/>
        <c:ser>
          <c:idx val="3"/>
          <c:order val="0"/>
          <c:tx>
            <c:strRef>
              <c:f>'Prerađivačka_6 graf'!$AP$7</c:f>
              <c:strCache>
                <c:ptCount val="1"/>
                <c:pt idx="0">
                  <c:v>Series4</c:v>
                </c:pt>
              </c:strCache>
            </c:strRef>
          </c:tx>
          <c:spPr>
            <a:ln w="28575" cap="rnd">
              <a:solidFill>
                <a:schemeClr val="accent4"/>
              </a:solidFill>
              <a:round/>
            </a:ln>
            <a:effectLst/>
          </c:spPr>
          <c:marker>
            <c:symbol val="square"/>
            <c:size val="2"/>
            <c:spPr>
              <a:solidFill>
                <a:sysClr val="window" lastClr="FFFFFF"/>
              </a:solidFill>
              <a:ln w="9525">
                <a:noFill/>
              </a:ln>
              <a:effectLst/>
            </c:spPr>
          </c:marker>
          <c:dLbls>
            <c:dLbl>
              <c:idx val="0"/>
              <c:layout>
                <c:manualLayout>
                  <c:x val="9.8981428201189811E-2"/>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0-9BCC-470A-84A5-99AECFCB5D55}"/>
                </c:ext>
              </c:extLst>
            </c:dLbl>
            <c:dLbl>
              <c:idx val="12"/>
              <c:layout>
                <c:manualLayout>
                  <c:x val="0.10327896590585478"/>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BCC-470A-84A5-99AECFCB5D55}"/>
                </c:ext>
              </c:extLst>
            </c:dLbl>
            <c:dLbl>
              <c:idx val="24"/>
              <c:layout>
                <c:manualLayout>
                  <c:x val="4.4189206536824739E-2"/>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2-9BCC-470A-84A5-99AECFCB5D55}"/>
                </c:ext>
              </c:extLst>
            </c:dLbl>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tx2"/>
                    </a:solidFill>
                    <a:latin typeface="+mn-lt"/>
                    <a:ea typeface="+mn-ea"/>
                    <a:cs typeface="+mn-cs"/>
                  </a:defRPr>
                </a:pPr>
                <a:endParaRPr lang="en-U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'Prerađivačka_6 graf'!$C$44:$C$75</c:f>
              <c:numCache>
                <c:formatCode>yyyy</c:formatCode>
                <c:ptCount val="32"/>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numCache>
            </c:numRef>
          </c:cat>
          <c:val>
            <c:numRef>
              <c:f>'Prerađivačka_6 graf'!$AP$44:$AP$75</c:f>
              <c:numCache>
                <c:formatCode>General</c:formatCode>
                <c:ptCount val="32"/>
                <c:pt idx="0">
                  <c:v>0</c:v>
                </c:pt>
                <c:pt idx="12">
                  <c:v>0</c:v>
                </c:pt>
                <c:pt idx="24">
                  <c:v>0</c:v>
                </c:pt>
              </c:numCache>
            </c:numRef>
          </c:val>
          <c:smooth val="0"/>
          <c:extLst>
            <c:ext xmlns:c16="http://schemas.microsoft.com/office/drawing/2014/chart" uri="{C3380CC4-5D6E-409C-BE32-E72D297353CC}">
              <c16:uniqueId val="{00000003-9BCC-470A-84A5-99AECFCB5D55}"/>
            </c:ext>
          </c:extLst>
        </c:ser>
        <c:ser>
          <c:idx val="4"/>
          <c:order val="1"/>
          <c:tx>
            <c:strRef>
              <c:f>'Prerađivačka_6 graf'!$AQ$7</c:f>
              <c:strCache>
                <c:ptCount val="1"/>
                <c:pt idx="0">
                  <c:v>Series5</c:v>
                </c:pt>
              </c:strCache>
            </c:strRef>
          </c:tx>
          <c:spPr>
            <a:ln w="25400" cap="rnd">
              <a:noFill/>
              <a:round/>
            </a:ln>
            <a:effectLst/>
          </c:spPr>
          <c:marker>
            <c:symbol val="none"/>
          </c:marker>
          <c:dLbls>
            <c:dLbl>
              <c:idx val="0"/>
              <c:tx>
                <c:rich>
                  <a:bodyPr/>
                  <a:lstStyle/>
                  <a:p>
                    <a:fld id="{226E6639-488B-4F7A-832D-A5E2E7E4D90C}"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4-9BCC-470A-84A5-99AECFCB5D55}"/>
                </c:ext>
              </c:extLst>
            </c:dLbl>
            <c:dLbl>
              <c:idx val="1"/>
              <c:tx>
                <c:rich>
                  <a:bodyPr/>
                  <a:lstStyle/>
                  <a:p>
                    <a:fld id="{F115E561-32A6-4889-BF84-75DC30F0B5F8}"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5-9BCC-470A-84A5-99AECFCB5D55}"/>
                </c:ext>
              </c:extLst>
            </c:dLbl>
            <c:dLbl>
              <c:idx val="2"/>
              <c:tx>
                <c:rich>
                  <a:bodyPr/>
                  <a:lstStyle/>
                  <a:p>
                    <a:fld id="{441915C2-78D1-489E-B42A-DDEAE5B5E0B9}"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6-9BCC-470A-84A5-99AECFCB5D55}"/>
                </c:ext>
              </c:extLst>
            </c:dLbl>
            <c:dLbl>
              <c:idx val="3"/>
              <c:tx>
                <c:rich>
                  <a:bodyPr/>
                  <a:lstStyle/>
                  <a:p>
                    <a:fld id="{6CE7FD3E-F9A0-4DB3-A89C-F40B25FB95D4}"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7-9BCC-470A-84A5-99AECFCB5D55}"/>
                </c:ext>
              </c:extLst>
            </c:dLbl>
            <c:dLbl>
              <c:idx val="4"/>
              <c:tx>
                <c:rich>
                  <a:bodyPr/>
                  <a:lstStyle/>
                  <a:p>
                    <a:fld id="{45FAE318-1ACC-4998-9B05-7C91D06CDC56}"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8-9BCC-470A-84A5-99AECFCB5D55}"/>
                </c:ext>
              </c:extLst>
            </c:dLbl>
            <c:dLbl>
              <c:idx val="5"/>
              <c:tx>
                <c:rich>
                  <a:bodyPr/>
                  <a:lstStyle/>
                  <a:p>
                    <a:fld id="{64D0F266-4C9C-43B0-B4C6-9E892B04F507}"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9-9BCC-470A-84A5-99AECFCB5D55}"/>
                </c:ext>
              </c:extLst>
            </c:dLbl>
            <c:dLbl>
              <c:idx val="6"/>
              <c:tx>
                <c:rich>
                  <a:bodyPr/>
                  <a:lstStyle/>
                  <a:p>
                    <a:fld id="{77BACC21-B37D-489E-A491-F0881C185963}"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A-9BCC-470A-84A5-99AECFCB5D55}"/>
                </c:ext>
              </c:extLst>
            </c:dLbl>
            <c:dLbl>
              <c:idx val="7"/>
              <c:tx>
                <c:rich>
                  <a:bodyPr/>
                  <a:lstStyle/>
                  <a:p>
                    <a:fld id="{A0C4784C-69E2-4158-AAF6-497174111588}"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B-9BCC-470A-84A5-99AECFCB5D55}"/>
                </c:ext>
              </c:extLst>
            </c:dLbl>
            <c:dLbl>
              <c:idx val="8"/>
              <c:tx>
                <c:rich>
                  <a:bodyPr/>
                  <a:lstStyle/>
                  <a:p>
                    <a:fld id="{BFA2BF72-AE3E-423A-B142-22CB2749BFF0}"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C-9BCC-470A-84A5-99AECFCB5D55}"/>
                </c:ext>
              </c:extLst>
            </c:dLbl>
            <c:dLbl>
              <c:idx val="9"/>
              <c:tx>
                <c:rich>
                  <a:bodyPr/>
                  <a:lstStyle/>
                  <a:p>
                    <a:fld id="{5589F1F4-43F3-4A9A-BE5C-36975C7FB09A}"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D-9BCC-470A-84A5-99AECFCB5D55}"/>
                </c:ext>
              </c:extLst>
            </c:dLbl>
            <c:dLbl>
              <c:idx val="10"/>
              <c:tx>
                <c:rich>
                  <a:bodyPr/>
                  <a:lstStyle/>
                  <a:p>
                    <a:fld id="{5AB5DE6C-EAE7-4C58-BD4A-462A1D7D3407}"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E-9BCC-470A-84A5-99AECFCB5D55}"/>
                </c:ext>
              </c:extLst>
            </c:dLbl>
            <c:dLbl>
              <c:idx val="11"/>
              <c:tx>
                <c:rich>
                  <a:bodyPr/>
                  <a:lstStyle/>
                  <a:p>
                    <a:fld id="{E351A0AA-5CB6-41F6-A6FC-8B88878A6330}"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F-9BCC-470A-84A5-99AECFCB5D55}"/>
                </c:ext>
              </c:extLst>
            </c:dLbl>
            <c:dLbl>
              <c:idx val="12"/>
              <c:tx>
                <c:rich>
                  <a:bodyPr/>
                  <a:lstStyle/>
                  <a:p>
                    <a:fld id="{FC40E14F-3170-4050-A38D-733203D57D0D}"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0-9BCC-470A-84A5-99AECFCB5D55}"/>
                </c:ext>
              </c:extLst>
            </c:dLbl>
            <c:dLbl>
              <c:idx val="13"/>
              <c:tx>
                <c:rich>
                  <a:bodyPr/>
                  <a:lstStyle/>
                  <a:p>
                    <a:fld id="{AF9AD821-CBBC-48C8-A850-45E5DA4795AF}"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1-9BCC-470A-84A5-99AECFCB5D55}"/>
                </c:ext>
              </c:extLst>
            </c:dLbl>
            <c:dLbl>
              <c:idx val="14"/>
              <c:tx>
                <c:rich>
                  <a:bodyPr/>
                  <a:lstStyle/>
                  <a:p>
                    <a:fld id="{3833A934-D635-4279-93BF-81A850ED0F8E}"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2-9BCC-470A-84A5-99AECFCB5D55}"/>
                </c:ext>
              </c:extLst>
            </c:dLbl>
            <c:dLbl>
              <c:idx val="15"/>
              <c:tx>
                <c:rich>
                  <a:bodyPr/>
                  <a:lstStyle/>
                  <a:p>
                    <a:fld id="{93F850EA-D14B-4FC6-BB51-68878DE4588B}"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3-9BCC-470A-84A5-99AECFCB5D55}"/>
                </c:ext>
              </c:extLst>
            </c:dLbl>
            <c:dLbl>
              <c:idx val="16"/>
              <c:tx>
                <c:rich>
                  <a:bodyPr/>
                  <a:lstStyle/>
                  <a:p>
                    <a:fld id="{AE13BA90-35F6-4FCD-ADBB-4F70E5AA3759}"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4-9BCC-470A-84A5-99AECFCB5D55}"/>
                </c:ext>
              </c:extLst>
            </c:dLbl>
            <c:dLbl>
              <c:idx val="17"/>
              <c:tx>
                <c:rich>
                  <a:bodyPr/>
                  <a:lstStyle/>
                  <a:p>
                    <a:fld id="{CEDEC348-E0A7-4637-A1E0-360C580E533B}"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5-9BCC-470A-84A5-99AECFCB5D55}"/>
                </c:ext>
              </c:extLst>
            </c:dLbl>
            <c:dLbl>
              <c:idx val="18"/>
              <c:tx>
                <c:rich>
                  <a:bodyPr/>
                  <a:lstStyle/>
                  <a:p>
                    <a:fld id="{ADF77925-EA75-40E8-9585-7CE86BABC77A}"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6-9BCC-470A-84A5-99AECFCB5D55}"/>
                </c:ext>
              </c:extLst>
            </c:dLbl>
            <c:dLbl>
              <c:idx val="19"/>
              <c:tx>
                <c:rich>
                  <a:bodyPr/>
                  <a:lstStyle/>
                  <a:p>
                    <a:fld id="{CFE622B5-1091-455B-BB0D-00D9B38BFF7D}"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7-9BCC-470A-84A5-99AECFCB5D55}"/>
                </c:ext>
              </c:extLst>
            </c:dLbl>
            <c:dLbl>
              <c:idx val="20"/>
              <c:tx>
                <c:rich>
                  <a:bodyPr/>
                  <a:lstStyle/>
                  <a:p>
                    <a:fld id="{B6E2CDB2-2B06-4E38-966F-21F38712D85E}"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8-9BCC-470A-84A5-99AECFCB5D55}"/>
                </c:ext>
              </c:extLst>
            </c:dLbl>
            <c:dLbl>
              <c:idx val="21"/>
              <c:tx>
                <c:rich>
                  <a:bodyPr/>
                  <a:lstStyle/>
                  <a:p>
                    <a:fld id="{608DCEA6-989C-409E-8D2C-CB627915577A}"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9-9BCC-470A-84A5-99AECFCB5D55}"/>
                </c:ext>
              </c:extLst>
            </c:dLbl>
            <c:dLbl>
              <c:idx val="22"/>
              <c:tx>
                <c:rich>
                  <a:bodyPr/>
                  <a:lstStyle/>
                  <a:p>
                    <a:fld id="{745B129C-9CC0-4920-A92F-52BD71D50793}"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A-9BCC-470A-84A5-99AECFCB5D55}"/>
                </c:ext>
              </c:extLst>
            </c:dLbl>
            <c:dLbl>
              <c:idx val="23"/>
              <c:tx>
                <c:rich>
                  <a:bodyPr/>
                  <a:lstStyle/>
                  <a:p>
                    <a:fld id="{4373869D-AD80-453D-9F4D-45E41E5FC203}"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B-9BCC-470A-84A5-99AECFCB5D55}"/>
                </c:ext>
              </c:extLst>
            </c:dLbl>
            <c:dLbl>
              <c:idx val="24"/>
              <c:tx>
                <c:rich>
                  <a:bodyPr/>
                  <a:lstStyle/>
                  <a:p>
                    <a:fld id="{7C5BC7F1-E125-4B5E-8894-AE5B75B02408}"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C-9BCC-470A-84A5-99AECFCB5D55}"/>
                </c:ext>
              </c:extLst>
            </c:dLbl>
            <c:dLbl>
              <c:idx val="25"/>
              <c:tx>
                <c:rich>
                  <a:bodyPr/>
                  <a:lstStyle/>
                  <a:p>
                    <a:fld id="{2D98C09B-AAB9-4DBD-8FD3-713360AC546E}"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D-9BCC-470A-84A5-99AECFCB5D55}"/>
                </c:ext>
              </c:extLst>
            </c:dLbl>
            <c:dLbl>
              <c:idx val="26"/>
              <c:tx>
                <c:rich>
                  <a:bodyPr/>
                  <a:lstStyle/>
                  <a:p>
                    <a:fld id="{78DA3467-C094-40A6-AD76-DCF10336E653}"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E-9BCC-470A-84A5-99AECFCB5D55}"/>
                </c:ext>
              </c:extLst>
            </c:dLbl>
            <c:dLbl>
              <c:idx val="27"/>
              <c:tx>
                <c:rich>
                  <a:bodyPr/>
                  <a:lstStyle/>
                  <a:p>
                    <a:fld id="{CB9C1240-A183-400A-945E-C37B0A9AF44C}"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F-9BCC-470A-84A5-99AECFCB5D55}"/>
                </c:ext>
              </c:extLst>
            </c:dLbl>
            <c:dLbl>
              <c:idx val="28"/>
              <c:tx>
                <c:rich>
                  <a:bodyPr/>
                  <a:lstStyle/>
                  <a:p>
                    <a:fld id="{9D47645E-0044-4177-B841-B2D41A7964FA}"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0-9BCC-470A-84A5-99AECFCB5D55}"/>
                </c:ext>
              </c:extLst>
            </c:dLbl>
            <c:dLbl>
              <c:idx val="29"/>
              <c:tx>
                <c:rich>
                  <a:bodyPr/>
                  <a:lstStyle/>
                  <a:p>
                    <a:fld id="{B5D14A98-CD12-477C-A791-FBFD1E17E535}"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1-9BCC-470A-84A5-99AECFCB5D55}"/>
                </c:ext>
              </c:extLst>
            </c:dLbl>
            <c:dLbl>
              <c:idx val="30"/>
              <c:tx>
                <c:rich>
                  <a:bodyPr/>
                  <a:lstStyle/>
                  <a:p>
                    <a:fld id="{D7F8B6D5-3648-4F02-B3EA-1E856C01135F}"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2-9BCC-470A-84A5-99AECFCB5D55}"/>
                </c:ext>
              </c:extLst>
            </c:dLbl>
            <c:dLbl>
              <c:idx val="31"/>
              <c:tx>
                <c:rich>
                  <a:bodyPr/>
                  <a:lstStyle/>
                  <a:p>
                    <a:fld id="{3ADC992E-C6BF-4CB1-808C-1D3E45F7AA57}"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3-9BCC-470A-84A5-99AECFCB5D55}"/>
                </c:ext>
              </c:extLst>
            </c:dLbl>
            <c:spPr>
              <a:noFill/>
              <a:ln>
                <a:noFill/>
              </a:ln>
              <a:effectLst/>
            </c:spPr>
            <c:txPr>
              <a:bodyPr rot="0" spcFirstLastPara="1" vertOverflow="ellipsis" vert="horz" wrap="square" lIns="38100" tIns="19050" rIns="38100" bIns="19050" anchor="ctr" anchorCtr="1">
                <a:spAutoFit/>
              </a:bodyPr>
              <a:lstStyle/>
              <a:p>
                <a:pPr>
                  <a:defRPr sz="500" b="0" i="0" u="none" strike="noStrike" kern="1200" baseline="0">
                    <a:solidFill>
                      <a:schemeClr val="tx2"/>
                    </a:solidFill>
                    <a:latin typeface="+mn-lt"/>
                    <a:ea typeface="+mn-ea"/>
                    <a:cs typeface="+mn-cs"/>
                  </a:defRPr>
                </a:pPr>
                <a:endParaRPr lang="en-US"/>
              </a:p>
            </c:txPr>
            <c:dLblPos val="t"/>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0"/>
              </c:ext>
            </c:extLst>
          </c:dLbls>
          <c:cat>
            <c:numRef>
              <c:f>'Prerađivačka_6 graf'!$C$44:$C$75</c:f>
              <c:numCache>
                <c:formatCode>yyyy</c:formatCode>
                <c:ptCount val="32"/>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numCache>
            </c:numRef>
          </c:cat>
          <c:val>
            <c:numRef>
              <c:f>'Prerađivačka_6 graf'!$AQ$44:$AQ$75</c:f>
              <c:numCache>
                <c:formatCode>General</c:formatCode>
                <c:ptCount val="32"/>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numCache>
            </c:numRef>
          </c:val>
          <c:smooth val="0"/>
          <c:extLst>
            <c:ext xmlns:c15="http://schemas.microsoft.com/office/drawing/2012/chart" uri="{02D57815-91ED-43cb-92C2-25804820EDAC}">
              <c15:datalabelsRange>
                <c15:f>'Prerađivačka_6 graf'!$E$44:$E$75</c15:f>
                <c15:dlblRangeCache>
                  <c:ptCount val="32"/>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pt idx="24">
                    <c:v>I</c:v>
                  </c:pt>
                  <c:pt idx="25">
                    <c:v>II</c:v>
                  </c:pt>
                  <c:pt idx="26">
                    <c:v>III</c:v>
                  </c:pt>
                  <c:pt idx="27">
                    <c:v>IV</c:v>
                  </c:pt>
                  <c:pt idx="28">
                    <c:v>V</c:v>
                  </c:pt>
                  <c:pt idx="29">
                    <c:v>VI</c:v>
                  </c:pt>
                  <c:pt idx="30">
                    <c:v>VII</c:v>
                  </c:pt>
                  <c:pt idx="31">
                    <c:v>VIII</c:v>
                  </c:pt>
                </c15:dlblRangeCache>
              </c15:datalabelsRange>
            </c:ext>
            <c:ext xmlns:c16="http://schemas.microsoft.com/office/drawing/2014/chart" uri="{C3380CC4-5D6E-409C-BE32-E72D297353CC}">
              <c16:uniqueId val="{00000024-9BCC-470A-84A5-99AECFCB5D55}"/>
            </c:ext>
          </c:extLst>
        </c:ser>
        <c:ser>
          <c:idx val="0"/>
          <c:order val="2"/>
          <c:tx>
            <c:strRef>
              <c:f>'Prerađivačka_6 graf'!$AR$7</c:f>
              <c:strCache>
                <c:ptCount val="1"/>
                <c:pt idx="0">
                  <c:v>y</c:v>
                </c:pt>
              </c:strCache>
            </c:strRef>
          </c:tx>
          <c:spPr>
            <a:ln w="12700" cap="rnd">
              <a:solidFill>
                <a:srgbClr val="7F3F98"/>
              </a:solidFill>
              <a:prstDash val="sysDash"/>
              <a:round/>
            </a:ln>
            <a:effectLst/>
          </c:spPr>
          <c:marker>
            <c:symbol val="none"/>
          </c:marker>
          <c:cat>
            <c:numRef>
              <c:f>'Prerađivačka_6 graf'!$C$44:$C$75</c:f>
              <c:numCache>
                <c:formatCode>yyyy</c:formatCode>
                <c:ptCount val="32"/>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numCache>
            </c:numRef>
          </c:cat>
          <c:val>
            <c:numRef>
              <c:f>'Prerađivačka_6 graf'!$AR$44:$AR$75</c:f>
              <c:numCache>
                <c:formatCode>0.0</c:formatCode>
                <c:ptCount val="32"/>
                <c:pt idx="0">
                  <c:v>122.36856851837763</c:v>
                </c:pt>
                <c:pt idx="1">
                  <c:v>140.25719400093706</c:v>
                </c:pt>
                <c:pt idx="2">
                  <c:v>141.42384348893006</c:v>
                </c:pt>
                <c:pt idx="3">
                  <c:v>146.86820776623077</c:v>
                </c:pt>
                <c:pt idx="4">
                  <c:v>164.49757780701398</c:v>
                </c:pt>
                <c:pt idx="5">
                  <c:v>138.5720336293916</c:v>
                </c:pt>
                <c:pt idx="6">
                  <c:v>98.776323316741255</c:v>
                </c:pt>
                <c:pt idx="7">
                  <c:v>84.776529460825174</c:v>
                </c:pt>
                <c:pt idx="8">
                  <c:v>139.86831083827275</c:v>
                </c:pt>
                <c:pt idx="9">
                  <c:v>143.10900386047553</c:v>
                </c:pt>
                <c:pt idx="10">
                  <c:v>125.99814470324475</c:v>
                </c:pt>
                <c:pt idx="11">
                  <c:v>93.591214481216781</c:v>
                </c:pt>
                <c:pt idx="12">
                  <c:v>115.01182033096926</c:v>
                </c:pt>
                <c:pt idx="13">
                  <c:v>125.18918918918918</c:v>
                </c:pt>
                <c:pt idx="14">
                  <c:v>102.56598240469208</c:v>
                </c:pt>
                <c:pt idx="15">
                  <c:v>27.697495183044317</c:v>
                </c:pt>
                <c:pt idx="16">
                  <c:v>49.10377358490566</c:v>
                </c:pt>
                <c:pt idx="17">
                  <c:v>79.627071823204403</c:v>
                </c:pt>
                <c:pt idx="18">
                  <c:v>95.755182625863782</c:v>
                </c:pt>
                <c:pt idx="19">
                  <c:v>78.445229681978788</c:v>
                </c:pt>
                <c:pt idx="20">
                  <c:v>135.27272727272725</c:v>
                </c:pt>
                <c:pt idx="21">
                  <c:v>135.27272727272725</c:v>
                </c:pt>
                <c:pt idx="22">
                  <c:v>128.72727272727272</c:v>
                </c:pt>
                <c:pt idx="23">
                  <c:v>119.35828877005346</c:v>
                </c:pt>
                <c:pt idx="24">
                  <c:v>97.3</c:v>
                </c:pt>
                <c:pt idx="25">
                  <c:v>115.8</c:v>
                </c:pt>
                <c:pt idx="26">
                  <c:v>139.9</c:v>
                </c:pt>
                <c:pt idx="27">
                  <c:v>115</c:v>
                </c:pt>
                <c:pt idx="28">
                  <c:v>104.1</c:v>
                </c:pt>
                <c:pt idx="29">
                  <c:v>115.3</c:v>
                </c:pt>
                <c:pt idx="30">
                  <c:v>97.2</c:v>
                </c:pt>
                <c:pt idx="31">
                  <c:v>66.599999999999994</c:v>
                </c:pt>
              </c:numCache>
            </c:numRef>
          </c:val>
          <c:smooth val="0"/>
          <c:extLst>
            <c:ext xmlns:c16="http://schemas.microsoft.com/office/drawing/2014/chart" uri="{C3380CC4-5D6E-409C-BE32-E72D297353CC}">
              <c16:uniqueId val="{00000025-9BCC-470A-84A5-99AECFCB5D55}"/>
            </c:ext>
          </c:extLst>
        </c:ser>
        <c:ser>
          <c:idx val="1"/>
          <c:order val="3"/>
          <c:tx>
            <c:strRef>
              <c:f>'Prerađivačka_6 graf'!$AS$7</c:f>
              <c:strCache>
                <c:ptCount val="1"/>
                <c:pt idx="0">
                  <c:v>sa</c:v>
                </c:pt>
              </c:strCache>
            </c:strRef>
          </c:tx>
          <c:spPr>
            <a:ln w="22225" cap="rnd">
              <a:solidFill>
                <a:srgbClr val="25AAE1"/>
              </a:solidFill>
              <a:round/>
            </a:ln>
            <a:effectLst/>
          </c:spPr>
          <c:marker>
            <c:symbol val="none"/>
          </c:marker>
          <c:cat>
            <c:numRef>
              <c:f>'Prerađivačka_6 graf'!$C$44:$C$75</c:f>
              <c:numCache>
                <c:formatCode>yyyy</c:formatCode>
                <c:ptCount val="32"/>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numCache>
            </c:numRef>
          </c:cat>
          <c:val>
            <c:numRef>
              <c:f>'Prerađivačka_6 graf'!$AS$44:$AS$75</c:f>
              <c:numCache>
                <c:formatCode>0.0</c:formatCode>
                <c:ptCount val="32"/>
                <c:pt idx="0">
                  <c:v>126.30657214051185</c:v>
                </c:pt>
                <c:pt idx="1">
                  <c:v>124.8775181721268</c:v>
                </c:pt>
                <c:pt idx="2">
                  <c:v>120.51442175197366</c:v>
                </c:pt>
                <c:pt idx="3">
                  <c:v>128.55938145220119</c:v>
                </c:pt>
                <c:pt idx="4">
                  <c:v>143.55798866071822</c:v>
                </c:pt>
                <c:pt idx="5">
                  <c:v>136.40782093282243</c:v>
                </c:pt>
                <c:pt idx="6">
                  <c:v>124.38569130584</c:v>
                </c:pt>
                <c:pt idx="7">
                  <c:v>133.60492835345659</c:v>
                </c:pt>
                <c:pt idx="8">
                  <c:v>128.16157978250709</c:v>
                </c:pt>
                <c:pt idx="9">
                  <c:v>131.51401369430042</c:v>
                </c:pt>
                <c:pt idx="10">
                  <c:v>128.85170551259742</c:v>
                </c:pt>
                <c:pt idx="11">
                  <c:v>105.66303066792052</c:v>
                </c:pt>
                <c:pt idx="12">
                  <c:v>119.727033117308</c:v>
                </c:pt>
                <c:pt idx="13">
                  <c:v>112.29605773184608</c:v>
                </c:pt>
                <c:pt idx="14">
                  <c:v>85.857549019699761</c:v>
                </c:pt>
                <c:pt idx="15">
                  <c:v>24.804360127284863</c:v>
                </c:pt>
                <c:pt idx="16">
                  <c:v>45.102073979100766</c:v>
                </c:pt>
                <c:pt idx="17">
                  <c:v>73.880960225716834</c:v>
                </c:pt>
                <c:pt idx="18">
                  <c:v>119.76530988145626</c:v>
                </c:pt>
                <c:pt idx="19">
                  <c:v>125.94201275598009</c:v>
                </c:pt>
                <c:pt idx="20">
                  <c:v>118.2283979352338</c:v>
                </c:pt>
                <c:pt idx="21">
                  <c:v>126.05351951461186</c:v>
                </c:pt>
                <c:pt idx="22">
                  <c:v>127.23122755278074</c:v>
                </c:pt>
                <c:pt idx="23">
                  <c:v>130.30802819772885</c:v>
                </c:pt>
                <c:pt idx="24">
                  <c:v>105.11394258515595</c:v>
                </c:pt>
                <c:pt idx="25">
                  <c:v>108.94524507134147</c:v>
                </c:pt>
                <c:pt idx="26">
                  <c:v>115.46170689551924</c:v>
                </c:pt>
                <c:pt idx="27">
                  <c:v>105.50488123742829</c:v>
                </c:pt>
                <c:pt idx="28">
                  <c:v>90.41602304706079</c:v>
                </c:pt>
                <c:pt idx="29">
                  <c:v>108.4558419907586</c:v>
                </c:pt>
                <c:pt idx="30">
                  <c:v>122.94711938110034</c:v>
                </c:pt>
                <c:pt idx="31">
                  <c:v>102.11331660715089</c:v>
                </c:pt>
              </c:numCache>
            </c:numRef>
          </c:val>
          <c:smooth val="0"/>
          <c:extLst>
            <c:ext xmlns:c16="http://schemas.microsoft.com/office/drawing/2014/chart" uri="{C3380CC4-5D6E-409C-BE32-E72D297353CC}">
              <c16:uniqueId val="{00000026-9BCC-470A-84A5-99AECFCB5D55}"/>
            </c:ext>
          </c:extLst>
        </c:ser>
        <c:ser>
          <c:idx val="2"/>
          <c:order val="4"/>
          <c:tx>
            <c:strRef>
              <c:f>'Prerađivačka_6 graf'!$AT$7</c:f>
              <c:strCache>
                <c:ptCount val="1"/>
                <c:pt idx="0">
                  <c:v>t</c:v>
                </c:pt>
              </c:strCache>
            </c:strRef>
          </c:tx>
          <c:spPr>
            <a:ln w="25400" cap="rnd">
              <a:solidFill>
                <a:srgbClr val="FF0000"/>
              </a:solidFill>
              <a:round/>
            </a:ln>
            <a:effectLst/>
          </c:spPr>
          <c:marker>
            <c:symbol val="none"/>
          </c:marker>
          <c:cat>
            <c:numRef>
              <c:f>'Prerađivačka_6 graf'!$C$44:$C$75</c:f>
              <c:numCache>
                <c:formatCode>yyyy</c:formatCode>
                <c:ptCount val="32"/>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numCache>
            </c:numRef>
          </c:cat>
          <c:val>
            <c:numRef>
              <c:f>'Prerađivačka_6 graf'!$AT$44:$AT$75</c:f>
              <c:numCache>
                <c:formatCode>0.0</c:formatCode>
                <c:ptCount val="32"/>
                <c:pt idx="0">
                  <c:v>121.81006868384947</c:v>
                </c:pt>
                <c:pt idx="1">
                  <c:v>124.40030200229218</c:v>
                </c:pt>
                <c:pt idx="2">
                  <c:v>127.80827377908115</c:v>
                </c:pt>
                <c:pt idx="3">
                  <c:v>130.74035330978404</c:v>
                </c:pt>
                <c:pt idx="4">
                  <c:v>132.46044814360837</c:v>
                </c:pt>
                <c:pt idx="5">
                  <c:v>133.63766418619508</c:v>
                </c:pt>
                <c:pt idx="6">
                  <c:v>133.62120580899929</c:v>
                </c:pt>
                <c:pt idx="7">
                  <c:v>132.24029758777971</c:v>
                </c:pt>
                <c:pt idx="8">
                  <c:v>129.68384570157193</c:v>
                </c:pt>
                <c:pt idx="9">
                  <c:v>126.43784531864563</c:v>
                </c:pt>
                <c:pt idx="10">
                  <c:v>122.93775914865613</c:v>
                </c:pt>
                <c:pt idx="11">
                  <c:v>118.89018115333386</c:v>
                </c:pt>
                <c:pt idx="12">
                  <c:v>114.05385520769588</c:v>
                </c:pt>
                <c:pt idx="13">
                  <c:v>109.3726700329468</c:v>
                </c:pt>
                <c:pt idx="14">
                  <c:v>106.34541271627536</c:v>
                </c:pt>
                <c:pt idx="15">
                  <c:v>105.48760084019297</c:v>
                </c:pt>
                <c:pt idx="16">
                  <c:v>106.93384165798525</c:v>
                </c:pt>
                <c:pt idx="17">
                  <c:v>110.10375873277999</c:v>
                </c:pt>
                <c:pt idx="18">
                  <c:v>114.84696367292938</c:v>
                </c:pt>
                <c:pt idx="19">
                  <c:v>120.24895917777307</c:v>
                </c:pt>
                <c:pt idx="20">
                  <c:v>124.07615874085359</c:v>
                </c:pt>
                <c:pt idx="21">
                  <c:v>125.43263926618144</c:v>
                </c:pt>
                <c:pt idx="22">
                  <c:v>124.17662483212601</c:v>
                </c:pt>
                <c:pt idx="23">
                  <c:v>120.98786449559239</c:v>
                </c:pt>
                <c:pt idx="24">
                  <c:v>117.08662832720886</c:v>
                </c:pt>
                <c:pt idx="25">
                  <c:v>113.49817026851949</c:v>
                </c:pt>
                <c:pt idx="26">
                  <c:v>110.66895901805307</c:v>
                </c:pt>
                <c:pt idx="27">
                  <c:v>108.88105023059596</c:v>
                </c:pt>
                <c:pt idx="28">
                  <c:v>108.14426710730559</c:v>
                </c:pt>
                <c:pt idx="29">
                  <c:v>107.66462112740368</c:v>
                </c:pt>
                <c:pt idx="30">
                  <c:v>106.87249387159055</c:v>
                </c:pt>
                <c:pt idx="31">
                  <c:v>105.6864211985577</c:v>
                </c:pt>
              </c:numCache>
            </c:numRef>
          </c:val>
          <c:smooth val="0"/>
          <c:extLst>
            <c:ext xmlns:c16="http://schemas.microsoft.com/office/drawing/2014/chart" uri="{C3380CC4-5D6E-409C-BE32-E72D297353CC}">
              <c16:uniqueId val="{00000027-9BCC-470A-84A5-99AECFCB5D55}"/>
            </c:ext>
          </c:extLst>
        </c:ser>
        <c:dLbls>
          <c:showLegendKey val="0"/>
          <c:showVal val="0"/>
          <c:showCatName val="0"/>
          <c:showSerName val="0"/>
          <c:showPercent val="0"/>
          <c:showBubbleSize val="0"/>
        </c:dLbls>
        <c:marker val="1"/>
        <c:smooth val="0"/>
        <c:axId val="2092167600"/>
        <c:axId val="2092172496"/>
      </c:lineChart>
      <c:dateAx>
        <c:axId val="2092167600"/>
        <c:scaling>
          <c:orientation val="minMax"/>
        </c:scaling>
        <c:delete val="0"/>
        <c:axPos val="b"/>
        <c:numFmt formatCode="yyyy" sourceLinked="1"/>
        <c:majorTickMark val="none"/>
        <c:minorTickMark val="none"/>
        <c:tickLblPos val="none"/>
        <c:spPr>
          <a:noFill/>
          <a:ln w="6350" cap="flat" cmpd="sng" algn="ctr">
            <a:solidFill>
              <a:srgbClr val="898989"/>
            </a:solidFill>
            <a:round/>
          </a:ln>
          <a:effectLst/>
        </c:spPr>
        <c:txPr>
          <a:bodyPr rot="0" spcFirstLastPara="1" vertOverflow="ellipsis" wrap="square" anchor="ctr" anchorCtr="1"/>
          <a:lstStyle/>
          <a:p>
            <a:pPr algn="ctr">
              <a:defRPr sz="750" b="0" i="0" u="none" strike="noStrike" kern="1200" baseline="0">
                <a:solidFill>
                  <a:schemeClr val="tx2"/>
                </a:solidFill>
                <a:latin typeface="+mn-lt"/>
                <a:ea typeface="+mn-ea"/>
                <a:cs typeface="+mn-cs"/>
              </a:defRPr>
            </a:pPr>
            <a:endParaRPr lang="en-US"/>
          </a:p>
        </c:txPr>
        <c:crossAx val="2092172496"/>
        <c:crosses val="autoZero"/>
        <c:auto val="1"/>
        <c:lblOffset val="0"/>
        <c:baseTimeUnit val="months"/>
        <c:majorUnit val="12"/>
        <c:majorTimeUnit val="months"/>
      </c:dateAx>
      <c:valAx>
        <c:axId val="2092172496"/>
        <c:scaling>
          <c:orientation val="minMax"/>
          <c:max val="165"/>
          <c:min val="0"/>
        </c:scaling>
        <c:delete val="0"/>
        <c:axPos val="l"/>
        <c:numFmt formatCode="0" sourceLinked="0"/>
        <c:majorTickMark val="out"/>
        <c:minorTickMark val="none"/>
        <c:tickLblPos val="nextTo"/>
        <c:spPr>
          <a:noFill/>
          <a:ln w="6350">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2092167600"/>
        <c:crosses val="autoZero"/>
        <c:crossBetween val="midCat"/>
        <c:majorUnit val="20"/>
      </c:valAx>
      <c:spPr>
        <a:solidFill>
          <a:sysClr val="window" lastClr="FFFFFF"/>
        </a:solidFill>
        <a:ln>
          <a:noFill/>
        </a:ln>
        <a:effectLst/>
      </c:spPr>
    </c:plotArea>
    <c:plotVisOnly val="1"/>
    <c:dispBlanksAs val="gap"/>
    <c:showDLblsOverMax val="0"/>
  </c:chart>
  <c:spPr>
    <a:solidFill>
      <a:schemeClr val="bg1"/>
    </a:solidFill>
    <a:ln w="9525" cap="flat" cmpd="sng" algn="ctr">
      <a:noFill/>
      <a:round/>
    </a:ln>
    <a:effectLst/>
  </c:spPr>
  <c:txPr>
    <a:bodyPr/>
    <a:lstStyle/>
    <a:p>
      <a:pPr>
        <a:defRPr sz="750">
          <a:solidFill>
            <a:schemeClr val="tx2"/>
          </a:solidFill>
          <a:latin typeface="+mn-lt"/>
        </a:defRPr>
      </a:pPr>
      <a:endParaRPr lang="en-US"/>
    </a:p>
  </c:txPr>
  <c:externalData r:id="rId4">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8583366760262072E-2"/>
          <c:y val="6.5355171586273103E-2"/>
          <c:w val="0.88461960155100949"/>
          <c:h val="0.84012119030477561"/>
        </c:manualLayout>
      </c:layout>
      <c:lineChart>
        <c:grouping val="standard"/>
        <c:varyColors val="0"/>
        <c:ser>
          <c:idx val="3"/>
          <c:order val="0"/>
          <c:tx>
            <c:strRef>
              <c:f>'Prerađivačka_6 graf'!$Q$7</c:f>
              <c:strCache>
                <c:ptCount val="1"/>
                <c:pt idx="0">
                  <c:v>Series4</c:v>
                </c:pt>
              </c:strCache>
            </c:strRef>
          </c:tx>
          <c:spPr>
            <a:ln w="28575" cap="rnd">
              <a:noFill/>
              <a:round/>
            </a:ln>
            <a:effectLst/>
          </c:spPr>
          <c:marker>
            <c:symbol val="square"/>
            <c:size val="2"/>
            <c:spPr>
              <a:solidFill>
                <a:sysClr val="window" lastClr="FFFFFF"/>
              </a:solidFill>
              <a:ln w="9525">
                <a:noFill/>
              </a:ln>
              <a:effectLst/>
            </c:spPr>
          </c:marker>
          <c:dLbls>
            <c:dLbl>
              <c:idx val="0"/>
              <c:layout>
                <c:manualLayout>
                  <c:x val="0.10312702019826032"/>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0-6BB2-4935-B21F-659003F57F08}"/>
                </c:ext>
              </c:extLst>
            </c:dLbl>
            <c:dLbl>
              <c:idx val="12"/>
              <c:layout>
                <c:manualLayout>
                  <c:x val="0.10305949991360858"/>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BB2-4935-B21F-659003F57F08}"/>
                </c:ext>
              </c:extLst>
            </c:dLbl>
            <c:dLbl>
              <c:idx val="24"/>
              <c:layout>
                <c:manualLayout>
                  <c:x val="4.0058919239160495E-2"/>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2-6BB2-4935-B21F-659003F57F08}"/>
                </c:ext>
              </c:extLst>
            </c:dLbl>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tx2"/>
                    </a:solidFill>
                    <a:latin typeface="+mn-lt"/>
                    <a:ea typeface="+mn-ea"/>
                    <a:cs typeface="+mn-cs"/>
                  </a:defRPr>
                </a:pPr>
                <a:endParaRPr lang="en-U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'Prerađivačka_6 graf'!$C$44:$C$75</c:f>
              <c:numCache>
                <c:formatCode>yyyy</c:formatCode>
                <c:ptCount val="32"/>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numCache>
            </c:numRef>
          </c:cat>
          <c:val>
            <c:numRef>
              <c:f>'Prerađivačka_6 graf'!$Q$44:$Q$75</c:f>
              <c:numCache>
                <c:formatCode>General</c:formatCode>
                <c:ptCount val="32"/>
                <c:pt idx="0">
                  <c:v>0</c:v>
                </c:pt>
                <c:pt idx="12">
                  <c:v>0</c:v>
                </c:pt>
                <c:pt idx="24">
                  <c:v>0</c:v>
                </c:pt>
              </c:numCache>
            </c:numRef>
          </c:val>
          <c:smooth val="0"/>
          <c:extLst>
            <c:ext xmlns:c16="http://schemas.microsoft.com/office/drawing/2014/chart" uri="{C3380CC4-5D6E-409C-BE32-E72D297353CC}">
              <c16:uniqueId val="{00000003-6BB2-4935-B21F-659003F57F08}"/>
            </c:ext>
          </c:extLst>
        </c:ser>
        <c:ser>
          <c:idx val="4"/>
          <c:order val="1"/>
          <c:tx>
            <c:strRef>
              <c:f>'Prerađivačka_6 graf'!$R$7</c:f>
              <c:strCache>
                <c:ptCount val="1"/>
                <c:pt idx="0">
                  <c:v>Series5</c:v>
                </c:pt>
              </c:strCache>
            </c:strRef>
          </c:tx>
          <c:spPr>
            <a:ln w="25400" cap="rnd">
              <a:noFill/>
              <a:round/>
            </a:ln>
            <a:effectLst/>
          </c:spPr>
          <c:marker>
            <c:symbol val="none"/>
          </c:marker>
          <c:dLbls>
            <c:dLbl>
              <c:idx val="0"/>
              <c:tx>
                <c:rich>
                  <a:bodyPr/>
                  <a:lstStyle/>
                  <a:p>
                    <a:fld id="{EAF5371F-CBE8-45EB-AA78-98CE5F1D87DB}"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4-6BB2-4935-B21F-659003F57F08}"/>
                </c:ext>
              </c:extLst>
            </c:dLbl>
            <c:dLbl>
              <c:idx val="1"/>
              <c:tx>
                <c:rich>
                  <a:bodyPr/>
                  <a:lstStyle/>
                  <a:p>
                    <a:fld id="{58D76ED9-928D-407F-A646-3FBD704CC127}"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5-6BB2-4935-B21F-659003F57F08}"/>
                </c:ext>
              </c:extLst>
            </c:dLbl>
            <c:dLbl>
              <c:idx val="2"/>
              <c:tx>
                <c:rich>
                  <a:bodyPr/>
                  <a:lstStyle/>
                  <a:p>
                    <a:fld id="{37705D84-5F96-4936-9AA1-F90F5DED286E}"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6-6BB2-4935-B21F-659003F57F08}"/>
                </c:ext>
              </c:extLst>
            </c:dLbl>
            <c:dLbl>
              <c:idx val="3"/>
              <c:tx>
                <c:rich>
                  <a:bodyPr/>
                  <a:lstStyle/>
                  <a:p>
                    <a:fld id="{4A3AB81E-65DF-4BEC-82C7-F1734A18B02E}"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7-6BB2-4935-B21F-659003F57F08}"/>
                </c:ext>
              </c:extLst>
            </c:dLbl>
            <c:dLbl>
              <c:idx val="4"/>
              <c:tx>
                <c:rich>
                  <a:bodyPr/>
                  <a:lstStyle/>
                  <a:p>
                    <a:fld id="{F06D07D5-1D96-4BAB-8F7B-46ED72C62600}"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8-6BB2-4935-B21F-659003F57F08}"/>
                </c:ext>
              </c:extLst>
            </c:dLbl>
            <c:dLbl>
              <c:idx val="5"/>
              <c:tx>
                <c:rich>
                  <a:bodyPr/>
                  <a:lstStyle/>
                  <a:p>
                    <a:fld id="{32E7F083-8B44-4585-8C69-F11FB35D53CE}"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9-6BB2-4935-B21F-659003F57F08}"/>
                </c:ext>
              </c:extLst>
            </c:dLbl>
            <c:dLbl>
              <c:idx val="6"/>
              <c:tx>
                <c:rich>
                  <a:bodyPr/>
                  <a:lstStyle/>
                  <a:p>
                    <a:fld id="{43A53C9D-CED3-45E2-9921-94CF5141C6FD}"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A-6BB2-4935-B21F-659003F57F08}"/>
                </c:ext>
              </c:extLst>
            </c:dLbl>
            <c:dLbl>
              <c:idx val="7"/>
              <c:tx>
                <c:rich>
                  <a:bodyPr/>
                  <a:lstStyle/>
                  <a:p>
                    <a:fld id="{CD29FDEE-6AA7-4F2D-94D2-77D142EFD230}"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B-6BB2-4935-B21F-659003F57F08}"/>
                </c:ext>
              </c:extLst>
            </c:dLbl>
            <c:dLbl>
              <c:idx val="8"/>
              <c:tx>
                <c:rich>
                  <a:bodyPr/>
                  <a:lstStyle/>
                  <a:p>
                    <a:fld id="{70B0336C-EDF8-4B25-B027-1014EC1D1FEA}"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C-6BB2-4935-B21F-659003F57F08}"/>
                </c:ext>
              </c:extLst>
            </c:dLbl>
            <c:dLbl>
              <c:idx val="9"/>
              <c:tx>
                <c:rich>
                  <a:bodyPr/>
                  <a:lstStyle/>
                  <a:p>
                    <a:fld id="{DA32FD50-77BC-4D5B-86DD-07CA1F9EBC1D}"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D-6BB2-4935-B21F-659003F57F08}"/>
                </c:ext>
              </c:extLst>
            </c:dLbl>
            <c:dLbl>
              <c:idx val="10"/>
              <c:tx>
                <c:rich>
                  <a:bodyPr/>
                  <a:lstStyle/>
                  <a:p>
                    <a:fld id="{81A57965-728C-49AF-89C7-E63500D0D07F}"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E-6BB2-4935-B21F-659003F57F08}"/>
                </c:ext>
              </c:extLst>
            </c:dLbl>
            <c:dLbl>
              <c:idx val="11"/>
              <c:tx>
                <c:rich>
                  <a:bodyPr/>
                  <a:lstStyle/>
                  <a:p>
                    <a:fld id="{A5FA75D1-F3B4-48AC-ABCA-9264B7C7E94C}"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F-6BB2-4935-B21F-659003F57F08}"/>
                </c:ext>
              </c:extLst>
            </c:dLbl>
            <c:dLbl>
              <c:idx val="12"/>
              <c:tx>
                <c:rich>
                  <a:bodyPr/>
                  <a:lstStyle/>
                  <a:p>
                    <a:fld id="{6B8EF6D3-23DB-4B91-BF51-19AB2D4D5C92}"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0-6BB2-4935-B21F-659003F57F08}"/>
                </c:ext>
              </c:extLst>
            </c:dLbl>
            <c:dLbl>
              <c:idx val="13"/>
              <c:tx>
                <c:rich>
                  <a:bodyPr/>
                  <a:lstStyle/>
                  <a:p>
                    <a:fld id="{CC0BD411-E4A3-4544-BA4D-08E1B18C06A5}"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1-6BB2-4935-B21F-659003F57F08}"/>
                </c:ext>
              </c:extLst>
            </c:dLbl>
            <c:dLbl>
              <c:idx val="14"/>
              <c:tx>
                <c:rich>
                  <a:bodyPr/>
                  <a:lstStyle/>
                  <a:p>
                    <a:fld id="{4F1F3000-AF33-4CB8-8A6F-2CBCAD7C7852}"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2-6BB2-4935-B21F-659003F57F08}"/>
                </c:ext>
              </c:extLst>
            </c:dLbl>
            <c:dLbl>
              <c:idx val="15"/>
              <c:tx>
                <c:rich>
                  <a:bodyPr/>
                  <a:lstStyle/>
                  <a:p>
                    <a:fld id="{2936095D-9180-4F3F-851B-D49887330B1D}"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3-6BB2-4935-B21F-659003F57F08}"/>
                </c:ext>
              </c:extLst>
            </c:dLbl>
            <c:dLbl>
              <c:idx val="16"/>
              <c:tx>
                <c:rich>
                  <a:bodyPr/>
                  <a:lstStyle/>
                  <a:p>
                    <a:fld id="{FC9AD919-BFF7-425C-BE87-70A3A9215F5E}"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4-6BB2-4935-B21F-659003F57F08}"/>
                </c:ext>
              </c:extLst>
            </c:dLbl>
            <c:dLbl>
              <c:idx val="17"/>
              <c:tx>
                <c:rich>
                  <a:bodyPr/>
                  <a:lstStyle/>
                  <a:p>
                    <a:fld id="{DD74E83A-3D94-4C3A-B2B5-F3BF22F6E604}"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5-6BB2-4935-B21F-659003F57F08}"/>
                </c:ext>
              </c:extLst>
            </c:dLbl>
            <c:dLbl>
              <c:idx val="18"/>
              <c:tx>
                <c:rich>
                  <a:bodyPr/>
                  <a:lstStyle/>
                  <a:p>
                    <a:fld id="{52F32B96-EE5E-46ED-87DE-580BB8B0B88E}"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6-6BB2-4935-B21F-659003F57F08}"/>
                </c:ext>
              </c:extLst>
            </c:dLbl>
            <c:dLbl>
              <c:idx val="19"/>
              <c:tx>
                <c:rich>
                  <a:bodyPr/>
                  <a:lstStyle/>
                  <a:p>
                    <a:fld id="{D4F0385E-4261-445F-ADC1-784F20045CF1}"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7-6BB2-4935-B21F-659003F57F08}"/>
                </c:ext>
              </c:extLst>
            </c:dLbl>
            <c:dLbl>
              <c:idx val="20"/>
              <c:tx>
                <c:rich>
                  <a:bodyPr/>
                  <a:lstStyle/>
                  <a:p>
                    <a:fld id="{D5443FC0-AFFA-4945-8DBE-7B460952B513}"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8-6BB2-4935-B21F-659003F57F08}"/>
                </c:ext>
              </c:extLst>
            </c:dLbl>
            <c:dLbl>
              <c:idx val="21"/>
              <c:tx>
                <c:rich>
                  <a:bodyPr/>
                  <a:lstStyle/>
                  <a:p>
                    <a:fld id="{A80542D5-3D28-4DFF-B620-2E8ED101AB13}"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9-6BB2-4935-B21F-659003F57F08}"/>
                </c:ext>
              </c:extLst>
            </c:dLbl>
            <c:dLbl>
              <c:idx val="22"/>
              <c:tx>
                <c:rich>
                  <a:bodyPr/>
                  <a:lstStyle/>
                  <a:p>
                    <a:fld id="{3A62637F-82E8-488B-87E3-3797DDA3F66A}"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A-6BB2-4935-B21F-659003F57F08}"/>
                </c:ext>
              </c:extLst>
            </c:dLbl>
            <c:dLbl>
              <c:idx val="23"/>
              <c:tx>
                <c:rich>
                  <a:bodyPr/>
                  <a:lstStyle/>
                  <a:p>
                    <a:fld id="{0FFB00AC-279F-4C2F-990F-BEF6E1B49141}"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B-6BB2-4935-B21F-659003F57F08}"/>
                </c:ext>
              </c:extLst>
            </c:dLbl>
            <c:dLbl>
              <c:idx val="24"/>
              <c:tx>
                <c:rich>
                  <a:bodyPr/>
                  <a:lstStyle/>
                  <a:p>
                    <a:fld id="{8C559BE6-7BFC-431A-ADAE-3C472A9FB219}"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C-6BB2-4935-B21F-659003F57F08}"/>
                </c:ext>
              </c:extLst>
            </c:dLbl>
            <c:dLbl>
              <c:idx val="25"/>
              <c:tx>
                <c:rich>
                  <a:bodyPr/>
                  <a:lstStyle/>
                  <a:p>
                    <a:fld id="{59231BB9-B628-45A5-8D32-DB797C90BDF1}"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D-6BB2-4935-B21F-659003F57F08}"/>
                </c:ext>
              </c:extLst>
            </c:dLbl>
            <c:dLbl>
              <c:idx val="26"/>
              <c:tx>
                <c:rich>
                  <a:bodyPr/>
                  <a:lstStyle/>
                  <a:p>
                    <a:fld id="{88B35743-7D75-49CA-BACA-FDDD322397EE}"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E-6BB2-4935-B21F-659003F57F08}"/>
                </c:ext>
              </c:extLst>
            </c:dLbl>
            <c:dLbl>
              <c:idx val="27"/>
              <c:tx>
                <c:rich>
                  <a:bodyPr/>
                  <a:lstStyle/>
                  <a:p>
                    <a:fld id="{24512CE5-B6BD-4E31-8F0B-105D9D37A46E}"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F-6BB2-4935-B21F-659003F57F08}"/>
                </c:ext>
              </c:extLst>
            </c:dLbl>
            <c:dLbl>
              <c:idx val="28"/>
              <c:tx>
                <c:rich>
                  <a:bodyPr/>
                  <a:lstStyle/>
                  <a:p>
                    <a:fld id="{919D5E28-1D66-42FC-9B74-2DF95D00D8A0}"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0-6BB2-4935-B21F-659003F57F08}"/>
                </c:ext>
              </c:extLst>
            </c:dLbl>
            <c:dLbl>
              <c:idx val="29"/>
              <c:tx>
                <c:rich>
                  <a:bodyPr/>
                  <a:lstStyle/>
                  <a:p>
                    <a:fld id="{0014EBFA-4EB4-40D1-BC5A-194EAD5578C1}"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1-6BB2-4935-B21F-659003F57F08}"/>
                </c:ext>
              </c:extLst>
            </c:dLbl>
            <c:dLbl>
              <c:idx val="30"/>
              <c:tx>
                <c:rich>
                  <a:bodyPr/>
                  <a:lstStyle/>
                  <a:p>
                    <a:fld id="{451FFC96-F489-4C60-8B9E-6CB22E8E2A9A}"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2-6BB2-4935-B21F-659003F57F08}"/>
                </c:ext>
              </c:extLst>
            </c:dLbl>
            <c:dLbl>
              <c:idx val="31"/>
              <c:tx>
                <c:rich>
                  <a:bodyPr/>
                  <a:lstStyle/>
                  <a:p>
                    <a:fld id="{E7ADA4C3-CD05-4FAA-86FE-7FBE20EDC196}"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3-6BB2-4935-B21F-659003F57F08}"/>
                </c:ext>
              </c:extLst>
            </c:dLbl>
            <c:spPr>
              <a:noFill/>
              <a:ln>
                <a:noFill/>
              </a:ln>
              <a:effectLst/>
            </c:spPr>
            <c:txPr>
              <a:bodyPr rot="0" spcFirstLastPara="1" vertOverflow="ellipsis" vert="horz" wrap="square" lIns="38100" tIns="19050" rIns="38100" bIns="19050" anchor="ctr" anchorCtr="1">
                <a:spAutoFit/>
              </a:bodyPr>
              <a:lstStyle/>
              <a:p>
                <a:pPr>
                  <a:defRPr sz="500" b="0" i="0" u="none" strike="noStrike" kern="1200" baseline="0">
                    <a:solidFill>
                      <a:schemeClr val="tx2"/>
                    </a:solidFill>
                    <a:latin typeface="+mn-lt"/>
                    <a:ea typeface="+mn-ea"/>
                    <a:cs typeface="+mn-cs"/>
                  </a:defRPr>
                </a:pPr>
                <a:endParaRPr lang="en-US"/>
              </a:p>
            </c:txPr>
            <c:dLblPos val="t"/>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0"/>
              </c:ext>
            </c:extLst>
          </c:dLbls>
          <c:cat>
            <c:numRef>
              <c:f>'Prerađivačka_6 graf'!$C$44:$C$75</c:f>
              <c:numCache>
                <c:formatCode>yyyy</c:formatCode>
                <c:ptCount val="32"/>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numCache>
            </c:numRef>
          </c:cat>
          <c:val>
            <c:numRef>
              <c:f>'Prerađivačka_6 graf'!$R$44:$R$75</c:f>
              <c:numCache>
                <c:formatCode>General</c:formatCode>
                <c:ptCount val="32"/>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numCache>
            </c:numRef>
          </c:val>
          <c:smooth val="0"/>
          <c:extLst>
            <c:ext xmlns:c15="http://schemas.microsoft.com/office/drawing/2012/chart" uri="{02D57815-91ED-43cb-92C2-25804820EDAC}">
              <c15:datalabelsRange>
                <c15:f>'Prerađivačka_6 graf'!$E$44:$E$75</c15:f>
                <c15:dlblRangeCache>
                  <c:ptCount val="32"/>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pt idx="24">
                    <c:v>I</c:v>
                  </c:pt>
                  <c:pt idx="25">
                    <c:v>II</c:v>
                  </c:pt>
                  <c:pt idx="26">
                    <c:v>III</c:v>
                  </c:pt>
                  <c:pt idx="27">
                    <c:v>IV</c:v>
                  </c:pt>
                  <c:pt idx="28">
                    <c:v>V</c:v>
                  </c:pt>
                  <c:pt idx="29">
                    <c:v>VI</c:v>
                  </c:pt>
                  <c:pt idx="30">
                    <c:v>VII</c:v>
                  </c:pt>
                  <c:pt idx="31">
                    <c:v>VIII</c:v>
                  </c:pt>
                </c15:dlblRangeCache>
              </c15:datalabelsRange>
            </c:ext>
            <c:ext xmlns:c16="http://schemas.microsoft.com/office/drawing/2014/chart" uri="{C3380CC4-5D6E-409C-BE32-E72D297353CC}">
              <c16:uniqueId val="{00000024-6BB2-4935-B21F-659003F57F08}"/>
            </c:ext>
          </c:extLst>
        </c:ser>
        <c:ser>
          <c:idx val="0"/>
          <c:order val="2"/>
          <c:tx>
            <c:strRef>
              <c:f>'Prerađivačka_6 graf'!$S$7</c:f>
              <c:strCache>
                <c:ptCount val="1"/>
                <c:pt idx="0">
                  <c:v>y</c:v>
                </c:pt>
              </c:strCache>
            </c:strRef>
          </c:tx>
          <c:spPr>
            <a:ln w="12700" cap="rnd">
              <a:solidFill>
                <a:srgbClr val="92278F"/>
              </a:solidFill>
              <a:prstDash val="sysDash"/>
              <a:round/>
            </a:ln>
            <a:effectLst/>
          </c:spPr>
          <c:marker>
            <c:symbol val="none"/>
          </c:marker>
          <c:cat>
            <c:numRef>
              <c:f>'Prerađivačka_6 graf'!$C$44:$C$75</c:f>
              <c:numCache>
                <c:formatCode>yyyy</c:formatCode>
                <c:ptCount val="32"/>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numCache>
            </c:numRef>
          </c:cat>
          <c:val>
            <c:numRef>
              <c:f>'Prerađivačka_6 graf'!$S$44:$S$75</c:f>
              <c:numCache>
                <c:formatCode>0.0</c:formatCode>
                <c:ptCount val="32"/>
                <c:pt idx="0">
                  <c:v>101.81870991293054</c:v>
                </c:pt>
                <c:pt idx="1">
                  <c:v>92.328009495514536</c:v>
                </c:pt>
                <c:pt idx="2">
                  <c:v>9.9033395659993229</c:v>
                </c:pt>
                <c:pt idx="3">
                  <c:v>34.145889545268503</c:v>
                </c:pt>
                <c:pt idx="4">
                  <c:v>94.803844387014365</c:v>
                </c:pt>
                <c:pt idx="5">
                  <c:v>74.481366319286579</c:v>
                </c:pt>
                <c:pt idx="6">
                  <c:v>123.37910542640824</c:v>
                </c:pt>
                <c:pt idx="7">
                  <c:v>118.73691500484607</c:v>
                </c:pt>
                <c:pt idx="8">
                  <c:v>123.37910542640824</c:v>
                </c:pt>
                <c:pt idx="9">
                  <c:v>119.35587372772103</c:v>
                </c:pt>
                <c:pt idx="10">
                  <c:v>119.45903351486685</c:v>
                </c:pt>
                <c:pt idx="11">
                  <c:v>107.69881778024266</c:v>
                </c:pt>
                <c:pt idx="12">
                  <c:v>98.342059336823738</c:v>
                </c:pt>
                <c:pt idx="13">
                  <c:v>91.025641025641022</c:v>
                </c:pt>
                <c:pt idx="14">
                  <c:v>101.73267326732673</c:v>
                </c:pt>
                <c:pt idx="15">
                  <c:v>64.083285135916711</c:v>
                </c:pt>
                <c:pt idx="16">
                  <c:v>81.471861471861459</c:v>
                </c:pt>
                <c:pt idx="17">
                  <c:v>107.46965452847806</c:v>
                </c:pt>
                <c:pt idx="18">
                  <c:v>109.97352162400706</c:v>
                </c:pt>
                <c:pt idx="19">
                  <c:v>103.32792207792207</c:v>
                </c:pt>
                <c:pt idx="20">
                  <c:v>113.81481769416153</c:v>
                </c:pt>
                <c:pt idx="21">
                  <c:v>114.93430770426805</c:v>
                </c:pt>
                <c:pt idx="22">
                  <c:v>102.80649926144756</c:v>
                </c:pt>
                <c:pt idx="23">
                  <c:v>110.92280183471973</c:v>
                </c:pt>
                <c:pt idx="24">
                  <c:v>112.7</c:v>
                </c:pt>
                <c:pt idx="25">
                  <c:v>113.6</c:v>
                </c:pt>
                <c:pt idx="26">
                  <c:v>41.1</c:v>
                </c:pt>
                <c:pt idx="27">
                  <c:v>110.8</c:v>
                </c:pt>
                <c:pt idx="28">
                  <c:v>94.1</c:v>
                </c:pt>
                <c:pt idx="29">
                  <c:v>115.1</c:v>
                </c:pt>
                <c:pt idx="30">
                  <c:v>124.6</c:v>
                </c:pt>
                <c:pt idx="31">
                  <c:v>127.3</c:v>
                </c:pt>
              </c:numCache>
            </c:numRef>
          </c:val>
          <c:smooth val="0"/>
          <c:extLst>
            <c:ext xmlns:c16="http://schemas.microsoft.com/office/drawing/2014/chart" uri="{C3380CC4-5D6E-409C-BE32-E72D297353CC}">
              <c16:uniqueId val="{00000025-6BB2-4935-B21F-659003F57F08}"/>
            </c:ext>
          </c:extLst>
        </c:ser>
        <c:ser>
          <c:idx val="1"/>
          <c:order val="3"/>
          <c:tx>
            <c:strRef>
              <c:f>'Prerađivačka_6 graf'!$T$7</c:f>
              <c:strCache>
                <c:ptCount val="1"/>
                <c:pt idx="0">
                  <c:v>sa</c:v>
                </c:pt>
              </c:strCache>
            </c:strRef>
          </c:tx>
          <c:spPr>
            <a:ln w="22225" cap="rnd">
              <a:solidFill>
                <a:srgbClr val="25AAE1"/>
              </a:solidFill>
              <a:round/>
            </a:ln>
            <a:effectLst/>
          </c:spPr>
          <c:marker>
            <c:symbol val="none"/>
          </c:marker>
          <c:cat>
            <c:numRef>
              <c:f>'Prerađivačka_6 graf'!$C$44:$C$75</c:f>
              <c:numCache>
                <c:formatCode>yyyy</c:formatCode>
                <c:ptCount val="32"/>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numCache>
            </c:numRef>
          </c:cat>
          <c:val>
            <c:numRef>
              <c:f>'Prerađivačka_6 graf'!$T$44:$T$75</c:f>
              <c:numCache>
                <c:formatCode>0.0</c:formatCode>
                <c:ptCount val="32"/>
                <c:pt idx="0">
                  <c:v>107.92514548935972</c:v>
                </c:pt>
                <c:pt idx="1">
                  <c:v>110.64986818937112</c:v>
                </c:pt>
                <c:pt idx="2">
                  <c:v>11.266947787923801</c:v>
                </c:pt>
                <c:pt idx="3">
                  <c:v>39.257582450274626</c:v>
                </c:pt>
                <c:pt idx="4">
                  <c:v>102.40991788417338</c:v>
                </c:pt>
                <c:pt idx="5">
                  <c:v>71.551722199277137</c:v>
                </c:pt>
                <c:pt idx="6">
                  <c:v>113.16541212478326</c:v>
                </c:pt>
                <c:pt idx="7">
                  <c:v>109.1133120900563</c:v>
                </c:pt>
                <c:pt idx="8">
                  <c:v>110.48725486116771</c:v>
                </c:pt>
                <c:pt idx="9">
                  <c:v>108.10180351317388</c:v>
                </c:pt>
                <c:pt idx="10">
                  <c:v>109.60052383531331</c:v>
                </c:pt>
                <c:pt idx="11">
                  <c:v>106.27096592371451</c:v>
                </c:pt>
                <c:pt idx="12">
                  <c:v>101.87859962379443</c:v>
                </c:pt>
                <c:pt idx="13">
                  <c:v>104.59690232487493</c:v>
                </c:pt>
                <c:pt idx="14">
                  <c:v>119.65045830777127</c:v>
                </c:pt>
                <c:pt idx="15">
                  <c:v>73.873498779087811</c:v>
                </c:pt>
                <c:pt idx="16">
                  <c:v>90.388697741584267</c:v>
                </c:pt>
                <c:pt idx="17">
                  <c:v>104.38662666920575</c:v>
                </c:pt>
                <c:pt idx="18">
                  <c:v>99.940302748370044</c:v>
                </c:pt>
                <c:pt idx="19">
                  <c:v>94.067631913373262</c:v>
                </c:pt>
                <c:pt idx="20">
                  <c:v>102.06638534636988</c:v>
                </c:pt>
                <c:pt idx="21">
                  <c:v>103.7686141570469</c:v>
                </c:pt>
                <c:pt idx="22">
                  <c:v>94.900362012666861</c:v>
                </c:pt>
                <c:pt idx="23">
                  <c:v>109.02719912654685</c:v>
                </c:pt>
                <c:pt idx="24">
                  <c:v>114.66391618530297</c:v>
                </c:pt>
                <c:pt idx="25">
                  <c:v>131.76536190194062</c:v>
                </c:pt>
                <c:pt idx="26">
                  <c:v>49.630925158264368</c:v>
                </c:pt>
                <c:pt idx="27">
                  <c:v>127.20357002591618</c:v>
                </c:pt>
                <c:pt idx="28">
                  <c:v>107.17936614671142</c:v>
                </c:pt>
                <c:pt idx="29">
                  <c:v>111.8190620413138</c:v>
                </c:pt>
                <c:pt idx="30">
                  <c:v>111.68805444416661</c:v>
                </c:pt>
                <c:pt idx="31">
                  <c:v>116.70642909080397</c:v>
                </c:pt>
              </c:numCache>
            </c:numRef>
          </c:val>
          <c:smooth val="0"/>
          <c:extLst>
            <c:ext xmlns:c16="http://schemas.microsoft.com/office/drawing/2014/chart" uri="{C3380CC4-5D6E-409C-BE32-E72D297353CC}">
              <c16:uniqueId val="{00000026-6BB2-4935-B21F-659003F57F08}"/>
            </c:ext>
          </c:extLst>
        </c:ser>
        <c:ser>
          <c:idx val="2"/>
          <c:order val="4"/>
          <c:tx>
            <c:strRef>
              <c:f>'Prerađivačka_6 graf'!$U$7</c:f>
              <c:strCache>
                <c:ptCount val="1"/>
                <c:pt idx="0">
                  <c:v>t</c:v>
                </c:pt>
              </c:strCache>
            </c:strRef>
          </c:tx>
          <c:spPr>
            <a:ln w="25400" cap="rnd">
              <a:solidFill>
                <a:srgbClr val="FF0000"/>
              </a:solidFill>
              <a:round/>
            </a:ln>
            <a:effectLst/>
          </c:spPr>
          <c:marker>
            <c:symbol val="none"/>
          </c:marker>
          <c:cat>
            <c:numRef>
              <c:f>'Prerađivačka_6 graf'!$C$44:$C$75</c:f>
              <c:numCache>
                <c:formatCode>yyyy</c:formatCode>
                <c:ptCount val="32"/>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numCache>
            </c:numRef>
          </c:cat>
          <c:val>
            <c:numRef>
              <c:f>'Prerađivačka_6 graf'!$U$44:$U$75</c:f>
              <c:numCache>
                <c:formatCode>0.0</c:formatCode>
                <c:ptCount val="32"/>
                <c:pt idx="0">
                  <c:v>106.56007030584327</c:v>
                </c:pt>
                <c:pt idx="1">
                  <c:v>106.4058648302364</c:v>
                </c:pt>
                <c:pt idx="2">
                  <c:v>106.37580717187726</c:v>
                </c:pt>
                <c:pt idx="3">
                  <c:v>106.50822147668529</c:v>
                </c:pt>
                <c:pt idx="4">
                  <c:v>106.8313904657272</c:v>
                </c:pt>
                <c:pt idx="5">
                  <c:v>107.30752923405487</c:v>
                </c:pt>
                <c:pt idx="6">
                  <c:v>107.80741791795076</c:v>
                </c:pt>
                <c:pt idx="7">
                  <c:v>108.16319647377824</c:v>
                </c:pt>
                <c:pt idx="8">
                  <c:v>108.23216521234548</c:v>
                </c:pt>
                <c:pt idx="9">
                  <c:v>107.92724748399043</c:v>
                </c:pt>
                <c:pt idx="10">
                  <c:v>107.19395024077592</c:v>
                </c:pt>
                <c:pt idx="11">
                  <c:v>106.08365564884636</c:v>
                </c:pt>
                <c:pt idx="12">
                  <c:v>104.68997158642399</c:v>
                </c:pt>
                <c:pt idx="13">
                  <c:v>103.09899340589202</c:v>
                </c:pt>
                <c:pt idx="14">
                  <c:v>101.52384337208257</c:v>
                </c:pt>
                <c:pt idx="15">
                  <c:v>100.20148062788715</c:v>
                </c:pt>
                <c:pt idx="16">
                  <c:v>99.283384482377301</c:v>
                </c:pt>
                <c:pt idx="17">
                  <c:v>98.894512852962222</c:v>
                </c:pt>
                <c:pt idx="18">
                  <c:v>99.036667167187844</c:v>
                </c:pt>
                <c:pt idx="19">
                  <c:v>99.656406035193058</c:v>
                </c:pt>
                <c:pt idx="20">
                  <c:v>100.66616637852039</c:v>
                </c:pt>
                <c:pt idx="21">
                  <c:v>101.98031901034206</c:v>
                </c:pt>
                <c:pt idx="22">
                  <c:v>103.49946752169031</c:v>
                </c:pt>
                <c:pt idx="23">
                  <c:v>105.0933889133954</c:v>
                </c:pt>
                <c:pt idx="24">
                  <c:v>106.63637734878851</c:v>
                </c:pt>
                <c:pt idx="25">
                  <c:v>108.01335476933212</c:v>
                </c:pt>
                <c:pt idx="26">
                  <c:v>109.11612818180893</c:v>
                </c:pt>
                <c:pt idx="27">
                  <c:v>109.93235293977919</c:v>
                </c:pt>
                <c:pt idx="28">
                  <c:v>110.45110096713684</c:v>
                </c:pt>
                <c:pt idx="29">
                  <c:v>110.64934344002803</c:v>
                </c:pt>
                <c:pt idx="30">
                  <c:v>110.58551904297167</c:v>
                </c:pt>
                <c:pt idx="31">
                  <c:v>110.40927039674916</c:v>
                </c:pt>
              </c:numCache>
            </c:numRef>
          </c:val>
          <c:smooth val="0"/>
          <c:extLst>
            <c:ext xmlns:c16="http://schemas.microsoft.com/office/drawing/2014/chart" uri="{C3380CC4-5D6E-409C-BE32-E72D297353CC}">
              <c16:uniqueId val="{00000027-6BB2-4935-B21F-659003F57F08}"/>
            </c:ext>
          </c:extLst>
        </c:ser>
        <c:dLbls>
          <c:showLegendKey val="0"/>
          <c:showVal val="0"/>
          <c:showCatName val="0"/>
          <c:showSerName val="0"/>
          <c:showPercent val="0"/>
          <c:showBubbleSize val="0"/>
        </c:dLbls>
        <c:marker val="1"/>
        <c:smooth val="0"/>
        <c:axId val="2092134960"/>
        <c:axId val="2092135504"/>
      </c:lineChart>
      <c:dateAx>
        <c:axId val="2092134960"/>
        <c:scaling>
          <c:orientation val="minMax"/>
        </c:scaling>
        <c:delete val="0"/>
        <c:axPos val="b"/>
        <c:numFmt formatCode="yyyy" sourceLinked="1"/>
        <c:majorTickMark val="none"/>
        <c:minorTickMark val="none"/>
        <c:tickLblPos val="none"/>
        <c:spPr>
          <a:noFill/>
          <a:ln w="6350" cap="flat" cmpd="sng" algn="ctr">
            <a:solidFill>
              <a:srgbClr val="898989"/>
            </a:solidFill>
            <a:round/>
          </a:ln>
          <a:effectLst/>
        </c:spPr>
        <c:txPr>
          <a:bodyPr rot="0" spcFirstLastPara="1" vertOverflow="ellipsis" wrap="square" anchor="ctr" anchorCtr="1"/>
          <a:lstStyle/>
          <a:p>
            <a:pPr algn="ctr">
              <a:defRPr sz="750" b="0" i="0" u="none" strike="noStrike" kern="1200" baseline="0">
                <a:solidFill>
                  <a:schemeClr val="tx2"/>
                </a:solidFill>
                <a:latin typeface="+mn-lt"/>
                <a:ea typeface="+mn-ea"/>
                <a:cs typeface="+mn-cs"/>
              </a:defRPr>
            </a:pPr>
            <a:endParaRPr lang="en-US"/>
          </a:p>
        </c:txPr>
        <c:crossAx val="2092135504"/>
        <c:crosses val="autoZero"/>
        <c:auto val="1"/>
        <c:lblOffset val="0"/>
        <c:baseTimeUnit val="months"/>
        <c:majorUnit val="12"/>
        <c:majorTimeUnit val="months"/>
      </c:dateAx>
      <c:valAx>
        <c:axId val="2092135504"/>
        <c:scaling>
          <c:orientation val="minMax"/>
          <c:min val="0"/>
        </c:scaling>
        <c:delete val="0"/>
        <c:axPos val="l"/>
        <c:numFmt formatCode="0" sourceLinked="0"/>
        <c:majorTickMark val="out"/>
        <c:minorTickMark val="none"/>
        <c:tickLblPos val="nextTo"/>
        <c:spPr>
          <a:noFill/>
          <a:ln w="6350">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2092134960"/>
        <c:crosses val="autoZero"/>
        <c:crossBetween val="midCat"/>
      </c:valAx>
      <c:spPr>
        <a:solidFill>
          <a:sysClr val="window" lastClr="FFFFFF"/>
        </a:solidFill>
        <a:ln>
          <a:noFill/>
        </a:ln>
        <a:effectLst/>
      </c:spPr>
    </c:plotArea>
    <c:plotVisOnly val="1"/>
    <c:dispBlanksAs val="gap"/>
    <c:showDLblsOverMax val="0"/>
  </c:chart>
  <c:spPr>
    <a:solidFill>
      <a:schemeClr val="bg1"/>
    </a:solidFill>
    <a:ln w="9525" cap="flat" cmpd="sng" algn="ctr">
      <a:noFill/>
      <a:round/>
    </a:ln>
    <a:effectLst/>
  </c:spPr>
  <c:txPr>
    <a:bodyPr/>
    <a:lstStyle/>
    <a:p>
      <a:pPr>
        <a:defRPr sz="750">
          <a:solidFill>
            <a:schemeClr val="tx2"/>
          </a:solidFill>
          <a:latin typeface="+mn-lt"/>
        </a:defRPr>
      </a:pPr>
      <a:endParaRPr lang="en-US"/>
    </a:p>
  </c:txPr>
  <c:externalData r:id="rId4">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501166520851562"/>
          <c:y val="8.573776455026455E-2"/>
          <c:w val="0.80646981627296588"/>
          <c:h val="0.82580125661375681"/>
        </c:manualLayout>
      </c:layout>
      <c:barChart>
        <c:barDir val="bar"/>
        <c:grouping val="clustered"/>
        <c:varyColors val="0"/>
        <c:ser>
          <c:idx val="0"/>
          <c:order val="0"/>
          <c:tx>
            <c:strRef>
              <c:f>'BDV usluga_dsz'!$A$28</c:f>
              <c:strCache>
                <c:ptCount val="1"/>
                <c:pt idx="0">
                  <c:v>2020Q2</c:v>
                </c:pt>
              </c:strCache>
            </c:strRef>
          </c:tx>
          <c:spPr>
            <a:solidFill>
              <a:srgbClr val="EC008C"/>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rgbClr val="EC008C"/>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'BDV usluga_dsz'!$G$27:$N$27</c:f>
              <c:strCache>
                <c:ptCount val="8"/>
                <c:pt idx="0">
                  <c:v>G-I</c:v>
                </c:pt>
                <c:pt idx="1">
                  <c:v>J</c:v>
                </c:pt>
                <c:pt idx="2">
                  <c:v>K</c:v>
                </c:pt>
                <c:pt idx="3">
                  <c:v>L</c:v>
                </c:pt>
                <c:pt idx="4">
                  <c:v>M-N</c:v>
                </c:pt>
                <c:pt idx="5">
                  <c:v>O-Q</c:v>
                </c:pt>
                <c:pt idx="6">
                  <c:v>R-T</c:v>
                </c:pt>
                <c:pt idx="7">
                  <c:v>G-T</c:v>
                </c:pt>
              </c:strCache>
            </c:strRef>
          </c:cat>
          <c:val>
            <c:numRef>
              <c:f>'BDV usluga_dsz'!$G$28:$N$28</c:f>
              <c:numCache>
                <c:formatCode>0.0</c:formatCode>
                <c:ptCount val="8"/>
                <c:pt idx="0">
                  <c:v>-17.694416442994324</c:v>
                </c:pt>
                <c:pt idx="1">
                  <c:v>-1.4295413065137552</c:v>
                </c:pt>
                <c:pt idx="2">
                  <c:v>0.63814018800951544</c:v>
                </c:pt>
                <c:pt idx="3">
                  <c:v>-0.30474277157873075</c:v>
                </c:pt>
                <c:pt idx="4">
                  <c:v>-24.302529621361728</c:v>
                </c:pt>
                <c:pt idx="5">
                  <c:v>-0.62958104623400857</c:v>
                </c:pt>
                <c:pt idx="6">
                  <c:v>-31.192296012973515</c:v>
                </c:pt>
                <c:pt idx="7">
                  <c:v>-10.442951119765837</c:v>
                </c:pt>
              </c:numCache>
            </c:numRef>
          </c:val>
          <c:extLst>
            <c:ext xmlns:c16="http://schemas.microsoft.com/office/drawing/2014/chart" uri="{C3380CC4-5D6E-409C-BE32-E72D297353CC}">
              <c16:uniqueId val="{00000000-1ABA-43C7-A1E4-64ACA4187F00}"/>
            </c:ext>
          </c:extLst>
        </c:ser>
        <c:ser>
          <c:idx val="1"/>
          <c:order val="1"/>
          <c:tx>
            <c:strRef>
              <c:f>'BDV usluga_dsz'!$A$29</c:f>
              <c:strCache>
                <c:ptCount val="1"/>
                <c:pt idx="0">
                  <c:v>2020Q3</c:v>
                </c:pt>
              </c:strCache>
            </c:strRef>
          </c:tx>
          <c:spPr>
            <a:solidFill>
              <a:srgbClr val="90CAE2"/>
            </a:solidFill>
            <a:ln>
              <a:noFill/>
            </a:ln>
            <a:effectLst/>
          </c:spPr>
          <c:invertIfNegative val="0"/>
          <c:cat>
            <c:strRef>
              <c:f>'BDV usluga_dsz'!$G$27:$N$27</c:f>
              <c:strCache>
                <c:ptCount val="8"/>
                <c:pt idx="0">
                  <c:v>G-I</c:v>
                </c:pt>
                <c:pt idx="1">
                  <c:v>J</c:v>
                </c:pt>
                <c:pt idx="2">
                  <c:v>K</c:v>
                </c:pt>
                <c:pt idx="3">
                  <c:v>L</c:v>
                </c:pt>
                <c:pt idx="4">
                  <c:v>M-N</c:v>
                </c:pt>
                <c:pt idx="5">
                  <c:v>O-Q</c:v>
                </c:pt>
                <c:pt idx="6">
                  <c:v>R-T</c:v>
                </c:pt>
                <c:pt idx="7">
                  <c:v>G-T</c:v>
                </c:pt>
              </c:strCache>
            </c:strRef>
          </c:cat>
          <c:val>
            <c:numRef>
              <c:f>'BDV usluga_dsz'!$G$29:$N$29</c:f>
              <c:numCache>
                <c:formatCode>0.0</c:formatCode>
                <c:ptCount val="8"/>
                <c:pt idx="0">
                  <c:v>-3.5341013820555389</c:v>
                </c:pt>
                <c:pt idx="1">
                  <c:v>-0.15620912919655439</c:v>
                </c:pt>
                <c:pt idx="2">
                  <c:v>1.8338079078415319</c:v>
                </c:pt>
                <c:pt idx="3">
                  <c:v>-0.15652750119122061</c:v>
                </c:pt>
                <c:pt idx="4">
                  <c:v>-10.670129647119438</c:v>
                </c:pt>
                <c:pt idx="5">
                  <c:v>-4.9356524545294178</c:v>
                </c:pt>
                <c:pt idx="6">
                  <c:v>-8.7047817182139511</c:v>
                </c:pt>
                <c:pt idx="7">
                  <c:v>-3.7744360808878952</c:v>
                </c:pt>
              </c:numCache>
            </c:numRef>
          </c:val>
          <c:extLst>
            <c:ext xmlns:c16="http://schemas.microsoft.com/office/drawing/2014/chart" uri="{C3380CC4-5D6E-409C-BE32-E72D297353CC}">
              <c16:uniqueId val="{00000001-1ABA-43C7-A1E4-64ACA4187F00}"/>
            </c:ext>
          </c:extLst>
        </c:ser>
        <c:ser>
          <c:idx val="2"/>
          <c:order val="2"/>
          <c:tx>
            <c:strRef>
              <c:f>'BDV usluga_dsz'!$A$30</c:f>
              <c:strCache>
                <c:ptCount val="1"/>
                <c:pt idx="0">
                  <c:v>2020Q4</c:v>
                </c:pt>
              </c:strCache>
            </c:strRef>
          </c:tx>
          <c:spPr>
            <a:solidFill>
              <a:srgbClr val="51BBE7"/>
            </a:solidFill>
            <a:ln>
              <a:noFill/>
            </a:ln>
            <a:effectLst/>
          </c:spPr>
          <c:invertIfNegative val="0"/>
          <c:cat>
            <c:strRef>
              <c:f>'BDV usluga_dsz'!$G$27:$N$27</c:f>
              <c:strCache>
                <c:ptCount val="8"/>
                <c:pt idx="0">
                  <c:v>G-I</c:v>
                </c:pt>
                <c:pt idx="1">
                  <c:v>J</c:v>
                </c:pt>
                <c:pt idx="2">
                  <c:v>K</c:v>
                </c:pt>
                <c:pt idx="3">
                  <c:v>L</c:v>
                </c:pt>
                <c:pt idx="4">
                  <c:v>M-N</c:v>
                </c:pt>
                <c:pt idx="5">
                  <c:v>O-Q</c:v>
                </c:pt>
                <c:pt idx="6">
                  <c:v>R-T</c:v>
                </c:pt>
                <c:pt idx="7">
                  <c:v>G-T</c:v>
                </c:pt>
              </c:strCache>
            </c:strRef>
          </c:cat>
          <c:val>
            <c:numRef>
              <c:f>'BDV usluga_dsz'!$G$30:$N$30</c:f>
              <c:numCache>
                <c:formatCode>0.0</c:formatCode>
                <c:ptCount val="8"/>
                <c:pt idx="0">
                  <c:v>0.77168134276688249</c:v>
                </c:pt>
                <c:pt idx="1">
                  <c:v>2.4105875403013641</c:v>
                </c:pt>
                <c:pt idx="2">
                  <c:v>3.0752428131216618</c:v>
                </c:pt>
                <c:pt idx="3">
                  <c:v>-5.1629489921722893E-2</c:v>
                </c:pt>
                <c:pt idx="4">
                  <c:v>-8.4282701554048316</c:v>
                </c:pt>
                <c:pt idx="5">
                  <c:v>-1.5648390788455231</c:v>
                </c:pt>
                <c:pt idx="6">
                  <c:v>-11.119869231216526</c:v>
                </c:pt>
                <c:pt idx="7">
                  <c:v>-1.1484228396710137</c:v>
                </c:pt>
              </c:numCache>
            </c:numRef>
          </c:val>
          <c:extLst>
            <c:ext xmlns:c16="http://schemas.microsoft.com/office/drawing/2014/chart" uri="{C3380CC4-5D6E-409C-BE32-E72D297353CC}">
              <c16:uniqueId val="{00000002-1ABA-43C7-A1E4-64ACA4187F00}"/>
            </c:ext>
          </c:extLst>
        </c:ser>
        <c:ser>
          <c:idx val="3"/>
          <c:order val="3"/>
          <c:tx>
            <c:strRef>
              <c:f>'BDV usluga_dsz'!$A$31</c:f>
              <c:strCache>
                <c:ptCount val="1"/>
                <c:pt idx="0">
                  <c:v>2021Q1</c:v>
                </c:pt>
              </c:strCache>
            </c:strRef>
          </c:tx>
          <c:spPr>
            <a:solidFill>
              <a:srgbClr val="2183C4"/>
            </a:solidFill>
            <a:ln>
              <a:noFill/>
            </a:ln>
            <a:effectLst/>
          </c:spPr>
          <c:invertIfNegative val="0"/>
          <c:cat>
            <c:strRef>
              <c:f>'BDV usluga_dsz'!$G$27:$N$27</c:f>
              <c:strCache>
                <c:ptCount val="8"/>
                <c:pt idx="0">
                  <c:v>G-I</c:v>
                </c:pt>
                <c:pt idx="1">
                  <c:v>J</c:v>
                </c:pt>
                <c:pt idx="2">
                  <c:v>K</c:v>
                </c:pt>
                <c:pt idx="3">
                  <c:v>L</c:v>
                </c:pt>
                <c:pt idx="4">
                  <c:v>M-N</c:v>
                </c:pt>
                <c:pt idx="5">
                  <c:v>O-Q</c:v>
                </c:pt>
                <c:pt idx="6">
                  <c:v>R-T</c:v>
                </c:pt>
                <c:pt idx="7">
                  <c:v>G-T</c:v>
                </c:pt>
              </c:strCache>
            </c:strRef>
          </c:cat>
          <c:val>
            <c:numRef>
              <c:f>'BDV usluga_dsz'!$G$31:$N$31</c:f>
              <c:numCache>
                <c:formatCode>0.0</c:formatCode>
                <c:ptCount val="8"/>
                <c:pt idx="0">
                  <c:v>5.3341744728864029</c:v>
                </c:pt>
                <c:pt idx="1">
                  <c:v>4.9369726288688582</c:v>
                </c:pt>
                <c:pt idx="2">
                  <c:v>3.7750126769902721</c:v>
                </c:pt>
                <c:pt idx="3">
                  <c:v>-0.21951313742223988</c:v>
                </c:pt>
                <c:pt idx="4">
                  <c:v>-5.4963187945393628</c:v>
                </c:pt>
                <c:pt idx="5">
                  <c:v>-0.65572643851947987</c:v>
                </c:pt>
                <c:pt idx="6">
                  <c:v>-11.375075108058695</c:v>
                </c:pt>
                <c:pt idx="7">
                  <c:v>1.1617267729159693</c:v>
                </c:pt>
              </c:numCache>
            </c:numRef>
          </c:val>
          <c:extLst>
            <c:ext xmlns:c16="http://schemas.microsoft.com/office/drawing/2014/chart" uri="{C3380CC4-5D6E-409C-BE32-E72D297353CC}">
              <c16:uniqueId val="{00000003-1ABA-43C7-A1E4-64ACA4187F00}"/>
            </c:ext>
          </c:extLst>
        </c:ser>
        <c:ser>
          <c:idx val="4"/>
          <c:order val="4"/>
          <c:tx>
            <c:strRef>
              <c:f>'BDV usluga_dsz'!$A$32</c:f>
              <c:strCache>
                <c:ptCount val="1"/>
                <c:pt idx="0">
                  <c:v>2021Q2</c:v>
                </c:pt>
              </c:strCache>
            </c:strRef>
          </c:tx>
          <c:spPr>
            <a:solidFill>
              <a:srgbClr val="10103C"/>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rgbClr val="10103C"/>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'BDV usluga_dsz'!$G$27:$N$27</c:f>
              <c:strCache>
                <c:ptCount val="8"/>
                <c:pt idx="0">
                  <c:v>G-I</c:v>
                </c:pt>
                <c:pt idx="1">
                  <c:v>J</c:v>
                </c:pt>
                <c:pt idx="2">
                  <c:v>K</c:v>
                </c:pt>
                <c:pt idx="3">
                  <c:v>L</c:v>
                </c:pt>
                <c:pt idx="4">
                  <c:v>M-N</c:v>
                </c:pt>
                <c:pt idx="5">
                  <c:v>O-Q</c:v>
                </c:pt>
                <c:pt idx="6">
                  <c:v>R-T</c:v>
                </c:pt>
                <c:pt idx="7">
                  <c:v>G-T</c:v>
                </c:pt>
              </c:strCache>
            </c:strRef>
          </c:cat>
          <c:val>
            <c:numRef>
              <c:f>'BDV usluga_dsz'!$G$32:$N$32</c:f>
              <c:numCache>
                <c:formatCode>0.0</c:formatCode>
                <c:ptCount val="8"/>
                <c:pt idx="0">
                  <c:v>9.7105114573165565</c:v>
                </c:pt>
                <c:pt idx="1">
                  <c:v>5.5776798756204755</c:v>
                </c:pt>
                <c:pt idx="2">
                  <c:v>4.8534019841114997</c:v>
                </c:pt>
                <c:pt idx="3">
                  <c:v>-1.639031426086035E-2</c:v>
                </c:pt>
                <c:pt idx="4">
                  <c:v>-1.1010077702412531</c:v>
                </c:pt>
                <c:pt idx="5">
                  <c:v>-2.7309235747773073</c:v>
                </c:pt>
                <c:pt idx="6">
                  <c:v>-7.0740484697338815</c:v>
                </c:pt>
                <c:pt idx="7">
                  <c:v>3.0510560559752378</c:v>
                </c:pt>
              </c:numCache>
            </c:numRef>
          </c:val>
          <c:extLst>
            <c:ext xmlns:c16="http://schemas.microsoft.com/office/drawing/2014/chart" uri="{C3380CC4-5D6E-409C-BE32-E72D297353CC}">
              <c16:uniqueId val="{00000004-1ABA-43C7-A1E4-64ACA4187F00}"/>
            </c:ext>
          </c:extLst>
        </c:ser>
        <c:dLbls>
          <c:showLegendKey val="0"/>
          <c:showVal val="0"/>
          <c:showCatName val="0"/>
          <c:showSerName val="0"/>
          <c:showPercent val="0"/>
          <c:showBubbleSize val="0"/>
        </c:dLbls>
        <c:gapWidth val="219"/>
        <c:axId val="1208457136"/>
        <c:axId val="1208455888"/>
      </c:barChart>
      <c:catAx>
        <c:axId val="1208457136"/>
        <c:scaling>
          <c:orientation val="maxMin"/>
        </c:scaling>
        <c:delete val="0"/>
        <c:axPos val="l"/>
        <c:majorGridlines>
          <c:spPr>
            <a:ln w="3175" cap="flat" cmpd="sng" algn="ctr">
              <a:solidFill>
                <a:schemeClr val="tx1">
                  <a:lumMod val="15000"/>
                  <a:lumOff val="85000"/>
                </a:schemeClr>
              </a:solidFill>
              <a:round/>
            </a:ln>
            <a:effectLst/>
          </c:spPr>
        </c:majorGridlines>
        <c:numFmt formatCode="General" sourceLinked="1"/>
        <c:majorTickMark val="none"/>
        <c:minorTickMark val="none"/>
        <c:tickLblPos val="low"/>
        <c:spPr>
          <a:noFill/>
          <a:ln w="6350" cap="flat" cmpd="sng" algn="ctr">
            <a:solidFill>
              <a:srgbClr val="898989"/>
            </a:solidFill>
            <a:round/>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1208455888"/>
        <c:crosses val="autoZero"/>
        <c:auto val="1"/>
        <c:lblAlgn val="ctr"/>
        <c:lblOffset val="100"/>
        <c:noMultiLvlLbl val="0"/>
      </c:catAx>
      <c:valAx>
        <c:axId val="1208455888"/>
        <c:scaling>
          <c:orientation val="minMax"/>
        </c:scaling>
        <c:delete val="0"/>
        <c:axPos val="t"/>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1208457136"/>
        <c:crosses val="autoZero"/>
        <c:crossBetween val="between"/>
      </c:valAx>
      <c:spPr>
        <a:noFill/>
        <a:ln>
          <a:noFill/>
        </a:ln>
        <a:effectLst/>
      </c:spPr>
    </c:plotArea>
    <c:legend>
      <c:legendPos val="b"/>
      <c:layout>
        <c:manualLayout>
          <c:xMode val="edge"/>
          <c:yMode val="edge"/>
          <c:x val="5.1603237095363082E-2"/>
          <c:y val="0.92413822751322749"/>
          <c:w val="0.89679352580927385"/>
          <c:h val="6.3262566137566131E-2"/>
        </c:manualLayout>
      </c:layout>
      <c:overlay val="0"/>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sz="750">
          <a:solidFill>
            <a:schemeClr val="tx2"/>
          </a:solidFill>
        </a:defRPr>
      </a:pPr>
      <a:endParaRPr lang="en-US"/>
    </a:p>
  </c:txPr>
  <c:externalData r:id="rId4">
    <c:autoUpdate val="0"/>
  </c:externalData>
  <c:userShapes r:id="rId5"/>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69410569105691"/>
          <c:y val="5.8005314731772131E-2"/>
          <c:w val="0.83454945799457991"/>
          <c:h val="0.60627480775429388"/>
        </c:manualLayout>
      </c:layout>
      <c:lineChart>
        <c:grouping val="standard"/>
        <c:varyColors val="0"/>
        <c:ser>
          <c:idx val="0"/>
          <c:order val="0"/>
          <c:tx>
            <c:strRef>
              <c:f>'Commodities 2'!$K$144</c:f>
              <c:strCache>
                <c:ptCount val="1"/>
              </c:strCache>
            </c:strRef>
          </c:tx>
          <c:spPr>
            <a:ln w="22225" cap="rnd">
              <a:solidFill>
                <a:srgbClr val="00A651"/>
              </a:solidFill>
              <a:prstDash val="sysDot"/>
              <a:round/>
            </a:ln>
            <a:effectLst/>
          </c:spPr>
          <c:marker>
            <c:symbol val="none"/>
          </c:marker>
          <c:cat>
            <c:numRef>
              <c:f>'Commodities 2'!$J$146:$J$151</c:f>
              <c:numCache>
                <c:formatCode>General</c:formatCode>
                <c:ptCount val="6"/>
                <c:pt idx="0">
                  <c:v>2019</c:v>
                </c:pt>
                <c:pt idx="1">
                  <c:v>2020</c:v>
                </c:pt>
                <c:pt idx="2">
                  <c:v>2021</c:v>
                </c:pt>
                <c:pt idx="3">
                  <c:v>2022</c:v>
                </c:pt>
                <c:pt idx="4">
                  <c:v>2023</c:v>
                </c:pt>
                <c:pt idx="5">
                  <c:v>2024</c:v>
                </c:pt>
              </c:numCache>
            </c:numRef>
          </c:cat>
          <c:val>
            <c:numRef>
              <c:f>'Commodities 2'!$K$146:$K$151</c:f>
              <c:numCache>
                <c:formatCode>0.0</c:formatCode>
                <c:ptCount val="6"/>
                <c:pt idx="0">
                  <c:v>100</c:v>
                </c:pt>
                <c:pt idx="1">
                  <c:v>101.65844822381001</c:v>
                </c:pt>
                <c:pt idx="2">
                  <c:v>115.804568783335</c:v>
                </c:pt>
                <c:pt idx="3">
                  <c:v>113.51112005635504</c:v>
                </c:pt>
                <c:pt idx="4">
                  <c:v>112.92241119050016</c:v>
                </c:pt>
                <c:pt idx="5">
                  <c:v>112.99184864647277</c:v>
                </c:pt>
              </c:numCache>
            </c:numRef>
          </c:val>
          <c:smooth val="0"/>
          <c:extLst>
            <c:ext xmlns:c16="http://schemas.microsoft.com/office/drawing/2014/chart" uri="{C3380CC4-5D6E-409C-BE32-E72D297353CC}">
              <c16:uniqueId val="{00000000-2A70-479F-92FA-65DC40124A19}"/>
            </c:ext>
          </c:extLst>
        </c:ser>
        <c:ser>
          <c:idx val="1"/>
          <c:order val="1"/>
          <c:tx>
            <c:strRef>
              <c:f>'Commodities 2'!$L$144</c:f>
              <c:strCache>
                <c:ptCount val="1"/>
              </c:strCache>
            </c:strRef>
          </c:tx>
          <c:spPr>
            <a:ln w="22225" cap="rnd">
              <a:solidFill>
                <a:srgbClr val="EC008C"/>
              </a:solidFill>
              <a:prstDash val="sysDot"/>
              <a:round/>
            </a:ln>
            <a:effectLst/>
          </c:spPr>
          <c:marker>
            <c:symbol val="none"/>
          </c:marker>
          <c:cat>
            <c:numRef>
              <c:f>'Commodities 2'!$J$146:$J$151</c:f>
              <c:numCache>
                <c:formatCode>General</c:formatCode>
                <c:ptCount val="6"/>
                <c:pt idx="0">
                  <c:v>2019</c:v>
                </c:pt>
                <c:pt idx="1">
                  <c:v>2020</c:v>
                </c:pt>
                <c:pt idx="2">
                  <c:v>2021</c:v>
                </c:pt>
                <c:pt idx="3">
                  <c:v>2022</c:v>
                </c:pt>
                <c:pt idx="4">
                  <c:v>2023</c:v>
                </c:pt>
                <c:pt idx="5">
                  <c:v>2024</c:v>
                </c:pt>
              </c:numCache>
            </c:numRef>
          </c:cat>
          <c:val>
            <c:numRef>
              <c:f>'Commodities 2'!$L$146:$L$151</c:f>
              <c:numCache>
                <c:formatCode>0.0</c:formatCode>
                <c:ptCount val="6"/>
                <c:pt idx="0">
                  <c:v>100</c:v>
                </c:pt>
                <c:pt idx="1">
                  <c:v>103.502253669151</c:v>
                </c:pt>
                <c:pt idx="2">
                  <c:v>136.73221673710154</c:v>
                </c:pt>
                <c:pt idx="3">
                  <c:v>130.60845366471028</c:v>
                </c:pt>
                <c:pt idx="4">
                  <c:v>130.04078067987535</c:v>
                </c:pt>
                <c:pt idx="5">
                  <c:v>129.52713654496608</c:v>
                </c:pt>
              </c:numCache>
            </c:numRef>
          </c:val>
          <c:smooth val="0"/>
          <c:extLst>
            <c:ext xmlns:c16="http://schemas.microsoft.com/office/drawing/2014/chart" uri="{C3380CC4-5D6E-409C-BE32-E72D297353CC}">
              <c16:uniqueId val="{00000001-2A70-479F-92FA-65DC40124A19}"/>
            </c:ext>
          </c:extLst>
        </c:ser>
        <c:ser>
          <c:idx val="2"/>
          <c:order val="2"/>
          <c:tx>
            <c:strRef>
              <c:f>'Commodities 2'!$M$144</c:f>
              <c:strCache>
                <c:ptCount val="1"/>
              </c:strCache>
            </c:strRef>
          </c:tx>
          <c:spPr>
            <a:ln w="22225" cap="rnd">
              <a:solidFill>
                <a:srgbClr val="003891"/>
              </a:solidFill>
              <a:prstDash val="sysDot"/>
              <a:round/>
            </a:ln>
            <a:effectLst/>
          </c:spPr>
          <c:marker>
            <c:symbol val="none"/>
          </c:marker>
          <c:cat>
            <c:numRef>
              <c:f>'Commodities 2'!$J$146:$J$151</c:f>
              <c:numCache>
                <c:formatCode>General</c:formatCode>
                <c:ptCount val="6"/>
                <c:pt idx="0">
                  <c:v>2019</c:v>
                </c:pt>
                <c:pt idx="1">
                  <c:v>2020</c:v>
                </c:pt>
                <c:pt idx="2">
                  <c:v>2021</c:v>
                </c:pt>
                <c:pt idx="3">
                  <c:v>2022</c:v>
                </c:pt>
                <c:pt idx="4">
                  <c:v>2023</c:v>
                </c:pt>
                <c:pt idx="5">
                  <c:v>2024</c:v>
                </c:pt>
              </c:numCache>
            </c:numRef>
          </c:cat>
          <c:val>
            <c:numRef>
              <c:f>'Commodities 2'!$M$146:$M$151</c:f>
              <c:numCache>
                <c:formatCode>0.0</c:formatCode>
                <c:ptCount val="6"/>
                <c:pt idx="0">
                  <c:v>100</c:v>
                </c:pt>
                <c:pt idx="1">
                  <c:v>67.25176365613585</c:v>
                </c:pt>
                <c:pt idx="2">
                  <c:v>95.310626551041452</c:v>
                </c:pt>
                <c:pt idx="3">
                  <c:v>89.309316008142105</c:v>
                </c:pt>
                <c:pt idx="4">
                  <c:v>85.578451328667427</c:v>
                </c:pt>
                <c:pt idx="5">
                  <c:v>83.570811142403031</c:v>
                </c:pt>
              </c:numCache>
            </c:numRef>
          </c:val>
          <c:smooth val="0"/>
          <c:extLst>
            <c:ext xmlns:c16="http://schemas.microsoft.com/office/drawing/2014/chart" uri="{C3380CC4-5D6E-409C-BE32-E72D297353CC}">
              <c16:uniqueId val="{00000002-2A70-479F-92FA-65DC40124A19}"/>
            </c:ext>
          </c:extLst>
        </c:ser>
        <c:ser>
          <c:idx val="3"/>
          <c:order val="3"/>
          <c:tx>
            <c:strRef>
              <c:f>'Commodities 2'!$N$144</c:f>
              <c:strCache>
                <c:ptCount val="1"/>
              </c:strCache>
            </c:strRef>
          </c:tx>
          <c:spPr>
            <a:ln w="22225" cap="rnd">
              <a:solidFill>
                <a:srgbClr val="00A651"/>
              </a:solidFill>
              <a:round/>
            </a:ln>
            <a:effectLst/>
          </c:spPr>
          <c:marker>
            <c:symbol val="none"/>
          </c:marker>
          <c:cat>
            <c:numRef>
              <c:f>'Commodities 2'!$J$146:$J$151</c:f>
              <c:numCache>
                <c:formatCode>General</c:formatCode>
                <c:ptCount val="6"/>
                <c:pt idx="0">
                  <c:v>2019</c:v>
                </c:pt>
                <c:pt idx="1">
                  <c:v>2020</c:v>
                </c:pt>
                <c:pt idx="2">
                  <c:v>2021</c:v>
                </c:pt>
                <c:pt idx="3">
                  <c:v>2022</c:v>
                </c:pt>
                <c:pt idx="4">
                  <c:v>2023</c:v>
                </c:pt>
                <c:pt idx="5">
                  <c:v>2024</c:v>
                </c:pt>
              </c:numCache>
            </c:numRef>
          </c:cat>
          <c:val>
            <c:numRef>
              <c:f>'Commodities 2'!$N$146:$N$151</c:f>
              <c:numCache>
                <c:formatCode>0.0</c:formatCode>
                <c:ptCount val="6"/>
                <c:pt idx="0">
                  <c:v>100</c:v>
                </c:pt>
                <c:pt idx="1">
                  <c:v>101.68159404246752</c:v>
                </c:pt>
                <c:pt idx="2">
                  <c:v>129.92049914461106</c:v>
                </c:pt>
                <c:pt idx="3">
                  <c:v>132.35282278353628</c:v>
                </c:pt>
                <c:pt idx="4">
                  <c:v>128.00845325550972</c:v>
                </c:pt>
                <c:pt idx="5">
                  <c:v>126.48485458387843</c:v>
                </c:pt>
              </c:numCache>
            </c:numRef>
          </c:val>
          <c:smooth val="0"/>
          <c:extLst>
            <c:ext xmlns:c16="http://schemas.microsoft.com/office/drawing/2014/chart" uri="{C3380CC4-5D6E-409C-BE32-E72D297353CC}">
              <c16:uniqueId val="{00000003-2A70-479F-92FA-65DC40124A19}"/>
            </c:ext>
          </c:extLst>
        </c:ser>
        <c:ser>
          <c:idx val="4"/>
          <c:order val="4"/>
          <c:tx>
            <c:strRef>
              <c:f>'Commodities 2'!$O$144</c:f>
              <c:strCache>
                <c:ptCount val="1"/>
              </c:strCache>
            </c:strRef>
          </c:tx>
          <c:spPr>
            <a:ln w="22225" cap="rnd">
              <a:solidFill>
                <a:srgbClr val="EC008C"/>
              </a:solidFill>
              <a:round/>
            </a:ln>
            <a:effectLst/>
          </c:spPr>
          <c:marker>
            <c:symbol val="none"/>
          </c:marker>
          <c:cat>
            <c:numRef>
              <c:f>'Commodities 2'!$J$146:$J$151</c:f>
              <c:numCache>
                <c:formatCode>General</c:formatCode>
                <c:ptCount val="6"/>
                <c:pt idx="0">
                  <c:v>2019</c:v>
                </c:pt>
                <c:pt idx="1">
                  <c:v>2020</c:v>
                </c:pt>
                <c:pt idx="2">
                  <c:v>2021</c:v>
                </c:pt>
                <c:pt idx="3">
                  <c:v>2022</c:v>
                </c:pt>
                <c:pt idx="4">
                  <c:v>2023</c:v>
                </c:pt>
                <c:pt idx="5">
                  <c:v>2024</c:v>
                </c:pt>
              </c:numCache>
            </c:numRef>
          </c:cat>
          <c:val>
            <c:numRef>
              <c:f>'Commodities 2'!$O$146:$O$151</c:f>
              <c:numCache>
                <c:formatCode>0.0</c:formatCode>
                <c:ptCount val="6"/>
                <c:pt idx="0">
                  <c:v>100</c:v>
                </c:pt>
                <c:pt idx="1">
                  <c:v>103.502253669151</c:v>
                </c:pt>
                <c:pt idx="2">
                  <c:v>154.90515346413741</c:v>
                </c:pt>
                <c:pt idx="3">
                  <c:v>144.78547586094601</c:v>
                </c:pt>
                <c:pt idx="4">
                  <c:v>144.27035148357302</c:v>
                </c:pt>
                <c:pt idx="5">
                  <c:v>143.51320746338249</c:v>
                </c:pt>
              </c:numCache>
            </c:numRef>
          </c:val>
          <c:smooth val="0"/>
          <c:extLst>
            <c:ext xmlns:c16="http://schemas.microsoft.com/office/drawing/2014/chart" uri="{C3380CC4-5D6E-409C-BE32-E72D297353CC}">
              <c16:uniqueId val="{00000004-2A70-479F-92FA-65DC40124A19}"/>
            </c:ext>
          </c:extLst>
        </c:ser>
        <c:ser>
          <c:idx val="5"/>
          <c:order val="5"/>
          <c:tx>
            <c:strRef>
              <c:f>'Commodities 2'!$P$144</c:f>
              <c:strCache>
                <c:ptCount val="1"/>
              </c:strCache>
            </c:strRef>
          </c:tx>
          <c:spPr>
            <a:ln w="22225" cap="rnd">
              <a:solidFill>
                <a:srgbClr val="003891"/>
              </a:solidFill>
              <a:round/>
            </a:ln>
            <a:effectLst/>
          </c:spPr>
          <c:marker>
            <c:symbol val="none"/>
          </c:marker>
          <c:cat>
            <c:numRef>
              <c:f>'Commodities 2'!$J$146:$J$151</c:f>
              <c:numCache>
                <c:formatCode>General</c:formatCode>
                <c:ptCount val="6"/>
                <c:pt idx="0">
                  <c:v>2019</c:v>
                </c:pt>
                <c:pt idx="1">
                  <c:v>2020</c:v>
                </c:pt>
                <c:pt idx="2">
                  <c:v>2021</c:v>
                </c:pt>
                <c:pt idx="3">
                  <c:v>2022</c:v>
                </c:pt>
                <c:pt idx="4">
                  <c:v>2023</c:v>
                </c:pt>
                <c:pt idx="5">
                  <c:v>2024</c:v>
                </c:pt>
              </c:numCache>
            </c:numRef>
          </c:cat>
          <c:val>
            <c:numRef>
              <c:f>'Commodities 2'!$P$146:$P$151</c:f>
              <c:numCache>
                <c:formatCode>0.0</c:formatCode>
                <c:ptCount val="6"/>
                <c:pt idx="0">
                  <c:v>100</c:v>
                </c:pt>
                <c:pt idx="1">
                  <c:v>67.25176365613585</c:v>
                </c:pt>
                <c:pt idx="2">
                  <c:v>106.94378607478461</c:v>
                </c:pt>
                <c:pt idx="3">
                  <c:v>105.06371469202243</c:v>
                </c:pt>
                <c:pt idx="4">
                  <c:v>99.833393748431533</c:v>
                </c:pt>
                <c:pt idx="5">
                  <c:v>96.086495831358221</c:v>
                </c:pt>
              </c:numCache>
            </c:numRef>
          </c:val>
          <c:smooth val="0"/>
          <c:extLst>
            <c:ext xmlns:c16="http://schemas.microsoft.com/office/drawing/2014/chart" uri="{C3380CC4-5D6E-409C-BE32-E72D297353CC}">
              <c16:uniqueId val="{00000005-2A70-479F-92FA-65DC40124A19}"/>
            </c:ext>
          </c:extLst>
        </c:ser>
        <c:ser>
          <c:idx val="6"/>
          <c:order val="6"/>
          <c:tx>
            <c:strRef>
              <c:f>'Commodities 2'!$Q$144</c:f>
              <c:strCache>
                <c:ptCount val="1"/>
              </c:strCache>
            </c:strRef>
          </c:tx>
          <c:spPr>
            <a:ln w="28575" cap="rnd">
              <a:noFill/>
              <a:round/>
            </a:ln>
            <a:effectLst/>
          </c:spPr>
          <c:marker>
            <c:symbol val="square"/>
            <c:size val="2"/>
            <c:spPr>
              <a:solidFill>
                <a:schemeClr val="bg1"/>
              </a:solidFill>
              <a:ln w="9525">
                <a:noFill/>
              </a:ln>
              <a:effectLst/>
            </c:spPr>
          </c:marker>
          <c:cat>
            <c:numRef>
              <c:f>'Commodities 2'!$J$146:$J$151</c:f>
              <c:numCache>
                <c:formatCode>General</c:formatCode>
                <c:ptCount val="6"/>
                <c:pt idx="0">
                  <c:v>2019</c:v>
                </c:pt>
                <c:pt idx="1">
                  <c:v>2020</c:v>
                </c:pt>
                <c:pt idx="2">
                  <c:v>2021</c:v>
                </c:pt>
                <c:pt idx="3">
                  <c:v>2022</c:v>
                </c:pt>
                <c:pt idx="4">
                  <c:v>2023</c:v>
                </c:pt>
                <c:pt idx="5">
                  <c:v>2024</c:v>
                </c:pt>
              </c:numCache>
            </c:numRef>
          </c:cat>
          <c:val>
            <c:numRef>
              <c:f>'Commodities 2'!$Q$146:$Q$151</c:f>
              <c:numCache>
                <c:formatCode>General</c:formatCode>
                <c:ptCount val="6"/>
                <c:pt idx="0">
                  <c:v>60</c:v>
                </c:pt>
                <c:pt idx="1">
                  <c:v>60</c:v>
                </c:pt>
                <c:pt idx="2">
                  <c:v>60</c:v>
                </c:pt>
                <c:pt idx="3">
                  <c:v>60</c:v>
                </c:pt>
                <c:pt idx="4">
                  <c:v>60</c:v>
                </c:pt>
                <c:pt idx="5">
                  <c:v>60</c:v>
                </c:pt>
              </c:numCache>
            </c:numRef>
          </c:val>
          <c:smooth val="0"/>
          <c:extLst>
            <c:ext xmlns:c16="http://schemas.microsoft.com/office/drawing/2014/chart" uri="{C3380CC4-5D6E-409C-BE32-E72D297353CC}">
              <c16:uniqueId val="{00000006-2A70-479F-92FA-65DC40124A19}"/>
            </c:ext>
          </c:extLst>
        </c:ser>
        <c:dLbls>
          <c:showLegendKey val="0"/>
          <c:showVal val="0"/>
          <c:showCatName val="0"/>
          <c:showSerName val="0"/>
          <c:showPercent val="0"/>
          <c:showBubbleSize val="0"/>
        </c:dLbls>
        <c:smooth val="0"/>
        <c:axId val="1767812416"/>
        <c:axId val="1767804256"/>
      </c:lineChart>
      <c:catAx>
        <c:axId val="1767812416"/>
        <c:scaling>
          <c:orientation val="minMax"/>
        </c:scaling>
        <c:delete val="0"/>
        <c:axPos val="b"/>
        <c:numFmt formatCode="General" sourceLinked="1"/>
        <c:majorTickMark val="none"/>
        <c:minorTickMark val="none"/>
        <c:tickLblPos val="nextTo"/>
        <c:spPr>
          <a:noFill/>
          <a:ln w="6350" cap="flat" cmpd="sng" algn="ctr">
            <a:solidFill>
              <a:srgbClr val="898989"/>
            </a:solidFill>
            <a:round/>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1767804256"/>
        <c:crosses val="autoZero"/>
        <c:auto val="1"/>
        <c:lblAlgn val="ctr"/>
        <c:lblOffset val="100"/>
        <c:noMultiLvlLbl val="0"/>
      </c:catAx>
      <c:valAx>
        <c:axId val="1767804256"/>
        <c:scaling>
          <c:orientation val="minMax"/>
          <c:min val="60"/>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1767812416"/>
        <c:crosses val="autoZero"/>
        <c:crossBetween val="midCat"/>
        <c:majorUnit val="10"/>
      </c:valAx>
      <c:spPr>
        <a:noFill/>
        <a:ln>
          <a:noFill/>
        </a:ln>
        <a:effectLst/>
      </c:spPr>
    </c:plotArea>
    <c:legend>
      <c:legendPos val="b"/>
      <c:layout>
        <c:manualLayout>
          <c:xMode val="edge"/>
          <c:yMode val="edge"/>
          <c:x val="0.32921296296296299"/>
          <c:y val="0.87949164249205691"/>
          <c:w val="0.55453703703703705"/>
          <c:h val="0.10694156651471198"/>
        </c:manualLayout>
      </c:layout>
      <c:overlay val="0"/>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sz="750">
          <a:solidFill>
            <a:schemeClr val="tx2"/>
          </a:solidFill>
        </a:defRPr>
      </a:pPr>
      <a:endParaRPr lang="en-US"/>
    </a:p>
  </c:txPr>
  <c:externalData r:id="rId4">
    <c:autoUpdate val="0"/>
  </c:externalData>
  <c:userShapes r:id="rId5"/>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508092738407699"/>
          <c:y val="6.1624649859943981E-2"/>
          <c:w val="0.85251166520851562"/>
          <c:h val="0.57359785353535364"/>
        </c:manualLayout>
      </c:layout>
      <c:lineChart>
        <c:grouping val="standard"/>
        <c:varyColors val="0"/>
        <c:ser>
          <c:idx val="0"/>
          <c:order val="0"/>
          <c:tx>
            <c:strRef>
              <c:f>'BDV usluga_dsz'!$D$71</c:f>
              <c:strCache>
                <c:ptCount val="1"/>
                <c:pt idx="0">
                  <c:v>100</c:v>
                </c:pt>
              </c:strCache>
            </c:strRef>
          </c:tx>
          <c:spPr>
            <a:ln w="6350" cap="rnd">
              <a:solidFill>
                <a:schemeClr val="tx1"/>
              </a:solidFill>
              <a:round/>
            </a:ln>
            <a:effectLst/>
          </c:spPr>
          <c:marker>
            <c:symbol val="none"/>
          </c:marker>
          <c:cat>
            <c:multiLvlStrRef>
              <c:f>'BDV usluga_dsz'!$B$73:$C$82</c:f>
              <c:multiLvlStrCache>
                <c:ptCount val="10"/>
                <c:lvl>
                  <c:pt idx="0">
                    <c:v>Q1</c:v>
                  </c:pt>
                  <c:pt idx="1">
                    <c:v>Q2</c:v>
                  </c:pt>
                  <c:pt idx="2">
                    <c:v>Q3</c:v>
                  </c:pt>
                  <c:pt idx="3">
                    <c:v>Q4</c:v>
                  </c:pt>
                  <c:pt idx="4">
                    <c:v>Q1</c:v>
                  </c:pt>
                  <c:pt idx="5">
                    <c:v>Q2</c:v>
                  </c:pt>
                  <c:pt idx="6">
                    <c:v>Q3</c:v>
                  </c:pt>
                  <c:pt idx="7">
                    <c:v>Q4</c:v>
                  </c:pt>
                  <c:pt idx="8">
                    <c:v>Q1</c:v>
                  </c:pt>
                  <c:pt idx="9">
                    <c:v>Q2</c:v>
                  </c:pt>
                </c:lvl>
                <c:lvl>
                  <c:pt idx="0">
                    <c:v>2019</c:v>
                  </c:pt>
                  <c:pt idx="4">
                    <c:v>2020</c:v>
                  </c:pt>
                  <c:pt idx="8">
                    <c:v>2021</c:v>
                  </c:pt>
                </c:lvl>
              </c:multiLvlStrCache>
            </c:multiLvlStrRef>
          </c:cat>
          <c:val>
            <c:numRef>
              <c:f>'BDV usluga_dsz'!$D$73:$D$82</c:f>
              <c:numCache>
                <c:formatCode>0.0</c:formatCode>
                <c:ptCount val="10"/>
                <c:pt idx="0">
                  <c:v>100</c:v>
                </c:pt>
                <c:pt idx="1">
                  <c:v>100</c:v>
                </c:pt>
                <c:pt idx="2">
                  <c:v>100</c:v>
                </c:pt>
                <c:pt idx="3">
                  <c:v>100</c:v>
                </c:pt>
                <c:pt idx="4">
                  <c:v>100</c:v>
                </c:pt>
                <c:pt idx="5">
                  <c:v>100</c:v>
                </c:pt>
                <c:pt idx="6">
                  <c:v>100</c:v>
                </c:pt>
                <c:pt idx="7">
                  <c:v>100</c:v>
                </c:pt>
                <c:pt idx="8">
                  <c:v>100</c:v>
                </c:pt>
                <c:pt idx="9">
                  <c:v>100</c:v>
                </c:pt>
              </c:numCache>
            </c:numRef>
          </c:val>
          <c:smooth val="0"/>
          <c:extLst>
            <c:ext xmlns:c16="http://schemas.microsoft.com/office/drawing/2014/chart" uri="{C3380CC4-5D6E-409C-BE32-E72D297353CC}">
              <c16:uniqueId val="{00000000-C709-4D92-81F6-DB7F1F76FF25}"/>
            </c:ext>
          </c:extLst>
        </c:ser>
        <c:ser>
          <c:idx val="1"/>
          <c:order val="1"/>
          <c:tx>
            <c:strRef>
              <c:f>'BDV usluga_dsz'!$E$71</c:f>
              <c:strCache>
                <c:ptCount val="1"/>
                <c:pt idx="0">
                  <c:v>Индекс физичког обима саобраћаја</c:v>
                </c:pt>
              </c:strCache>
            </c:strRef>
          </c:tx>
          <c:spPr>
            <a:ln w="22225" cap="rnd">
              <a:solidFill>
                <a:srgbClr val="002060"/>
              </a:solidFill>
              <a:round/>
            </a:ln>
            <a:effectLst/>
          </c:spPr>
          <c:marker>
            <c:symbol val="circle"/>
            <c:size val="4"/>
            <c:spPr>
              <a:solidFill>
                <a:srgbClr val="10103C"/>
              </a:solidFill>
              <a:ln w="9525">
                <a:noFill/>
              </a:ln>
              <a:effectLst/>
            </c:spPr>
          </c:marker>
          <c:cat>
            <c:multiLvlStrRef>
              <c:f>'BDV usluga_dsz'!$B$73:$C$82</c:f>
              <c:multiLvlStrCache>
                <c:ptCount val="10"/>
                <c:lvl>
                  <c:pt idx="0">
                    <c:v>Q1</c:v>
                  </c:pt>
                  <c:pt idx="1">
                    <c:v>Q2</c:v>
                  </c:pt>
                  <c:pt idx="2">
                    <c:v>Q3</c:v>
                  </c:pt>
                  <c:pt idx="3">
                    <c:v>Q4</c:v>
                  </c:pt>
                  <c:pt idx="4">
                    <c:v>Q1</c:v>
                  </c:pt>
                  <c:pt idx="5">
                    <c:v>Q2</c:v>
                  </c:pt>
                  <c:pt idx="6">
                    <c:v>Q3</c:v>
                  </c:pt>
                  <c:pt idx="7">
                    <c:v>Q4</c:v>
                  </c:pt>
                  <c:pt idx="8">
                    <c:v>Q1</c:v>
                  </c:pt>
                  <c:pt idx="9">
                    <c:v>Q2</c:v>
                  </c:pt>
                </c:lvl>
                <c:lvl>
                  <c:pt idx="0">
                    <c:v>2019</c:v>
                  </c:pt>
                  <c:pt idx="4">
                    <c:v>2020</c:v>
                  </c:pt>
                  <c:pt idx="8">
                    <c:v>2021</c:v>
                  </c:pt>
                </c:lvl>
              </c:multiLvlStrCache>
            </c:multiLvlStrRef>
          </c:cat>
          <c:val>
            <c:numRef>
              <c:f>'BDV usluga_dsz'!$E$73:$E$82</c:f>
              <c:numCache>
                <c:formatCode>0.0</c:formatCode>
                <c:ptCount val="10"/>
                <c:pt idx="0">
                  <c:v>120.2</c:v>
                </c:pt>
                <c:pt idx="1">
                  <c:v>155.6</c:v>
                </c:pt>
                <c:pt idx="2">
                  <c:v>197.3</c:v>
                </c:pt>
                <c:pt idx="3">
                  <c:v>152</c:v>
                </c:pt>
                <c:pt idx="4">
                  <c:v>122.8</c:v>
                </c:pt>
                <c:pt idx="5">
                  <c:v>65.5</c:v>
                </c:pt>
                <c:pt idx="6">
                  <c:v>113.5</c:v>
                </c:pt>
                <c:pt idx="7">
                  <c:v>98.2</c:v>
                </c:pt>
                <c:pt idx="8">
                  <c:v>98.3</c:v>
                </c:pt>
                <c:pt idx="9">
                  <c:v>134.6</c:v>
                </c:pt>
              </c:numCache>
            </c:numRef>
          </c:val>
          <c:smooth val="0"/>
          <c:extLst>
            <c:ext xmlns:c16="http://schemas.microsoft.com/office/drawing/2014/chart" uri="{C3380CC4-5D6E-409C-BE32-E72D297353CC}">
              <c16:uniqueId val="{00000001-C709-4D92-81F6-DB7F1F76FF25}"/>
            </c:ext>
          </c:extLst>
        </c:ser>
        <c:ser>
          <c:idx val="2"/>
          <c:order val="2"/>
          <c:tx>
            <c:strRef>
              <c:f>'BDV usluga_dsz'!$F$71</c:f>
              <c:strCache>
                <c:ptCount val="1"/>
                <c:pt idx="0">
                  <c:v>Индекс физичког обима телекомуникационих услуга</c:v>
                </c:pt>
              </c:strCache>
            </c:strRef>
          </c:tx>
          <c:spPr>
            <a:ln w="22225" cap="rnd">
              <a:solidFill>
                <a:srgbClr val="EC008C"/>
              </a:solidFill>
              <a:round/>
            </a:ln>
            <a:effectLst/>
          </c:spPr>
          <c:marker>
            <c:symbol val="circle"/>
            <c:size val="4"/>
            <c:spPr>
              <a:solidFill>
                <a:srgbClr val="EC008C"/>
              </a:solidFill>
              <a:ln w="9525">
                <a:noFill/>
              </a:ln>
              <a:effectLst/>
            </c:spPr>
          </c:marker>
          <c:cat>
            <c:multiLvlStrRef>
              <c:f>'BDV usluga_dsz'!$B$73:$C$82</c:f>
              <c:multiLvlStrCache>
                <c:ptCount val="10"/>
                <c:lvl>
                  <c:pt idx="0">
                    <c:v>Q1</c:v>
                  </c:pt>
                  <c:pt idx="1">
                    <c:v>Q2</c:v>
                  </c:pt>
                  <c:pt idx="2">
                    <c:v>Q3</c:v>
                  </c:pt>
                  <c:pt idx="3">
                    <c:v>Q4</c:v>
                  </c:pt>
                  <c:pt idx="4">
                    <c:v>Q1</c:v>
                  </c:pt>
                  <c:pt idx="5">
                    <c:v>Q2</c:v>
                  </c:pt>
                  <c:pt idx="6">
                    <c:v>Q3</c:v>
                  </c:pt>
                  <c:pt idx="7">
                    <c:v>Q4</c:v>
                  </c:pt>
                  <c:pt idx="8">
                    <c:v>Q1</c:v>
                  </c:pt>
                  <c:pt idx="9">
                    <c:v>Q2</c:v>
                  </c:pt>
                </c:lvl>
                <c:lvl>
                  <c:pt idx="0">
                    <c:v>2019</c:v>
                  </c:pt>
                  <c:pt idx="4">
                    <c:v>2020</c:v>
                  </c:pt>
                  <c:pt idx="8">
                    <c:v>2021</c:v>
                  </c:pt>
                </c:lvl>
              </c:multiLvlStrCache>
            </c:multiLvlStrRef>
          </c:cat>
          <c:val>
            <c:numRef>
              <c:f>'BDV usluga_dsz'!$F$73:$F$82</c:f>
              <c:numCache>
                <c:formatCode>0.0</c:formatCode>
                <c:ptCount val="10"/>
                <c:pt idx="0">
                  <c:v>82</c:v>
                </c:pt>
                <c:pt idx="1">
                  <c:v>86.4</c:v>
                </c:pt>
                <c:pt idx="2">
                  <c:v>84.8</c:v>
                </c:pt>
                <c:pt idx="3">
                  <c:v>90.6</c:v>
                </c:pt>
                <c:pt idx="4">
                  <c:v>93.1</c:v>
                </c:pt>
                <c:pt idx="5">
                  <c:v>103.4</c:v>
                </c:pt>
                <c:pt idx="6">
                  <c:v>99.6</c:v>
                </c:pt>
                <c:pt idx="7">
                  <c:v>103.9</c:v>
                </c:pt>
                <c:pt idx="8">
                  <c:v>98.5</c:v>
                </c:pt>
                <c:pt idx="9">
                  <c:v>101.3</c:v>
                </c:pt>
              </c:numCache>
            </c:numRef>
          </c:val>
          <c:smooth val="0"/>
          <c:extLst>
            <c:ext xmlns:c16="http://schemas.microsoft.com/office/drawing/2014/chart" uri="{C3380CC4-5D6E-409C-BE32-E72D297353CC}">
              <c16:uniqueId val="{00000002-C709-4D92-81F6-DB7F1F76FF25}"/>
            </c:ext>
          </c:extLst>
        </c:ser>
        <c:dLbls>
          <c:showLegendKey val="0"/>
          <c:showVal val="0"/>
          <c:showCatName val="0"/>
          <c:showSerName val="0"/>
          <c:showPercent val="0"/>
          <c:showBubbleSize val="0"/>
        </c:dLbls>
        <c:smooth val="0"/>
        <c:axId val="429350464"/>
        <c:axId val="429347552"/>
      </c:lineChart>
      <c:catAx>
        <c:axId val="429350464"/>
        <c:scaling>
          <c:orientation val="minMax"/>
        </c:scaling>
        <c:delete val="0"/>
        <c:axPos val="b"/>
        <c:numFmt formatCode="General" sourceLinked="1"/>
        <c:majorTickMark val="none"/>
        <c:minorTickMark val="none"/>
        <c:tickLblPos val="low"/>
        <c:spPr>
          <a:noFill/>
          <a:ln w="6350" cap="flat" cmpd="sng" algn="ctr">
            <a:solidFill>
              <a:srgbClr val="898989"/>
            </a:solidFill>
            <a:round/>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429347552"/>
        <c:crosses val="autoZero"/>
        <c:auto val="1"/>
        <c:lblAlgn val="ctr"/>
        <c:lblOffset val="0"/>
        <c:noMultiLvlLbl val="1"/>
      </c:catAx>
      <c:valAx>
        <c:axId val="429347552"/>
        <c:scaling>
          <c:orientation val="minMax"/>
          <c:max val="200"/>
          <c:min val="60"/>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429350464"/>
        <c:crosses val="autoZero"/>
        <c:crossBetween val="midCat"/>
        <c:majorUnit val="20"/>
      </c:valAx>
      <c:spPr>
        <a:noFill/>
        <a:ln>
          <a:noFill/>
        </a:ln>
        <a:effectLst/>
      </c:spPr>
    </c:plotArea>
    <c:legend>
      <c:legendPos val="b"/>
      <c:legendEntry>
        <c:idx val="0"/>
        <c:delete val="1"/>
      </c:legendEntry>
      <c:layout>
        <c:manualLayout>
          <c:xMode val="edge"/>
          <c:yMode val="edge"/>
          <c:x val="6.3425925925925898E-3"/>
          <c:y val="0.85231242312423128"/>
          <c:w val="0.96879629629629627"/>
          <c:h val="0.12816113161131609"/>
        </c:manualLayout>
      </c:layout>
      <c:overlay val="0"/>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sz="750">
          <a:solidFill>
            <a:schemeClr val="tx2"/>
          </a:solidFill>
        </a:defRPr>
      </a:pPr>
      <a:endParaRPr lang="en-US"/>
    </a:p>
  </c:txPr>
  <c:externalData r:id="rId4">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8583366760262072E-2"/>
          <c:y val="4.2497000239980799E-2"/>
          <c:w val="0.88461960155100949"/>
          <c:h val="0.84012087087087106"/>
        </c:manualLayout>
      </c:layout>
      <c:lineChart>
        <c:grouping val="standard"/>
        <c:varyColors val="0"/>
        <c:ser>
          <c:idx val="0"/>
          <c:order val="0"/>
          <c:tx>
            <c:strRef>
              <c:f>Usluge!$E$5</c:f>
              <c:strCache>
                <c:ptCount val="1"/>
                <c:pt idx="0">
                  <c:v>y</c:v>
                </c:pt>
              </c:strCache>
            </c:strRef>
          </c:tx>
          <c:spPr>
            <a:ln w="12700" cap="rnd">
              <a:solidFill>
                <a:srgbClr val="7F3F98"/>
              </a:solidFill>
              <a:prstDash val="sysDash"/>
              <a:round/>
            </a:ln>
            <a:effectLst/>
          </c:spPr>
          <c:marker>
            <c:symbol val="none"/>
          </c:marker>
          <c:cat>
            <c:numRef>
              <c:f>Usluge!$A$126:$A$157</c:f>
              <c:numCache>
                <c:formatCode>yyyy</c:formatCode>
                <c:ptCount val="32"/>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numCache>
            </c:numRef>
          </c:cat>
          <c:val>
            <c:numRef>
              <c:f>Usluge!$E$126:$E$157</c:f>
              <c:numCache>
                <c:formatCode>0.0</c:formatCode>
                <c:ptCount val="32"/>
                <c:pt idx="0">
                  <c:v>80.124571783999997</c:v>
                </c:pt>
                <c:pt idx="1">
                  <c:v>78.181251946000003</c:v>
                </c:pt>
                <c:pt idx="2">
                  <c:v>90.738087823000001</c:v>
                </c:pt>
                <c:pt idx="3">
                  <c:v>93.578324508999998</c:v>
                </c:pt>
                <c:pt idx="4">
                  <c:v>93.653067579999998</c:v>
                </c:pt>
                <c:pt idx="5">
                  <c:v>96.194331984000002</c:v>
                </c:pt>
                <c:pt idx="6">
                  <c:v>99.632513235999994</c:v>
                </c:pt>
                <c:pt idx="7">
                  <c:v>102.099034569</c:v>
                </c:pt>
                <c:pt idx="8">
                  <c:v>97.091248832000005</c:v>
                </c:pt>
                <c:pt idx="9">
                  <c:v>103.967611336</c:v>
                </c:pt>
                <c:pt idx="10">
                  <c:v>101.276860791</c:v>
                </c:pt>
                <c:pt idx="11">
                  <c:v>111.292432264</c:v>
                </c:pt>
                <c:pt idx="12">
                  <c:v>89.542198691999999</c:v>
                </c:pt>
                <c:pt idx="13">
                  <c:v>88.720024914000007</c:v>
                </c:pt>
                <c:pt idx="14">
                  <c:v>95.596387418000006</c:v>
                </c:pt>
                <c:pt idx="15">
                  <c:v>77.209592026999999</c:v>
                </c:pt>
                <c:pt idx="16">
                  <c:v>98.511367175000004</c:v>
                </c:pt>
                <c:pt idx="17">
                  <c:v>107.405792588</c:v>
                </c:pt>
                <c:pt idx="18">
                  <c:v>104.715042043</c:v>
                </c:pt>
                <c:pt idx="19">
                  <c:v>106.957334164</c:v>
                </c:pt>
                <c:pt idx="20">
                  <c:v>105.08875739600001</c:v>
                </c:pt>
                <c:pt idx="21">
                  <c:v>110.769230769</c:v>
                </c:pt>
                <c:pt idx="22">
                  <c:v>103.145437558</c:v>
                </c:pt>
                <c:pt idx="23">
                  <c:v>112.338835254</c:v>
                </c:pt>
                <c:pt idx="24">
                  <c:v>93.428838368000001</c:v>
                </c:pt>
                <c:pt idx="25">
                  <c:v>92.008720025000002</c:v>
                </c:pt>
                <c:pt idx="26">
                  <c:v>101.800062286</c:v>
                </c:pt>
                <c:pt idx="27">
                  <c:v>110.54500155700001</c:v>
                </c:pt>
                <c:pt idx="28">
                  <c:v>110.993459981</c:v>
                </c:pt>
                <c:pt idx="29">
                  <c:v>114.207412021</c:v>
                </c:pt>
                <c:pt idx="30">
                  <c:v>116.300218001</c:v>
                </c:pt>
                <c:pt idx="31">
                  <c:v>115.17907194</c:v>
                </c:pt>
              </c:numCache>
            </c:numRef>
          </c:val>
          <c:smooth val="0"/>
          <c:extLst>
            <c:ext xmlns:c16="http://schemas.microsoft.com/office/drawing/2014/chart" uri="{C3380CC4-5D6E-409C-BE32-E72D297353CC}">
              <c16:uniqueId val="{00000000-2719-42BE-A4FE-FBC81C8A5015}"/>
            </c:ext>
          </c:extLst>
        </c:ser>
        <c:ser>
          <c:idx val="1"/>
          <c:order val="1"/>
          <c:tx>
            <c:strRef>
              <c:f>Usluge!$F$5</c:f>
              <c:strCache>
                <c:ptCount val="1"/>
                <c:pt idx="0">
                  <c:v>sa</c:v>
                </c:pt>
              </c:strCache>
            </c:strRef>
          </c:tx>
          <c:spPr>
            <a:ln w="22225" cap="rnd">
              <a:solidFill>
                <a:srgbClr val="25AAE1"/>
              </a:solidFill>
              <a:round/>
            </a:ln>
            <a:effectLst/>
          </c:spPr>
          <c:marker>
            <c:symbol val="none"/>
          </c:marker>
          <c:cat>
            <c:numRef>
              <c:f>Usluge!$A$126:$A$157</c:f>
              <c:numCache>
                <c:formatCode>yyyy</c:formatCode>
                <c:ptCount val="32"/>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numCache>
            </c:numRef>
          </c:cat>
          <c:val>
            <c:numRef>
              <c:f>Usluge!$F$126:$F$157</c:f>
              <c:numCache>
                <c:formatCode>0.0</c:formatCode>
                <c:ptCount val="32"/>
                <c:pt idx="0">
                  <c:v>91.479703557999997</c:v>
                </c:pt>
                <c:pt idx="1">
                  <c:v>92.181590674000006</c:v>
                </c:pt>
                <c:pt idx="2">
                  <c:v>95.146926382999993</c:v>
                </c:pt>
                <c:pt idx="3">
                  <c:v>92.423380707999996</c:v>
                </c:pt>
                <c:pt idx="4">
                  <c:v>92.924788215000007</c:v>
                </c:pt>
                <c:pt idx="5">
                  <c:v>94.854575638</c:v>
                </c:pt>
                <c:pt idx="6">
                  <c:v>95.957472397000004</c:v>
                </c:pt>
                <c:pt idx="7">
                  <c:v>96.151207733999996</c:v>
                </c:pt>
                <c:pt idx="8">
                  <c:v>96.976367097999997</c:v>
                </c:pt>
                <c:pt idx="9">
                  <c:v>98.289696341999999</c:v>
                </c:pt>
                <c:pt idx="10">
                  <c:v>99.964122222</c:v>
                </c:pt>
                <c:pt idx="11">
                  <c:v>100.791958752</c:v>
                </c:pt>
                <c:pt idx="12">
                  <c:v>101.44718220199999</c:v>
                </c:pt>
                <c:pt idx="13">
                  <c:v>101.67764835200001</c:v>
                </c:pt>
                <c:pt idx="14">
                  <c:v>101.10581503500001</c:v>
                </c:pt>
                <c:pt idx="15">
                  <c:v>76.315154800000002</c:v>
                </c:pt>
                <c:pt idx="16">
                  <c:v>98.433836295000006</c:v>
                </c:pt>
                <c:pt idx="17">
                  <c:v>104.98684579499999</c:v>
                </c:pt>
                <c:pt idx="18">
                  <c:v>100.966886554</c:v>
                </c:pt>
                <c:pt idx="19">
                  <c:v>102.16637654900001</c:v>
                </c:pt>
                <c:pt idx="20">
                  <c:v>103.87616740999999</c:v>
                </c:pt>
                <c:pt idx="21">
                  <c:v>103.85962915499999</c:v>
                </c:pt>
                <c:pt idx="22">
                  <c:v>103.637981346</c:v>
                </c:pt>
                <c:pt idx="23">
                  <c:v>100.87478283900001</c:v>
                </c:pt>
                <c:pt idx="24">
                  <c:v>106.354517656</c:v>
                </c:pt>
                <c:pt idx="25">
                  <c:v>107.718391967</c:v>
                </c:pt>
                <c:pt idx="26">
                  <c:v>106.52162891899999</c:v>
                </c:pt>
                <c:pt idx="27">
                  <c:v>109.54933748000001</c:v>
                </c:pt>
                <c:pt idx="28">
                  <c:v>111.066365417</c:v>
                </c:pt>
                <c:pt idx="29">
                  <c:v>111.641113121</c:v>
                </c:pt>
                <c:pt idx="30">
                  <c:v>111.533007267</c:v>
                </c:pt>
                <c:pt idx="31">
                  <c:v>111.120784697</c:v>
                </c:pt>
              </c:numCache>
            </c:numRef>
          </c:val>
          <c:smooth val="0"/>
          <c:extLst>
            <c:ext xmlns:c16="http://schemas.microsoft.com/office/drawing/2014/chart" uri="{C3380CC4-5D6E-409C-BE32-E72D297353CC}">
              <c16:uniqueId val="{00000001-2719-42BE-A4FE-FBC81C8A5015}"/>
            </c:ext>
          </c:extLst>
        </c:ser>
        <c:ser>
          <c:idx val="2"/>
          <c:order val="2"/>
          <c:tx>
            <c:strRef>
              <c:f>Usluge!$G$5</c:f>
              <c:strCache>
                <c:ptCount val="1"/>
                <c:pt idx="0">
                  <c:v>t</c:v>
                </c:pt>
              </c:strCache>
            </c:strRef>
          </c:tx>
          <c:spPr>
            <a:ln w="25400" cap="rnd">
              <a:solidFill>
                <a:srgbClr val="FF0000"/>
              </a:solidFill>
              <a:round/>
            </a:ln>
            <a:effectLst/>
          </c:spPr>
          <c:marker>
            <c:symbol val="none"/>
          </c:marker>
          <c:cat>
            <c:numRef>
              <c:f>Usluge!$A$126:$A$157</c:f>
              <c:numCache>
                <c:formatCode>yyyy</c:formatCode>
                <c:ptCount val="32"/>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numCache>
            </c:numRef>
          </c:cat>
          <c:val>
            <c:numRef>
              <c:f>Usluge!$G$126:$G$157</c:f>
              <c:numCache>
                <c:formatCode>0.0</c:formatCode>
                <c:ptCount val="32"/>
                <c:pt idx="0">
                  <c:v>91.053271249000005</c:v>
                </c:pt>
                <c:pt idx="1">
                  <c:v>91.712353250000007</c:v>
                </c:pt>
                <c:pt idx="2">
                  <c:v>92.378367624999996</c:v>
                </c:pt>
                <c:pt idx="3">
                  <c:v>93.023423632999993</c:v>
                </c:pt>
                <c:pt idx="4">
                  <c:v>93.685492898999996</c:v>
                </c:pt>
                <c:pt idx="5">
                  <c:v>94.446799384000002</c:v>
                </c:pt>
                <c:pt idx="6">
                  <c:v>95.338070611999996</c:v>
                </c:pt>
                <c:pt idx="7">
                  <c:v>96.364193728999993</c:v>
                </c:pt>
                <c:pt idx="8">
                  <c:v>97.478481333999994</c:v>
                </c:pt>
                <c:pt idx="9">
                  <c:v>98.609523425000006</c:v>
                </c:pt>
                <c:pt idx="10">
                  <c:v>99.654065134000007</c:v>
                </c:pt>
                <c:pt idx="11">
                  <c:v>100.51684994</c:v>
                </c:pt>
                <c:pt idx="12">
                  <c:v>101.108854721</c:v>
                </c:pt>
                <c:pt idx="13">
                  <c:v>101.356422513</c:v>
                </c:pt>
                <c:pt idx="14">
                  <c:v>101.301350344</c:v>
                </c:pt>
                <c:pt idx="15">
                  <c:v>101.14113783099999</c:v>
                </c:pt>
                <c:pt idx="16">
                  <c:v>101.100888275</c:v>
                </c:pt>
                <c:pt idx="17">
                  <c:v>101.294827145</c:v>
                </c:pt>
                <c:pt idx="18">
                  <c:v>101.700511062</c:v>
                </c:pt>
                <c:pt idx="19">
                  <c:v>102.244748402</c:v>
                </c:pt>
                <c:pt idx="20">
                  <c:v>102.896589851</c:v>
                </c:pt>
                <c:pt idx="21">
                  <c:v>103.595462527</c:v>
                </c:pt>
                <c:pt idx="22">
                  <c:v>104.318723236</c:v>
                </c:pt>
                <c:pt idx="23">
                  <c:v>105.09894791799999</c:v>
                </c:pt>
                <c:pt idx="24">
                  <c:v>106.006131721</c:v>
                </c:pt>
                <c:pt idx="25">
                  <c:v>107.095074209</c:v>
                </c:pt>
                <c:pt idx="26">
                  <c:v>108.308315818</c:v>
                </c:pt>
                <c:pt idx="27">
                  <c:v>109.456517082</c:v>
                </c:pt>
                <c:pt idx="28">
                  <c:v>110.3755281</c:v>
                </c:pt>
                <c:pt idx="29">
                  <c:v>111.047668555</c:v>
                </c:pt>
                <c:pt idx="30">
                  <c:v>111.492663933</c:v>
                </c:pt>
                <c:pt idx="31">
                  <c:v>111.748739344</c:v>
                </c:pt>
              </c:numCache>
            </c:numRef>
          </c:val>
          <c:smooth val="0"/>
          <c:extLst>
            <c:ext xmlns:c16="http://schemas.microsoft.com/office/drawing/2014/chart" uri="{C3380CC4-5D6E-409C-BE32-E72D297353CC}">
              <c16:uniqueId val="{00000002-2719-42BE-A4FE-FBC81C8A5015}"/>
            </c:ext>
          </c:extLst>
        </c:ser>
        <c:ser>
          <c:idx val="3"/>
          <c:order val="3"/>
          <c:tx>
            <c:strRef>
              <c:f>Usluge!$H$5</c:f>
              <c:strCache>
                <c:ptCount val="1"/>
                <c:pt idx="0">
                  <c:v>Series4</c:v>
                </c:pt>
              </c:strCache>
            </c:strRef>
          </c:tx>
          <c:spPr>
            <a:ln w="28575" cap="rnd">
              <a:noFill/>
              <a:round/>
            </a:ln>
            <a:effectLst/>
          </c:spPr>
          <c:marker>
            <c:symbol val="square"/>
            <c:size val="2"/>
            <c:spPr>
              <a:solidFill>
                <a:sysClr val="window" lastClr="FFFFFF"/>
              </a:solidFill>
              <a:ln w="9525">
                <a:noFill/>
              </a:ln>
              <a:effectLst/>
            </c:spPr>
          </c:marker>
          <c:dLbls>
            <c:dLbl>
              <c:idx val="0"/>
              <c:layout>
                <c:manualLayout>
                  <c:x val="0.10730092385773016"/>
                  <c:y val="5.8289039039039037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3-2719-42BE-A4FE-FBC81C8A5015}"/>
                </c:ext>
              </c:extLst>
            </c:dLbl>
            <c:dLbl>
              <c:idx val="12"/>
              <c:layout>
                <c:manualLayout>
                  <c:x val="0.10721109033178863"/>
                  <c:y val="5.8289039039039037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4-2719-42BE-A4FE-FBC81C8A5015}"/>
                </c:ext>
              </c:extLst>
            </c:dLbl>
            <c:dLbl>
              <c:idx val="24"/>
              <c:layout>
                <c:manualLayout>
                  <c:x val="4.0236714822775514E-2"/>
                  <c:y val="5.8289039039039037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5-2719-42BE-A4FE-FBC81C8A5015}"/>
                </c:ext>
              </c:extLst>
            </c:dLbl>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tx2"/>
                    </a:solidFill>
                    <a:latin typeface="+mn-lt"/>
                    <a:ea typeface="+mn-ea"/>
                    <a:cs typeface="+mn-cs"/>
                  </a:defRPr>
                </a:pPr>
                <a:endParaRPr lang="en-U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Usluge!$A$126:$A$157</c:f>
              <c:numCache>
                <c:formatCode>yyyy</c:formatCode>
                <c:ptCount val="32"/>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numCache>
            </c:numRef>
          </c:cat>
          <c:val>
            <c:numRef>
              <c:f>Usluge!$H$126:$H$157</c:f>
              <c:numCache>
                <c:formatCode>General</c:formatCode>
                <c:ptCount val="32"/>
                <c:pt idx="0">
                  <c:v>70</c:v>
                </c:pt>
                <c:pt idx="12">
                  <c:v>70</c:v>
                </c:pt>
                <c:pt idx="24">
                  <c:v>70</c:v>
                </c:pt>
              </c:numCache>
            </c:numRef>
          </c:val>
          <c:smooth val="0"/>
          <c:extLst>
            <c:ext xmlns:c16="http://schemas.microsoft.com/office/drawing/2014/chart" uri="{C3380CC4-5D6E-409C-BE32-E72D297353CC}">
              <c16:uniqueId val="{00000006-2719-42BE-A4FE-FBC81C8A5015}"/>
            </c:ext>
          </c:extLst>
        </c:ser>
        <c:ser>
          <c:idx val="4"/>
          <c:order val="4"/>
          <c:tx>
            <c:strRef>
              <c:f>Usluge!$I$5</c:f>
              <c:strCache>
                <c:ptCount val="1"/>
                <c:pt idx="0">
                  <c:v>Series5</c:v>
                </c:pt>
              </c:strCache>
            </c:strRef>
          </c:tx>
          <c:spPr>
            <a:ln w="28575" cap="rnd">
              <a:noFill/>
              <a:round/>
            </a:ln>
            <a:effectLst/>
          </c:spPr>
          <c:marker>
            <c:symbol val="none"/>
          </c:marker>
          <c:dLbls>
            <c:dLbl>
              <c:idx val="0"/>
              <c:tx>
                <c:rich>
                  <a:bodyPr/>
                  <a:lstStyle/>
                  <a:p>
                    <a:fld id="{6872C2E4-AFCE-42BA-8F18-A6D0FA55976D}"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7-2719-42BE-A4FE-FBC81C8A5015}"/>
                </c:ext>
              </c:extLst>
            </c:dLbl>
            <c:dLbl>
              <c:idx val="1"/>
              <c:tx>
                <c:rich>
                  <a:bodyPr/>
                  <a:lstStyle/>
                  <a:p>
                    <a:fld id="{97434B29-C4B0-4E87-A4C6-6175C22663D2}"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8-2719-42BE-A4FE-FBC81C8A5015}"/>
                </c:ext>
              </c:extLst>
            </c:dLbl>
            <c:dLbl>
              <c:idx val="2"/>
              <c:tx>
                <c:rich>
                  <a:bodyPr/>
                  <a:lstStyle/>
                  <a:p>
                    <a:fld id="{D6D018AB-BF20-4D3C-AE1A-8E5B4CE7FCAF}"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9-2719-42BE-A4FE-FBC81C8A5015}"/>
                </c:ext>
              </c:extLst>
            </c:dLbl>
            <c:dLbl>
              <c:idx val="3"/>
              <c:tx>
                <c:rich>
                  <a:bodyPr/>
                  <a:lstStyle/>
                  <a:p>
                    <a:fld id="{052E3CAC-F390-46B2-A923-56143DFA12F9}"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A-2719-42BE-A4FE-FBC81C8A5015}"/>
                </c:ext>
              </c:extLst>
            </c:dLbl>
            <c:dLbl>
              <c:idx val="4"/>
              <c:tx>
                <c:rich>
                  <a:bodyPr/>
                  <a:lstStyle/>
                  <a:p>
                    <a:fld id="{E1793A41-6E2E-4357-94E9-BCB0D1CF7F95}"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B-2719-42BE-A4FE-FBC81C8A5015}"/>
                </c:ext>
              </c:extLst>
            </c:dLbl>
            <c:dLbl>
              <c:idx val="5"/>
              <c:tx>
                <c:rich>
                  <a:bodyPr/>
                  <a:lstStyle/>
                  <a:p>
                    <a:fld id="{B57DBB7E-9EDF-4FA9-B22A-5D18C0B0C8A8}"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C-2719-42BE-A4FE-FBC81C8A5015}"/>
                </c:ext>
              </c:extLst>
            </c:dLbl>
            <c:dLbl>
              <c:idx val="6"/>
              <c:tx>
                <c:rich>
                  <a:bodyPr/>
                  <a:lstStyle/>
                  <a:p>
                    <a:fld id="{203B61B1-F1B6-49B5-BDED-104B8323DAAD}"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D-2719-42BE-A4FE-FBC81C8A5015}"/>
                </c:ext>
              </c:extLst>
            </c:dLbl>
            <c:dLbl>
              <c:idx val="7"/>
              <c:tx>
                <c:rich>
                  <a:bodyPr/>
                  <a:lstStyle/>
                  <a:p>
                    <a:fld id="{8CC90135-5FD1-4F14-BB80-695B1DB8530E}"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E-2719-42BE-A4FE-FBC81C8A5015}"/>
                </c:ext>
              </c:extLst>
            </c:dLbl>
            <c:dLbl>
              <c:idx val="8"/>
              <c:tx>
                <c:rich>
                  <a:bodyPr/>
                  <a:lstStyle/>
                  <a:p>
                    <a:fld id="{BB23A5CA-890F-4CCE-88AF-E3914CDF9ACC}"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F-2719-42BE-A4FE-FBC81C8A5015}"/>
                </c:ext>
              </c:extLst>
            </c:dLbl>
            <c:dLbl>
              <c:idx val="9"/>
              <c:tx>
                <c:rich>
                  <a:bodyPr/>
                  <a:lstStyle/>
                  <a:p>
                    <a:fld id="{805D6BE8-22A6-46CA-B223-DA2489A59B19}"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0-2719-42BE-A4FE-FBC81C8A5015}"/>
                </c:ext>
              </c:extLst>
            </c:dLbl>
            <c:dLbl>
              <c:idx val="10"/>
              <c:tx>
                <c:rich>
                  <a:bodyPr/>
                  <a:lstStyle/>
                  <a:p>
                    <a:fld id="{AF1937B7-E1F8-4EB9-BB94-74F289D9F1FF}"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1-2719-42BE-A4FE-FBC81C8A5015}"/>
                </c:ext>
              </c:extLst>
            </c:dLbl>
            <c:dLbl>
              <c:idx val="11"/>
              <c:tx>
                <c:rich>
                  <a:bodyPr/>
                  <a:lstStyle/>
                  <a:p>
                    <a:fld id="{31946023-B76A-4A8D-8188-833BC00334B2}"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2-2719-42BE-A4FE-FBC81C8A5015}"/>
                </c:ext>
              </c:extLst>
            </c:dLbl>
            <c:dLbl>
              <c:idx val="12"/>
              <c:tx>
                <c:rich>
                  <a:bodyPr/>
                  <a:lstStyle/>
                  <a:p>
                    <a:fld id="{814E02E3-6158-4F7A-A043-52B959A1F41C}"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3-2719-42BE-A4FE-FBC81C8A5015}"/>
                </c:ext>
              </c:extLst>
            </c:dLbl>
            <c:dLbl>
              <c:idx val="13"/>
              <c:tx>
                <c:rich>
                  <a:bodyPr/>
                  <a:lstStyle/>
                  <a:p>
                    <a:fld id="{D4871422-56E9-4A39-A1E6-52BD3806B0FB}"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4-2719-42BE-A4FE-FBC81C8A5015}"/>
                </c:ext>
              </c:extLst>
            </c:dLbl>
            <c:dLbl>
              <c:idx val="14"/>
              <c:tx>
                <c:rich>
                  <a:bodyPr/>
                  <a:lstStyle/>
                  <a:p>
                    <a:fld id="{DF0F5DE2-5349-45D9-86D7-95C4A4AC0E66}"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5-2719-42BE-A4FE-FBC81C8A5015}"/>
                </c:ext>
              </c:extLst>
            </c:dLbl>
            <c:dLbl>
              <c:idx val="15"/>
              <c:tx>
                <c:rich>
                  <a:bodyPr/>
                  <a:lstStyle/>
                  <a:p>
                    <a:fld id="{6A063E83-A914-4E46-A119-62CE409A7468}"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6-2719-42BE-A4FE-FBC81C8A5015}"/>
                </c:ext>
              </c:extLst>
            </c:dLbl>
            <c:dLbl>
              <c:idx val="16"/>
              <c:tx>
                <c:rich>
                  <a:bodyPr/>
                  <a:lstStyle/>
                  <a:p>
                    <a:fld id="{141800A1-CBE1-4879-B5D1-24EAD2C633FE}"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7-2719-42BE-A4FE-FBC81C8A5015}"/>
                </c:ext>
              </c:extLst>
            </c:dLbl>
            <c:dLbl>
              <c:idx val="17"/>
              <c:tx>
                <c:rich>
                  <a:bodyPr/>
                  <a:lstStyle/>
                  <a:p>
                    <a:fld id="{2BC5F634-DADB-49D2-95AD-B29A8FB3FA3D}"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8-2719-42BE-A4FE-FBC81C8A5015}"/>
                </c:ext>
              </c:extLst>
            </c:dLbl>
            <c:dLbl>
              <c:idx val="18"/>
              <c:tx>
                <c:rich>
                  <a:bodyPr/>
                  <a:lstStyle/>
                  <a:p>
                    <a:fld id="{78227D82-242B-4C5D-BB13-90DA88974BE6}"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9-2719-42BE-A4FE-FBC81C8A5015}"/>
                </c:ext>
              </c:extLst>
            </c:dLbl>
            <c:dLbl>
              <c:idx val="19"/>
              <c:tx>
                <c:rich>
                  <a:bodyPr/>
                  <a:lstStyle/>
                  <a:p>
                    <a:fld id="{E94146E1-1698-4DEB-9B45-64255B50181A}"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A-2719-42BE-A4FE-FBC81C8A5015}"/>
                </c:ext>
              </c:extLst>
            </c:dLbl>
            <c:dLbl>
              <c:idx val="20"/>
              <c:tx>
                <c:rich>
                  <a:bodyPr/>
                  <a:lstStyle/>
                  <a:p>
                    <a:fld id="{E64A2C93-8258-4737-8770-BC56EC278963}"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B-2719-42BE-A4FE-FBC81C8A5015}"/>
                </c:ext>
              </c:extLst>
            </c:dLbl>
            <c:dLbl>
              <c:idx val="21"/>
              <c:tx>
                <c:rich>
                  <a:bodyPr/>
                  <a:lstStyle/>
                  <a:p>
                    <a:fld id="{1B562077-DCCC-4EB8-BFB3-B16430698987}"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C-2719-42BE-A4FE-FBC81C8A5015}"/>
                </c:ext>
              </c:extLst>
            </c:dLbl>
            <c:dLbl>
              <c:idx val="22"/>
              <c:tx>
                <c:rich>
                  <a:bodyPr/>
                  <a:lstStyle/>
                  <a:p>
                    <a:fld id="{FF0D822B-6304-4E63-B012-F78D50294D2B}"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D-2719-42BE-A4FE-FBC81C8A5015}"/>
                </c:ext>
              </c:extLst>
            </c:dLbl>
            <c:dLbl>
              <c:idx val="23"/>
              <c:tx>
                <c:rich>
                  <a:bodyPr/>
                  <a:lstStyle/>
                  <a:p>
                    <a:fld id="{AA67A601-49B9-4239-8620-ABE33B220820}"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E-2719-42BE-A4FE-FBC81C8A5015}"/>
                </c:ext>
              </c:extLst>
            </c:dLbl>
            <c:dLbl>
              <c:idx val="24"/>
              <c:tx>
                <c:rich>
                  <a:bodyPr/>
                  <a:lstStyle/>
                  <a:p>
                    <a:fld id="{AA6B1463-328C-42C9-A3EE-96CBC083A7F2}"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F-2719-42BE-A4FE-FBC81C8A5015}"/>
                </c:ext>
              </c:extLst>
            </c:dLbl>
            <c:dLbl>
              <c:idx val="25"/>
              <c:tx>
                <c:rich>
                  <a:bodyPr/>
                  <a:lstStyle/>
                  <a:p>
                    <a:fld id="{BE56CF52-B177-403A-A195-55DC08FD43AD}"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0-2719-42BE-A4FE-FBC81C8A5015}"/>
                </c:ext>
              </c:extLst>
            </c:dLbl>
            <c:dLbl>
              <c:idx val="26"/>
              <c:tx>
                <c:rich>
                  <a:bodyPr/>
                  <a:lstStyle/>
                  <a:p>
                    <a:fld id="{208A59A9-2827-47E0-BF8D-9CE4C9ABAF5B}"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1-2719-42BE-A4FE-FBC81C8A5015}"/>
                </c:ext>
              </c:extLst>
            </c:dLbl>
            <c:dLbl>
              <c:idx val="27"/>
              <c:tx>
                <c:rich>
                  <a:bodyPr/>
                  <a:lstStyle/>
                  <a:p>
                    <a:fld id="{928663F6-060C-4A61-918A-7AC28E963404}"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2-2719-42BE-A4FE-FBC81C8A5015}"/>
                </c:ext>
              </c:extLst>
            </c:dLbl>
            <c:dLbl>
              <c:idx val="28"/>
              <c:tx>
                <c:rich>
                  <a:bodyPr/>
                  <a:lstStyle/>
                  <a:p>
                    <a:fld id="{503E3EC9-8DCA-421D-8E6A-F43118B816A3}"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3-2719-42BE-A4FE-FBC81C8A5015}"/>
                </c:ext>
              </c:extLst>
            </c:dLbl>
            <c:dLbl>
              <c:idx val="29"/>
              <c:tx>
                <c:rich>
                  <a:bodyPr/>
                  <a:lstStyle/>
                  <a:p>
                    <a:fld id="{8A277AC3-4557-4B44-B6A3-87BB094F3F63}"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4-2719-42BE-A4FE-FBC81C8A5015}"/>
                </c:ext>
              </c:extLst>
            </c:dLbl>
            <c:dLbl>
              <c:idx val="30"/>
              <c:tx>
                <c:rich>
                  <a:bodyPr/>
                  <a:lstStyle/>
                  <a:p>
                    <a:fld id="{A7F80FDE-3161-48C3-B613-CD44D68B190C}"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5-2719-42BE-A4FE-FBC81C8A5015}"/>
                </c:ext>
              </c:extLst>
            </c:dLbl>
            <c:dLbl>
              <c:idx val="31"/>
              <c:tx>
                <c:rich>
                  <a:bodyPr/>
                  <a:lstStyle/>
                  <a:p>
                    <a:fld id="{263355C7-DF20-4FF0-A80F-37F7A60F0704}"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6-2719-42BE-A4FE-FBC81C8A5015}"/>
                </c:ext>
              </c:extLst>
            </c:dLbl>
            <c:spPr>
              <a:noFill/>
              <a:ln>
                <a:noFill/>
              </a:ln>
              <a:effectLst/>
            </c:spPr>
            <c:txPr>
              <a:bodyPr rot="0" spcFirstLastPara="1" vertOverflow="ellipsis" vert="horz" wrap="square" lIns="38100" tIns="19050" rIns="38100" bIns="19050" anchor="ctr" anchorCtr="1">
                <a:spAutoFit/>
              </a:bodyPr>
              <a:lstStyle/>
              <a:p>
                <a:pPr>
                  <a:defRPr sz="500" b="0" i="0" u="none" strike="noStrike" kern="1200" baseline="0">
                    <a:solidFill>
                      <a:schemeClr val="tx2"/>
                    </a:solidFill>
                    <a:latin typeface="+mn-lt"/>
                    <a:ea typeface="+mn-ea"/>
                    <a:cs typeface="+mn-cs"/>
                  </a:defRPr>
                </a:pPr>
                <a:endParaRPr lang="en-US"/>
              </a:p>
            </c:txPr>
            <c:dLblPos val="t"/>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0"/>
              </c:ext>
            </c:extLst>
          </c:dLbls>
          <c:cat>
            <c:numRef>
              <c:f>Usluge!$A$126:$A$157</c:f>
              <c:numCache>
                <c:formatCode>yyyy</c:formatCode>
                <c:ptCount val="32"/>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numCache>
            </c:numRef>
          </c:cat>
          <c:val>
            <c:numRef>
              <c:f>Usluge!$I$126:$I$157</c:f>
              <c:numCache>
                <c:formatCode>General</c:formatCode>
                <c:ptCount val="32"/>
                <c:pt idx="0">
                  <c:v>70</c:v>
                </c:pt>
                <c:pt idx="1">
                  <c:v>70</c:v>
                </c:pt>
                <c:pt idx="2">
                  <c:v>70</c:v>
                </c:pt>
                <c:pt idx="3">
                  <c:v>70</c:v>
                </c:pt>
                <c:pt idx="4">
                  <c:v>70</c:v>
                </c:pt>
                <c:pt idx="5">
                  <c:v>70</c:v>
                </c:pt>
                <c:pt idx="6">
                  <c:v>70</c:v>
                </c:pt>
                <c:pt idx="7">
                  <c:v>70</c:v>
                </c:pt>
                <c:pt idx="8">
                  <c:v>70</c:v>
                </c:pt>
                <c:pt idx="9">
                  <c:v>70</c:v>
                </c:pt>
                <c:pt idx="10">
                  <c:v>70</c:v>
                </c:pt>
                <c:pt idx="11">
                  <c:v>70</c:v>
                </c:pt>
                <c:pt idx="12">
                  <c:v>70</c:v>
                </c:pt>
                <c:pt idx="13">
                  <c:v>70</c:v>
                </c:pt>
                <c:pt idx="14">
                  <c:v>70</c:v>
                </c:pt>
                <c:pt idx="15">
                  <c:v>70</c:v>
                </c:pt>
                <c:pt idx="16">
                  <c:v>70</c:v>
                </c:pt>
                <c:pt idx="17">
                  <c:v>70</c:v>
                </c:pt>
                <c:pt idx="18">
                  <c:v>70</c:v>
                </c:pt>
                <c:pt idx="19">
                  <c:v>70</c:v>
                </c:pt>
                <c:pt idx="20">
                  <c:v>70</c:v>
                </c:pt>
                <c:pt idx="21">
                  <c:v>70</c:v>
                </c:pt>
                <c:pt idx="22">
                  <c:v>70</c:v>
                </c:pt>
                <c:pt idx="23">
                  <c:v>70</c:v>
                </c:pt>
                <c:pt idx="24">
                  <c:v>70</c:v>
                </c:pt>
                <c:pt idx="25">
                  <c:v>70</c:v>
                </c:pt>
                <c:pt idx="26">
                  <c:v>70</c:v>
                </c:pt>
                <c:pt idx="27">
                  <c:v>70</c:v>
                </c:pt>
                <c:pt idx="28">
                  <c:v>70</c:v>
                </c:pt>
                <c:pt idx="29">
                  <c:v>70</c:v>
                </c:pt>
                <c:pt idx="30">
                  <c:v>70</c:v>
                </c:pt>
                <c:pt idx="31">
                  <c:v>70</c:v>
                </c:pt>
              </c:numCache>
            </c:numRef>
          </c:val>
          <c:smooth val="0"/>
          <c:extLst>
            <c:ext xmlns:c15="http://schemas.microsoft.com/office/drawing/2012/chart" uri="{02D57815-91ED-43cb-92C2-25804820EDAC}">
              <c15:datalabelsRange>
                <c15:f>Usluge!$C$126:$C$157</c15:f>
                <c15:dlblRangeCache>
                  <c:ptCount val="32"/>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pt idx="24">
                    <c:v>I</c:v>
                  </c:pt>
                  <c:pt idx="25">
                    <c:v>II</c:v>
                  </c:pt>
                  <c:pt idx="26">
                    <c:v>III</c:v>
                  </c:pt>
                  <c:pt idx="27">
                    <c:v>IV</c:v>
                  </c:pt>
                  <c:pt idx="28">
                    <c:v>V</c:v>
                  </c:pt>
                  <c:pt idx="29">
                    <c:v>VI</c:v>
                  </c:pt>
                  <c:pt idx="30">
                    <c:v>VII</c:v>
                  </c:pt>
                  <c:pt idx="31">
                    <c:v>VIII</c:v>
                  </c:pt>
                </c15:dlblRangeCache>
              </c15:datalabelsRange>
            </c:ext>
            <c:ext xmlns:c16="http://schemas.microsoft.com/office/drawing/2014/chart" uri="{C3380CC4-5D6E-409C-BE32-E72D297353CC}">
              <c16:uniqueId val="{00000027-2719-42BE-A4FE-FBC81C8A5015}"/>
            </c:ext>
          </c:extLst>
        </c:ser>
        <c:dLbls>
          <c:showLegendKey val="0"/>
          <c:showVal val="0"/>
          <c:showCatName val="0"/>
          <c:showSerName val="0"/>
          <c:showPercent val="0"/>
          <c:showBubbleSize val="0"/>
        </c:dLbls>
        <c:smooth val="0"/>
        <c:axId val="2092186640"/>
        <c:axId val="2092182288"/>
      </c:lineChart>
      <c:dateAx>
        <c:axId val="2092186640"/>
        <c:scaling>
          <c:orientation val="minMax"/>
        </c:scaling>
        <c:delete val="0"/>
        <c:axPos val="b"/>
        <c:numFmt formatCode="yyyy" sourceLinked="1"/>
        <c:majorTickMark val="none"/>
        <c:minorTickMark val="none"/>
        <c:tickLblPos val="none"/>
        <c:spPr>
          <a:noFill/>
          <a:ln w="6350" cap="flat" cmpd="sng" algn="ctr">
            <a:solidFill>
              <a:srgbClr val="898989"/>
            </a:solidFill>
            <a:round/>
          </a:ln>
          <a:effectLst/>
        </c:spPr>
        <c:txPr>
          <a:bodyPr rot="0" spcFirstLastPara="1" vertOverflow="ellipsis" wrap="square" anchor="ctr" anchorCtr="1"/>
          <a:lstStyle/>
          <a:p>
            <a:pPr algn="ctr">
              <a:defRPr sz="750" b="0" i="0" u="none" strike="noStrike" kern="1200" baseline="0">
                <a:solidFill>
                  <a:schemeClr val="tx2"/>
                </a:solidFill>
                <a:latin typeface="+mn-lt"/>
                <a:ea typeface="+mn-ea"/>
                <a:cs typeface="+mn-cs"/>
              </a:defRPr>
            </a:pPr>
            <a:endParaRPr lang="en-US"/>
          </a:p>
        </c:txPr>
        <c:crossAx val="2092182288"/>
        <c:crosses val="autoZero"/>
        <c:auto val="1"/>
        <c:lblOffset val="0"/>
        <c:baseTimeUnit val="months"/>
      </c:dateAx>
      <c:valAx>
        <c:axId val="2092182288"/>
        <c:scaling>
          <c:orientation val="minMax"/>
          <c:max val="120"/>
          <c:min val="70"/>
        </c:scaling>
        <c:delete val="0"/>
        <c:axPos val="l"/>
        <c:numFmt formatCode="0" sourceLinked="0"/>
        <c:majorTickMark val="out"/>
        <c:minorTickMark val="none"/>
        <c:tickLblPos val="nextTo"/>
        <c:spPr>
          <a:noFill/>
          <a:ln w="6350">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2092186640"/>
        <c:crosses val="autoZero"/>
        <c:crossBetween val="midCat"/>
      </c:valAx>
      <c:spPr>
        <a:solidFill>
          <a:sysClr val="window" lastClr="FFFFFF"/>
        </a:solidFill>
        <a:ln>
          <a:noFill/>
        </a:ln>
        <a:effectLst/>
      </c:spPr>
    </c:plotArea>
    <c:plotVisOnly val="1"/>
    <c:dispBlanksAs val="gap"/>
    <c:showDLblsOverMax val="0"/>
  </c:chart>
  <c:spPr>
    <a:solidFill>
      <a:schemeClr val="bg1"/>
    </a:solidFill>
    <a:ln w="9525" cap="flat" cmpd="sng" algn="ctr">
      <a:noFill/>
      <a:round/>
    </a:ln>
    <a:effectLst/>
  </c:spPr>
  <c:txPr>
    <a:bodyPr/>
    <a:lstStyle/>
    <a:p>
      <a:pPr>
        <a:defRPr sz="750">
          <a:solidFill>
            <a:schemeClr val="tx2"/>
          </a:solidFill>
          <a:latin typeface="+mn-lt"/>
        </a:defRPr>
      </a:pPr>
      <a:endParaRPr lang="en-US"/>
    </a:p>
  </c:txPr>
  <c:externalData r:id="rId4">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8583333333333333E-2"/>
          <c:y val="4.3644144144144144E-2"/>
          <c:w val="0.86257083333333318"/>
          <c:h val="0.8328986486486486"/>
        </c:manualLayout>
      </c:layout>
      <c:lineChart>
        <c:grouping val="standard"/>
        <c:varyColors val="0"/>
        <c:ser>
          <c:idx val="0"/>
          <c:order val="0"/>
          <c:tx>
            <c:strRef>
              <c:f>'BoP_izvoz usluga'!$S$5</c:f>
              <c:strCache>
                <c:ptCount val="1"/>
                <c:pt idx="0">
                  <c:v>y</c:v>
                </c:pt>
              </c:strCache>
            </c:strRef>
          </c:tx>
          <c:spPr>
            <a:ln w="12700" cap="rnd">
              <a:solidFill>
                <a:srgbClr val="7F3F98"/>
              </a:solidFill>
              <a:prstDash val="sysDash"/>
              <a:round/>
            </a:ln>
            <a:effectLst/>
          </c:spPr>
          <c:marker>
            <c:symbol val="none"/>
          </c:marker>
          <c:cat>
            <c:numRef>
              <c:f>'BoP_izvoz usluga'!$A$90:$A$121</c:f>
              <c:numCache>
                <c:formatCode>yyyy</c:formatCode>
                <c:ptCount val="32"/>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numCache>
            </c:numRef>
          </c:cat>
          <c:val>
            <c:numRef>
              <c:f>'BoP_izvoz usluga'!$S$90:$S$121</c:f>
              <c:numCache>
                <c:formatCode>0.0</c:formatCode>
                <c:ptCount val="32"/>
                <c:pt idx="0">
                  <c:v>82.394578727988332</c:v>
                </c:pt>
                <c:pt idx="1">
                  <c:v>90.631108631034152</c:v>
                </c:pt>
                <c:pt idx="2">
                  <c:v>97.982128263115158</c:v>
                </c:pt>
                <c:pt idx="3">
                  <c:v>102.16069724717505</c:v>
                </c:pt>
                <c:pt idx="4">
                  <c:v>95.061968855549267</c:v>
                </c:pt>
                <c:pt idx="5">
                  <c:v>94.603825119411454</c:v>
                </c:pt>
                <c:pt idx="6">
                  <c:v>105.89548597790865</c:v>
                </c:pt>
                <c:pt idx="7">
                  <c:v>92.535966721082374</c:v>
                </c:pt>
                <c:pt idx="8">
                  <c:v>93.960967991491501</c:v>
                </c:pt>
                <c:pt idx="9">
                  <c:v>107.427607222229</c:v>
                </c:pt>
                <c:pt idx="10">
                  <c:v>108.61296526723218</c:v>
                </c:pt>
                <c:pt idx="11">
                  <c:v>114.86129795402123</c:v>
                </c:pt>
                <c:pt idx="12">
                  <c:v>101.64273223811517</c:v>
                </c:pt>
                <c:pt idx="13">
                  <c:v>109.8707012801531</c:v>
                </c:pt>
                <c:pt idx="14">
                  <c:v>95.888171884342029</c:v>
                </c:pt>
                <c:pt idx="15">
                  <c:v>94.355826588592606</c:v>
                </c:pt>
                <c:pt idx="16">
                  <c:v>87.651321673143642</c:v>
                </c:pt>
                <c:pt idx="17">
                  <c:v>96.569822639948327</c:v>
                </c:pt>
                <c:pt idx="18">
                  <c:v>91.299706781475194</c:v>
                </c:pt>
                <c:pt idx="19">
                  <c:v>83.82438356997551</c:v>
                </c:pt>
                <c:pt idx="20">
                  <c:v>91.951460122056361</c:v>
                </c:pt>
                <c:pt idx="21">
                  <c:v>103.82741769605943</c:v>
                </c:pt>
                <c:pt idx="22">
                  <c:v>99.953711191981398</c:v>
                </c:pt>
                <c:pt idx="23">
                  <c:v>143.16474433415718</c:v>
                </c:pt>
                <c:pt idx="24">
                  <c:v>99.414542318584978</c:v>
                </c:pt>
                <c:pt idx="25">
                  <c:v>103.54387680998369</c:v>
                </c:pt>
                <c:pt idx="26">
                  <c:v>124.34420440916405</c:v>
                </c:pt>
                <c:pt idx="27">
                  <c:v>120.91269877429119</c:v>
                </c:pt>
                <c:pt idx="28">
                  <c:v>114.94125306808591</c:v>
                </c:pt>
                <c:pt idx="29">
                  <c:v>125.73010792133488</c:v>
                </c:pt>
                <c:pt idx="30">
                  <c:v>142.42698073703718</c:v>
                </c:pt>
                <c:pt idx="31">
                  <c:v>123.50166729069055</c:v>
                </c:pt>
              </c:numCache>
            </c:numRef>
          </c:val>
          <c:smooth val="0"/>
          <c:extLst>
            <c:ext xmlns:c16="http://schemas.microsoft.com/office/drawing/2014/chart" uri="{C3380CC4-5D6E-409C-BE32-E72D297353CC}">
              <c16:uniqueId val="{00000000-5F15-476A-A078-41ADA4E900A6}"/>
            </c:ext>
          </c:extLst>
        </c:ser>
        <c:ser>
          <c:idx val="1"/>
          <c:order val="1"/>
          <c:tx>
            <c:strRef>
              <c:f>'BoP_izvoz usluga'!$T$5</c:f>
              <c:strCache>
                <c:ptCount val="1"/>
                <c:pt idx="0">
                  <c:v>sa</c:v>
                </c:pt>
              </c:strCache>
            </c:strRef>
          </c:tx>
          <c:spPr>
            <a:ln w="22225" cap="rnd">
              <a:solidFill>
                <a:srgbClr val="25AAE1"/>
              </a:solidFill>
              <a:round/>
            </a:ln>
            <a:effectLst/>
          </c:spPr>
          <c:marker>
            <c:symbol val="none"/>
          </c:marker>
          <c:cat>
            <c:numRef>
              <c:f>'BoP_izvoz usluga'!$A$90:$A$121</c:f>
              <c:numCache>
                <c:formatCode>yyyy</c:formatCode>
                <c:ptCount val="32"/>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numCache>
            </c:numRef>
          </c:cat>
          <c:val>
            <c:numRef>
              <c:f>'BoP_izvoz usluga'!$T$90:$T$121</c:f>
              <c:numCache>
                <c:formatCode>0.0</c:formatCode>
                <c:ptCount val="32"/>
                <c:pt idx="0">
                  <c:v>85.555818009284209</c:v>
                </c:pt>
                <c:pt idx="1">
                  <c:v>95.861396276935238</c:v>
                </c:pt>
                <c:pt idx="2">
                  <c:v>95.603443053592883</c:v>
                </c:pt>
                <c:pt idx="3">
                  <c:v>98.892440683412886</c:v>
                </c:pt>
                <c:pt idx="4">
                  <c:v>98.041269802849669</c:v>
                </c:pt>
                <c:pt idx="5">
                  <c:v>100.41874123417247</c:v>
                </c:pt>
                <c:pt idx="6">
                  <c:v>103.80401572625743</c:v>
                </c:pt>
                <c:pt idx="7">
                  <c:v>95.741523561611558</c:v>
                </c:pt>
                <c:pt idx="8">
                  <c:v>103.31592256650897</c:v>
                </c:pt>
                <c:pt idx="9">
                  <c:v>97.8120676657324</c:v>
                </c:pt>
                <c:pt idx="10">
                  <c:v>110.93674489423779</c:v>
                </c:pt>
                <c:pt idx="11">
                  <c:v>98.174951921407569</c:v>
                </c:pt>
                <c:pt idx="12">
                  <c:v>108.87775581387086</c:v>
                </c:pt>
                <c:pt idx="13">
                  <c:v>105.30936024370676</c:v>
                </c:pt>
                <c:pt idx="14">
                  <c:v>93.331920608133274</c:v>
                </c:pt>
                <c:pt idx="15">
                  <c:v>92.928362989745139</c:v>
                </c:pt>
                <c:pt idx="16">
                  <c:v>94.875417872045844</c:v>
                </c:pt>
                <c:pt idx="17">
                  <c:v>97.338364561458761</c:v>
                </c:pt>
                <c:pt idx="18">
                  <c:v>84.933348219675338</c:v>
                </c:pt>
                <c:pt idx="19">
                  <c:v>95.840877342687151</c:v>
                </c:pt>
                <c:pt idx="20">
                  <c:v>97.503409609108317</c:v>
                </c:pt>
                <c:pt idx="21">
                  <c:v>94.88966653661339</c:v>
                </c:pt>
                <c:pt idx="22">
                  <c:v>104.81984344349739</c:v>
                </c:pt>
                <c:pt idx="23">
                  <c:v>115.03419575324351</c:v>
                </c:pt>
                <c:pt idx="24">
                  <c:v>111.25083505108039</c:v>
                </c:pt>
                <c:pt idx="25">
                  <c:v>109.00238749282521</c:v>
                </c:pt>
                <c:pt idx="26">
                  <c:v>121.78285655815404</c:v>
                </c:pt>
                <c:pt idx="27">
                  <c:v>116.53703488144902</c:v>
                </c:pt>
                <c:pt idx="28">
                  <c:v>122.12774111817859</c:v>
                </c:pt>
                <c:pt idx="29">
                  <c:v>127.59356717851897</c:v>
                </c:pt>
                <c:pt idx="30">
                  <c:v>132.46529329280972</c:v>
                </c:pt>
                <c:pt idx="31">
                  <c:v>134.10990033529228</c:v>
                </c:pt>
              </c:numCache>
            </c:numRef>
          </c:val>
          <c:smooth val="0"/>
          <c:extLst>
            <c:ext xmlns:c16="http://schemas.microsoft.com/office/drawing/2014/chart" uri="{C3380CC4-5D6E-409C-BE32-E72D297353CC}">
              <c16:uniqueId val="{00000001-5F15-476A-A078-41ADA4E900A6}"/>
            </c:ext>
          </c:extLst>
        </c:ser>
        <c:ser>
          <c:idx val="2"/>
          <c:order val="2"/>
          <c:tx>
            <c:strRef>
              <c:f>'BoP_izvoz usluga'!$U$5</c:f>
              <c:strCache>
                <c:ptCount val="1"/>
                <c:pt idx="0">
                  <c:v>t</c:v>
                </c:pt>
              </c:strCache>
            </c:strRef>
          </c:tx>
          <c:spPr>
            <a:ln w="25400" cap="rnd">
              <a:solidFill>
                <a:srgbClr val="FF0000"/>
              </a:solidFill>
              <a:round/>
            </a:ln>
            <a:effectLst/>
          </c:spPr>
          <c:marker>
            <c:symbol val="none"/>
          </c:marker>
          <c:cat>
            <c:numRef>
              <c:f>'BoP_izvoz usluga'!$A$90:$A$121</c:f>
              <c:numCache>
                <c:formatCode>yyyy</c:formatCode>
                <c:ptCount val="32"/>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numCache>
            </c:numRef>
          </c:cat>
          <c:val>
            <c:numRef>
              <c:f>'BoP_izvoz usluga'!$U$90:$U$121</c:f>
              <c:numCache>
                <c:formatCode>0.0</c:formatCode>
                <c:ptCount val="32"/>
                <c:pt idx="0">
                  <c:v>88.700863186133532</c:v>
                </c:pt>
                <c:pt idx="1">
                  <c:v>92.140825618481401</c:v>
                </c:pt>
                <c:pt idx="2">
                  <c:v>95.353331112908592</c:v>
                </c:pt>
                <c:pt idx="3">
                  <c:v>97.928086740572013</c:v>
                </c:pt>
                <c:pt idx="4">
                  <c:v>99.36722238462049</c:v>
                </c:pt>
                <c:pt idx="5">
                  <c:v>100.04458535715297</c:v>
                </c:pt>
                <c:pt idx="6">
                  <c:v>100.34822770433232</c:v>
                </c:pt>
                <c:pt idx="7">
                  <c:v>100.68355394791955</c:v>
                </c:pt>
                <c:pt idx="8">
                  <c:v>101.59137516012824</c:v>
                </c:pt>
                <c:pt idx="9">
                  <c:v>102.8623881218992</c:v>
                </c:pt>
                <c:pt idx="10">
                  <c:v>103.9533927026332</c:v>
                </c:pt>
                <c:pt idx="11">
                  <c:v>104.12947939727847</c:v>
                </c:pt>
                <c:pt idx="12">
                  <c:v>103.17834983851827</c:v>
                </c:pt>
                <c:pt idx="13">
                  <c:v>101.11664300003009</c:v>
                </c:pt>
                <c:pt idx="14">
                  <c:v>98.441771809669035</c:v>
                </c:pt>
                <c:pt idx="15">
                  <c:v>96.115757493642775</c:v>
                </c:pt>
                <c:pt idx="16">
                  <c:v>94.457206456042911</c:v>
                </c:pt>
                <c:pt idx="17">
                  <c:v>93.672098787845755</c:v>
                </c:pt>
                <c:pt idx="18">
                  <c:v>93.777550787480308</c:v>
                </c:pt>
                <c:pt idx="19">
                  <c:v>95.140256072455358</c:v>
                </c:pt>
                <c:pt idx="20">
                  <c:v>97.183660505008874</c:v>
                </c:pt>
                <c:pt idx="21">
                  <c:v>99.98331744560339</c:v>
                </c:pt>
                <c:pt idx="22">
                  <c:v>103.53094379835774</c:v>
                </c:pt>
                <c:pt idx="23">
                  <c:v>107.29748574669077</c:v>
                </c:pt>
                <c:pt idx="24">
                  <c:v>110.75389179997302</c:v>
                </c:pt>
                <c:pt idx="25">
                  <c:v>113.8006766211344</c:v>
                </c:pt>
                <c:pt idx="26">
                  <c:v>116.74794622608808</c:v>
                </c:pt>
                <c:pt idx="27">
                  <c:v>119.85803586981652</c:v>
                </c:pt>
                <c:pt idx="28">
                  <c:v>123.39551141552992</c:v>
                </c:pt>
                <c:pt idx="29">
                  <c:v>127.32454487053164</c:v>
                </c:pt>
                <c:pt idx="30">
                  <c:v>131.01440202256805</c:v>
                </c:pt>
                <c:pt idx="31">
                  <c:v>133.89104419698759</c:v>
                </c:pt>
              </c:numCache>
            </c:numRef>
          </c:val>
          <c:smooth val="0"/>
          <c:extLst>
            <c:ext xmlns:c16="http://schemas.microsoft.com/office/drawing/2014/chart" uri="{C3380CC4-5D6E-409C-BE32-E72D297353CC}">
              <c16:uniqueId val="{00000002-5F15-476A-A078-41ADA4E900A6}"/>
            </c:ext>
          </c:extLst>
        </c:ser>
        <c:ser>
          <c:idx val="3"/>
          <c:order val="3"/>
          <c:tx>
            <c:strRef>
              <c:f>'BoP_izvoz usluga'!$V$5</c:f>
              <c:strCache>
                <c:ptCount val="1"/>
                <c:pt idx="0">
                  <c:v>Series4</c:v>
                </c:pt>
              </c:strCache>
            </c:strRef>
          </c:tx>
          <c:spPr>
            <a:ln w="28575" cap="rnd">
              <a:noFill/>
              <a:round/>
            </a:ln>
            <a:effectLst/>
          </c:spPr>
          <c:marker>
            <c:symbol val="square"/>
            <c:size val="2"/>
            <c:spPr>
              <a:solidFill>
                <a:sysClr val="window" lastClr="FFFFFF"/>
              </a:solidFill>
              <a:ln w="9525">
                <a:noFill/>
              </a:ln>
              <a:effectLst/>
            </c:spPr>
          </c:marker>
          <c:dLbls>
            <c:dLbl>
              <c:idx val="0"/>
              <c:layout>
                <c:manualLayout>
                  <c:x val="0.11610654864128127"/>
                  <c:y val="6.5511261261261264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F15-476A-A078-41ADA4E900A6}"/>
                </c:ext>
              </c:extLst>
            </c:dLbl>
            <c:dLbl>
              <c:idx val="12"/>
              <c:layout>
                <c:manualLayout>
                  <c:x val="0.11187849947404996"/>
                  <c:y val="6.5511261261261264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4-5F15-476A-A078-41ADA4E900A6}"/>
                </c:ext>
              </c:extLst>
            </c:dLbl>
            <c:dLbl>
              <c:idx val="24"/>
              <c:layout>
                <c:manualLayout>
                  <c:x val="3.8307638888889051E-2"/>
                  <c:y val="6.5511261261261264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5-5F15-476A-A078-41ADA4E900A6}"/>
                </c:ext>
              </c:extLst>
            </c:dLbl>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tx2"/>
                    </a:solidFill>
                    <a:latin typeface="+mn-lt"/>
                    <a:ea typeface="+mn-ea"/>
                    <a:cs typeface="+mn-cs"/>
                  </a:defRPr>
                </a:pPr>
                <a:endParaRPr lang="en-U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'BoP_izvoz usluga'!$A$90:$A$121</c:f>
              <c:numCache>
                <c:formatCode>yyyy</c:formatCode>
                <c:ptCount val="32"/>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numCache>
            </c:numRef>
          </c:cat>
          <c:val>
            <c:numRef>
              <c:f>'BoP_izvoz usluga'!$V$90:$V$121</c:f>
              <c:numCache>
                <c:formatCode>General</c:formatCode>
                <c:ptCount val="32"/>
                <c:pt idx="0">
                  <c:v>50</c:v>
                </c:pt>
                <c:pt idx="12">
                  <c:v>50</c:v>
                </c:pt>
                <c:pt idx="24">
                  <c:v>50</c:v>
                </c:pt>
              </c:numCache>
            </c:numRef>
          </c:val>
          <c:smooth val="0"/>
          <c:extLst>
            <c:ext xmlns:c16="http://schemas.microsoft.com/office/drawing/2014/chart" uri="{C3380CC4-5D6E-409C-BE32-E72D297353CC}">
              <c16:uniqueId val="{00000006-5F15-476A-A078-41ADA4E900A6}"/>
            </c:ext>
          </c:extLst>
        </c:ser>
        <c:ser>
          <c:idx val="4"/>
          <c:order val="4"/>
          <c:tx>
            <c:strRef>
              <c:f>'BoP_izvoz usluga'!$W$5</c:f>
              <c:strCache>
                <c:ptCount val="1"/>
                <c:pt idx="0">
                  <c:v>Series5</c:v>
                </c:pt>
              </c:strCache>
            </c:strRef>
          </c:tx>
          <c:spPr>
            <a:ln w="28575" cap="rnd">
              <a:noFill/>
              <a:round/>
            </a:ln>
            <a:effectLst/>
          </c:spPr>
          <c:marker>
            <c:symbol val="none"/>
          </c:marker>
          <c:dLbls>
            <c:dLbl>
              <c:idx val="0"/>
              <c:tx>
                <c:rich>
                  <a:bodyPr/>
                  <a:lstStyle/>
                  <a:p>
                    <a:fld id="{17C57C3D-C015-4311-9C18-47FF18132F52}"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7-5F15-476A-A078-41ADA4E900A6}"/>
                </c:ext>
              </c:extLst>
            </c:dLbl>
            <c:dLbl>
              <c:idx val="1"/>
              <c:tx>
                <c:rich>
                  <a:bodyPr/>
                  <a:lstStyle/>
                  <a:p>
                    <a:fld id="{2E5B50AB-B65C-413A-A8C7-0EDF4F20993B}"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8-5F15-476A-A078-41ADA4E900A6}"/>
                </c:ext>
              </c:extLst>
            </c:dLbl>
            <c:dLbl>
              <c:idx val="2"/>
              <c:tx>
                <c:rich>
                  <a:bodyPr/>
                  <a:lstStyle/>
                  <a:p>
                    <a:fld id="{40623797-7079-4A02-BDD3-90867DE970FD}"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9-5F15-476A-A078-41ADA4E900A6}"/>
                </c:ext>
              </c:extLst>
            </c:dLbl>
            <c:dLbl>
              <c:idx val="3"/>
              <c:tx>
                <c:rich>
                  <a:bodyPr/>
                  <a:lstStyle/>
                  <a:p>
                    <a:fld id="{EE4B2F92-AF59-41E2-80C0-CD82C5C55DD4}"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A-5F15-476A-A078-41ADA4E900A6}"/>
                </c:ext>
              </c:extLst>
            </c:dLbl>
            <c:dLbl>
              <c:idx val="4"/>
              <c:tx>
                <c:rich>
                  <a:bodyPr/>
                  <a:lstStyle/>
                  <a:p>
                    <a:fld id="{B1D06AF6-6D51-4A9A-ABA9-EFF504F3C39B}"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B-5F15-476A-A078-41ADA4E900A6}"/>
                </c:ext>
              </c:extLst>
            </c:dLbl>
            <c:dLbl>
              <c:idx val="5"/>
              <c:tx>
                <c:rich>
                  <a:bodyPr/>
                  <a:lstStyle/>
                  <a:p>
                    <a:fld id="{BEFD3217-89BA-4054-B102-C98F2CCE24ED}"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C-5F15-476A-A078-41ADA4E900A6}"/>
                </c:ext>
              </c:extLst>
            </c:dLbl>
            <c:dLbl>
              <c:idx val="6"/>
              <c:tx>
                <c:rich>
                  <a:bodyPr/>
                  <a:lstStyle/>
                  <a:p>
                    <a:fld id="{C6FCA0F0-161B-485B-97B5-E5F92D8F7E06}"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D-5F15-476A-A078-41ADA4E900A6}"/>
                </c:ext>
              </c:extLst>
            </c:dLbl>
            <c:dLbl>
              <c:idx val="7"/>
              <c:tx>
                <c:rich>
                  <a:bodyPr/>
                  <a:lstStyle/>
                  <a:p>
                    <a:fld id="{4735FBCD-C403-4FE9-91C7-49E4F7527859}"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E-5F15-476A-A078-41ADA4E900A6}"/>
                </c:ext>
              </c:extLst>
            </c:dLbl>
            <c:dLbl>
              <c:idx val="8"/>
              <c:tx>
                <c:rich>
                  <a:bodyPr/>
                  <a:lstStyle/>
                  <a:p>
                    <a:fld id="{C6E910CC-D889-4A16-8889-AF1E043C2117}"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F-5F15-476A-A078-41ADA4E900A6}"/>
                </c:ext>
              </c:extLst>
            </c:dLbl>
            <c:dLbl>
              <c:idx val="9"/>
              <c:tx>
                <c:rich>
                  <a:bodyPr/>
                  <a:lstStyle/>
                  <a:p>
                    <a:fld id="{1C6A3F25-0011-4D50-9B31-D23A247AE3D6}"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0-5F15-476A-A078-41ADA4E900A6}"/>
                </c:ext>
              </c:extLst>
            </c:dLbl>
            <c:dLbl>
              <c:idx val="10"/>
              <c:tx>
                <c:rich>
                  <a:bodyPr/>
                  <a:lstStyle/>
                  <a:p>
                    <a:fld id="{D7D27A05-3550-4483-A30D-81F8282EF7D3}"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1-5F15-476A-A078-41ADA4E900A6}"/>
                </c:ext>
              </c:extLst>
            </c:dLbl>
            <c:dLbl>
              <c:idx val="11"/>
              <c:tx>
                <c:rich>
                  <a:bodyPr/>
                  <a:lstStyle/>
                  <a:p>
                    <a:fld id="{AA96148E-3A6F-42CC-B25A-8F16C0D601C8}"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2-5F15-476A-A078-41ADA4E900A6}"/>
                </c:ext>
              </c:extLst>
            </c:dLbl>
            <c:dLbl>
              <c:idx val="12"/>
              <c:tx>
                <c:rich>
                  <a:bodyPr/>
                  <a:lstStyle/>
                  <a:p>
                    <a:fld id="{40ED5836-57BF-470B-A195-800950E4AE93}"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3-5F15-476A-A078-41ADA4E900A6}"/>
                </c:ext>
              </c:extLst>
            </c:dLbl>
            <c:dLbl>
              <c:idx val="13"/>
              <c:tx>
                <c:rich>
                  <a:bodyPr/>
                  <a:lstStyle/>
                  <a:p>
                    <a:fld id="{2839C358-9AB7-48EF-9CA4-8F331E583C09}"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4-5F15-476A-A078-41ADA4E900A6}"/>
                </c:ext>
              </c:extLst>
            </c:dLbl>
            <c:dLbl>
              <c:idx val="14"/>
              <c:tx>
                <c:rich>
                  <a:bodyPr/>
                  <a:lstStyle/>
                  <a:p>
                    <a:fld id="{ED768675-D402-4A6E-B724-B9E4B2804B1F}"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5-5F15-476A-A078-41ADA4E900A6}"/>
                </c:ext>
              </c:extLst>
            </c:dLbl>
            <c:dLbl>
              <c:idx val="15"/>
              <c:tx>
                <c:rich>
                  <a:bodyPr/>
                  <a:lstStyle/>
                  <a:p>
                    <a:fld id="{73A30F9E-BDC6-422F-8F40-BBBC9DABD22B}"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6-5F15-476A-A078-41ADA4E900A6}"/>
                </c:ext>
              </c:extLst>
            </c:dLbl>
            <c:dLbl>
              <c:idx val="16"/>
              <c:tx>
                <c:rich>
                  <a:bodyPr/>
                  <a:lstStyle/>
                  <a:p>
                    <a:fld id="{B95FFD31-15EA-4FA8-9D30-25A37894ADEE}"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7-5F15-476A-A078-41ADA4E900A6}"/>
                </c:ext>
              </c:extLst>
            </c:dLbl>
            <c:dLbl>
              <c:idx val="17"/>
              <c:tx>
                <c:rich>
                  <a:bodyPr/>
                  <a:lstStyle/>
                  <a:p>
                    <a:fld id="{4AC74657-1340-4867-9CBA-A3E98A0EB849}"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8-5F15-476A-A078-41ADA4E900A6}"/>
                </c:ext>
              </c:extLst>
            </c:dLbl>
            <c:dLbl>
              <c:idx val="18"/>
              <c:tx>
                <c:rich>
                  <a:bodyPr/>
                  <a:lstStyle/>
                  <a:p>
                    <a:fld id="{F5A70F5B-CA22-4C17-A56A-9E2F780A7EFA}"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9-5F15-476A-A078-41ADA4E900A6}"/>
                </c:ext>
              </c:extLst>
            </c:dLbl>
            <c:dLbl>
              <c:idx val="19"/>
              <c:tx>
                <c:rich>
                  <a:bodyPr/>
                  <a:lstStyle/>
                  <a:p>
                    <a:fld id="{6011E876-6202-4D94-9640-E02BA3740021}"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A-5F15-476A-A078-41ADA4E900A6}"/>
                </c:ext>
              </c:extLst>
            </c:dLbl>
            <c:dLbl>
              <c:idx val="20"/>
              <c:tx>
                <c:rich>
                  <a:bodyPr/>
                  <a:lstStyle/>
                  <a:p>
                    <a:fld id="{47A9B73F-DA00-4961-B3E5-A369EACB2A60}"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B-5F15-476A-A078-41ADA4E900A6}"/>
                </c:ext>
              </c:extLst>
            </c:dLbl>
            <c:dLbl>
              <c:idx val="21"/>
              <c:tx>
                <c:rich>
                  <a:bodyPr/>
                  <a:lstStyle/>
                  <a:p>
                    <a:fld id="{CC5F7CFE-7F6A-4504-AD52-892571E5C1C6}"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C-5F15-476A-A078-41ADA4E900A6}"/>
                </c:ext>
              </c:extLst>
            </c:dLbl>
            <c:dLbl>
              <c:idx val="22"/>
              <c:tx>
                <c:rich>
                  <a:bodyPr/>
                  <a:lstStyle/>
                  <a:p>
                    <a:fld id="{365B4EB9-1311-4A29-997D-356B1B7D14C1}"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D-5F15-476A-A078-41ADA4E900A6}"/>
                </c:ext>
              </c:extLst>
            </c:dLbl>
            <c:dLbl>
              <c:idx val="23"/>
              <c:tx>
                <c:rich>
                  <a:bodyPr/>
                  <a:lstStyle/>
                  <a:p>
                    <a:fld id="{85D21DBC-A64A-437A-96BB-E9061D4F0694}"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E-5F15-476A-A078-41ADA4E900A6}"/>
                </c:ext>
              </c:extLst>
            </c:dLbl>
            <c:dLbl>
              <c:idx val="24"/>
              <c:tx>
                <c:rich>
                  <a:bodyPr/>
                  <a:lstStyle/>
                  <a:p>
                    <a:fld id="{482861FE-7FFB-4400-B027-5D78EB83A0E4}"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F-5F15-476A-A078-41ADA4E900A6}"/>
                </c:ext>
              </c:extLst>
            </c:dLbl>
            <c:dLbl>
              <c:idx val="25"/>
              <c:tx>
                <c:rich>
                  <a:bodyPr/>
                  <a:lstStyle/>
                  <a:p>
                    <a:fld id="{1061A14B-7274-42C6-87D9-910216813903}"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0-5F15-476A-A078-41ADA4E900A6}"/>
                </c:ext>
              </c:extLst>
            </c:dLbl>
            <c:dLbl>
              <c:idx val="26"/>
              <c:tx>
                <c:rich>
                  <a:bodyPr/>
                  <a:lstStyle/>
                  <a:p>
                    <a:fld id="{ADE016B5-5C34-4F58-BAAF-E165BA7AB790}"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1-5F15-476A-A078-41ADA4E900A6}"/>
                </c:ext>
              </c:extLst>
            </c:dLbl>
            <c:dLbl>
              <c:idx val="27"/>
              <c:tx>
                <c:rich>
                  <a:bodyPr/>
                  <a:lstStyle/>
                  <a:p>
                    <a:fld id="{581C1132-FE1E-4C9E-994D-637348DABA47}"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2-5F15-476A-A078-41ADA4E900A6}"/>
                </c:ext>
              </c:extLst>
            </c:dLbl>
            <c:dLbl>
              <c:idx val="28"/>
              <c:tx>
                <c:rich>
                  <a:bodyPr/>
                  <a:lstStyle/>
                  <a:p>
                    <a:fld id="{BB96D5F4-08E9-49E4-9A10-8F868DD334E7}"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3-5F15-476A-A078-41ADA4E900A6}"/>
                </c:ext>
              </c:extLst>
            </c:dLbl>
            <c:dLbl>
              <c:idx val="29"/>
              <c:tx>
                <c:rich>
                  <a:bodyPr/>
                  <a:lstStyle/>
                  <a:p>
                    <a:fld id="{2A2AE2C8-BF46-4300-A6DE-022E3393958E}"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4-5F15-476A-A078-41ADA4E900A6}"/>
                </c:ext>
              </c:extLst>
            </c:dLbl>
            <c:dLbl>
              <c:idx val="30"/>
              <c:tx>
                <c:rich>
                  <a:bodyPr/>
                  <a:lstStyle/>
                  <a:p>
                    <a:fld id="{C265C384-75D4-4B35-B1C7-5812246440F8}"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5-5F15-476A-A078-41ADA4E900A6}"/>
                </c:ext>
              </c:extLst>
            </c:dLbl>
            <c:dLbl>
              <c:idx val="31"/>
              <c:tx>
                <c:rich>
                  <a:bodyPr/>
                  <a:lstStyle/>
                  <a:p>
                    <a:fld id="{C35B13B7-56BE-4161-BCB4-FD9E8260FB75}"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6-5F15-476A-A078-41ADA4E900A6}"/>
                </c:ext>
              </c:extLst>
            </c:dLbl>
            <c:spPr>
              <a:noFill/>
              <a:ln>
                <a:noFill/>
              </a:ln>
              <a:effectLst/>
            </c:spPr>
            <c:txPr>
              <a:bodyPr rot="0" spcFirstLastPara="1" vertOverflow="ellipsis" vert="horz" wrap="square" lIns="38100" tIns="19050" rIns="38100" bIns="19050" anchor="ctr" anchorCtr="1">
                <a:spAutoFit/>
              </a:bodyPr>
              <a:lstStyle/>
              <a:p>
                <a:pPr>
                  <a:defRPr sz="500" b="0" i="0" u="none" strike="noStrike" kern="1200" baseline="0">
                    <a:solidFill>
                      <a:schemeClr val="tx2"/>
                    </a:solidFill>
                    <a:latin typeface="+mn-lt"/>
                    <a:ea typeface="+mn-ea"/>
                    <a:cs typeface="+mn-cs"/>
                  </a:defRPr>
                </a:pPr>
                <a:endParaRPr lang="en-US"/>
              </a:p>
            </c:txPr>
            <c:dLblPos val="t"/>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0"/>
              </c:ext>
            </c:extLst>
          </c:dLbls>
          <c:cat>
            <c:numRef>
              <c:f>'BoP_izvoz usluga'!$A$90:$A$121</c:f>
              <c:numCache>
                <c:formatCode>yyyy</c:formatCode>
                <c:ptCount val="32"/>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numCache>
            </c:numRef>
          </c:cat>
          <c:val>
            <c:numRef>
              <c:f>'BoP_izvoz usluga'!$W$90:$W$121</c:f>
              <c:numCache>
                <c:formatCode>General</c:formatCode>
                <c:ptCount val="32"/>
                <c:pt idx="0">
                  <c:v>50</c:v>
                </c:pt>
                <c:pt idx="1">
                  <c:v>50</c:v>
                </c:pt>
                <c:pt idx="2">
                  <c:v>50</c:v>
                </c:pt>
                <c:pt idx="3">
                  <c:v>50</c:v>
                </c:pt>
                <c:pt idx="4">
                  <c:v>50</c:v>
                </c:pt>
                <c:pt idx="5">
                  <c:v>50</c:v>
                </c:pt>
                <c:pt idx="6">
                  <c:v>50</c:v>
                </c:pt>
                <c:pt idx="7">
                  <c:v>50</c:v>
                </c:pt>
                <c:pt idx="8">
                  <c:v>50</c:v>
                </c:pt>
                <c:pt idx="9">
                  <c:v>50</c:v>
                </c:pt>
                <c:pt idx="10">
                  <c:v>50</c:v>
                </c:pt>
                <c:pt idx="11">
                  <c:v>50</c:v>
                </c:pt>
                <c:pt idx="12">
                  <c:v>50</c:v>
                </c:pt>
                <c:pt idx="13">
                  <c:v>50</c:v>
                </c:pt>
                <c:pt idx="14">
                  <c:v>50</c:v>
                </c:pt>
                <c:pt idx="15">
                  <c:v>50</c:v>
                </c:pt>
                <c:pt idx="16">
                  <c:v>50</c:v>
                </c:pt>
                <c:pt idx="17">
                  <c:v>50</c:v>
                </c:pt>
                <c:pt idx="18">
                  <c:v>50</c:v>
                </c:pt>
                <c:pt idx="19">
                  <c:v>50</c:v>
                </c:pt>
                <c:pt idx="20">
                  <c:v>50</c:v>
                </c:pt>
                <c:pt idx="21">
                  <c:v>50</c:v>
                </c:pt>
                <c:pt idx="22">
                  <c:v>50</c:v>
                </c:pt>
                <c:pt idx="23">
                  <c:v>50</c:v>
                </c:pt>
                <c:pt idx="24">
                  <c:v>50</c:v>
                </c:pt>
                <c:pt idx="25">
                  <c:v>50</c:v>
                </c:pt>
                <c:pt idx="26">
                  <c:v>50</c:v>
                </c:pt>
                <c:pt idx="27">
                  <c:v>50</c:v>
                </c:pt>
                <c:pt idx="28">
                  <c:v>50</c:v>
                </c:pt>
                <c:pt idx="29">
                  <c:v>50</c:v>
                </c:pt>
                <c:pt idx="30">
                  <c:v>50</c:v>
                </c:pt>
                <c:pt idx="31">
                  <c:v>50</c:v>
                </c:pt>
              </c:numCache>
            </c:numRef>
          </c:val>
          <c:smooth val="0"/>
          <c:extLst>
            <c:ext xmlns:c15="http://schemas.microsoft.com/office/drawing/2012/chart" uri="{02D57815-91ED-43cb-92C2-25804820EDAC}">
              <c15:datalabelsRange>
                <c15:f>'BoP_izvoz usluga'!$C$90:$C$121</c15:f>
                <c15:dlblRangeCache>
                  <c:ptCount val="32"/>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pt idx="24">
                    <c:v>I</c:v>
                  </c:pt>
                  <c:pt idx="25">
                    <c:v>II</c:v>
                  </c:pt>
                  <c:pt idx="26">
                    <c:v>III</c:v>
                  </c:pt>
                  <c:pt idx="27">
                    <c:v>IV</c:v>
                  </c:pt>
                  <c:pt idx="28">
                    <c:v>V</c:v>
                  </c:pt>
                  <c:pt idx="29">
                    <c:v>VI</c:v>
                  </c:pt>
                  <c:pt idx="30">
                    <c:v>VII</c:v>
                  </c:pt>
                  <c:pt idx="31">
                    <c:v>VIII</c:v>
                  </c:pt>
                </c15:dlblRangeCache>
              </c15:datalabelsRange>
            </c:ext>
            <c:ext xmlns:c16="http://schemas.microsoft.com/office/drawing/2014/chart" uri="{C3380CC4-5D6E-409C-BE32-E72D297353CC}">
              <c16:uniqueId val="{00000027-5F15-476A-A078-41ADA4E900A6}"/>
            </c:ext>
          </c:extLst>
        </c:ser>
        <c:dLbls>
          <c:showLegendKey val="0"/>
          <c:showVal val="0"/>
          <c:showCatName val="0"/>
          <c:showSerName val="0"/>
          <c:showPercent val="0"/>
          <c:showBubbleSize val="0"/>
        </c:dLbls>
        <c:smooth val="0"/>
        <c:axId val="1828932656"/>
        <c:axId val="1828929936"/>
      </c:lineChart>
      <c:dateAx>
        <c:axId val="1828932656"/>
        <c:scaling>
          <c:orientation val="minMax"/>
        </c:scaling>
        <c:delete val="0"/>
        <c:axPos val="b"/>
        <c:numFmt formatCode="yyyy" sourceLinked="1"/>
        <c:majorTickMark val="none"/>
        <c:minorTickMark val="none"/>
        <c:tickLblPos val="none"/>
        <c:spPr>
          <a:noFill/>
          <a:ln w="6350" cap="flat" cmpd="sng" algn="ctr">
            <a:solidFill>
              <a:srgbClr val="898989"/>
            </a:solidFill>
            <a:round/>
          </a:ln>
          <a:effectLst/>
        </c:spPr>
        <c:txPr>
          <a:bodyPr rot="0" spcFirstLastPara="1" vertOverflow="ellipsis" wrap="square" anchor="ctr" anchorCtr="1"/>
          <a:lstStyle/>
          <a:p>
            <a:pPr algn="ctr">
              <a:defRPr sz="750" b="0" i="0" u="none" strike="noStrike" kern="1200" baseline="0">
                <a:solidFill>
                  <a:schemeClr val="tx2"/>
                </a:solidFill>
                <a:latin typeface="+mn-lt"/>
                <a:ea typeface="+mn-ea"/>
                <a:cs typeface="+mn-cs"/>
              </a:defRPr>
            </a:pPr>
            <a:endParaRPr lang="en-US"/>
          </a:p>
        </c:txPr>
        <c:crossAx val="1828929936"/>
        <c:crosses val="autoZero"/>
        <c:auto val="1"/>
        <c:lblOffset val="0"/>
        <c:baseTimeUnit val="months"/>
      </c:dateAx>
      <c:valAx>
        <c:axId val="1828929936"/>
        <c:scaling>
          <c:orientation val="minMax"/>
          <c:min val="50"/>
        </c:scaling>
        <c:delete val="0"/>
        <c:axPos val="l"/>
        <c:numFmt formatCode="0" sourceLinked="0"/>
        <c:majorTickMark val="out"/>
        <c:minorTickMark val="none"/>
        <c:tickLblPos val="nextTo"/>
        <c:spPr>
          <a:noFill/>
          <a:ln w="6350">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1828932656"/>
        <c:crosses val="autoZero"/>
        <c:crossBetween val="midCat"/>
      </c:valAx>
      <c:spPr>
        <a:solidFill>
          <a:sysClr val="window" lastClr="FFFFFF"/>
        </a:solidFill>
        <a:ln>
          <a:noFill/>
        </a:ln>
        <a:effectLst/>
      </c:spPr>
    </c:plotArea>
    <c:plotVisOnly val="1"/>
    <c:dispBlanksAs val="gap"/>
    <c:showDLblsOverMax val="0"/>
  </c:chart>
  <c:spPr>
    <a:solidFill>
      <a:schemeClr val="bg1"/>
    </a:solidFill>
    <a:ln w="9525" cap="flat" cmpd="sng" algn="ctr">
      <a:noFill/>
      <a:round/>
    </a:ln>
    <a:effectLst/>
  </c:spPr>
  <c:txPr>
    <a:bodyPr/>
    <a:lstStyle/>
    <a:p>
      <a:pPr>
        <a:defRPr sz="750">
          <a:solidFill>
            <a:schemeClr val="tx2"/>
          </a:solidFill>
          <a:latin typeface="+mn-lt"/>
        </a:defRPr>
      </a:pPr>
      <a:endParaRPr lang="en-US"/>
    </a:p>
  </c:txPr>
  <c:externalData r:id="rId4">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8583366760262072E-2"/>
          <c:y val="6.5355171586273103E-2"/>
          <c:w val="0.88461960155100949"/>
          <c:h val="0.81151726726726725"/>
        </c:manualLayout>
      </c:layout>
      <c:lineChart>
        <c:grouping val="standard"/>
        <c:varyColors val="0"/>
        <c:ser>
          <c:idx val="0"/>
          <c:order val="0"/>
          <c:tx>
            <c:strRef>
              <c:f>Usluge!$S$5</c:f>
              <c:strCache>
                <c:ptCount val="1"/>
                <c:pt idx="0">
                  <c:v>y</c:v>
                </c:pt>
              </c:strCache>
            </c:strRef>
          </c:tx>
          <c:spPr>
            <a:ln w="12700" cap="rnd">
              <a:solidFill>
                <a:srgbClr val="7F3F98"/>
              </a:solidFill>
              <a:prstDash val="sysDash"/>
              <a:round/>
            </a:ln>
            <a:effectLst/>
          </c:spPr>
          <c:marker>
            <c:symbol val="none"/>
          </c:marker>
          <c:cat>
            <c:numRef>
              <c:f>Usluge!$A$126:$A$157</c:f>
              <c:numCache>
                <c:formatCode>yyyy</c:formatCode>
                <c:ptCount val="32"/>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numCache>
            </c:numRef>
          </c:cat>
          <c:val>
            <c:numRef>
              <c:f>Usluge!$S$126:$S$157</c:f>
              <c:numCache>
                <c:formatCode>0.0</c:formatCode>
                <c:ptCount val="32"/>
                <c:pt idx="0">
                  <c:v>106.66032389999999</c:v>
                </c:pt>
                <c:pt idx="1">
                  <c:v>117.601273283</c:v>
                </c:pt>
                <c:pt idx="2">
                  <c:v>122.846311009</c:v>
                </c:pt>
                <c:pt idx="3">
                  <c:v>150.25809146200001</c:v>
                </c:pt>
                <c:pt idx="4">
                  <c:v>189.664279529</c:v>
                </c:pt>
                <c:pt idx="5">
                  <c:v>191.304841412</c:v>
                </c:pt>
                <c:pt idx="6">
                  <c:v>222.53356962800001</c:v>
                </c:pt>
                <c:pt idx="7">
                  <c:v>252.11089950600001</c:v>
                </c:pt>
                <c:pt idx="8">
                  <c:v>175.31391049300001</c:v>
                </c:pt>
                <c:pt idx="9">
                  <c:v>163.627954829</c:v>
                </c:pt>
                <c:pt idx="10">
                  <c:v>124.633745559</c:v>
                </c:pt>
                <c:pt idx="11">
                  <c:v>132.71000066100001</c:v>
                </c:pt>
                <c:pt idx="12">
                  <c:v>133.43971980000001</c:v>
                </c:pt>
                <c:pt idx="13">
                  <c:v>141.208877508</c:v>
                </c:pt>
                <c:pt idx="14">
                  <c:v>66.682125815999996</c:v>
                </c:pt>
                <c:pt idx="15">
                  <c:v>8.0607744520000004</c:v>
                </c:pt>
                <c:pt idx="16">
                  <c:v>33.029514827</c:v>
                </c:pt>
                <c:pt idx="17">
                  <c:v>108.399187911</c:v>
                </c:pt>
                <c:pt idx="18">
                  <c:v>142.692504302</c:v>
                </c:pt>
                <c:pt idx="19">
                  <c:v>209.11958640899999</c:v>
                </c:pt>
                <c:pt idx="20">
                  <c:v>135.089570073</c:v>
                </c:pt>
                <c:pt idx="21">
                  <c:v>102.322645772</c:v>
                </c:pt>
                <c:pt idx="22">
                  <c:v>66.802681378000003</c:v>
                </c:pt>
                <c:pt idx="23">
                  <c:v>53.152811753999998</c:v>
                </c:pt>
                <c:pt idx="24">
                  <c:v>86.949199280000002</c:v>
                </c:pt>
                <c:pt idx="25">
                  <c:v>91.873787551000007</c:v>
                </c:pt>
                <c:pt idx="26">
                  <c:v>80.897426181</c:v>
                </c:pt>
                <c:pt idx="27">
                  <c:v>77.137756822</c:v>
                </c:pt>
                <c:pt idx="28">
                  <c:v>113.356672563</c:v>
                </c:pt>
                <c:pt idx="29">
                  <c:v>151.009870527</c:v>
                </c:pt>
                <c:pt idx="30">
                  <c:v>228.36706556199999</c:v>
                </c:pt>
                <c:pt idx="31">
                  <c:v>257.83370879300003</c:v>
                </c:pt>
              </c:numCache>
            </c:numRef>
          </c:val>
          <c:smooth val="0"/>
          <c:extLst>
            <c:ext xmlns:c16="http://schemas.microsoft.com/office/drawing/2014/chart" uri="{C3380CC4-5D6E-409C-BE32-E72D297353CC}">
              <c16:uniqueId val="{00000000-C895-4BDE-842B-92D494F3182D}"/>
            </c:ext>
          </c:extLst>
        </c:ser>
        <c:ser>
          <c:idx val="1"/>
          <c:order val="1"/>
          <c:tx>
            <c:strRef>
              <c:f>Usluge!$T$5</c:f>
              <c:strCache>
                <c:ptCount val="1"/>
                <c:pt idx="0">
                  <c:v>sa</c:v>
                </c:pt>
              </c:strCache>
            </c:strRef>
          </c:tx>
          <c:spPr>
            <a:ln w="22225" cap="rnd">
              <a:solidFill>
                <a:srgbClr val="25AAE1"/>
              </a:solidFill>
              <a:round/>
            </a:ln>
            <a:effectLst/>
          </c:spPr>
          <c:marker>
            <c:symbol val="none"/>
          </c:marker>
          <c:cat>
            <c:numRef>
              <c:f>Usluge!$A$126:$A$157</c:f>
              <c:numCache>
                <c:formatCode>yyyy</c:formatCode>
                <c:ptCount val="32"/>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numCache>
            </c:numRef>
          </c:cat>
          <c:val>
            <c:numRef>
              <c:f>Usluge!$T$126:$T$157</c:f>
              <c:numCache>
                <c:formatCode>0.0</c:formatCode>
                <c:ptCount val="32"/>
                <c:pt idx="0">
                  <c:v>146.504458895</c:v>
                </c:pt>
                <c:pt idx="1">
                  <c:v>152.18400685700001</c:v>
                </c:pt>
                <c:pt idx="2">
                  <c:v>158.325425373</c:v>
                </c:pt>
                <c:pt idx="3">
                  <c:v>169.53718634800001</c:v>
                </c:pt>
                <c:pt idx="4">
                  <c:v>168.92787567400001</c:v>
                </c:pt>
                <c:pt idx="5">
                  <c:v>161.127140653</c:v>
                </c:pt>
                <c:pt idx="6">
                  <c:v>154.276765791</c:v>
                </c:pt>
                <c:pt idx="7">
                  <c:v>151.77725789499999</c:v>
                </c:pt>
                <c:pt idx="8">
                  <c:v>161.99571706500001</c:v>
                </c:pt>
                <c:pt idx="9">
                  <c:v>172.90030336000001</c:v>
                </c:pt>
                <c:pt idx="10">
                  <c:v>174.01416527999999</c:v>
                </c:pt>
                <c:pt idx="11">
                  <c:v>181.82112566800001</c:v>
                </c:pt>
                <c:pt idx="12">
                  <c:v>182.16249547999999</c:v>
                </c:pt>
                <c:pt idx="13">
                  <c:v>194.48397988599999</c:v>
                </c:pt>
                <c:pt idx="14">
                  <c:v>90.261481055999994</c:v>
                </c:pt>
                <c:pt idx="15">
                  <c:v>9.5555204430000007</c:v>
                </c:pt>
                <c:pt idx="16">
                  <c:v>31.136743439</c:v>
                </c:pt>
                <c:pt idx="17">
                  <c:v>92.441741661999998</c:v>
                </c:pt>
                <c:pt idx="18">
                  <c:v>96.921271640000001</c:v>
                </c:pt>
                <c:pt idx="19">
                  <c:v>120.41991120199999</c:v>
                </c:pt>
                <c:pt idx="20">
                  <c:v>119.069716669</c:v>
                </c:pt>
                <c:pt idx="21">
                  <c:v>110.858357854</c:v>
                </c:pt>
                <c:pt idx="22">
                  <c:v>98.264514078999994</c:v>
                </c:pt>
                <c:pt idx="23">
                  <c:v>74.912756139999999</c:v>
                </c:pt>
                <c:pt idx="24">
                  <c:v>116.03108458299999</c:v>
                </c:pt>
                <c:pt idx="25">
                  <c:v>114.49547704</c:v>
                </c:pt>
                <c:pt idx="26">
                  <c:v>112.274170998</c:v>
                </c:pt>
                <c:pt idx="27">
                  <c:v>94.183872328000007</c:v>
                </c:pt>
                <c:pt idx="28">
                  <c:v>112.810185718</c:v>
                </c:pt>
                <c:pt idx="29">
                  <c:v>126.56379301299999</c:v>
                </c:pt>
                <c:pt idx="30">
                  <c:v>153.073182817</c:v>
                </c:pt>
                <c:pt idx="31">
                  <c:v>142.398003789</c:v>
                </c:pt>
              </c:numCache>
            </c:numRef>
          </c:val>
          <c:smooth val="0"/>
          <c:extLst>
            <c:ext xmlns:c16="http://schemas.microsoft.com/office/drawing/2014/chart" uri="{C3380CC4-5D6E-409C-BE32-E72D297353CC}">
              <c16:uniqueId val="{00000001-C895-4BDE-842B-92D494F3182D}"/>
            </c:ext>
          </c:extLst>
        </c:ser>
        <c:ser>
          <c:idx val="2"/>
          <c:order val="2"/>
          <c:tx>
            <c:strRef>
              <c:f>Usluge!$U$5</c:f>
              <c:strCache>
                <c:ptCount val="1"/>
                <c:pt idx="0">
                  <c:v>t</c:v>
                </c:pt>
              </c:strCache>
            </c:strRef>
          </c:tx>
          <c:spPr>
            <a:ln w="25400" cap="rnd">
              <a:solidFill>
                <a:srgbClr val="FF0000"/>
              </a:solidFill>
              <a:round/>
            </a:ln>
            <a:effectLst/>
          </c:spPr>
          <c:marker>
            <c:symbol val="none"/>
          </c:marker>
          <c:cat>
            <c:numRef>
              <c:f>Usluge!$A$126:$A$157</c:f>
              <c:numCache>
                <c:formatCode>yyyy</c:formatCode>
                <c:ptCount val="32"/>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numCache>
            </c:numRef>
          </c:cat>
          <c:val>
            <c:numRef>
              <c:f>Usluge!$U$126:$U$157</c:f>
              <c:numCache>
                <c:formatCode>0.0</c:formatCode>
                <c:ptCount val="32"/>
                <c:pt idx="0">
                  <c:v>152.012760542</c:v>
                </c:pt>
                <c:pt idx="1">
                  <c:v>155.14174936399999</c:v>
                </c:pt>
                <c:pt idx="2">
                  <c:v>158.36962370699999</c:v>
                </c:pt>
                <c:pt idx="3">
                  <c:v>160.38479253400001</c:v>
                </c:pt>
                <c:pt idx="4">
                  <c:v>160.83128928599999</c:v>
                </c:pt>
                <c:pt idx="5">
                  <c:v>160.03025656899999</c:v>
                </c:pt>
                <c:pt idx="6">
                  <c:v>159.241288067</c:v>
                </c:pt>
                <c:pt idx="7">
                  <c:v>159.769577699</c:v>
                </c:pt>
                <c:pt idx="8">
                  <c:v>162.558676123</c:v>
                </c:pt>
                <c:pt idx="9">
                  <c:v>167.815882071</c:v>
                </c:pt>
                <c:pt idx="10">
                  <c:v>174.412744006</c:v>
                </c:pt>
                <c:pt idx="11">
                  <c:v>180.812770379</c:v>
                </c:pt>
                <c:pt idx="12">
                  <c:v>185.95780726199999</c:v>
                </c:pt>
                <c:pt idx="13">
                  <c:v>190.09417551300001</c:v>
                </c:pt>
                <c:pt idx="14">
                  <c:v>88.108299830000007</c:v>
                </c:pt>
                <c:pt idx="15">
                  <c:v>89.939490927999998</c:v>
                </c:pt>
                <c:pt idx="16">
                  <c:v>91.604393009999995</c:v>
                </c:pt>
                <c:pt idx="17">
                  <c:v>92.694418181000003</c:v>
                </c:pt>
                <c:pt idx="18">
                  <c:v>92.845688538999994</c:v>
                </c:pt>
                <c:pt idx="19">
                  <c:v>119.67982691500001</c:v>
                </c:pt>
                <c:pt idx="20">
                  <c:v>117.69462278</c:v>
                </c:pt>
                <c:pt idx="21">
                  <c:v>115.318402858</c:v>
                </c:pt>
                <c:pt idx="22">
                  <c:v>113.35291508100001</c:v>
                </c:pt>
                <c:pt idx="23">
                  <c:v>112.372635432</c:v>
                </c:pt>
                <c:pt idx="24">
                  <c:v>112.369074951</c:v>
                </c:pt>
                <c:pt idx="25">
                  <c:v>113.120449968</c:v>
                </c:pt>
                <c:pt idx="26">
                  <c:v>114.593839167</c:v>
                </c:pt>
                <c:pt idx="27">
                  <c:v>117.299545826</c:v>
                </c:pt>
                <c:pt idx="28">
                  <c:v>121.481804569</c:v>
                </c:pt>
                <c:pt idx="29">
                  <c:v>127.02199124400001</c:v>
                </c:pt>
                <c:pt idx="30">
                  <c:v>133.01060613000001</c:v>
                </c:pt>
                <c:pt idx="31">
                  <c:v>138.371292313</c:v>
                </c:pt>
              </c:numCache>
            </c:numRef>
          </c:val>
          <c:smooth val="0"/>
          <c:extLst>
            <c:ext xmlns:c16="http://schemas.microsoft.com/office/drawing/2014/chart" uri="{C3380CC4-5D6E-409C-BE32-E72D297353CC}">
              <c16:uniqueId val="{00000002-C895-4BDE-842B-92D494F3182D}"/>
            </c:ext>
          </c:extLst>
        </c:ser>
        <c:ser>
          <c:idx val="3"/>
          <c:order val="3"/>
          <c:tx>
            <c:strRef>
              <c:f>Usluge!$V$5</c:f>
              <c:strCache>
                <c:ptCount val="1"/>
                <c:pt idx="0">
                  <c:v>Series4</c:v>
                </c:pt>
              </c:strCache>
            </c:strRef>
          </c:tx>
          <c:spPr>
            <a:ln w="28575" cap="rnd">
              <a:noFill/>
              <a:round/>
            </a:ln>
            <a:effectLst/>
          </c:spPr>
          <c:marker>
            <c:symbol val="square"/>
            <c:size val="2"/>
            <c:spPr>
              <a:solidFill>
                <a:sysClr val="window" lastClr="FFFFFF"/>
              </a:solidFill>
              <a:ln w="9525">
                <a:noFill/>
              </a:ln>
              <a:effectLst/>
            </c:spPr>
          </c:marker>
          <c:dLbls>
            <c:dLbl>
              <c:idx val="0"/>
              <c:layout>
                <c:manualLayout>
                  <c:x val="0.11216436304096011"/>
                  <c:y val="6.0897897897897901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895-4BDE-842B-92D494F3182D}"/>
                </c:ext>
              </c:extLst>
            </c:dLbl>
            <c:dLbl>
              <c:idx val="12"/>
              <c:layout>
                <c:manualLayout>
                  <c:x val="0.11150558705440737"/>
                  <c:y val="6.0897897897897901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4-C895-4BDE-842B-92D494F3182D}"/>
                </c:ext>
              </c:extLst>
            </c:dLbl>
            <c:dLbl>
              <c:idx val="24"/>
              <c:layout>
                <c:manualLayout>
                  <c:x val="4.4596451806756719E-2"/>
                  <c:y val="6.518168168168168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5-C895-4BDE-842B-92D494F3182D}"/>
                </c:ext>
              </c:extLst>
            </c:dLbl>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Usluge!$A$126:$A$157</c:f>
              <c:numCache>
                <c:formatCode>yyyy</c:formatCode>
                <c:ptCount val="32"/>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numCache>
            </c:numRef>
          </c:cat>
          <c:val>
            <c:numRef>
              <c:f>Usluge!$V$126:$V$157</c:f>
              <c:numCache>
                <c:formatCode>General</c:formatCode>
                <c:ptCount val="32"/>
                <c:pt idx="0">
                  <c:v>0</c:v>
                </c:pt>
                <c:pt idx="12">
                  <c:v>0</c:v>
                </c:pt>
                <c:pt idx="24">
                  <c:v>0</c:v>
                </c:pt>
              </c:numCache>
            </c:numRef>
          </c:val>
          <c:smooth val="0"/>
          <c:extLst>
            <c:ext xmlns:c16="http://schemas.microsoft.com/office/drawing/2014/chart" uri="{C3380CC4-5D6E-409C-BE32-E72D297353CC}">
              <c16:uniqueId val="{00000006-C895-4BDE-842B-92D494F3182D}"/>
            </c:ext>
          </c:extLst>
        </c:ser>
        <c:ser>
          <c:idx val="4"/>
          <c:order val="4"/>
          <c:tx>
            <c:strRef>
              <c:f>Usluge!$W$5</c:f>
              <c:strCache>
                <c:ptCount val="1"/>
                <c:pt idx="0">
                  <c:v>Series5</c:v>
                </c:pt>
              </c:strCache>
            </c:strRef>
          </c:tx>
          <c:spPr>
            <a:ln w="28575" cap="rnd">
              <a:noFill/>
              <a:round/>
            </a:ln>
            <a:effectLst/>
          </c:spPr>
          <c:marker>
            <c:symbol val="none"/>
          </c:marker>
          <c:dLbls>
            <c:dLbl>
              <c:idx val="0"/>
              <c:tx>
                <c:rich>
                  <a:bodyPr/>
                  <a:lstStyle/>
                  <a:p>
                    <a:fld id="{A021C10B-C373-4F58-B25E-36B7E1D48A58}"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7-C895-4BDE-842B-92D494F3182D}"/>
                </c:ext>
              </c:extLst>
            </c:dLbl>
            <c:dLbl>
              <c:idx val="1"/>
              <c:tx>
                <c:rich>
                  <a:bodyPr/>
                  <a:lstStyle/>
                  <a:p>
                    <a:fld id="{143BE867-7A11-40E2-9EF5-987DB0EDA97A}"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8-C895-4BDE-842B-92D494F3182D}"/>
                </c:ext>
              </c:extLst>
            </c:dLbl>
            <c:dLbl>
              <c:idx val="2"/>
              <c:tx>
                <c:rich>
                  <a:bodyPr/>
                  <a:lstStyle/>
                  <a:p>
                    <a:fld id="{1B78B2C8-E2E5-4AA4-8C9D-D1068AB65736}"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9-C895-4BDE-842B-92D494F3182D}"/>
                </c:ext>
              </c:extLst>
            </c:dLbl>
            <c:dLbl>
              <c:idx val="3"/>
              <c:tx>
                <c:rich>
                  <a:bodyPr/>
                  <a:lstStyle/>
                  <a:p>
                    <a:fld id="{32D199CA-E9AF-4C70-A592-208026CBF3C8}"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A-C895-4BDE-842B-92D494F3182D}"/>
                </c:ext>
              </c:extLst>
            </c:dLbl>
            <c:dLbl>
              <c:idx val="4"/>
              <c:tx>
                <c:rich>
                  <a:bodyPr/>
                  <a:lstStyle/>
                  <a:p>
                    <a:fld id="{9F35C818-DF1C-4D54-8592-48B18239F6DE}"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B-C895-4BDE-842B-92D494F3182D}"/>
                </c:ext>
              </c:extLst>
            </c:dLbl>
            <c:dLbl>
              <c:idx val="5"/>
              <c:tx>
                <c:rich>
                  <a:bodyPr/>
                  <a:lstStyle/>
                  <a:p>
                    <a:fld id="{B8E9713D-E9B6-47B7-9F1D-646E27235642}"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C-C895-4BDE-842B-92D494F3182D}"/>
                </c:ext>
              </c:extLst>
            </c:dLbl>
            <c:dLbl>
              <c:idx val="6"/>
              <c:tx>
                <c:rich>
                  <a:bodyPr/>
                  <a:lstStyle/>
                  <a:p>
                    <a:fld id="{346FAD5A-6412-4F40-9A28-CDD9F03B3170}"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D-C895-4BDE-842B-92D494F3182D}"/>
                </c:ext>
              </c:extLst>
            </c:dLbl>
            <c:dLbl>
              <c:idx val="7"/>
              <c:tx>
                <c:rich>
                  <a:bodyPr/>
                  <a:lstStyle/>
                  <a:p>
                    <a:fld id="{C6CB8AFE-D459-4FCC-9538-2735ED06CEAF}"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E-C895-4BDE-842B-92D494F3182D}"/>
                </c:ext>
              </c:extLst>
            </c:dLbl>
            <c:dLbl>
              <c:idx val="8"/>
              <c:tx>
                <c:rich>
                  <a:bodyPr/>
                  <a:lstStyle/>
                  <a:p>
                    <a:fld id="{E36D4312-7B64-4CC2-8224-2FA3C1938724}"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F-C895-4BDE-842B-92D494F3182D}"/>
                </c:ext>
              </c:extLst>
            </c:dLbl>
            <c:dLbl>
              <c:idx val="9"/>
              <c:tx>
                <c:rich>
                  <a:bodyPr/>
                  <a:lstStyle/>
                  <a:p>
                    <a:fld id="{877B2ABA-ABC6-4861-815A-DA0108DF359A}"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0-C895-4BDE-842B-92D494F3182D}"/>
                </c:ext>
              </c:extLst>
            </c:dLbl>
            <c:dLbl>
              <c:idx val="10"/>
              <c:tx>
                <c:rich>
                  <a:bodyPr/>
                  <a:lstStyle/>
                  <a:p>
                    <a:fld id="{DFB660E7-6BCD-46C6-AE16-8B43DAF6F4B3}"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1-C895-4BDE-842B-92D494F3182D}"/>
                </c:ext>
              </c:extLst>
            </c:dLbl>
            <c:dLbl>
              <c:idx val="11"/>
              <c:tx>
                <c:rich>
                  <a:bodyPr/>
                  <a:lstStyle/>
                  <a:p>
                    <a:fld id="{2064EF24-C808-4429-A984-8C700F0E109B}"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2-C895-4BDE-842B-92D494F3182D}"/>
                </c:ext>
              </c:extLst>
            </c:dLbl>
            <c:dLbl>
              <c:idx val="12"/>
              <c:tx>
                <c:rich>
                  <a:bodyPr/>
                  <a:lstStyle/>
                  <a:p>
                    <a:fld id="{E705C4E2-2B7D-4BEF-85B3-86B55417DD22}"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3-C895-4BDE-842B-92D494F3182D}"/>
                </c:ext>
              </c:extLst>
            </c:dLbl>
            <c:dLbl>
              <c:idx val="13"/>
              <c:tx>
                <c:rich>
                  <a:bodyPr/>
                  <a:lstStyle/>
                  <a:p>
                    <a:fld id="{3FF6AE6F-4D98-4800-B371-126A30251ECF}"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4-C895-4BDE-842B-92D494F3182D}"/>
                </c:ext>
              </c:extLst>
            </c:dLbl>
            <c:dLbl>
              <c:idx val="14"/>
              <c:tx>
                <c:rich>
                  <a:bodyPr/>
                  <a:lstStyle/>
                  <a:p>
                    <a:fld id="{9F719291-A621-4252-A9B5-DCD159E50E6E}"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5-C895-4BDE-842B-92D494F3182D}"/>
                </c:ext>
              </c:extLst>
            </c:dLbl>
            <c:dLbl>
              <c:idx val="15"/>
              <c:tx>
                <c:rich>
                  <a:bodyPr/>
                  <a:lstStyle/>
                  <a:p>
                    <a:fld id="{8F7D928D-05A5-4F1E-B236-1C704D2B43DE}"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6-C895-4BDE-842B-92D494F3182D}"/>
                </c:ext>
              </c:extLst>
            </c:dLbl>
            <c:dLbl>
              <c:idx val="16"/>
              <c:tx>
                <c:rich>
                  <a:bodyPr/>
                  <a:lstStyle/>
                  <a:p>
                    <a:fld id="{6726030D-D4AD-4448-A5E2-F402F895BDC7}"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7-C895-4BDE-842B-92D494F3182D}"/>
                </c:ext>
              </c:extLst>
            </c:dLbl>
            <c:dLbl>
              <c:idx val="17"/>
              <c:tx>
                <c:rich>
                  <a:bodyPr/>
                  <a:lstStyle/>
                  <a:p>
                    <a:fld id="{D3711498-785A-41BA-B0C4-28007545D5F4}"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8-C895-4BDE-842B-92D494F3182D}"/>
                </c:ext>
              </c:extLst>
            </c:dLbl>
            <c:dLbl>
              <c:idx val="18"/>
              <c:tx>
                <c:rich>
                  <a:bodyPr/>
                  <a:lstStyle/>
                  <a:p>
                    <a:fld id="{94D303A3-AD59-438F-82DA-4A09D354064E}"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9-C895-4BDE-842B-92D494F3182D}"/>
                </c:ext>
              </c:extLst>
            </c:dLbl>
            <c:dLbl>
              <c:idx val="19"/>
              <c:tx>
                <c:rich>
                  <a:bodyPr/>
                  <a:lstStyle/>
                  <a:p>
                    <a:fld id="{8441892D-C8C5-4FDB-BC24-D572F52398B3}"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A-C895-4BDE-842B-92D494F3182D}"/>
                </c:ext>
              </c:extLst>
            </c:dLbl>
            <c:dLbl>
              <c:idx val="20"/>
              <c:tx>
                <c:rich>
                  <a:bodyPr/>
                  <a:lstStyle/>
                  <a:p>
                    <a:fld id="{8E118E61-0C77-4B73-879D-7ADE7A227E3F}"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B-C895-4BDE-842B-92D494F3182D}"/>
                </c:ext>
              </c:extLst>
            </c:dLbl>
            <c:dLbl>
              <c:idx val="21"/>
              <c:tx>
                <c:rich>
                  <a:bodyPr/>
                  <a:lstStyle/>
                  <a:p>
                    <a:fld id="{F7AD5C52-0E33-4422-AEE1-D1B0720996EC}"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C-C895-4BDE-842B-92D494F3182D}"/>
                </c:ext>
              </c:extLst>
            </c:dLbl>
            <c:dLbl>
              <c:idx val="22"/>
              <c:tx>
                <c:rich>
                  <a:bodyPr/>
                  <a:lstStyle/>
                  <a:p>
                    <a:fld id="{C7100C4D-7028-4106-8207-06E93B8A5ABF}"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D-C895-4BDE-842B-92D494F3182D}"/>
                </c:ext>
              </c:extLst>
            </c:dLbl>
            <c:dLbl>
              <c:idx val="23"/>
              <c:tx>
                <c:rich>
                  <a:bodyPr/>
                  <a:lstStyle/>
                  <a:p>
                    <a:fld id="{6827162E-B121-44A8-BA14-CFE1CC722C12}"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E-C895-4BDE-842B-92D494F3182D}"/>
                </c:ext>
              </c:extLst>
            </c:dLbl>
            <c:dLbl>
              <c:idx val="24"/>
              <c:tx>
                <c:rich>
                  <a:bodyPr/>
                  <a:lstStyle/>
                  <a:p>
                    <a:fld id="{B0A998BC-5D21-4EB0-BEC0-9D987C1345DA}"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F-C895-4BDE-842B-92D494F3182D}"/>
                </c:ext>
              </c:extLst>
            </c:dLbl>
            <c:dLbl>
              <c:idx val="25"/>
              <c:tx>
                <c:rich>
                  <a:bodyPr/>
                  <a:lstStyle/>
                  <a:p>
                    <a:fld id="{500FA946-167D-4585-89F9-C2DACC171F4B}"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0-C895-4BDE-842B-92D494F3182D}"/>
                </c:ext>
              </c:extLst>
            </c:dLbl>
            <c:dLbl>
              <c:idx val="26"/>
              <c:tx>
                <c:rich>
                  <a:bodyPr/>
                  <a:lstStyle/>
                  <a:p>
                    <a:fld id="{00BD1666-A478-4E66-A648-2BDD9D8C4856}"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1-C895-4BDE-842B-92D494F3182D}"/>
                </c:ext>
              </c:extLst>
            </c:dLbl>
            <c:dLbl>
              <c:idx val="27"/>
              <c:tx>
                <c:rich>
                  <a:bodyPr/>
                  <a:lstStyle/>
                  <a:p>
                    <a:fld id="{9EE663D4-A119-47BC-8529-DC4F1C1C3D42}"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2-C895-4BDE-842B-92D494F3182D}"/>
                </c:ext>
              </c:extLst>
            </c:dLbl>
            <c:dLbl>
              <c:idx val="28"/>
              <c:tx>
                <c:rich>
                  <a:bodyPr/>
                  <a:lstStyle/>
                  <a:p>
                    <a:fld id="{F9DFF5E3-A391-4240-AECF-E3114A0CC123}"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3-C895-4BDE-842B-92D494F3182D}"/>
                </c:ext>
              </c:extLst>
            </c:dLbl>
            <c:dLbl>
              <c:idx val="29"/>
              <c:tx>
                <c:rich>
                  <a:bodyPr/>
                  <a:lstStyle/>
                  <a:p>
                    <a:fld id="{8E69B721-CDBB-4AFB-9D3B-096999910B73}"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4-C895-4BDE-842B-92D494F3182D}"/>
                </c:ext>
              </c:extLst>
            </c:dLbl>
            <c:dLbl>
              <c:idx val="30"/>
              <c:tx>
                <c:rich>
                  <a:bodyPr/>
                  <a:lstStyle/>
                  <a:p>
                    <a:fld id="{D0252AF0-4810-4AE6-BDD0-2CA9AC89E989}"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5-C895-4BDE-842B-92D494F3182D}"/>
                </c:ext>
              </c:extLst>
            </c:dLbl>
            <c:dLbl>
              <c:idx val="31"/>
              <c:tx>
                <c:rich>
                  <a:bodyPr/>
                  <a:lstStyle/>
                  <a:p>
                    <a:fld id="{D17F3836-F8CC-4B28-B725-1FA9FB96156F}"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6-C895-4BDE-842B-92D494F3182D}"/>
                </c:ext>
              </c:extLst>
            </c:dLbl>
            <c:spPr>
              <a:noFill/>
              <a:ln>
                <a:noFill/>
              </a:ln>
              <a:effectLst/>
            </c:spPr>
            <c:txPr>
              <a:bodyPr rot="0" spcFirstLastPara="1" vertOverflow="ellipsis" vert="horz" wrap="square" lIns="38100" tIns="19050" rIns="38100" bIns="19050" anchor="ctr" anchorCtr="1">
                <a:spAutoFit/>
              </a:bodyPr>
              <a:lstStyle/>
              <a:p>
                <a:pPr>
                  <a:defRPr sz="500" b="0" i="0" u="none" strike="noStrike" kern="1200" baseline="0">
                    <a:solidFill>
                      <a:schemeClr val="tx2"/>
                    </a:solidFill>
                    <a:latin typeface="+mn-lt"/>
                    <a:ea typeface="+mn-ea"/>
                    <a:cs typeface="+mn-cs"/>
                  </a:defRPr>
                </a:pPr>
                <a:endParaRPr lang="en-US"/>
              </a:p>
            </c:txPr>
            <c:dLblPos val="t"/>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0"/>
              </c:ext>
            </c:extLst>
          </c:dLbls>
          <c:cat>
            <c:numRef>
              <c:f>Usluge!$A$126:$A$157</c:f>
              <c:numCache>
                <c:formatCode>yyyy</c:formatCode>
                <c:ptCount val="32"/>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numCache>
            </c:numRef>
          </c:cat>
          <c:val>
            <c:numRef>
              <c:f>Usluge!$W$126:$W$157</c:f>
              <c:numCache>
                <c:formatCode>General</c:formatCode>
                <c:ptCount val="32"/>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numCache>
            </c:numRef>
          </c:val>
          <c:smooth val="0"/>
          <c:extLst>
            <c:ext xmlns:c15="http://schemas.microsoft.com/office/drawing/2012/chart" uri="{02D57815-91ED-43cb-92C2-25804820EDAC}">
              <c15:datalabelsRange>
                <c15:f>Usluge!$C$126:$C$157</c15:f>
                <c15:dlblRangeCache>
                  <c:ptCount val="32"/>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pt idx="24">
                    <c:v>I</c:v>
                  </c:pt>
                  <c:pt idx="25">
                    <c:v>II</c:v>
                  </c:pt>
                  <c:pt idx="26">
                    <c:v>III</c:v>
                  </c:pt>
                  <c:pt idx="27">
                    <c:v>IV</c:v>
                  </c:pt>
                  <c:pt idx="28">
                    <c:v>V</c:v>
                  </c:pt>
                  <c:pt idx="29">
                    <c:v>VI</c:v>
                  </c:pt>
                  <c:pt idx="30">
                    <c:v>VII</c:v>
                  </c:pt>
                  <c:pt idx="31">
                    <c:v>VIII</c:v>
                  </c:pt>
                </c15:dlblRangeCache>
              </c15:datalabelsRange>
            </c:ext>
            <c:ext xmlns:c16="http://schemas.microsoft.com/office/drawing/2014/chart" uri="{C3380CC4-5D6E-409C-BE32-E72D297353CC}">
              <c16:uniqueId val="{00000027-C895-4BDE-842B-92D494F3182D}"/>
            </c:ext>
          </c:extLst>
        </c:ser>
        <c:dLbls>
          <c:showLegendKey val="0"/>
          <c:showVal val="0"/>
          <c:showCatName val="0"/>
          <c:showSerName val="0"/>
          <c:showPercent val="0"/>
          <c:showBubbleSize val="0"/>
        </c:dLbls>
        <c:smooth val="0"/>
        <c:axId val="1828917968"/>
        <c:axId val="1828917424"/>
      </c:lineChart>
      <c:dateAx>
        <c:axId val="1828917968"/>
        <c:scaling>
          <c:orientation val="minMax"/>
        </c:scaling>
        <c:delete val="0"/>
        <c:axPos val="b"/>
        <c:numFmt formatCode="yyyy" sourceLinked="1"/>
        <c:majorTickMark val="none"/>
        <c:minorTickMark val="none"/>
        <c:tickLblPos val="none"/>
        <c:spPr>
          <a:noFill/>
          <a:ln w="6350" cap="flat" cmpd="sng" algn="ctr">
            <a:solidFill>
              <a:srgbClr val="898989"/>
            </a:solidFill>
            <a:round/>
          </a:ln>
          <a:effectLst/>
        </c:spPr>
        <c:txPr>
          <a:bodyPr rot="0" spcFirstLastPara="1" vertOverflow="ellipsis" wrap="square" anchor="ctr" anchorCtr="1"/>
          <a:lstStyle/>
          <a:p>
            <a:pPr algn="ctr">
              <a:defRPr sz="750" b="0" i="0" u="none" strike="noStrike" kern="1200" baseline="0">
                <a:solidFill>
                  <a:schemeClr val="tx2"/>
                </a:solidFill>
                <a:latin typeface="+mn-lt"/>
                <a:ea typeface="+mn-ea"/>
                <a:cs typeface="+mn-cs"/>
              </a:defRPr>
            </a:pPr>
            <a:endParaRPr lang="en-US"/>
          </a:p>
        </c:txPr>
        <c:crossAx val="1828917424"/>
        <c:crosses val="autoZero"/>
        <c:auto val="1"/>
        <c:lblOffset val="0"/>
        <c:baseTimeUnit val="months"/>
        <c:majorUnit val="12"/>
        <c:majorTimeUnit val="months"/>
      </c:dateAx>
      <c:valAx>
        <c:axId val="1828917424"/>
        <c:scaling>
          <c:orientation val="minMax"/>
          <c:max val="250"/>
          <c:min val="0"/>
        </c:scaling>
        <c:delete val="0"/>
        <c:axPos val="l"/>
        <c:numFmt formatCode="0" sourceLinked="0"/>
        <c:majorTickMark val="out"/>
        <c:minorTickMark val="none"/>
        <c:tickLblPos val="nextTo"/>
        <c:spPr>
          <a:noFill/>
          <a:ln w="6350">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1828917968"/>
        <c:crosses val="autoZero"/>
        <c:crossBetween val="midCat"/>
        <c:majorUnit val="50"/>
      </c:valAx>
      <c:spPr>
        <a:solidFill>
          <a:sysClr val="window" lastClr="FFFFFF"/>
        </a:solidFill>
        <a:ln>
          <a:noFill/>
        </a:ln>
        <a:effectLst/>
      </c:spPr>
    </c:plotArea>
    <c:plotVisOnly val="1"/>
    <c:dispBlanksAs val="gap"/>
    <c:showDLblsOverMax val="0"/>
  </c:chart>
  <c:spPr>
    <a:solidFill>
      <a:schemeClr val="bg1"/>
    </a:solidFill>
    <a:ln w="9525" cap="flat" cmpd="sng" algn="ctr">
      <a:noFill/>
      <a:round/>
    </a:ln>
    <a:effectLst/>
  </c:spPr>
  <c:txPr>
    <a:bodyPr/>
    <a:lstStyle/>
    <a:p>
      <a:pPr>
        <a:defRPr sz="750">
          <a:solidFill>
            <a:schemeClr val="tx2"/>
          </a:solidFill>
          <a:latin typeface="+mn-lt"/>
        </a:defRPr>
      </a:pPr>
      <a:endParaRPr lang="en-US"/>
    </a:p>
  </c:txPr>
  <c:externalData r:id="rId4">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8583366760262072E-2"/>
          <c:y val="6.5355171586273103E-2"/>
          <c:w val="0.87139027777777778"/>
          <c:h val="0.81151726726726725"/>
        </c:manualLayout>
      </c:layout>
      <c:lineChart>
        <c:grouping val="standard"/>
        <c:varyColors val="0"/>
        <c:ser>
          <c:idx val="0"/>
          <c:order val="0"/>
          <c:tx>
            <c:strRef>
              <c:f>Usluge!$L$5</c:f>
              <c:strCache>
                <c:ptCount val="1"/>
                <c:pt idx="0">
                  <c:v>y</c:v>
                </c:pt>
              </c:strCache>
            </c:strRef>
          </c:tx>
          <c:spPr>
            <a:ln w="12700" cap="rnd">
              <a:solidFill>
                <a:srgbClr val="7F3F98"/>
              </a:solidFill>
              <a:prstDash val="sysDash"/>
              <a:round/>
            </a:ln>
            <a:effectLst/>
          </c:spPr>
          <c:marker>
            <c:symbol val="none"/>
          </c:marker>
          <c:cat>
            <c:numRef>
              <c:f>Usluge!$A$126:$A$156</c:f>
              <c:numCache>
                <c:formatCode>yyyy</c:formatCode>
                <c:ptCount val="31"/>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numCache>
            </c:numRef>
          </c:cat>
          <c:val>
            <c:numRef>
              <c:f>Usluge!$L$126:$L$156</c:f>
              <c:numCache>
                <c:formatCode>0.0</c:formatCode>
                <c:ptCount val="31"/>
                <c:pt idx="0">
                  <c:v>117.88862230700001</c:v>
                </c:pt>
                <c:pt idx="1">
                  <c:v>122.95783306600001</c:v>
                </c:pt>
                <c:pt idx="2">
                  <c:v>136.60615253700001</c:v>
                </c:pt>
                <c:pt idx="3">
                  <c:v>128.68299569000001</c:v>
                </c:pt>
                <c:pt idx="4">
                  <c:v>141.551295259</c:v>
                </c:pt>
                <c:pt idx="5">
                  <c:v>141.692846554</c:v>
                </c:pt>
                <c:pt idx="6">
                  <c:v>142.401310787</c:v>
                </c:pt>
                <c:pt idx="7">
                  <c:v>144.39492913800001</c:v>
                </c:pt>
                <c:pt idx="8">
                  <c:v>148.00480236600001</c:v>
                </c:pt>
                <c:pt idx="9">
                  <c:v>136.16441817699999</c:v>
                </c:pt>
                <c:pt idx="10">
                  <c:v>122.003318686</c:v>
                </c:pt>
                <c:pt idx="11">
                  <c:v>140.30381648900001</c:v>
                </c:pt>
                <c:pt idx="12">
                  <c:v>151.80000000000001</c:v>
                </c:pt>
                <c:pt idx="13">
                  <c:v>151.69999999999999</c:v>
                </c:pt>
                <c:pt idx="14">
                  <c:v>91.2</c:v>
                </c:pt>
                <c:pt idx="15">
                  <c:v>24.4</c:v>
                </c:pt>
                <c:pt idx="16">
                  <c:v>81</c:v>
                </c:pt>
                <c:pt idx="17">
                  <c:v>120.2</c:v>
                </c:pt>
                <c:pt idx="18">
                  <c:v>95.5</c:v>
                </c:pt>
                <c:pt idx="19">
                  <c:v>107.2</c:v>
                </c:pt>
                <c:pt idx="20">
                  <c:v>108.5</c:v>
                </c:pt>
                <c:pt idx="21">
                  <c:v>110.4</c:v>
                </c:pt>
                <c:pt idx="22">
                  <c:v>80.2</c:v>
                </c:pt>
                <c:pt idx="23">
                  <c:v>78.5</c:v>
                </c:pt>
                <c:pt idx="24">
                  <c:v>147.9</c:v>
                </c:pt>
                <c:pt idx="25">
                  <c:v>145.19999999999999</c:v>
                </c:pt>
                <c:pt idx="26">
                  <c:v>112.7</c:v>
                </c:pt>
                <c:pt idx="27">
                  <c:v>136.69999999999999</c:v>
                </c:pt>
                <c:pt idx="28">
                  <c:v>187.6</c:v>
                </c:pt>
                <c:pt idx="29">
                  <c:v>205.9</c:v>
                </c:pt>
                <c:pt idx="30">
                  <c:v>225.8</c:v>
                </c:pt>
              </c:numCache>
            </c:numRef>
          </c:val>
          <c:smooth val="0"/>
          <c:extLst>
            <c:ext xmlns:c16="http://schemas.microsoft.com/office/drawing/2014/chart" uri="{C3380CC4-5D6E-409C-BE32-E72D297353CC}">
              <c16:uniqueId val="{00000000-CD25-4602-84DC-A870629405D1}"/>
            </c:ext>
          </c:extLst>
        </c:ser>
        <c:ser>
          <c:idx val="1"/>
          <c:order val="1"/>
          <c:tx>
            <c:strRef>
              <c:f>Usluge!$M$5</c:f>
              <c:strCache>
                <c:ptCount val="1"/>
                <c:pt idx="0">
                  <c:v>sa</c:v>
                </c:pt>
              </c:strCache>
            </c:strRef>
          </c:tx>
          <c:spPr>
            <a:ln w="22225" cap="rnd">
              <a:solidFill>
                <a:srgbClr val="25AAE1"/>
              </a:solidFill>
              <a:round/>
            </a:ln>
            <a:effectLst/>
          </c:spPr>
          <c:marker>
            <c:symbol val="none"/>
          </c:marker>
          <c:cat>
            <c:numRef>
              <c:f>Usluge!$A$126:$A$156</c:f>
              <c:numCache>
                <c:formatCode>yyyy</c:formatCode>
                <c:ptCount val="31"/>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numCache>
            </c:numRef>
          </c:cat>
          <c:val>
            <c:numRef>
              <c:f>Usluge!$M$126:$M$156</c:f>
              <c:numCache>
                <c:formatCode>0.0</c:formatCode>
                <c:ptCount val="31"/>
                <c:pt idx="0">
                  <c:v>127.036166944</c:v>
                </c:pt>
                <c:pt idx="1">
                  <c:v>128.07306181199999</c:v>
                </c:pt>
                <c:pt idx="2">
                  <c:v>131.88809325400001</c:v>
                </c:pt>
                <c:pt idx="3">
                  <c:v>129.80155166899999</c:v>
                </c:pt>
                <c:pt idx="4">
                  <c:v>141.622862451</c:v>
                </c:pt>
                <c:pt idx="5">
                  <c:v>134.51721726599999</c:v>
                </c:pt>
                <c:pt idx="6">
                  <c:v>131.40834693100001</c:v>
                </c:pt>
                <c:pt idx="7">
                  <c:v>136.69970394800001</c:v>
                </c:pt>
                <c:pt idx="8">
                  <c:v>139.376938661</c:v>
                </c:pt>
                <c:pt idx="9">
                  <c:v>136.15989985600001</c:v>
                </c:pt>
                <c:pt idx="10">
                  <c:v>137.035599959</c:v>
                </c:pt>
                <c:pt idx="11">
                  <c:v>151.056855493</c:v>
                </c:pt>
                <c:pt idx="12">
                  <c:v>163.89677455399999</c:v>
                </c:pt>
                <c:pt idx="13">
                  <c:v>166.45869106200001</c:v>
                </c:pt>
                <c:pt idx="14">
                  <c:v>85.225691746999999</c:v>
                </c:pt>
                <c:pt idx="15">
                  <c:v>24.357098839999999</c:v>
                </c:pt>
                <c:pt idx="16">
                  <c:v>83.546749852000005</c:v>
                </c:pt>
                <c:pt idx="17">
                  <c:v>113.90575580399999</c:v>
                </c:pt>
                <c:pt idx="18">
                  <c:v>85.827176058999996</c:v>
                </c:pt>
                <c:pt idx="19">
                  <c:v>102.567805294</c:v>
                </c:pt>
                <c:pt idx="20">
                  <c:v>104.330016435</c:v>
                </c:pt>
                <c:pt idx="21">
                  <c:v>108.486274299</c:v>
                </c:pt>
                <c:pt idx="22">
                  <c:v>87.883923616999994</c:v>
                </c:pt>
                <c:pt idx="23">
                  <c:v>85.319393792</c:v>
                </c:pt>
                <c:pt idx="24">
                  <c:v>163.920105896</c:v>
                </c:pt>
                <c:pt idx="25">
                  <c:v>150.01494050599999</c:v>
                </c:pt>
                <c:pt idx="26">
                  <c:v>103.96607867</c:v>
                </c:pt>
                <c:pt idx="27">
                  <c:v>135.00422659</c:v>
                </c:pt>
                <c:pt idx="28">
                  <c:v>197.38570887700001</c:v>
                </c:pt>
                <c:pt idx="29">
                  <c:v>198.00239399500001</c:v>
                </c:pt>
                <c:pt idx="30">
                  <c:v>200.536332829</c:v>
                </c:pt>
              </c:numCache>
            </c:numRef>
          </c:val>
          <c:smooth val="0"/>
          <c:extLst>
            <c:ext xmlns:c16="http://schemas.microsoft.com/office/drawing/2014/chart" uri="{C3380CC4-5D6E-409C-BE32-E72D297353CC}">
              <c16:uniqueId val="{00000001-CD25-4602-84DC-A870629405D1}"/>
            </c:ext>
          </c:extLst>
        </c:ser>
        <c:ser>
          <c:idx val="2"/>
          <c:order val="2"/>
          <c:tx>
            <c:strRef>
              <c:f>Usluge!$N$5</c:f>
              <c:strCache>
                <c:ptCount val="1"/>
                <c:pt idx="0">
                  <c:v>t</c:v>
                </c:pt>
              </c:strCache>
            </c:strRef>
          </c:tx>
          <c:spPr>
            <a:ln w="25400" cap="rnd">
              <a:solidFill>
                <a:srgbClr val="FF0000"/>
              </a:solidFill>
              <a:round/>
            </a:ln>
            <a:effectLst/>
          </c:spPr>
          <c:marker>
            <c:symbol val="none"/>
          </c:marker>
          <c:cat>
            <c:numRef>
              <c:f>Usluge!$A$126:$A$156</c:f>
              <c:numCache>
                <c:formatCode>yyyy</c:formatCode>
                <c:ptCount val="31"/>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numCache>
            </c:numRef>
          </c:cat>
          <c:val>
            <c:numRef>
              <c:f>Usluge!$N$126:$N$156</c:f>
              <c:numCache>
                <c:formatCode>0.0</c:formatCode>
                <c:ptCount val="31"/>
                <c:pt idx="0">
                  <c:v>128.10548459899999</c:v>
                </c:pt>
                <c:pt idx="1">
                  <c:v>129.07335774399999</c:v>
                </c:pt>
                <c:pt idx="2">
                  <c:v>130.075241412</c:v>
                </c:pt>
                <c:pt idx="3">
                  <c:v>131.15962333100001</c:v>
                </c:pt>
                <c:pt idx="4">
                  <c:v>132.37404807799999</c:v>
                </c:pt>
                <c:pt idx="5">
                  <c:v>133.64006389599999</c:v>
                </c:pt>
                <c:pt idx="6">
                  <c:v>134.76601885599999</c:v>
                </c:pt>
                <c:pt idx="7">
                  <c:v>135.67806104499999</c:v>
                </c:pt>
                <c:pt idx="8">
                  <c:v>136.50377488199999</c:v>
                </c:pt>
                <c:pt idx="9">
                  <c:v>137.434426043</c:v>
                </c:pt>
                <c:pt idx="10">
                  <c:v>138.62816210599999</c:v>
                </c:pt>
                <c:pt idx="11">
                  <c:v>161.32403995799999</c:v>
                </c:pt>
                <c:pt idx="12">
                  <c:v>163.32857978499999</c:v>
                </c:pt>
                <c:pt idx="13">
                  <c:v>165.419699541</c:v>
                </c:pt>
                <c:pt idx="14">
                  <c:v>82.746098254000003</c:v>
                </c:pt>
                <c:pt idx="15">
                  <c:v>83.484178693999993</c:v>
                </c:pt>
                <c:pt idx="16">
                  <c:v>84.036028705000007</c:v>
                </c:pt>
                <c:pt idx="17">
                  <c:v>84.664119099999994</c:v>
                </c:pt>
                <c:pt idx="18">
                  <c:v>85.550505619999996</c:v>
                </c:pt>
                <c:pt idx="19">
                  <c:v>103.576159859</c:v>
                </c:pt>
                <c:pt idx="20">
                  <c:v>105.16390363399999</c:v>
                </c:pt>
                <c:pt idx="21">
                  <c:v>106.847476542</c:v>
                </c:pt>
                <c:pt idx="22">
                  <c:v>108.613302465</c:v>
                </c:pt>
                <c:pt idx="23">
                  <c:v>110.43899154</c:v>
                </c:pt>
                <c:pt idx="24">
                  <c:v>112.206223984</c:v>
                </c:pt>
                <c:pt idx="25">
                  <c:v>113.909649999</c:v>
                </c:pt>
                <c:pt idx="26">
                  <c:v>115.589211855</c:v>
                </c:pt>
                <c:pt idx="27">
                  <c:v>117.23296127499999</c:v>
                </c:pt>
                <c:pt idx="28">
                  <c:v>184.14067739800001</c:v>
                </c:pt>
                <c:pt idx="29">
                  <c:v>186.455032966</c:v>
                </c:pt>
                <c:pt idx="30">
                  <c:v>188.84580880499999</c:v>
                </c:pt>
              </c:numCache>
            </c:numRef>
          </c:val>
          <c:smooth val="0"/>
          <c:extLst>
            <c:ext xmlns:c16="http://schemas.microsoft.com/office/drawing/2014/chart" uri="{C3380CC4-5D6E-409C-BE32-E72D297353CC}">
              <c16:uniqueId val="{00000002-CD25-4602-84DC-A870629405D1}"/>
            </c:ext>
          </c:extLst>
        </c:ser>
        <c:ser>
          <c:idx val="3"/>
          <c:order val="3"/>
          <c:tx>
            <c:strRef>
              <c:f>Usluge!$O$5</c:f>
              <c:strCache>
                <c:ptCount val="1"/>
                <c:pt idx="0">
                  <c:v>Series4</c:v>
                </c:pt>
              </c:strCache>
            </c:strRef>
          </c:tx>
          <c:spPr>
            <a:ln w="28575" cap="rnd">
              <a:noFill/>
              <a:round/>
            </a:ln>
            <a:effectLst/>
          </c:spPr>
          <c:marker>
            <c:symbol val="square"/>
            <c:size val="2"/>
            <c:spPr>
              <a:solidFill>
                <a:sysClr val="window" lastClr="FFFFFF"/>
              </a:solidFill>
              <a:ln w="9525">
                <a:noFill/>
              </a:ln>
              <a:effectLst/>
            </c:spPr>
          </c:marker>
          <c:dLbls>
            <c:dLbl>
              <c:idx val="0"/>
              <c:layout>
                <c:manualLayout>
                  <c:x val="0.11580313362770971"/>
                  <c:y val="6.518168168168168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D25-4602-84DC-A870629405D1}"/>
                </c:ext>
              </c:extLst>
            </c:dLbl>
            <c:dLbl>
              <c:idx val="12"/>
              <c:layout>
                <c:manualLayout>
                  <c:x val="0.11580313362770978"/>
                  <c:y val="6.518168168168168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4-CD25-4602-84DC-A870629405D1}"/>
                </c:ext>
              </c:extLst>
            </c:dLbl>
            <c:dLbl>
              <c:idx val="24"/>
              <c:layout>
                <c:manualLayout>
                  <c:x val="2.9081249618965504E-2"/>
                  <c:y val="6.518168168168168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5-CD25-4602-84DC-A870629405D1}"/>
                </c:ext>
              </c:extLst>
            </c:dLbl>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tx2"/>
                    </a:solidFill>
                    <a:latin typeface="+mn-lt"/>
                    <a:ea typeface="+mn-ea"/>
                    <a:cs typeface="+mn-cs"/>
                  </a:defRPr>
                </a:pPr>
                <a:endParaRPr lang="en-U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Usluge!$A$126:$A$156</c:f>
              <c:numCache>
                <c:formatCode>yyyy</c:formatCode>
                <c:ptCount val="31"/>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numCache>
            </c:numRef>
          </c:cat>
          <c:val>
            <c:numRef>
              <c:f>Usluge!$O$126:$O$156</c:f>
              <c:numCache>
                <c:formatCode>General</c:formatCode>
                <c:ptCount val="31"/>
                <c:pt idx="0">
                  <c:v>0</c:v>
                </c:pt>
                <c:pt idx="12">
                  <c:v>0</c:v>
                </c:pt>
                <c:pt idx="24">
                  <c:v>0</c:v>
                </c:pt>
              </c:numCache>
            </c:numRef>
          </c:val>
          <c:smooth val="0"/>
          <c:extLst>
            <c:ext xmlns:c16="http://schemas.microsoft.com/office/drawing/2014/chart" uri="{C3380CC4-5D6E-409C-BE32-E72D297353CC}">
              <c16:uniqueId val="{00000006-CD25-4602-84DC-A870629405D1}"/>
            </c:ext>
          </c:extLst>
        </c:ser>
        <c:ser>
          <c:idx val="4"/>
          <c:order val="4"/>
          <c:tx>
            <c:strRef>
              <c:f>Usluge!$P$5</c:f>
              <c:strCache>
                <c:ptCount val="1"/>
                <c:pt idx="0">
                  <c:v>Series5</c:v>
                </c:pt>
              </c:strCache>
            </c:strRef>
          </c:tx>
          <c:spPr>
            <a:ln w="25400" cap="rnd">
              <a:noFill/>
              <a:round/>
            </a:ln>
            <a:effectLst/>
          </c:spPr>
          <c:marker>
            <c:symbol val="none"/>
          </c:marker>
          <c:dLbls>
            <c:dLbl>
              <c:idx val="0"/>
              <c:tx>
                <c:rich>
                  <a:bodyPr/>
                  <a:lstStyle/>
                  <a:p>
                    <a:fld id="{4CA74B84-A5EB-4C94-842A-DDE2F0AAE334}"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7-CD25-4602-84DC-A870629405D1}"/>
                </c:ext>
              </c:extLst>
            </c:dLbl>
            <c:dLbl>
              <c:idx val="1"/>
              <c:tx>
                <c:rich>
                  <a:bodyPr/>
                  <a:lstStyle/>
                  <a:p>
                    <a:fld id="{4DC97750-657F-4AE1-A2AC-C91441860030}"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8-CD25-4602-84DC-A870629405D1}"/>
                </c:ext>
              </c:extLst>
            </c:dLbl>
            <c:dLbl>
              <c:idx val="2"/>
              <c:tx>
                <c:rich>
                  <a:bodyPr/>
                  <a:lstStyle/>
                  <a:p>
                    <a:fld id="{2C4297CC-C4F0-48D0-B7AC-FC99DA98C580}"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9-CD25-4602-84DC-A870629405D1}"/>
                </c:ext>
              </c:extLst>
            </c:dLbl>
            <c:dLbl>
              <c:idx val="3"/>
              <c:tx>
                <c:rich>
                  <a:bodyPr/>
                  <a:lstStyle/>
                  <a:p>
                    <a:fld id="{5A6C895F-F544-4494-8F99-5562CC9B799A}"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A-CD25-4602-84DC-A870629405D1}"/>
                </c:ext>
              </c:extLst>
            </c:dLbl>
            <c:dLbl>
              <c:idx val="4"/>
              <c:tx>
                <c:rich>
                  <a:bodyPr/>
                  <a:lstStyle/>
                  <a:p>
                    <a:fld id="{9F3F8F05-983B-4BF7-9992-B2FEF0076E07}"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B-CD25-4602-84DC-A870629405D1}"/>
                </c:ext>
              </c:extLst>
            </c:dLbl>
            <c:dLbl>
              <c:idx val="5"/>
              <c:tx>
                <c:rich>
                  <a:bodyPr/>
                  <a:lstStyle/>
                  <a:p>
                    <a:fld id="{A879354C-B652-48F2-A9FF-EC7B926A845F}"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C-CD25-4602-84DC-A870629405D1}"/>
                </c:ext>
              </c:extLst>
            </c:dLbl>
            <c:dLbl>
              <c:idx val="6"/>
              <c:tx>
                <c:rich>
                  <a:bodyPr/>
                  <a:lstStyle/>
                  <a:p>
                    <a:fld id="{C4A9EDAD-A52C-4DC0-A2BE-4C9ADE15B1CA}"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D-CD25-4602-84DC-A870629405D1}"/>
                </c:ext>
              </c:extLst>
            </c:dLbl>
            <c:dLbl>
              <c:idx val="7"/>
              <c:tx>
                <c:rich>
                  <a:bodyPr/>
                  <a:lstStyle/>
                  <a:p>
                    <a:fld id="{39266511-FD14-4B9E-9A96-54FB44DA9DCA}"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E-CD25-4602-84DC-A870629405D1}"/>
                </c:ext>
              </c:extLst>
            </c:dLbl>
            <c:dLbl>
              <c:idx val="8"/>
              <c:tx>
                <c:rich>
                  <a:bodyPr/>
                  <a:lstStyle/>
                  <a:p>
                    <a:fld id="{21739F30-5196-41DA-9A83-4F952C2D3596}"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F-CD25-4602-84DC-A870629405D1}"/>
                </c:ext>
              </c:extLst>
            </c:dLbl>
            <c:dLbl>
              <c:idx val="9"/>
              <c:tx>
                <c:rich>
                  <a:bodyPr/>
                  <a:lstStyle/>
                  <a:p>
                    <a:fld id="{021349AB-0972-466A-8E6B-14DEDB806E31}"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0-CD25-4602-84DC-A870629405D1}"/>
                </c:ext>
              </c:extLst>
            </c:dLbl>
            <c:dLbl>
              <c:idx val="10"/>
              <c:tx>
                <c:rich>
                  <a:bodyPr/>
                  <a:lstStyle/>
                  <a:p>
                    <a:fld id="{6FAADC0C-4FE2-47C9-8612-A4E26ADEB2FF}"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1-CD25-4602-84DC-A870629405D1}"/>
                </c:ext>
              </c:extLst>
            </c:dLbl>
            <c:dLbl>
              <c:idx val="11"/>
              <c:tx>
                <c:rich>
                  <a:bodyPr/>
                  <a:lstStyle/>
                  <a:p>
                    <a:fld id="{847453FF-BC3C-4955-8A8D-AAEFA5FD08E2}"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2-CD25-4602-84DC-A870629405D1}"/>
                </c:ext>
              </c:extLst>
            </c:dLbl>
            <c:dLbl>
              <c:idx val="12"/>
              <c:tx>
                <c:rich>
                  <a:bodyPr/>
                  <a:lstStyle/>
                  <a:p>
                    <a:fld id="{F99318BF-F033-46AE-B09D-867D63A83801}"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3-CD25-4602-84DC-A870629405D1}"/>
                </c:ext>
              </c:extLst>
            </c:dLbl>
            <c:dLbl>
              <c:idx val="13"/>
              <c:tx>
                <c:rich>
                  <a:bodyPr/>
                  <a:lstStyle/>
                  <a:p>
                    <a:fld id="{4628EC13-5DBD-4779-B6CC-03BD75986B7C}"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4-CD25-4602-84DC-A870629405D1}"/>
                </c:ext>
              </c:extLst>
            </c:dLbl>
            <c:dLbl>
              <c:idx val="14"/>
              <c:tx>
                <c:rich>
                  <a:bodyPr/>
                  <a:lstStyle/>
                  <a:p>
                    <a:fld id="{9D8E27E2-EA6F-4330-8FC9-8CBE7880D8C1}"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5-CD25-4602-84DC-A870629405D1}"/>
                </c:ext>
              </c:extLst>
            </c:dLbl>
            <c:dLbl>
              <c:idx val="15"/>
              <c:tx>
                <c:rich>
                  <a:bodyPr/>
                  <a:lstStyle/>
                  <a:p>
                    <a:fld id="{6EBD884C-EDCE-4D67-BBEC-4C36ACAE2D5A}"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6-CD25-4602-84DC-A870629405D1}"/>
                </c:ext>
              </c:extLst>
            </c:dLbl>
            <c:dLbl>
              <c:idx val="16"/>
              <c:tx>
                <c:rich>
                  <a:bodyPr/>
                  <a:lstStyle/>
                  <a:p>
                    <a:fld id="{5312EE8D-E6F0-42AA-8743-8364CC6B8BF7}"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7-CD25-4602-84DC-A870629405D1}"/>
                </c:ext>
              </c:extLst>
            </c:dLbl>
            <c:dLbl>
              <c:idx val="17"/>
              <c:tx>
                <c:rich>
                  <a:bodyPr/>
                  <a:lstStyle/>
                  <a:p>
                    <a:fld id="{D7785535-989B-4793-B616-AF4B0F2DF50E}"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8-CD25-4602-84DC-A870629405D1}"/>
                </c:ext>
              </c:extLst>
            </c:dLbl>
            <c:dLbl>
              <c:idx val="18"/>
              <c:tx>
                <c:rich>
                  <a:bodyPr/>
                  <a:lstStyle/>
                  <a:p>
                    <a:fld id="{E87131B0-8CD6-4420-BB2F-F4A442BE9216}"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9-CD25-4602-84DC-A870629405D1}"/>
                </c:ext>
              </c:extLst>
            </c:dLbl>
            <c:dLbl>
              <c:idx val="19"/>
              <c:tx>
                <c:rich>
                  <a:bodyPr/>
                  <a:lstStyle/>
                  <a:p>
                    <a:fld id="{958CE570-CB9C-4F81-815D-7F159942DEC2}"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A-CD25-4602-84DC-A870629405D1}"/>
                </c:ext>
              </c:extLst>
            </c:dLbl>
            <c:dLbl>
              <c:idx val="20"/>
              <c:tx>
                <c:rich>
                  <a:bodyPr/>
                  <a:lstStyle/>
                  <a:p>
                    <a:fld id="{D290AD8B-0E63-4138-9D69-4719DC6BFE50}"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B-CD25-4602-84DC-A870629405D1}"/>
                </c:ext>
              </c:extLst>
            </c:dLbl>
            <c:dLbl>
              <c:idx val="21"/>
              <c:tx>
                <c:rich>
                  <a:bodyPr/>
                  <a:lstStyle/>
                  <a:p>
                    <a:fld id="{045CA43D-CCF9-4A7F-956D-6144BD6B2CF4}"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C-CD25-4602-84DC-A870629405D1}"/>
                </c:ext>
              </c:extLst>
            </c:dLbl>
            <c:dLbl>
              <c:idx val="22"/>
              <c:tx>
                <c:rich>
                  <a:bodyPr/>
                  <a:lstStyle/>
                  <a:p>
                    <a:fld id="{0FA4EC32-1298-46CA-96B8-E6F79C622EF9}"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D-CD25-4602-84DC-A870629405D1}"/>
                </c:ext>
              </c:extLst>
            </c:dLbl>
            <c:dLbl>
              <c:idx val="23"/>
              <c:tx>
                <c:rich>
                  <a:bodyPr/>
                  <a:lstStyle/>
                  <a:p>
                    <a:fld id="{7A01F482-0922-42BF-8962-8BDA6198FDF4}"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E-CD25-4602-84DC-A870629405D1}"/>
                </c:ext>
              </c:extLst>
            </c:dLbl>
            <c:dLbl>
              <c:idx val="24"/>
              <c:tx>
                <c:rich>
                  <a:bodyPr/>
                  <a:lstStyle/>
                  <a:p>
                    <a:fld id="{8A7DD3A4-DF8D-4A4D-AF2A-9018E1E6E906}"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F-CD25-4602-84DC-A870629405D1}"/>
                </c:ext>
              </c:extLst>
            </c:dLbl>
            <c:dLbl>
              <c:idx val="25"/>
              <c:tx>
                <c:rich>
                  <a:bodyPr/>
                  <a:lstStyle/>
                  <a:p>
                    <a:fld id="{9B206DA0-1055-45F2-BF61-626EB12C212A}"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0-CD25-4602-84DC-A870629405D1}"/>
                </c:ext>
              </c:extLst>
            </c:dLbl>
            <c:dLbl>
              <c:idx val="26"/>
              <c:tx>
                <c:rich>
                  <a:bodyPr/>
                  <a:lstStyle/>
                  <a:p>
                    <a:fld id="{831D5282-BD1A-41AD-94AA-2B28BFD1F64F}"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1-CD25-4602-84DC-A870629405D1}"/>
                </c:ext>
              </c:extLst>
            </c:dLbl>
            <c:dLbl>
              <c:idx val="27"/>
              <c:tx>
                <c:rich>
                  <a:bodyPr/>
                  <a:lstStyle/>
                  <a:p>
                    <a:fld id="{9EE09A4A-A1BF-430C-B1B5-E0FE17235827}"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2-CD25-4602-84DC-A870629405D1}"/>
                </c:ext>
              </c:extLst>
            </c:dLbl>
            <c:dLbl>
              <c:idx val="28"/>
              <c:tx>
                <c:rich>
                  <a:bodyPr/>
                  <a:lstStyle/>
                  <a:p>
                    <a:fld id="{EC1E0A63-4E59-47AD-B8D4-630F3BC7D5A3}"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3-CD25-4602-84DC-A870629405D1}"/>
                </c:ext>
              </c:extLst>
            </c:dLbl>
            <c:dLbl>
              <c:idx val="29"/>
              <c:tx>
                <c:rich>
                  <a:bodyPr/>
                  <a:lstStyle/>
                  <a:p>
                    <a:fld id="{33D84DBA-C993-4954-95D2-78FA88FA6AAB}"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4-CD25-4602-84DC-A870629405D1}"/>
                </c:ext>
              </c:extLst>
            </c:dLbl>
            <c:dLbl>
              <c:idx val="30"/>
              <c:tx>
                <c:rich>
                  <a:bodyPr/>
                  <a:lstStyle/>
                  <a:p>
                    <a:fld id="{EFFF1275-CA9E-4B5A-85B8-FA396C345EE6}"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5-CD25-4602-84DC-A870629405D1}"/>
                </c:ext>
              </c:extLst>
            </c:dLbl>
            <c:spPr>
              <a:noFill/>
              <a:ln>
                <a:noFill/>
              </a:ln>
              <a:effectLst/>
            </c:spPr>
            <c:txPr>
              <a:bodyPr rot="0" spcFirstLastPara="1" vertOverflow="ellipsis" vert="horz" wrap="square" lIns="38100" tIns="19050" rIns="38100" bIns="19050" anchor="ctr" anchorCtr="1">
                <a:spAutoFit/>
              </a:bodyPr>
              <a:lstStyle/>
              <a:p>
                <a:pPr>
                  <a:defRPr sz="500" b="0" i="0" u="none" strike="noStrike" kern="1200" baseline="0">
                    <a:solidFill>
                      <a:schemeClr val="tx2"/>
                    </a:solidFill>
                    <a:latin typeface="+mn-lt"/>
                    <a:ea typeface="+mn-ea"/>
                    <a:cs typeface="+mn-cs"/>
                  </a:defRPr>
                </a:pPr>
                <a:endParaRPr lang="en-US"/>
              </a:p>
            </c:txPr>
            <c:dLblPos val="t"/>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0"/>
              </c:ext>
            </c:extLst>
          </c:dLbls>
          <c:cat>
            <c:numRef>
              <c:f>Usluge!$A$126:$A$156</c:f>
              <c:numCache>
                <c:formatCode>yyyy</c:formatCode>
                <c:ptCount val="31"/>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numCache>
            </c:numRef>
          </c:cat>
          <c:val>
            <c:numRef>
              <c:f>Usluge!$P$126:$P$156</c:f>
              <c:numCache>
                <c:formatCode>General</c:formatCode>
                <c:ptCount val="3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numCache>
            </c:numRef>
          </c:val>
          <c:smooth val="0"/>
          <c:extLst>
            <c:ext xmlns:c15="http://schemas.microsoft.com/office/drawing/2012/chart" uri="{02D57815-91ED-43cb-92C2-25804820EDAC}">
              <c15:datalabelsRange>
                <c15:f>Usluge!$C$126:$C$156</c15:f>
                <c15:dlblRangeCache>
                  <c:ptCount val="31"/>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pt idx="24">
                    <c:v>I</c:v>
                  </c:pt>
                  <c:pt idx="25">
                    <c:v>II</c:v>
                  </c:pt>
                  <c:pt idx="26">
                    <c:v>III</c:v>
                  </c:pt>
                  <c:pt idx="27">
                    <c:v>IV</c:v>
                  </c:pt>
                  <c:pt idx="28">
                    <c:v>V</c:v>
                  </c:pt>
                  <c:pt idx="29">
                    <c:v>VI</c:v>
                  </c:pt>
                  <c:pt idx="30">
                    <c:v>VII</c:v>
                  </c:pt>
                </c15:dlblRangeCache>
              </c15:datalabelsRange>
            </c:ext>
            <c:ext xmlns:c16="http://schemas.microsoft.com/office/drawing/2014/chart" uri="{C3380CC4-5D6E-409C-BE32-E72D297353CC}">
              <c16:uniqueId val="{00000026-CD25-4602-84DC-A870629405D1}"/>
            </c:ext>
          </c:extLst>
        </c:ser>
        <c:dLbls>
          <c:showLegendKey val="0"/>
          <c:showVal val="0"/>
          <c:showCatName val="0"/>
          <c:showSerName val="0"/>
          <c:showPercent val="0"/>
          <c:showBubbleSize val="0"/>
        </c:dLbls>
        <c:smooth val="0"/>
        <c:axId val="2092161072"/>
        <c:axId val="1828937552"/>
      </c:lineChart>
      <c:dateAx>
        <c:axId val="2092161072"/>
        <c:scaling>
          <c:orientation val="minMax"/>
        </c:scaling>
        <c:delete val="0"/>
        <c:axPos val="b"/>
        <c:numFmt formatCode="yyyy" sourceLinked="1"/>
        <c:majorTickMark val="none"/>
        <c:minorTickMark val="none"/>
        <c:tickLblPos val="none"/>
        <c:spPr>
          <a:noFill/>
          <a:ln w="6350" cap="flat" cmpd="sng" algn="ctr">
            <a:solidFill>
              <a:srgbClr val="898989"/>
            </a:solidFill>
            <a:round/>
          </a:ln>
          <a:effectLst/>
        </c:spPr>
        <c:txPr>
          <a:bodyPr rot="0" spcFirstLastPara="1" vertOverflow="ellipsis" wrap="square" anchor="ctr" anchorCtr="1"/>
          <a:lstStyle/>
          <a:p>
            <a:pPr algn="ctr">
              <a:defRPr sz="750" b="0" i="0" u="none" strike="noStrike" kern="1200" baseline="0">
                <a:solidFill>
                  <a:schemeClr val="tx2"/>
                </a:solidFill>
                <a:latin typeface="+mn-lt"/>
                <a:ea typeface="+mn-ea"/>
                <a:cs typeface="+mn-cs"/>
              </a:defRPr>
            </a:pPr>
            <a:endParaRPr lang="en-US"/>
          </a:p>
        </c:txPr>
        <c:crossAx val="1828937552"/>
        <c:crosses val="autoZero"/>
        <c:auto val="1"/>
        <c:lblOffset val="0"/>
        <c:baseTimeUnit val="months"/>
        <c:majorUnit val="12"/>
        <c:majorTimeUnit val="months"/>
      </c:dateAx>
      <c:valAx>
        <c:axId val="1828937552"/>
        <c:scaling>
          <c:orientation val="minMax"/>
          <c:max val="230"/>
          <c:min val="0"/>
        </c:scaling>
        <c:delete val="0"/>
        <c:axPos val="l"/>
        <c:numFmt formatCode="0" sourceLinked="0"/>
        <c:majorTickMark val="out"/>
        <c:minorTickMark val="none"/>
        <c:tickLblPos val="nextTo"/>
        <c:spPr>
          <a:noFill/>
          <a:ln w="6350">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2092161072"/>
        <c:crosses val="autoZero"/>
        <c:crossBetween val="midCat"/>
        <c:majorUnit val="20"/>
      </c:valAx>
      <c:spPr>
        <a:solidFill>
          <a:sysClr val="window" lastClr="FFFFFF"/>
        </a:solidFill>
        <a:ln>
          <a:noFill/>
        </a:ln>
        <a:effectLst/>
      </c:spPr>
    </c:plotArea>
    <c:plotVisOnly val="1"/>
    <c:dispBlanksAs val="gap"/>
    <c:showDLblsOverMax val="0"/>
  </c:chart>
  <c:spPr>
    <a:solidFill>
      <a:schemeClr val="bg1"/>
    </a:solidFill>
    <a:ln w="9525" cap="flat" cmpd="sng" algn="ctr">
      <a:noFill/>
      <a:round/>
    </a:ln>
    <a:effectLst/>
  </c:spPr>
  <c:txPr>
    <a:bodyPr/>
    <a:lstStyle/>
    <a:p>
      <a:pPr>
        <a:defRPr sz="750">
          <a:solidFill>
            <a:schemeClr val="tx2"/>
          </a:solidFill>
          <a:latin typeface="+mn-lt"/>
        </a:defRPr>
      </a:pPr>
      <a:endParaRPr lang="en-US"/>
    </a:p>
  </c:txPr>
  <c:externalData r:id="rId4">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8583366760262072E-2"/>
          <c:y val="3.9500937320235463E-2"/>
          <c:w val="0.86259167550669125"/>
          <c:h val="0.84243318318318317"/>
        </c:manualLayout>
      </c:layout>
      <c:lineChart>
        <c:grouping val="standard"/>
        <c:varyColors val="0"/>
        <c:ser>
          <c:idx val="0"/>
          <c:order val="0"/>
          <c:tx>
            <c:strRef>
              <c:f>'BoP_izvoz usluga'!$L$5</c:f>
              <c:strCache>
                <c:ptCount val="1"/>
                <c:pt idx="0">
                  <c:v>y</c:v>
                </c:pt>
              </c:strCache>
            </c:strRef>
          </c:tx>
          <c:spPr>
            <a:ln w="12700" cap="rnd">
              <a:solidFill>
                <a:srgbClr val="7F3F98"/>
              </a:solidFill>
              <a:prstDash val="sysDash"/>
              <a:round/>
            </a:ln>
            <a:effectLst/>
          </c:spPr>
          <c:marker>
            <c:symbol val="none"/>
          </c:marker>
          <c:cat>
            <c:numRef>
              <c:f>'BoP_izvoz usluga'!$A$90:$A$121</c:f>
              <c:numCache>
                <c:formatCode>yyyy</c:formatCode>
                <c:ptCount val="32"/>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numCache>
            </c:numRef>
          </c:cat>
          <c:val>
            <c:numRef>
              <c:f>'BoP_izvoz usluga'!$L$90:$L$121</c:f>
              <c:numCache>
                <c:formatCode>0.0</c:formatCode>
                <c:ptCount val="32"/>
                <c:pt idx="0">
                  <c:v>112.27394306229124</c:v>
                </c:pt>
                <c:pt idx="1">
                  <c:v>75.350306076219397</c:v>
                </c:pt>
                <c:pt idx="2">
                  <c:v>92.163608945500258</c:v>
                </c:pt>
                <c:pt idx="3">
                  <c:v>106.88044755254403</c:v>
                </c:pt>
                <c:pt idx="4">
                  <c:v>118.02933233988153</c:v>
                </c:pt>
                <c:pt idx="5">
                  <c:v>116.76808894205766</c:v>
                </c:pt>
                <c:pt idx="6">
                  <c:v>195.52379145474629</c:v>
                </c:pt>
                <c:pt idx="7">
                  <c:v>199.63421142342705</c:v>
                </c:pt>
                <c:pt idx="8">
                  <c:v>137.21972796520959</c:v>
                </c:pt>
                <c:pt idx="9">
                  <c:v>137.26074476567777</c:v>
                </c:pt>
                <c:pt idx="10">
                  <c:v>132.69942049407732</c:v>
                </c:pt>
                <c:pt idx="11">
                  <c:v>165.20350892651788</c:v>
                </c:pt>
                <c:pt idx="12">
                  <c:v>127.1696161937425</c:v>
                </c:pt>
                <c:pt idx="13">
                  <c:v>90.19938646816432</c:v>
                </c:pt>
                <c:pt idx="14">
                  <c:v>84.099349252702297</c:v>
                </c:pt>
                <c:pt idx="15">
                  <c:v>46.640425372384549</c:v>
                </c:pt>
                <c:pt idx="16">
                  <c:v>70.741641188269327</c:v>
                </c:pt>
                <c:pt idx="17">
                  <c:v>91.538946402930861</c:v>
                </c:pt>
                <c:pt idx="18">
                  <c:v>126.43530649354342</c:v>
                </c:pt>
                <c:pt idx="19">
                  <c:v>102.41938445859088</c:v>
                </c:pt>
                <c:pt idx="20">
                  <c:v>96.9724707362206</c:v>
                </c:pt>
                <c:pt idx="21">
                  <c:v>110.47105671893694</c:v>
                </c:pt>
                <c:pt idx="22">
                  <c:v>113.18769876361129</c:v>
                </c:pt>
                <c:pt idx="23">
                  <c:v>140.12471795090323</c:v>
                </c:pt>
                <c:pt idx="24">
                  <c:v>107.6482980844895</c:v>
                </c:pt>
                <c:pt idx="25">
                  <c:v>93.30955995105252</c:v>
                </c:pt>
                <c:pt idx="26">
                  <c:v>106.83882684454042</c:v>
                </c:pt>
                <c:pt idx="27">
                  <c:v>100.91417434566073</c:v>
                </c:pt>
                <c:pt idx="28">
                  <c:v>132.6575680851231</c:v>
                </c:pt>
                <c:pt idx="29">
                  <c:v>137.84276955280518</c:v>
                </c:pt>
                <c:pt idx="30">
                  <c:v>213.27974476502158</c:v>
                </c:pt>
                <c:pt idx="31">
                  <c:v>219.02604173345904</c:v>
                </c:pt>
              </c:numCache>
            </c:numRef>
          </c:val>
          <c:smooth val="0"/>
          <c:extLst>
            <c:ext xmlns:c16="http://schemas.microsoft.com/office/drawing/2014/chart" uri="{C3380CC4-5D6E-409C-BE32-E72D297353CC}">
              <c16:uniqueId val="{00000000-F595-4C47-94CC-5E427DCB3FB2}"/>
            </c:ext>
          </c:extLst>
        </c:ser>
        <c:ser>
          <c:idx val="1"/>
          <c:order val="1"/>
          <c:tx>
            <c:strRef>
              <c:f>'BoP_izvoz usluga'!$M$5</c:f>
              <c:strCache>
                <c:ptCount val="1"/>
                <c:pt idx="0">
                  <c:v>sa</c:v>
                </c:pt>
              </c:strCache>
            </c:strRef>
          </c:tx>
          <c:spPr>
            <a:ln w="22225" cap="rnd">
              <a:solidFill>
                <a:srgbClr val="25AAE1"/>
              </a:solidFill>
              <a:round/>
            </a:ln>
            <a:effectLst/>
          </c:spPr>
          <c:marker>
            <c:symbol val="none"/>
          </c:marker>
          <c:cat>
            <c:numRef>
              <c:f>'BoP_izvoz usluga'!$A$90:$A$121</c:f>
              <c:numCache>
                <c:formatCode>yyyy</c:formatCode>
                <c:ptCount val="32"/>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numCache>
            </c:numRef>
          </c:cat>
          <c:val>
            <c:numRef>
              <c:f>'BoP_izvoz usluga'!$M$90:$M$121</c:f>
              <c:numCache>
                <c:formatCode>0.0</c:formatCode>
                <c:ptCount val="32"/>
                <c:pt idx="0">
                  <c:v>129.29764229423046</c:v>
                </c:pt>
                <c:pt idx="1">
                  <c:v>118.67391174688457</c:v>
                </c:pt>
                <c:pt idx="2">
                  <c:v>130.97663463453961</c:v>
                </c:pt>
                <c:pt idx="3">
                  <c:v>127.73113139516549</c:v>
                </c:pt>
                <c:pt idx="4">
                  <c:v>130.07456624946528</c:v>
                </c:pt>
                <c:pt idx="5">
                  <c:v>128.17818535460356</c:v>
                </c:pt>
                <c:pt idx="6">
                  <c:v>127.61628741624622</c:v>
                </c:pt>
                <c:pt idx="7">
                  <c:v>134.15369111760384</c:v>
                </c:pt>
                <c:pt idx="8">
                  <c:v>133.84877155434214</c:v>
                </c:pt>
                <c:pt idx="9">
                  <c:v>135.31080221841927</c:v>
                </c:pt>
                <c:pt idx="10">
                  <c:v>146.68074536793566</c:v>
                </c:pt>
                <c:pt idx="11">
                  <c:v>144.83013126549298</c:v>
                </c:pt>
                <c:pt idx="12">
                  <c:v>148.81477597103122</c:v>
                </c:pt>
                <c:pt idx="13">
                  <c:v>139.73236646291568</c:v>
                </c:pt>
                <c:pt idx="14">
                  <c:v>111.80535559652918</c:v>
                </c:pt>
                <c:pt idx="15">
                  <c:v>56.245095475398699</c:v>
                </c:pt>
                <c:pt idx="16">
                  <c:v>78.743165305422693</c:v>
                </c:pt>
                <c:pt idx="17">
                  <c:v>92.835863535094987</c:v>
                </c:pt>
                <c:pt idx="18">
                  <c:v>83.083220296997666</c:v>
                </c:pt>
                <c:pt idx="19">
                  <c:v>70.440275456063645</c:v>
                </c:pt>
                <c:pt idx="20">
                  <c:v>90.727981288426392</c:v>
                </c:pt>
                <c:pt idx="21">
                  <c:v>118.61205669584794</c:v>
                </c:pt>
                <c:pt idx="22">
                  <c:v>121.84094201304741</c:v>
                </c:pt>
                <c:pt idx="23">
                  <c:v>115.93596951626246</c:v>
                </c:pt>
                <c:pt idx="24">
                  <c:v>126.91516276623344</c:v>
                </c:pt>
                <c:pt idx="25">
                  <c:v>155.80799140464597</c:v>
                </c:pt>
                <c:pt idx="26">
                  <c:v>137.04779288148407</c:v>
                </c:pt>
                <c:pt idx="27">
                  <c:v>125.64653103661634</c:v>
                </c:pt>
                <c:pt idx="28">
                  <c:v>143.92331876584774</c:v>
                </c:pt>
                <c:pt idx="29">
                  <c:v>139.08447565302117</c:v>
                </c:pt>
                <c:pt idx="30">
                  <c:v>145.93100176200414</c:v>
                </c:pt>
                <c:pt idx="31">
                  <c:v>143.07276529058026</c:v>
                </c:pt>
              </c:numCache>
            </c:numRef>
          </c:val>
          <c:smooth val="0"/>
          <c:extLst>
            <c:ext xmlns:c16="http://schemas.microsoft.com/office/drawing/2014/chart" uri="{C3380CC4-5D6E-409C-BE32-E72D297353CC}">
              <c16:uniqueId val="{00000001-F595-4C47-94CC-5E427DCB3FB2}"/>
            </c:ext>
          </c:extLst>
        </c:ser>
        <c:ser>
          <c:idx val="2"/>
          <c:order val="2"/>
          <c:tx>
            <c:strRef>
              <c:f>'BoP_izvoz usluga'!$N$5</c:f>
              <c:strCache>
                <c:ptCount val="1"/>
                <c:pt idx="0">
                  <c:v>t</c:v>
                </c:pt>
              </c:strCache>
            </c:strRef>
          </c:tx>
          <c:spPr>
            <a:ln w="25400" cap="rnd">
              <a:solidFill>
                <a:srgbClr val="FF0000"/>
              </a:solidFill>
              <a:round/>
            </a:ln>
            <a:effectLst/>
          </c:spPr>
          <c:marker>
            <c:symbol val="none"/>
          </c:marker>
          <c:cat>
            <c:numRef>
              <c:f>'BoP_izvoz usluga'!$A$90:$A$121</c:f>
              <c:numCache>
                <c:formatCode>yyyy</c:formatCode>
                <c:ptCount val="32"/>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numCache>
            </c:numRef>
          </c:cat>
          <c:val>
            <c:numRef>
              <c:f>'BoP_izvoz usluga'!$N$90:$N$121</c:f>
              <c:numCache>
                <c:formatCode>0.0</c:formatCode>
                <c:ptCount val="32"/>
                <c:pt idx="0">
                  <c:v>126.89598065806595</c:v>
                </c:pt>
                <c:pt idx="1">
                  <c:v>127.80102289248995</c:v>
                </c:pt>
                <c:pt idx="2">
                  <c:v>128.3957821511498</c:v>
                </c:pt>
                <c:pt idx="3">
                  <c:v>128.68321114237759</c:v>
                </c:pt>
                <c:pt idx="4">
                  <c:v>128.73260257275717</c:v>
                </c:pt>
                <c:pt idx="5">
                  <c:v>129.00521781426161</c:v>
                </c:pt>
                <c:pt idx="6">
                  <c:v>130.06458703907509</c:v>
                </c:pt>
                <c:pt idx="7">
                  <c:v>132.26847769951186</c:v>
                </c:pt>
                <c:pt idx="8">
                  <c:v>135.40695701875165</c:v>
                </c:pt>
                <c:pt idx="9">
                  <c:v>138.94052500411925</c:v>
                </c:pt>
                <c:pt idx="10">
                  <c:v>142.01606201242768</c:v>
                </c:pt>
                <c:pt idx="11">
                  <c:v>143.99245675694465</c:v>
                </c:pt>
                <c:pt idx="12">
                  <c:v>144.60012948023146</c:v>
                </c:pt>
                <c:pt idx="13">
                  <c:v>144.35460995655677</c:v>
                </c:pt>
                <c:pt idx="14">
                  <c:v>143.9933701385242</c:v>
                </c:pt>
                <c:pt idx="15">
                  <c:v>79.621341614756147</c:v>
                </c:pt>
                <c:pt idx="16">
                  <c:v>80.091902438381879</c:v>
                </c:pt>
                <c:pt idx="17">
                  <c:v>80.683211910827126</c:v>
                </c:pt>
                <c:pt idx="18">
                  <c:v>81.034904398668345</c:v>
                </c:pt>
                <c:pt idx="19">
                  <c:v>81.034609719003996</c:v>
                </c:pt>
                <c:pt idx="20">
                  <c:v>80.827709317713584</c:v>
                </c:pt>
                <c:pt idx="21">
                  <c:v>121.80348399045224</c:v>
                </c:pt>
                <c:pt idx="22">
                  <c:v>122.7786052429598</c:v>
                </c:pt>
                <c:pt idx="23">
                  <c:v>125.09861602823732</c:v>
                </c:pt>
                <c:pt idx="24">
                  <c:v>128.50679594606245</c:v>
                </c:pt>
                <c:pt idx="25">
                  <c:v>132.37835236153705</c:v>
                </c:pt>
                <c:pt idx="26">
                  <c:v>136.01834322298129</c:v>
                </c:pt>
                <c:pt idx="27">
                  <c:v>139.03870369319966</c:v>
                </c:pt>
                <c:pt idx="28">
                  <c:v>141.28067855916765</c:v>
                </c:pt>
                <c:pt idx="29">
                  <c:v>142.80437522310768</c:v>
                </c:pt>
                <c:pt idx="30">
                  <c:v>143.59169141042537</c:v>
                </c:pt>
                <c:pt idx="31">
                  <c:v>143.5905700209693</c:v>
                </c:pt>
              </c:numCache>
            </c:numRef>
          </c:val>
          <c:smooth val="0"/>
          <c:extLst>
            <c:ext xmlns:c16="http://schemas.microsoft.com/office/drawing/2014/chart" uri="{C3380CC4-5D6E-409C-BE32-E72D297353CC}">
              <c16:uniqueId val="{00000002-F595-4C47-94CC-5E427DCB3FB2}"/>
            </c:ext>
          </c:extLst>
        </c:ser>
        <c:ser>
          <c:idx val="3"/>
          <c:order val="3"/>
          <c:tx>
            <c:strRef>
              <c:f>'BoP_izvoz usluga'!$O$5</c:f>
              <c:strCache>
                <c:ptCount val="1"/>
                <c:pt idx="0">
                  <c:v>Series4</c:v>
                </c:pt>
              </c:strCache>
            </c:strRef>
          </c:tx>
          <c:spPr>
            <a:ln w="28575" cap="rnd">
              <a:noFill/>
              <a:round/>
            </a:ln>
            <a:effectLst/>
          </c:spPr>
          <c:marker>
            <c:symbol val="square"/>
            <c:size val="2"/>
            <c:spPr>
              <a:solidFill>
                <a:sysClr val="window" lastClr="FFFFFF"/>
              </a:solidFill>
              <a:ln w="9525">
                <a:noFill/>
              </a:ln>
              <a:effectLst/>
            </c:spPr>
          </c:marker>
          <c:dLbls>
            <c:dLbl>
              <c:idx val="0"/>
              <c:layout>
                <c:manualLayout>
                  <c:x val="0.11165598881208073"/>
                  <c:y val="5.5976726726726725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3-F595-4C47-94CC-5E427DCB3FB2}"/>
                </c:ext>
              </c:extLst>
            </c:dLbl>
            <c:dLbl>
              <c:idx val="12"/>
              <c:layout>
                <c:manualLayout>
                  <c:x val="0.11186151657305854"/>
                  <c:y val="5.5976726726726725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4-F595-4C47-94CC-5E427DCB3FB2}"/>
                </c:ext>
              </c:extLst>
            </c:dLbl>
            <c:dLbl>
              <c:idx val="24"/>
              <c:layout>
                <c:manualLayout>
                  <c:x val="3.8256597222222063E-2"/>
                  <c:y val="5.5976726726726725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5-F595-4C47-94CC-5E427DCB3FB2}"/>
                </c:ext>
              </c:extLst>
            </c:dLbl>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tx2"/>
                    </a:solidFill>
                    <a:latin typeface="+mn-lt"/>
                    <a:ea typeface="+mn-ea"/>
                    <a:cs typeface="+mn-cs"/>
                  </a:defRPr>
                </a:pPr>
                <a:endParaRPr lang="en-U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'BoP_izvoz usluga'!$A$90:$A$121</c:f>
              <c:numCache>
                <c:formatCode>yyyy</c:formatCode>
                <c:ptCount val="32"/>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numCache>
            </c:numRef>
          </c:cat>
          <c:val>
            <c:numRef>
              <c:f>'BoP_izvoz usluga'!$O$90:$O$121</c:f>
              <c:numCache>
                <c:formatCode>General</c:formatCode>
                <c:ptCount val="32"/>
                <c:pt idx="0">
                  <c:v>30</c:v>
                </c:pt>
                <c:pt idx="12">
                  <c:v>30</c:v>
                </c:pt>
                <c:pt idx="24">
                  <c:v>30</c:v>
                </c:pt>
              </c:numCache>
            </c:numRef>
          </c:val>
          <c:smooth val="0"/>
          <c:extLst>
            <c:ext xmlns:c16="http://schemas.microsoft.com/office/drawing/2014/chart" uri="{C3380CC4-5D6E-409C-BE32-E72D297353CC}">
              <c16:uniqueId val="{00000006-F595-4C47-94CC-5E427DCB3FB2}"/>
            </c:ext>
          </c:extLst>
        </c:ser>
        <c:ser>
          <c:idx val="4"/>
          <c:order val="4"/>
          <c:tx>
            <c:strRef>
              <c:f>'BoP_izvoz usluga'!$P$5</c:f>
              <c:strCache>
                <c:ptCount val="1"/>
                <c:pt idx="0">
                  <c:v>Series5</c:v>
                </c:pt>
              </c:strCache>
            </c:strRef>
          </c:tx>
          <c:spPr>
            <a:ln w="28575" cap="rnd">
              <a:noFill/>
              <a:round/>
            </a:ln>
            <a:effectLst/>
          </c:spPr>
          <c:marker>
            <c:symbol val="none"/>
          </c:marker>
          <c:dLbls>
            <c:dLbl>
              <c:idx val="0"/>
              <c:tx>
                <c:rich>
                  <a:bodyPr/>
                  <a:lstStyle/>
                  <a:p>
                    <a:fld id="{5241A1D8-07F9-410D-9408-722B89A73990}"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7-F595-4C47-94CC-5E427DCB3FB2}"/>
                </c:ext>
              </c:extLst>
            </c:dLbl>
            <c:dLbl>
              <c:idx val="1"/>
              <c:tx>
                <c:rich>
                  <a:bodyPr/>
                  <a:lstStyle/>
                  <a:p>
                    <a:fld id="{85785E88-2957-4FFC-AD5B-0F569B838CB3}"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8-F595-4C47-94CC-5E427DCB3FB2}"/>
                </c:ext>
              </c:extLst>
            </c:dLbl>
            <c:dLbl>
              <c:idx val="2"/>
              <c:tx>
                <c:rich>
                  <a:bodyPr/>
                  <a:lstStyle/>
                  <a:p>
                    <a:fld id="{01118830-F2BF-48A1-9B94-635C8DCF38F4}"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9-F595-4C47-94CC-5E427DCB3FB2}"/>
                </c:ext>
              </c:extLst>
            </c:dLbl>
            <c:dLbl>
              <c:idx val="3"/>
              <c:tx>
                <c:rich>
                  <a:bodyPr/>
                  <a:lstStyle/>
                  <a:p>
                    <a:fld id="{4031D27D-CEC3-48B6-B61E-F799DCA52AED}"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A-F595-4C47-94CC-5E427DCB3FB2}"/>
                </c:ext>
              </c:extLst>
            </c:dLbl>
            <c:dLbl>
              <c:idx val="4"/>
              <c:tx>
                <c:rich>
                  <a:bodyPr/>
                  <a:lstStyle/>
                  <a:p>
                    <a:fld id="{CAC74CB2-EE70-451D-8390-1837D590AB78}"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B-F595-4C47-94CC-5E427DCB3FB2}"/>
                </c:ext>
              </c:extLst>
            </c:dLbl>
            <c:dLbl>
              <c:idx val="5"/>
              <c:tx>
                <c:rich>
                  <a:bodyPr/>
                  <a:lstStyle/>
                  <a:p>
                    <a:fld id="{0FFDABE6-9AFF-48E1-A477-6C4CD338361D}"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C-F595-4C47-94CC-5E427DCB3FB2}"/>
                </c:ext>
              </c:extLst>
            </c:dLbl>
            <c:dLbl>
              <c:idx val="6"/>
              <c:tx>
                <c:rich>
                  <a:bodyPr/>
                  <a:lstStyle/>
                  <a:p>
                    <a:fld id="{8DBDA9D7-41FC-412E-8A4A-D6B0F533A592}"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D-F595-4C47-94CC-5E427DCB3FB2}"/>
                </c:ext>
              </c:extLst>
            </c:dLbl>
            <c:dLbl>
              <c:idx val="7"/>
              <c:tx>
                <c:rich>
                  <a:bodyPr/>
                  <a:lstStyle/>
                  <a:p>
                    <a:fld id="{CE3763D5-1607-41AF-BC9C-7256CC9E224B}"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E-F595-4C47-94CC-5E427DCB3FB2}"/>
                </c:ext>
              </c:extLst>
            </c:dLbl>
            <c:dLbl>
              <c:idx val="8"/>
              <c:tx>
                <c:rich>
                  <a:bodyPr/>
                  <a:lstStyle/>
                  <a:p>
                    <a:fld id="{349974FE-DCAE-472A-99DC-C85358130D0F}"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F-F595-4C47-94CC-5E427DCB3FB2}"/>
                </c:ext>
              </c:extLst>
            </c:dLbl>
            <c:dLbl>
              <c:idx val="9"/>
              <c:tx>
                <c:rich>
                  <a:bodyPr/>
                  <a:lstStyle/>
                  <a:p>
                    <a:fld id="{970A021D-FCD7-44F3-8891-2B56C1F0A98E}"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0-F595-4C47-94CC-5E427DCB3FB2}"/>
                </c:ext>
              </c:extLst>
            </c:dLbl>
            <c:dLbl>
              <c:idx val="10"/>
              <c:tx>
                <c:rich>
                  <a:bodyPr/>
                  <a:lstStyle/>
                  <a:p>
                    <a:fld id="{EE308139-CE2D-4DB5-A40A-CDC1368C6CEE}"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1-F595-4C47-94CC-5E427DCB3FB2}"/>
                </c:ext>
              </c:extLst>
            </c:dLbl>
            <c:dLbl>
              <c:idx val="11"/>
              <c:tx>
                <c:rich>
                  <a:bodyPr/>
                  <a:lstStyle/>
                  <a:p>
                    <a:fld id="{6AF2F09D-AFB3-426A-8859-5FD2293ABB91}"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2-F595-4C47-94CC-5E427DCB3FB2}"/>
                </c:ext>
              </c:extLst>
            </c:dLbl>
            <c:dLbl>
              <c:idx val="12"/>
              <c:tx>
                <c:rich>
                  <a:bodyPr/>
                  <a:lstStyle/>
                  <a:p>
                    <a:fld id="{4C07F5A9-1AE0-40AD-813D-F4DDF56B3761}"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3-F595-4C47-94CC-5E427DCB3FB2}"/>
                </c:ext>
              </c:extLst>
            </c:dLbl>
            <c:dLbl>
              <c:idx val="13"/>
              <c:tx>
                <c:rich>
                  <a:bodyPr/>
                  <a:lstStyle/>
                  <a:p>
                    <a:fld id="{4BD8B0E2-52FB-434F-84C8-9EBD3B33FADA}"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4-F595-4C47-94CC-5E427DCB3FB2}"/>
                </c:ext>
              </c:extLst>
            </c:dLbl>
            <c:dLbl>
              <c:idx val="14"/>
              <c:tx>
                <c:rich>
                  <a:bodyPr/>
                  <a:lstStyle/>
                  <a:p>
                    <a:fld id="{741240A8-B096-47A1-908C-FB467450C449}"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5-F595-4C47-94CC-5E427DCB3FB2}"/>
                </c:ext>
              </c:extLst>
            </c:dLbl>
            <c:dLbl>
              <c:idx val="15"/>
              <c:tx>
                <c:rich>
                  <a:bodyPr/>
                  <a:lstStyle/>
                  <a:p>
                    <a:fld id="{D1DBCC51-0EB0-46A9-87B3-01CA6AF5D838}"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6-F595-4C47-94CC-5E427DCB3FB2}"/>
                </c:ext>
              </c:extLst>
            </c:dLbl>
            <c:dLbl>
              <c:idx val="16"/>
              <c:tx>
                <c:rich>
                  <a:bodyPr/>
                  <a:lstStyle/>
                  <a:p>
                    <a:fld id="{CDF401AE-7F7D-4721-8F79-A2BA8C0B99ED}"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7-F595-4C47-94CC-5E427DCB3FB2}"/>
                </c:ext>
              </c:extLst>
            </c:dLbl>
            <c:dLbl>
              <c:idx val="17"/>
              <c:tx>
                <c:rich>
                  <a:bodyPr/>
                  <a:lstStyle/>
                  <a:p>
                    <a:fld id="{BE5685A7-7CE2-40A8-9FA4-9E5B9682E484}"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8-F595-4C47-94CC-5E427DCB3FB2}"/>
                </c:ext>
              </c:extLst>
            </c:dLbl>
            <c:dLbl>
              <c:idx val="18"/>
              <c:tx>
                <c:rich>
                  <a:bodyPr/>
                  <a:lstStyle/>
                  <a:p>
                    <a:fld id="{30FB8E14-2A3E-4598-884D-9572AD4E8819}"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9-F595-4C47-94CC-5E427DCB3FB2}"/>
                </c:ext>
              </c:extLst>
            </c:dLbl>
            <c:dLbl>
              <c:idx val="19"/>
              <c:tx>
                <c:rich>
                  <a:bodyPr/>
                  <a:lstStyle/>
                  <a:p>
                    <a:fld id="{0EE58A97-6675-4DA2-94B8-5C41302C476E}"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A-F595-4C47-94CC-5E427DCB3FB2}"/>
                </c:ext>
              </c:extLst>
            </c:dLbl>
            <c:dLbl>
              <c:idx val="20"/>
              <c:tx>
                <c:rich>
                  <a:bodyPr/>
                  <a:lstStyle/>
                  <a:p>
                    <a:fld id="{7E59F1D8-86A9-42BB-B759-69B0AEC2ECFF}"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B-F595-4C47-94CC-5E427DCB3FB2}"/>
                </c:ext>
              </c:extLst>
            </c:dLbl>
            <c:dLbl>
              <c:idx val="21"/>
              <c:tx>
                <c:rich>
                  <a:bodyPr/>
                  <a:lstStyle/>
                  <a:p>
                    <a:fld id="{C2C35D38-B989-49C5-8F38-42A8A8A5D3AA}"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C-F595-4C47-94CC-5E427DCB3FB2}"/>
                </c:ext>
              </c:extLst>
            </c:dLbl>
            <c:dLbl>
              <c:idx val="22"/>
              <c:tx>
                <c:rich>
                  <a:bodyPr/>
                  <a:lstStyle/>
                  <a:p>
                    <a:fld id="{5C7F3EFE-4AF8-410B-B640-6512E2B7AEFA}"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D-F595-4C47-94CC-5E427DCB3FB2}"/>
                </c:ext>
              </c:extLst>
            </c:dLbl>
            <c:dLbl>
              <c:idx val="23"/>
              <c:tx>
                <c:rich>
                  <a:bodyPr/>
                  <a:lstStyle/>
                  <a:p>
                    <a:fld id="{B224D063-7B6D-4EF3-8E19-C7D71F6942AF}"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E-F595-4C47-94CC-5E427DCB3FB2}"/>
                </c:ext>
              </c:extLst>
            </c:dLbl>
            <c:dLbl>
              <c:idx val="24"/>
              <c:tx>
                <c:rich>
                  <a:bodyPr/>
                  <a:lstStyle/>
                  <a:p>
                    <a:fld id="{0265E0A7-8EDA-484C-872D-5F52B938C205}"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F-F595-4C47-94CC-5E427DCB3FB2}"/>
                </c:ext>
              </c:extLst>
            </c:dLbl>
            <c:dLbl>
              <c:idx val="25"/>
              <c:tx>
                <c:rich>
                  <a:bodyPr/>
                  <a:lstStyle/>
                  <a:p>
                    <a:fld id="{0F679707-8157-414F-8F36-D750380C69CF}"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0-F595-4C47-94CC-5E427DCB3FB2}"/>
                </c:ext>
              </c:extLst>
            </c:dLbl>
            <c:dLbl>
              <c:idx val="26"/>
              <c:tx>
                <c:rich>
                  <a:bodyPr/>
                  <a:lstStyle/>
                  <a:p>
                    <a:fld id="{28136AC5-0759-4775-9FC7-7475AD9FBE25}"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1-F595-4C47-94CC-5E427DCB3FB2}"/>
                </c:ext>
              </c:extLst>
            </c:dLbl>
            <c:dLbl>
              <c:idx val="27"/>
              <c:tx>
                <c:rich>
                  <a:bodyPr/>
                  <a:lstStyle/>
                  <a:p>
                    <a:fld id="{40C34F98-836D-4923-BB65-9B5CEF096E35}"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2-F595-4C47-94CC-5E427DCB3FB2}"/>
                </c:ext>
              </c:extLst>
            </c:dLbl>
            <c:dLbl>
              <c:idx val="28"/>
              <c:tx>
                <c:rich>
                  <a:bodyPr/>
                  <a:lstStyle/>
                  <a:p>
                    <a:fld id="{28FFA28B-6838-4BFD-B957-FC09E92540C7}"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3-F595-4C47-94CC-5E427DCB3FB2}"/>
                </c:ext>
              </c:extLst>
            </c:dLbl>
            <c:dLbl>
              <c:idx val="29"/>
              <c:tx>
                <c:rich>
                  <a:bodyPr/>
                  <a:lstStyle/>
                  <a:p>
                    <a:fld id="{C5A30454-6A49-4928-82D0-C11FCB479A83}"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4-F595-4C47-94CC-5E427DCB3FB2}"/>
                </c:ext>
              </c:extLst>
            </c:dLbl>
            <c:dLbl>
              <c:idx val="30"/>
              <c:tx>
                <c:rich>
                  <a:bodyPr/>
                  <a:lstStyle/>
                  <a:p>
                    <a:fld id="{A632FA56-FBAD-403C-BD7B-9C4811B1E7E6}"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5-F595-4C47-94CC-5E427DCB3FB2}"/>
                </c:ext>
              </c:extLst>
            </c:dLbl>
            <c:dLbl>
              <c:idx val="31"/>
              <c:tx>
                <c:rich>
                  <a:bodyPr/>
                  <a:lstStyle/>
                  <a:p>
                    <a:fld id="{36BA6033-7101-4B2A-920C-854113542C6D}"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6-F595-4C47-94CC-5E427DCB3FB2}"/>
                </c:ext>
              </c:extLst>
            </c:dLbl>
            <c:spPr>
              <a:noFill/>
              <a:ln>
                <a:noFill/>
              </a:ln>
              <a:effectLst/>
            </c:spPr>
            <c:txPr>
              <a:bodyPr rot="0" spcFirstLastPara="1" vertOverflow="ellipsis" vert="horz" wrap="square" lIns="38100" tIns="19050" rIns="38100" bIns="19050" anchor="ctr" anchorCtr="1">
                <a:spAutoFit/>
              </a:bodyPr>
              <a:lstStyle/>
              <a:p>
                <a:pPr>
                  <a:defRPr sz="500" b="0" i="0" u="none" strike="noStrike" kern="1200" baseline="0">
                    <a:solidFill>
                      <a:schemeClr val="tx2"/>
                    </a:solidFill>
                    <a:latin typeface="+mn-lt"/>
                    <a:ea typeface="+mn-ea"/>
                    <a:cs typeface="+mn-cs"/>
                  </a:defRPr>
                </a:pPr>
                <a:endParaRPr lang="en-US"/>
              </a:p>
            </c:txPr>
            <c:dLblPos val="t"/>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0"/>
              </c:ext>
            </c:extLst>
          </c:dLbls>
          <c:cat>
            <c:numRef>
              <c:f>'BoP_izvoz usluga'!$A$90:$A$121</c:f>
              <c:numCache>
                <c:formatCode>yyyy</c:formatCode>
                <c:ptCount val="32"/>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numCache>
            </c:numRef>
          </c:cat>
          <c:val>
            <c:numRef>
              <c:f>'BoP_izvoz usluga'!$P$90:$P$121</c:f>
              <c:numCache>
                <c:formatCode>General</c:formatCode>
                <c:ptCount val="32"/>
                <c:pt idx="0">
                  <c:v>30</c:v>
                </c:pt>
                <c:pt idx="1">
                  <c:v>30</c:v>
                </c:pt>
                <c:pt idx="2">
                  <c:v>30</c:v>
                </c:pt>
                <c:pt idx="3">
                  <c:v>30</c:v>
                </c:pt>
                <c:pt idx="4">
                  <c:v>30</c:v>
                </c:pt>
                <c:pt idx="5">
                  <c:v>30</c:v>
                </c:pt>
                <c:pt idx="6">
                  <c:v>30</c:v>
                </c:pt>
                <c:pt idx="7">
                  <c:v>30</c:v>
                </c:pt>
                <c:pt idx="8">
                  <c:v>30</c:v>
                </c:pt>
                <c:pt idx="9">
                  <c:v>30</c:v>
                </c:pt>
                <c:pt idx="10">
                  <c:v>30</c:v>
                </c:pt>
                <c:pt idx="11">
                  <c:v>30</c:v>
                </c:pt>
                <c:pt idx="12">
                  <c:v>30</c:v>
                </c:pt>
                <c:pt idx="13">
                  <c:v>30</c:v>
                </c:pt>
                <c:pt idx="14">
                  <c:v>30</c:v>
                </c:pt>
                <c:pt idx="15">
                  <c:v>30</c:v>
                </c:pt>
                <c:pt idx="16">
                  <c:v>30</c:v>
                </c:pt>
                <c:pt idx="17">
                  <c:v>30</c:v>
                </c:pt>
                <c:pt idx="18">
                  <c:v>30</c:v>
                </c:pt>
                <c:pt idx="19">
                  <c:v>30</c:v>
                </c:pt>
                <c:pt idx="20">
                  <c:v>30</c:v>
                </c:pt>
                <c:pt idx="21">
                  <c:v>30</c:v>
                </c:pt>
                <c:pt idx="22">
                  <c:v>30</c:v>
                </c:pt>
                <c:pt idx="23">
                  <c:v>30</c:v>
                </c:pt>
                <c:pt idx="24">
                  <c:v>30</c:v>
                </c:pt>
                <c:pt idx="25">
                  <c:v>30</c:v>
                </c:pt>
                <c:pt idx="26">
                  <c:v>30</c:v>
                </c:pt>
                <c:pt idx="27">
                  <c:v>30</c:v>
                </c:pt>
                <c:pt idx="28">
                  <c:v>30</c:v>
                </c:pt>
                <c:pt idx="29">
                  <c:v>30</c:v>
                </c:pt>
                <c:pt idx="30">
                  <c:v>30</c:v>
                </c:pt>
                <c:pt idx="31">
                  <c:v>30</c:v>
                </c:pt>
              </c:numCache>
            </c:numRef>
          </c:val>
          <c:smooth val="0"/>
          <c:extLst>
            <c:ext xmlns:c15="http://schemas.microsoft.com/office/drawing/2012/chart" uri="{02D57815-91ED-43cb-92C2-25804820EDAC}">
              <c15:datalabelsRange>
                <c15:f>'BoP_izvoz usluga'!$C$90:$C$121</c15:f>
                <c15:dlblRangeCache>
                  <c:ptCount val="32"/>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pt idx="24">
                    <c:v>I</c:v>
                  </c:pt>
                  <c:pt idx="25">
                    <c:v>II</c:v>
                  </c:pt>
                  <c:pt idx="26">
                    <c:v>III</c:v>
                  </c:pt>
                  <c:pt idx="27">
                    <c:v>IV</c:v>
                  </c:pt>
                  <c:pt idx="28">
                    <c:v>V</c:v>
                  </c:pt>
                  <c:pt idx="29">
                    <c:v>VI</c:v>
                  </c:pt>
                  <c:pt idx="30">
                    <c:v>VII</c:v>
                  </c:pt>
                  <c:pt idx="31">
                    <c:v>VIII</c:v>
                  </c:pt>
                </c15:dlblRangeCache>
              </c15:datalabelsRange>
            </c:ext>
            <c:ext xmlns:c16="http://schemas.microsoft.com/office/drawing/2014/chart" uri="{C3380CC4-5D6E-409C-BE32-E72D297353CC}">
              <c16:uniqueId val="{00000027-F595-4C47-94CC-5E427DCB3FB2}"/>
            </c:ext>
          </c:extLst>
        </c:ser>
        <c:dLbls>
          <c:showLegendKey val="0"/>
          <c:showVal val="0"/>
          <c:showCatName val="0"/>
          <c:showSerName val="0"/>
          <c:showPercent val="0"/>
          <c:showBubbleSize val="0"/>
        </c:dLbls>
        <c:smooth val="0"/>
        <c:axId val="1828937008"/>
        <c:axId val="1828920688"/>
      </c:lineChart>
      <c:dateAx>
        <c:axId val="1828937008"/>
        <c:scaling>
          <c:orientation val="minMax"/>
        </c:scaling>
        <c:delete val="0"/>
        <c:axPos val="b"/>
        <c:numFmt formatCode="yyyy" sourceLinked="1"/>
        <c:majorTickMark val="none"/>
        <c:minorTickMark val="none"/>
        <c:tickLblPos val="none"/>
        <c:spPr>
          <a:noFill/>
          <a:ln w="6350" cap="flat" cmpd="sng" algn="ctr">
            <a:solidFill>
              <a:srgbClr val="898989"/>
            </a:solidFill>
            <a:round/>
          </a:ln>
          <a:effectLst/>
        </c:spPr>
        <c:txPr>
          <a:bodyPr rot="0" spcFirstLastPara="1" vertOverflow="ellipsis" wrap="square" anchor="ctr" anchorCtr="1"/>
          <a:lstStyle/>
          <a:p>
            <a:pPr algn="ctr">
              <a:defRPr sz="750" b="0" i="0" u="none" strike="noStrike" kern="1200" baseline="0">
                <a:solidFill>
                  <a:schemeClr val="tx2"/>
                </a:solidFill>
                <a:latin typeface="+mn-lt"/>
                <a:ea typeface="+mn-ea"/>
                <a:cs typeface="+mn-cs"/>
              </a:defRPr>
            </a:pPr>
            <a:endParaRPr lang="en-US"/>
          </a:p>
        </c:txPr>
        <c:crossAx val="1828920688"/>
        <c:crosses val="autoZero"/>
        <c:auto val="1"/>
        <c:lblOffset val="0"/>
        <c:baseTimeUnit val="months"/>
      </c:dateAx>
      <c:valAx>
        <c:axId val="1828920688"/>
        <c:scaling>
          <c:orientation val="minMax"/>
          <c:max val="210"/>
          <c:min val="30"/>
        </c:scaling>
        <c:delete val="0"/>
        <c:axPos val="l"/>
        <c:numFmt formatCode="0" sourceLinked="0"/>
        <c:majorTickMark val="out"/>
        <c:minorTickMark val="none"/>
        <c:tickLblPos val="nextTo"/>
        <c:spPr>
          <a:noFill/>
          <a:ln w="6350">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1828937008"/>
        <c:crosses val="autoZero"/>
        <c:crossBetween val="midCat"/>
        <c:majorUnit val="20"/>
      </c:valAx>
      <c:spPr>
        <a:solidFill>
          <a:sysClr val="window" lastClr="FFFFFF"/>
        </a:solidFill>
        <a:ln>
          <a:noFill/>
        </a:ln>
        <a:effectLst/>
      </c:spPr>
    </c:plotArea>
    <c:plotVisOnly val="1"/>
    <c:dispBlanksAs val="gap"/>
    <c:showDLblsOverMax val="0"/>
  </c:chart>
  <c:spPr>
    <a:solidFill>
      <a:schemeClr val="bg1"/>
    </a:solidFill>
    <a:ln w="9525" cap="flat" cmpd="sng" algn="ctr">
      <a:noFill/>
      <a:round/>
    </a:ln>
    <a:effectLst/>
  </c:spPr>
  <c:txPr>
    <a:bodyPr/>
    <a:lstStyle/>
    <a:p>
      <a:pPr>
        <a:defRPr sz="750">
          <a:solidFill>
            <a:schemeClr val="tx2"/>
          </a:solidFill>
          <a:latin typeface="+mn-lt"/>
        </a:defRPr>
      </a:pPr>
      <a:endParaRPr lang="en-US"/>
    </a:p>
  </c:txPr>
  <c:externalData r:id="rId4">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8583366760262072E-2"/>
          <c:y val="3.9500937320235463E-2"/>
          <c:w val="0.86702970650144162"/>
          <c:h val="0.84243318318318317"/>
        </c:manualLayout>
      </c:layout>
      <c:lineChart>
        <c:grouping val="standard"/>
        <c:varyColors val="0"/>
        <c:ser>
          <c:idx val="0"/>
          <c:order val="0"/>
          <c:tx>
            <c:strRef>
              <c:f>'BoP_izvoz usluga'!$E$5</c:f>
              <c:strCache>
                <c:ptCount val="1"/>
                <c:pt idx="0">
                  <c:v>y</c:v>
                </c:pt>
              </c:strCache>
            </c:strRef>
          </c:tx>
          <c:spPr>
            <a:ln w="12700" cap="rnd">
              <a:solidFill>
                <a:srgbClr val="7F3F98"/>
              </a:solidFill>
              <a:prstDash val="sysDash"/>
              <a:round/>
            </a:ln>
            <a:effectLst/>
          </c:spPr>
          <c:marker>
            <c:symbol val="none"/>
          </c:marker>
          <c:cat>
            <c:numRef>
              <c:f>'BoP_izvoz usluga'!$A$90:$A$121</c:f>
              <c:numCache>
                <c:formatCode>yyyy</c:formatCode>
                <c:ptCount val="32"/>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numCache>
            </c:numRef>
          </c:cat>
          <c:val>
            <c:numRef>
              <c:f>'BoP_izvoz usluga'!$E$90:$E$121</c:f>
              <c:numCache>
                <c:formatCode>0.0</c:formatCode>
                <c:ptCount val="32"/>
                <c:pt idx="0">
                  <c:v>119.80759717822626</c:v>
                </c:pt>
                <c:pt idx="1">
                  <c:v>109.53858871864091</c:v>
                </c:pt>
                <c:pt idx="2">
                  <c:v>114.87584718441693</c:v>
                </c:pt>
                <c:pt idx="3">
                  <c:v>119.90387846565849</c:v>
                </c:pt>
                <c:pt idx="4">
                  <c:v>139.85168383886099</c:v>
                </c:pt>
                <c:pt idx="5">
                  <c:v>125.98735895293704</c:v>
                </c:pt>
                <c:pt idx="6">
                  <c:v>158.25760926344358</c:v>
                </c:pt>
                <c:pt idx="7">
                  <c:v>151.48957314946628</c:v>
                </c:pt>
                <c:pt idx="8">
                  <c:v>138.34071575057098</c:v>
                </c:pt>
                <c:pt idx="9">
                  <c:v>150.06825881088523</c:v>
                </c:pt>
                <c:pt idx="10">
                  <c:v>129.88265149504966</c:v>
                </c:pt>
                <c:pt idx="11">
                  <c:v>135.88319520181534</c:v>
                </c:pt>
                <c:pt idx="12">
                  <c:v>123.08020816634031</c:v>
                </c:pt>
                <c:pt idx="13">
                  <c:v>112.68696660936605</c:v>
                </c:pt>
                <c:pt idx="14">
                  <c:v>108.56880931103379</c:v>
                </c:pt>
                <c:pt idx="15">
                  <c:v>83.641416529338755</c:v>
                </c:pt>
                <c:pt idx="16">
                  <c:v>71.9999806318324</c:v>
                </c:pt>
                <c:pt idx="17">
                  <c:v>75.965667506126394</c:v>
                </c:pt>
                <c:pt idx="18">
                  <c:v>89.049851937135216</c:v>
                </c:pt>
                <c:pt idx="19">
                  <c:v>89.185395829315198</c:v>
                </c:pt>
                <c:pt idx="20">
                  <c:v>102.39193636793198</c:v>
                </c:pt>
                <c:pt idx="21">
                  <c:v>106.49982469322762</c:v>
                </c:pt>
                <c:pt idx="22">
                  <c:v>114.29225125978655</c:v>
                </c:pt>
                <c:pt idx="23">
                  <c:v>122.63769115856564</c:v>
                </c:pt>
                <c:pt idx="24">
                  <c:v>98.858628263594611</c:v>
                </c:pt>
                <c:pt idx="25">
                  <c:v>99.906429892316964</c:v>
                </c:pt>
                <c:pt idx="26">
                  <c:v>120.76358850947646</c:v>
                </c:pt>
                <c:pt idx="27">
                  <c:v>112.29606979039997</c:v>
                </c:pt>
                <c:pt idx="28">
                  <c:v>121.27091460742463</c:v>
                </c:pt>
                <c:pt idx="29">
                  <c:v>147.63671256852609</c:v>
                </c:pt>
                <c:pt idx="30">
                  <c:v>143.09106720822308</c:v>
                </c:pt>
                <c:pt idx="31">
                  <c:v>141.24622359543204</c:v>
                </c:pt>
              </c:numCache>
            </c:numRef>
          </c:val>
          <c:smooth val="0"/>
          <c:extLst>
            <c:ext xmlns:c16="http://schemas.microsoft.com/office/drawing/2014/chart" uri="{C3380CC4-5D6E-409C-BE32-E72D297353CC}">
              <c16:uniqueId val="{00000000-A246-4042-85C5-2D69A31199B7}"/>
            </c:ext>
          </c:extLst>
        </c:ser>
        <c:ser>
          <c:idx val="1"/>
          <c:order val="1"/>
          <c:tx>
            <c:strRef>
              <c:f>'BoP_izvoz usluga'!$F$5</c:f>
              <c:strCache>
                <c:ptCount val="1"/>
                <c:pt idx="0">
                  <c:v>sa</c:v>
                </c:pt>
              </c:strCache>
            </c:strRef>
          </c:tx>
          <c:spPr>
            <a:ln w="22225" cap="rnd">
              <a:solidFill>
                <a:srgbClr val="25AAE1"/>
              </a:solidFill>
              <a:round/>
            </a:ln>
            <a:effectLst/>
          </c:spPr>
          <c:marker>
            <c:symbol val="none"/>
          </c:marker>
          <c:cat>
            <c:numRef>
              <c:f>'BoP_izvoz usluga'!$A$90:$A$121</c:f>
              <c:numCache>
                <c:formatCode>yyyy</c:formatCode>
                <c:ptCount val="32"/>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numCache>
            </c:numRef>
          </c:cat>
          <c:val>
            <c:numRef>
              <c:f>'BoP_izvoz usluga'!$F$90:$F$121</c:f>
              <c:numCache>
                <c:formatCode>0.0</c:formatCode>
                <c:ptCount val="32"/>
                <c:pt idx="0">
                  <c:v>133.18499823609648</c:v>
                </c:pt>
                <c:pt idx="1">
                  <c:v>129.56510631891035</c:v>
                </c:pt>
                <c:pt idx="2">
                  <c:v>125.66940102391995</c:v>
                </c:pt>
                <c:pt idx="3">
                  <c:v>127.02521120810796</c:v>
                </c:pt>
                <c:pt idx="4">
                  <c:v>133.84536842779545</c:v>
                </c:pt>
                <c:pt idx="5">
                  <c:v>130.80447615960639</c:v>
                </c:pt>
                <c:pt idx="6">
                  <c:v>141.36473500408192</c:v>
                </c:pt>
                <c:pt idx="7">
                  <c:v>140.79645112532987</c:v>
                </c:pt>
                <c:pt idx="8">
                  <c:v>133.84066689555556</c:v>
                </c:pt>
                <c:pt idx="9">
                  <c:v>133.72190795802408</c:v>
                </c:pt>
                <c:pt idx="10">
                  <c:v>132.73352980506758</c:v>
                </c:pt>
                <c:pt idx="11">
                  <c:v>128.72954619005162</c:v>
                </c:pt>
                <c:pt idx="12">
                  <c:v>139.29895596813964</c:v>
                </c:pt>
                <c:pt idx="13">
                  <c:v>121.85028368835836</c:v>
                </c:pt>
                <c:pt idx="14">
                  <c:v>114.62708572391217</c:v>
                </c:pt>
                <c:pt idx="15">
                  <c:v>90.397379914016838</c:v>
                </c:pt>
                <c:pt idx="16">
                  <c:v>70.840136429339481</c:v>
                </c:pt>
                <c:pt idx="17">
                  <c:v>74.449855444595187</c:v>
                </c:pt>
                <c:pt idx="18">
                  <c:v>79.272216223182596</c:v>
                </c:pt>
                <c:pt idx="19">
                  <c:v>86.761103532805095</c:v>
                </c:pt>
                <c:pt idx="20">
                  <c:v>94.838372028689733</c:v>
                </c:pt>
                <c:pt idx="21">
                  <c:v>98.897570873768942</c:v>
                </c:pt>
                <c:pt idx="22">
                  <c:v>115.71071522829678</c:v>
                </c:pt>
                <c:pt idx="23">
                  <c:v>110.69699787602937</c:v>
                </c:pt>
                <c:pt idx="24">
                  <c:v>113.00223863189642</c:v>
                </c:pt>
                <c:pt idx="25">
                  <c:v>121.73915779317359</c:v>
                </c:pt>
                <c:pt idx="26">
                  <c:v>125.88545076394834</c:v>
                </c:pt>
                <c:pt idx="27">
                  <c:v>122.69826336271421</c:v>
                </c:pt>
                <c:pt idx="28">
                  <c:v>118.92031427119022</c:v>
                </c:pt>
                <c:pt idx="29">
                  <c:v>144.18655963417788</c:v>
                </c:pt>
                <c:pt idx="30">
                  <c:v>131.80417225738799</c:v>
                </c:pt>
                <c:pt idx="31">
                  <c:v>130.61342065558114</c:v>
                </c:pt>
              </c:numCache>
            </c:numRef>
          </c:val>
          <c:smooth val="0"/>
          <c:extLst>
            <c:ext xmlns:c16="http://schemas.microsoft.com/office/drawing/2014/chart" uri="{C3380CC4-5D6E-409C-BE32-E72D297353CC}">
              <c16:uniqueId val="{00000001-A246-4042-85C5-2D69A31199B7}"/>
            </c:ext>
          </c:extLst>
        </c:ser>
        <c:ser>
          <c:idx val="2"/>
          <c:order val="2"/>
          <c:tx>
            <c:strRef>
              <c:f>'BoP_izvoz usluga'!$G$5</c:f>
              <c:strCache>
                <c:ptCount val="1"/>
                <c:pt idx="0">
                  <c:v>t</c:v>
                </c:pt>
              </c:strCache>
            </c:strRef>
          </c:tx>
          <c:spPr>
            <a:ln w="25400" cap="rnd">
              <a:solidFill>
                <a:srgbClr val="FF0000"/>
              </a:solidFill>
              <a:round/>
            </a:ln>
            <a:effectLst/>
          </c:spPr>
          <c:marker>
            <c:symbol val="none"/>
          </c:marker>
          <c:cat>
            <c:numRef>
              <c:f>'BoP_izvoz usluga'!$A$90:$A$121</c:f>
              <c:numCache>
                <c:formatCode>yyyy</c:formatCode>
                <c:ptCount val="32"/>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numCache>
            </c:numRef>
          </c:cat>
          <c:val>
            <c:numRef>
              <c:f>'BoP_izvoz usluga'!$G$90:$G$121</c:f>
              <c:numCache>
                <c:formatCode>0.0</c:formatCode>
                <c:ptCount val="32"/>
                <c:pt idx="0">
                  <c:v>126.2083163996419</c:v>
                </c:pt>
                <c:pt idx="1">
                  <c:v>126.90868484981964</c:v>
                </c:pt>
                <c:pt idx="2">
                  <c:v>128.17363016085199</c:v>
                </c:pt>
                <c:pt idx="3">
                  <c:v>130.04815534686776</c:v>
                </c:pt>
                <c:pt idx="4">
                  <c:v>132.30091255939831</c:v>
                </c:pt>
                <c:pt idx="5">
                  <c:v>134.57602757783954</c:v>
                </c:pt>
                <c:pt idx="6">
                  <c:v>136.39576436791694</c:v>
                </c:pt>
                <c:pt idx="7">
                  <c:v>137.22267387218568</c:v>
                </c:pt>
                <c:pt idx="8">
                  <c:v>136.54010298075798</c:v>
                </c:pt>
                <c:pt idx="9">
                  <c:v>134.51087983450211</c:v>
                </c:pt>
                <c:pt idx="10">
                  <c:v>131.67730850894435</c:v>
                </c:pt>
                <c:pt idx="11">
                  <c:v>128.75839501051112</c:v>
                </c:pt>
                <c:pt idx="12">
                  <c:v>126.29402595616631</c:v>
                </c:pt>
                <c:pt idx="13">
                  <c:v>124.49994828929846</c:v>
                </c:pt>
                <c:pt idx="14">
                  <c:v>123.09947462991178</c:v>
                </c:pt>
                <c:pt idx="15">
                  <c:v>90.163023327801824</c:v>
                </c:pt>
                <c:pt idx="16">
                  <c:v>90.247640241418509</c:v>
                </c:pt>
                <c:pt idx="17">
                  <c:v>91.136625157368499</c:v>
                </c:pt>
                <c:pt idx="18">
                  <c:v>92.989143490369827</c:v>
                </c:pt>
                <c:pt idx="19">
                  <c:v>95.764371976117403</c:v>
                </c:pt>
                <c:pt idx="20">
                  <c:v>99.332885159481194</c:v>
                </c:pt>
                <c:pt idx="21">
                  <c:v>103.67318834223497</c:v>
                </c:pt>
                <c:pt idx="22">
                  <c:v>108.36584547528051</c:v>
                </c:pt>
                <c:pt idx="23">
                  <c:v>112.93533934487112</c:v>
                </c:pt>
                <c:pt idx="24">
                  <c:v>117.0916458776524</c:v>
                </c:pt>
                <c:pt idx="25">
                  <c:v>120.8687161281828</c:v>
                </c:pt>
                <c:pt idx="26">
                  <c:v>124.1708409126333</c:v>
                </c:pt>
                <c:pt idx="27">
                  <c:v>126.83809497278678</c:v>
                </c:pt>
                <c:pt idx="28">
                  <c:v>128.78041161851104</c:v>
                </c:pt>
                <c:pt idx="29">
                  <c:v>130.20312960457179</c:v>
                </c:pt>
                <c:pt idx="30">
                  <c:v>131.3478967274097</c:v>
                </c:pt>
                <c:pt idx="31">
                  <c:v>132.49878888007424</c:v>
                </c:pt>
              </c:numCache>
            </c:numRef>
          </c:val>
          <c:smooth val="0"/>
          <c:extLst>
            <c:ext xmlns:c16="http://schemas.microsoft.com/office/drawing/2014/chart" uri="{C3380CC4-5D6E-409C-BE32-E72D297353CC}">
              <c16:uniqueId val="{00000002-A246-4042-85C5-2D69A31199B7}"/>
            </c:ext>
          </c:extLst>
        </c:ser>
        <c:ser>
          <c:idx val="3"/>
          <c:order val="3"/>
          <c:tx>
            <c:strRef>
              <c:f>'BoP_izvoz usluga'!$H$5</c:f>
              <c:strCache>
                <c:ptCount val="1"/>
                <c:pt idx="0">
                  <c:v>Series4</c:v>
                </c:pt>
              </c:strCache>
            </c:strRef>
          </c:tx>
          <c:spPr>
            <a:ln w="28575" cap="rnd">
              <a:noFill/>
              <a:round/>
            </a:ln>
            <a:effectLst/>
          </c:spPr>
          <c:marker>
            <c:symbol val="square"/>
            <c:size val="2"/>
            <c:spPr>
              <a:solidFill>
                <a:sysClr val="window" lastClr="FFFFFF"/>
              </a:solidFill>
              <a:ln w="9525">
                <a:noFill/>
              </a:ln>
              <a:effectLst/>
            </c:spPr>
          </c:marker>
          <c:dLbls>
            <c:dLbl>
              <c:idx val="0"/>
              <c:layout>
                <c:manualLayout>
                  <c:x val="0.10616531294460975"/>
                  <c:y val="5.5976726726726725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246-4042-85C5-2D69A31199B7}"/>
                </c:ext>
              </c:extLst>
            </c:dLbl>
            <c:dLbl>
              <c:idx val="12"/>
              <c:layout>
                <c:manualLayout>
                  <c:x val="0.10736693983720669"/>
                  <c:y val="5.5976726726726725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4-A246-4042-85C5-2D69A31199B7}"/>
                </c:ext>
              </c:extLst>
            </c:dLbl>
            <c:dLbl>
              <c:idx val="24"/>
              <c:layout>
                <c:manualLayout>
                  <c:x val="3.7967013888888887E-2"/>
                  <c:y val="5.5976726726726725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5-A246-4042-85C5-2D69A31199B7}"/>
                </c:ext>
              </c:extLst>
            </c:dLbl>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tx2"/>
                    </a:solidFill>
                    <a:latin typeface="+mn-lt"/>
                    <a:ea typeface="+mn-ea"/>
                    <a:cs typeface="+mn-cs"/>
                  </a:defRPr>
                </a:pPr>
                <a:endParaRPr lang="en-U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'BoP_izvoz usluga'!$A$90:$A$121</c:f>
              <c:numCache>
                <c:formatCode>yyyy</c:formatCode>
                <c:ptCount val="32"/>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numCache>
            </c:numRef>
          </c:cat>
          <c:val>
            <c:numRef>
              <c:f>'BoP_izvoz usluga'!$H$90:$H$121</c:f>
              <c:numCache>
                <c:formatCode>General</c:formatCode>
                <c:ptCount val="32"/>
                <c:pt idx="0">
                  <c:v>50</c:v>
                </c:pt>
                <c:pt idx="12">
                  <c:v>50</c:v>
                </c:pt>
                <c:pt idx="24">
                  <c:v>50</c:v>
                </c:pt>
              </c:numCache>
            </c:numRef>
          </c:val>
          <c:smooth val="0"/>
          <c:extLst>
            <c:ext xmlns:c16="http://schemas.microsoft.com/office/drawing/2014/chart" uri="{C3380CC4-5D6E-409C-BE32-E72D297353CC}">
              <c16:uniqueId val="{00000006-A246-4042-85C5-2D69A31199B7}"/>
            </c:ext>
          </c:extLst>
        </c:ser>
        <c:ser>
          <c:idx val="4"/>
          <c:order val="4"/>
          <c:tx>
            <c:strRef>
              <c:f>'BoP_izvoz usluga'!$I$5</c:f>
              <c:strCache>
                <c:ptCount val="1"/>
                <c:pt idx="0">
                  <c:v>Series5</c:v>
                </c:pt>
              </c:strCache>
            </c:strRef>
          </c:tx>
          <c:spPr>
            <a:ln w="28575" cap="rnd">
              <a:noFill/>
              <a:round/>
            </a:ln>
            <a:effectLst/>
          </c:spPr>
          <c:marker>
            <c:symbol val="none"/>
          </c:marker>
          <c:dLbls>
            <c:dLbl>
              <c:idx val="0"/>
              <c:tx>
                <c:rich>
                  <a:bodyPr/>
                  <a:lstStyle/>
                  <a:p>
                    <a:fld id="{E90F188E-8CD5-4407-A558-B590E8CD834E}"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7-A246-4042-85C5-2D69A31199B7}"/>
                </c:ext>
              </c:extLst>
            </c:dLbl>
            <c:dLbl>
              <c:idx val="1"/>
              <c:tx>
                <c:rich>
                  <a:bodyPr/>
                  <a:lstStyle/>
                  <a:p>
                    <a:fld id="{422B8215-F4A5-4203-911A-67BA630D3FBC}"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8-A246-4042-85C5-2D69A31199B7}"/>
                </c:ext>
              </c:extLst>
            </c:dLbl>
            <c:dLbl>
              <c:idx val="2"/>
              <c:tx>
                <c:rich>
                  <a:bodyPr/>
                  <a:lstStyle/>
                  <a:p>
                    <a:fld id="{FDD82789-BB24-4792-910C-EE97507F3B17}"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9-A246-4042-85C5-2D69A31199B7}"/>
                </c:ext>
              </c:extLst>
            </c:dLbl>
            <c:dLbl>
              <c:idx val="3"/>
              <c:tx>
                <c:rich>
                  <a:bodyPr/>
                  <a:lstStyle/>
                  <a:p>
                    <a:fld id="{E7242C89-A143-42A4-B471-A69793B76F9A}"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A-A246-4042-85C5-2D69A31199B7}"/>
                </c:ext>
              </c:extLst>
            </c:dLbl>
            <c:dLbl>
              <c:idx val="4"/>
              <c:tx>
                <c:rich>
                  <a:bodyPr/>
                  <a:lstStyle/>
                  <a:p>
                    <a:fld id="{6BC575BC-1CA1-4DAA-83B7-6F277BB231B1}"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B-A246-4042-85C5-2D69A31199B7}"/>
                </c:ext>
              </c:extLst>
            </c:dLbl>
            <c:dLbl>
              <c:idx val="5"/>
              <c:tx>
                <c:rich>
                  <a:bodyPr/>
                  <a:lstStyle/>
                  <a:p>
                    <a:fld id="{DE6AC09A-1E5B-48D6-833C-0D6C0CEA0910}"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C-A246-4042-85C5-2D69A31199B7}"/>
                </c:ext>
              </c:extLst>
            </c:dLbl>
            <c:dLbl>
              <c:idx val="6"/>
              <c:tx>
                <c:rich>
                  <a:bodyPr/>
                  <a:lstStyle/>
                  <a:p>
                    <a:fld id="{6DE2B445-1CBD-434E-9180-0C1568C90A9B}"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D-A246-4042-85C5-2D69A31199B7}"/>
                </c:ext>
              </c:extLst>
            </c:dLbl>
            <c:dLbl>
              <c:idx val="7"/>
              <c:tx>
                <c:rich>
                  <a:bodyPr/>
                  <a:lstStyle/>
                  <a:p>
                    <a:fld id="{72FDC759-E3DD-4117-A527-BFD56DD21549}"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E-A246-4042-85C5-2D69A31199B7}"/>
                </c:ext>
              </c:extLst>
            </c:dLbl>
            <c:dLbl>
              <c:idx val="8"/>
              <c:tx>
                <c:rich>
                  <a:bodyPr/>
                  <a:lstStyle/>
                  <a:p>
                    <a:fld id="{21467A67-CC7C-4ADE-9944-0A250096AA13}"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F-A246-4042-85C5-2D69A31199B7}"/>
                </c:ext>
              </c:extLst>
            </c:dLbl>
            <c:dLbl>
              <c:idx val="9"/>
              <c:tx>
                <c:rich>
                  <a:bodyPr/>
                  <a:lstStyle/>
                  <a:p>
                    <a:fld id="{4C1DEAE9-B895-4F46-A580-D41183B6E2E0}"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0-A246-4042-85C5-2D69A31199B7}"/>
                </c:ext>
              </c:extLst>
            </c:dLbl>
            <c:dLbl>
              <c:idx val="10"/>
              <c:tx>
                <c:rich>
                  <a:bodyPr/>
                  <a:lstStyle/>
                  <a:p>
                    <a:fld id="{337AAA4A-AE60-4F43-B9C5-4B9EB4EE185F}"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1-A246-4042-85C5-2D69A31199B7}"/>
                </c:ext>
              </c:extLst>
            </c:dLbl>
            <c:dLbl>
              <c:idx val="11"/>
              <c:tx>
                <c:rich>
                  <a:bodyPr/>
                  <a:lstStyle/>
                  <a:p>
                    <a:fld id="{E8CC1263-C75F-4667-B019-AA4A8A8E773E}"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2-A246-4042-85C5-2D69A31199B7}"/>
                </c:ext>
              </c:extLst>
            </c:dLbl>
            <c:dLbl>
              <c:idx val="12"/>
              <c:tx>
                <c:rich>
                  <a:bodyPr/>
                  <a:lstStyle/>
                  <a:p>
                    <a:fld id="{BD3F81E6-82B0-4FF8-8CB0-5AAB70A85653}"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3-A246-4042-85C5-2D69A31199B7}"/>
                </c:ext>
              </c:extLst>
            </c:dLbl>
            <c:dLbl>
              <c:idx val="13"/>
              <c:tx>
                <c:rich>
                  <a:bodyPr/>
                  <a:lstStyle/>
                  <a:p>
                    <a:fld id="{66F821D5-717B-4890-B5AB-D9CADF8B04B9}"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4-A246-4042-85C5-2D69A31199B7}"/>
                </c:ext>
              </c:extLst>
            </c:dLbl>
            <c:dLbl>
              <c:idx val="14"/>
              <c:tx>
                <c:rich>
                  <a:bodyPr/>
                  <a:lstStyle/>
                  <a:p>
                    <a:fld id="{021BB6F5-1256-42AB-8771-DCA18A8D0FB0}"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5-A246-4042-85C5-2D69A31199B7}"/>
                </c:ext>
              </c:extLst>
            </c:dLbl>
            <c:dLbl>
              <c:idx val="15"/>
              <c:tx>
                <c:rich>
                  <a:bodyPr/>
                  <a:lstStyle/>
                  <a:p>
                    <a:fld id="{9F8D8C63-D48A-435E-B016-6F80FA9E732A}"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6-A246-4042-85C5-2D69A31199B7}"/>
                </c:ext>
              </c:extLst>
            </c:dLbl>
            <c:dLbl>
              <c:idx val="16"/>
              <c:tx>
                <c:rich>
                  <a:bodyPr/>
                  <a:lstStyle/>
                  <a:p>
                    <a:fld id="{C9F5A8F9-C752-42C6-A3D5-886CEC581AC0}"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7-A246-4042-85C5-2D69A31199B7}"/>
                </c:ext>
              </c:extLst>
            </c:dLbl>
            <c:dLbl>
              <c:idx val="17"/>
              <c:tx>
                <c:rich>
                  <a:bodyPr/>
                  <a:lstStyle/>
                  <a:p>
                    <a:fld id="{600E9100-11D4-4EB0-9087-AE178D84A929}"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8-A246-4042-85C5-2D69A31199B7}"/>
                </c:ext>
              </c:extLst>
            </c:dLbl>
            <c:dLbl>
              <c:idx val="18"/>
              <c:tx>
                <c:rich>
                  <a:bodyPr/>
                  <a:lstStyle/>
                  <a:p>
                    <a:fld id="{166B6535-6B6F-41D6-9002-598A77331AA5}"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9-A246-4042-85C5-2D69A31199B7}"/>
                </c:ext>
              </c:extLst>
            </c:dLbl>
            <c:dLbl>
              <c:idx val="19"/>
              <c:tx>
                <c:rich>
                  <a:bodyPr/>
                  <a:lstStyle/>
                  <a:p>
                    <a:fld id="{44B95F98-88E9-4AF9-BBF7-65964F5A5A35}"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A-A246-4042-85C5-2D69A31199B7}"/>
                </c:ext>
              </c:extLst>
            </c:dLbl>
            <c:dLbl>
              <c:idx val="20"/>
              <c:tx>
                <c:rich>
                  <a:bodyPr/>
                  <a:lstStyle/>
                  <a:p>
                    <a:fld id="{F81B545D-EFFC-41B9-A2CC-648748BAE4C2}"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B-A246-4042-85C5-2D69A31199B7}"/>
                </c:ext>
              </c:extLst>
            </c:dLbl>
            <c:dLbl>
              <c:idx val="21"/>
              <c:tx>
                <c:rich>
                  <a:bodyPr/>
                  <a:lstStyle/>
                  <a:p>
                    <a:fld id="{BEBC7C1C-424D-4510-9843-2811A54168D8}"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C-A246-4042-85C5-2D69A31199B7}"/>
                </c:ext>
              </c:extLst>
            </c:dLbl>
            <c:dLbl>
              <c:idx val="22"/>
              <c:tx>
                <c:rich>
                  <a:bodyPr/>
                  <a:lstStyle/>
                  <a:p>
                    <a:fld id="{47B2E0A8-F2EF-4C3D-A300-62295DB97A41}"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D-A246-4042-85C5-2D69A31199B7}"/>
                </c:ext>
              </c:extLst>
            </c:dLbl>
            <c:dLbl>
              <c:idx val="23"/>
              <c:tx>
                <c:rich>
                  <a:bodyPr/>
                  <a:lstStyle/>
                  <a:p>
                    <a:fld id="{9CD9704B-EA2A-4285-ABB9-F28CF460D1E5}"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E-A246-4042-85C5-2D69A31199B7}"/>
                </c:ext>
              </c:extLst>
            </c:dLbl>
            <c:dLbl>
              <c:idx val="24"/>
              <c:tx>
                <c:rich>
                  <a:bodyPr/>
                  <a:lstStyle/>
                  <a:p>
                    <a:fld id="{D5D8C264-F489-4BFA-8A22-84D9384FD53A}"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F-A246-4042-85C5-2D69A31199B7}"/>
                </c:ext>
              </c:extLst>
            </c:dLbl>
            <c:dLbl>
              <c:idx val="25"/>
              <c:tx>
                <c:rich>
                  <a:bodyPr/>
                  <a:lstStyle/>
                  <a:p>
                    <a:fld id="{7BCF2D46-9838-4D9B-94F4-D60DDD10B3E9}"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0-A246-4042-85C5-2D69A31199B7}"/>
                </c:ext>
              </c:extLst>
            </c:dLbl>
            <c:dLbl>
              <c:idx val="26"/>
              <c:tx>
                <c:rich>
                  <a:bodyPr/>
                  <a:lstStyle/>
                  <a:p>
                    <a:fld id="{3F6BCAC1-2FAE-4297-8BEF-3CD60B1B6749}"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1-A246-4042-85C5-2D69A31199B7}"/>
                </c:ext>
              </c:extLst>
            </c:dLbl>
            <c:dLbl>
              <c:idx val="27"/>
              <c:tx>
                <c:rich>
                  <a:bodyPr/>
                  <a:lstStyle/>
                  <a:p>
                    <a:fld id="{C1CC975B-0925-4C7D-A32D-B7C4E209DF8D}"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2-A246-4042-85C5-2D69A31199B7}"/>
                </c:ext>
              </c:extLst>
            </c:dLbl>
            <c:dLbl>
              <c:idx val="28"/>
              <c:tx>
                <c:rich>
                  <a:bodyPr/>
                  <a:lstStyle/>
                  <a:p>
                    <a:fld id="{8D2C50C9-D159-4365-80A1-46EAF5D076FC}"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3-A246-4042-85C5-2D69A31199B7}"/>
                </c:ext>
              </c:extLst>
            </c:dLbl>
            <c:dLbl>
              <c:idx val="29"/>
              <c:tx>
                <c:rich>
                  <a:bodyPr/>
                  <a:lstStyle/>
                  <a:p>
                    <a:fld id="{365F01AB-E9E4-45CE-881D-558BB176B445}"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4-A246-4042-85C5-2D69A31199B7}"/>
                </c:ext>
              </c:extLst>
            </c:dLbl>
            <c:dLbl>
              <c:idx val="30"/>
              <c:tx>
                <c:rich>
                  <a:bodyPr/>
                  <a:lstStyle/>
                  <a:p>
                    <a:fld id="{6EFB81B4-1112-439B-B618-043E3A0EC02B}"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5-A246-4042-85C5-2D69A31199B7}"/>
                </c:ext>
              </c:extLst>
            </c:dLbl>
            <c:dLbl>
              <c:idx val="31"/>
              <c:tx>
                <c:rich>
                  <a:bodyPr/>
                  <a:lstStyle/>
                  <a:p>
                    <a:fld id="{4BE0E481-02A3-424D-80DD-C899F689E428}"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6-A246-4042-85C5-2D69A31199B7}"/>
                </c:ext>
              </c:extLst>
            </c:dLbl>
            <c:spPr>
              <a:noFill/>
              <a:ln>
                <a:noFill/>
              </a:ln>
              <a:effectLst/>
            </c:spPr>
            <c:txPr>
              <a:bodyPr rot="0" spcFirstLastPara="1" vertOverflow="ellipsis" vert="horz" wrap="square" lIns="38100" tIns="19050" rIns="38100" bIns="19050" anchor="ctr" anchorCtr="1">
                <a:spAutoFit/>
              </a:bodyPr>
              <a:lstStyle/>
              <a:p>
                <a:pPr>
                  <a:defRPr sz="500" b="0" i="0" u="none" strike="noStrike" kern="1200" baseline="0">
                    <a:solidFill>
                      <a:schemeClr val="tx2"/>
                    </a:solidFill>
                    <a:latin typeface="+mn-lt"/>
                    <a:ea typeface="+mn-ea"/>
                    <a:cs typeface="+mn-cs"/>
                  </a:defRPr>
                </a:pPr>
                <a:endParaRPr lang="en-US"/>
              </a:p>
            </c:txPr>
            <c:dLblPos val="t"/>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0"/>
              </c:ext>
            </c:extLst>
          </c:dLbls>
          <c:cat>
            <c:numRef>
              <c:f>'BoP_izvoz usluga'!$A$90:$A$121</c:f>
              <c:numCache>
                <c:formatCode>yyyy</c:formatCode>
                <c:ptCount val="32"/>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numCache>
            </c:numRef>
          </c:cat>
          <c:val>
            <c:numRef>
              <c:f>'BoP_izvoz usluga'!$I$90:$I$121</c:f>
              <c:numCache>
                <c:formatCode>General</c:formatCode>
                <c:ptCount val="32"/>
                <c:pt idx="0">
                  <c:v>50</c:v>
                </c:pt>
                <c:pt idx="1">
                  <c:v>50</c:v>
                </c:pt>
                <c:pt idx="2">
                  <c:v>50</c:v>
                </c:pt>
                <c:pt idx="3">
                  <c:v>50</c:v>
                </c:pt>
                <c:pt idx="4">
                  <c:v>50</c:v>
                </c:pt>
                <c:pt idx="5">
                  <c:v>50</c:v>
                </c:pt>
                <c:pt idx="6">
                  <c:v>50</c:v>
                </c:pt>
                <c:pt idx="7">
                  <c:v>50</c:v>
                </c:pt>
                <c:pt idx="8">
                  <c:v>50</c:v>
                </c:pt>
                <c:pt idx="9">
                  <c:v>50</c:v>
                </c:pt>
                <c:pt idx="10">
                  <c:v>50</c:v>
                </c:pt>
                <c:pt idx="11">
                  <c:v>50</c:v>
                </c:pt>
                <c:pt idx="12">
                  <c:v>50</c:v>
                </c:pt>
                <c:pt idx="13">
                  <c:v>50</c:v>
                </c:pt>
                <c:pt idx="14">
                  <c:v>50</c:v>
                </c:pt>
                <c:pt idx="15">
                  <c:v>50</c:v>
                </c:pt>
                <c:pt idx="16">
                  <c:v>50</c:v>
                </c:pt>
                <c:pt idx="17">
                  <c:v>50</c:v>
                </c:pt>
                <c:pt idx="18">
                  <c:v>50</c:v>
                </c:pt>
                <c:pt idx="19">
                  <c:v>50</c:v>
                </c:pt>
                <c:pt idx="20">
                  <c:v>50</c:v>
                </c:pt>
                <c:pt idx="21">
                  <c:v>50</c:v>
                </c:pt>
                <c:pt idx="22">
                  <c:v>50</c:v>
                </c:pt>
                <c:pt idx="23">
                  <c:v>50</c:v>
                </c:pt>
                <c:pt idx="24">
                  <c:v>50</c:v>
                </c:pt>
                <c:pt idx="25">
                  <c:v>50</c:v>
                </c:pt>
                <c:pt idx="26">
                  <c:v>50</c:v>
                </c:pt>
                <c:pt idx="27">
                  <c:v>50</c:v>
                </c:pt>
                <c:pt idx="28">
                  <c:v>50</c:v>
                </c:pt>
                <c:pt idx="29">
                  <c:v>50</c:v>
                </c:pt>
                <c:pt idx="30">
                  <c:v>50</c:v>
                </c:pt>
                <c:pt idx="31">
                  <c:v>50</c:v>
                </c:pt>
              </c:numCache>
            </c:numRef>
          </c:val>
          <c:smooth val="0"/>
          <c:extLst>
            <c:ext xmlns:c15="http://schemas.microsoft.com/office/drawing/2012/chart" uri="{02D57815-91ED-43cb-92C2-25804820EDAC}">
              <c15:datalabelsRange>
                <c15:f>'BoP_izvoz usluga'!$C$90:$C$121</c15:f>
                <c15:dlblRangeCache>
                  <c:ptCount val="32"/>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pt idx="24">
                    <c:v>I</c:v>
                  </c:pt>
                  <c:pt idx="25">
                    <c:v>II</c:v>
                  </c:pt>
                  <c:pt idx="26">
                    <c:v>III</c:v>
                  </c:pt>
                  <c:pt idx="27">
                    <c:v>IV</c:v>
                  </c:pt>
                  <c:pt idx="28">
                    <c:v>V</c:v>
                  </c:pt>
                  <c:pt idx="29">
                    <c:v>VI</c:v>
                  </c:pt>
                  <c:pt idx="30">
                    <c:v>VII</c:v>
                  </c:pt>
                  <c:pt idx="31">
                    <c:v>VIII</c:v>
                  </c:pt>
                </c15:dlblRangeCache>
              </c15:datalabelsRange>
            </c:ext>
            <c:ext xmlns:c16="http://schemas.microsoft.com/office/drawing/2014/chart" uri="{C3380CC4-5D6E-409C-BE32-E72D297353CC}">
              <c16:uniqueId val="{00000027-A246-4042-85C5-2D69A31199B7}"/>
            </c:ext>
          </c:extLst>
        </c:ser>
        <c:dLbls>
          <c:showLegendKey val="0"/>
          <c:showVal val="0"/>
          <c:showCatName val="0"/>
          <c:showSerName val="0"/>
          <c:showPercent val="0"/>
          <c:showBubbleSize val="0"/>
        </c:dLbls>
        <c:smooth val="0"/>
        <c:axId val="1828933200"/>
        <c:axId val="1828928304"/>
      </c:lineChart>
      <c:dateAx>
        <c:axId val="1828933200"/>
        <c:scaling>
          <c:orientation val="minMax"/>
        </c:scaling>
        <c:delete val="0"/>
        <c:axPos val="b"/>
        <c:numFmt formatCode="yyyy" sourceLinked="1"/>
        <c:majorTickMark val="none"/>
        <c:minorTickMark val="none"/>
        <c:tickLblPos val="none"/>
        <c:spPr>
          <a:noFill/>
          <a:ln w="6350" cap="flat" cmpd="sng" algn="ctr">
            <a:solidFill>
              <a:srgbClr val="898989"/>
            </a:solidFill>
            <a:round/>
          </a:ln>
          <a:effectLst/>
        </c:spPr>
        <c:txPr>
          <a:bodyPr rot="0" spcFirstLastPara="1" vertOverflow="ellipsis" wrap="square" anchor="ctr" anchorCtr="1"/>
          <a:lstStyle/>
          <a:p>
            <a:pPr algn="ctr">
              <a:defRPr sz="750" b="0" i="0" u="none" strike="noStrike" kern="1200" baseline="0">
                <a:solidFill>
                  <a:schemeClr val="tx2"/>
                </a:solidFill>
                <a:latin typeface="+mn-lt"/>
                <a:ea typeface="+mn-ea"/>
                <a:cs typeface="+mn-cs"/>
              </a:defRPr>
            </a:pPr>
            <a:endParaRPr lang="en-US"/>
          </a:p>
        </c:txPr>
        <c:crossAx val="1828928304"/>
        <c:crosses val="autoZero"/>
        <c:auto val="1"/>
        <c:lblOffset val="0"/>
        <c:baseTimeUnit val="months"/>
      </c:dateAx>
      <c:valAx>
        <c:axId val="1828928304"/>
        <c:scaling>
          <c:orientation val="minMax"/>
          <c:min val="50"/>
        </c:scaling>
        <c:delete val="0"/>
        <c:axPos val="l"/>
        <c:numFmt formatCode="0" sourceLinked="0"/>
        <c:majorTickMark val="out"/>
        <c:minorTickMark val="none"/>
        <c:tickLblPos val="nextTo"/>
        <c:spPr>
          <a:noFill/>
          <a:ln w="6350">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1828933200"/>
        <c:crosses val="autoZero"/>
        <c:crossBetween val="midCat"/>
        <c:majorUnit val="20"/>
      </c:valAx>
      <c:spPr>
        <a:solidFill>
          <a:sysClr val="window" lastClr="FFFFFF"/>
        </a:solidFill>
        <a:ln>
          <a:noFill/>
        </a:ln>
        <a:effectLst/>
      </c:spPr>
    </c:plotArea>
    <c:plotVisOnly val="1"/>
    <c:dispBlanksAs val="gap"/>
    <c:showDLblsOverMax val="0"/>
  </c:chart>
  <c:spPr>
    <a:solidFill>
      <a:schemeClr val="bg1"/>
    </a:solidFill>
    <a:ln w="9525" cap="flat" cmpd="sng" algn="ctr">
      <a:noFill/>
      <a:round/>
    </a:ln>
    <a:effectLst/>
  </c:spPr>
  <c:txPr>
    <a:bodyPr/>
    <a:lstStyle/>
    <a:p>
      <a:pPr>
        <a:defRPr sz="750">
          <a:solidFill>
            <a:schemeClr val="tx2"/>
          </a:solidFill>
          <a:latin typeface="+mn-lt"/>
        </a:defRPr>
      </a:pPr>
      <a:endParaRPr lang="en-US"/>
    </a:p>
  </c:txPr>
  <c:externalData r:id="rId4">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8229075532225129E-2"/>
          <c:y val="5.8179243711477598E-2"/>
          <c:w val="0.88862277631962672"/>
          <c:h val="0.64057387972680324"/>
        </c:manualLayout>
      </c:layout>
      <c:barChart>
        <c:barDir val="col"/>
        <c:grouping val="clustered"/>
        <c:varyColors val="0"/>
        <c:ser>
          <c:idx val="0"/>
          <c:order val="0"/>
          <c:tx>
            <c:strRef>
              <c:f>BDPQ_doprinosi!$R$54</c:f>
              <c:strCache>
                <c:ptCount val="1"/>
                <c:pt idx="0">
                  <c:v>Априлска Фискална стратегија</c:v>
                </c:pt>
              </c:strCache>
            </c:strRef>
          </c:tx>
          <c:spPr>
            <a:solidFill>
              <a:srgbClr val="2183C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750" b="1" i="0" u="none" strike="noStrike" kern="1200" baseline="0">
                    <a:solidFill>
                      <a:srgbClr val="2183C4"/>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BDPQ_doprinosi!$S$52:$V$53</c:f>
              <c:multiLvlStrCache>
                <c:ptCount val="4"/>
                <c:lvl>
                  <c:pt idx="0">
                    <c:v>Q1</c:v>
                  </c:pt>
                  <c:pt idx="1">
                    <c:v>Q2</c:v>
                  </c:pt>
                  <c:pt idx="2">
                    <c:v>Q3*</c:v>
                  </c:pt>
                  <c:pt idx="3">
                    <c:v>Q4*</c:v>
                  </c:pt>
                </c:lvl>
                <c:lvl>
                  <c:pt idx="0">
                    <c:v>2021</c:v>
                  </c:pt>
                </c:lvl>
              </c:multiLvlStrCache>
            </c:multiLvlStrRef>
          </c:cat>
          <c:val>
            <c:numRef>
              <c:f>BDPQ_doprinosi!$S$54:$V$54</c:f>
              <c:numCache>
                <c:formatCode>0.0</c:formatCode>
                <c:ptCount val="4"/>
                <c:pt idx="0">
                  <c:v>1.2</c:v>
                </c:pt>
                <c:pt idx="1">
                  <c:v>11.2</c:v>
                </c:pt>
                <c:pt idx="2">
                  <c:v>5.8</c:v>
                </c:pt>
                <c:pt idx="3">
                  <c:v>6</c:v>
                </c:pt>
              </c:numCache>
            </c:numRef>
          </c:val>
          <c:extLst>
            <c:ext xmlns:c16="http://schemas.microsoft.com/office/drawing/2014/chart" uri="{C3380CC4-5D6E-409C-BE32-E72D297353CC}">
              <c16:uniqueId val="{00000000-7CA2-4781-81D7-748C303A6B27}"/>
            </c:ext>
          </c:extLst>
        </c:ser>
        <c:ser>
          <c:idx val="1"/>
          <c:order val="1"/>
          <c:tx>
            <c:strRef>
              <c:f>BDPQ_doprinosi!$R$55</c:f>
              <c:strCache>
                <c:ptCount val="1"/>
                <c:pt idx="0">
                  <c:v>Ревидирана Фискална стратегија</c:v>
                </c:pt>
              </c:strCache>
            </c:strRef>
          </c:tx>
          <c:spPr>
            <a:solidFill>
              <a:srgbClr val="10103C"/>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750" b="1" i="0" u="none" strike="noStrike" kern="1200" baseline="0">
                    <a:solidFill>
                      <a:srgbClr val="10103C"/>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BDPQ_doprinosi!$S$52:$V$53</c:f>
              <c:multiLvlStrCache>
                <c:ptCount val="4"/>
                <c:lvl>
                  <c:pt idx="0">
                    <c:v>Q1</c:v>
                  </c:pt>
                  <c:pt idx="1">
                    <c:v>Q2</c:v>
                  </c:pt>
                  <c:pt idx="2">
                    <c:v>Q3*</c:v>
                  </c:pt>
                  <c:pt idx="3">
                    <c:v>Q4*</c:v>
                  </c:pt>
                </c:lvl>
                <c:lvl>
                  <c:pt idx="0">
                    <c:v>2021</c:v>
                  </c:pt>
                </c:lvl>
              </c:multiLvlStrCache>
            </c:multiLvlStrRef>
          </c:cat>
          <c:val>
            <c:numRef>
              <c:f>BDPQ_doprinosi!$S$55:$V$55</c:f>
              <c:numCache>
                <c:formatCode>0.0</c:formatCode>
                <c:ptCount val="4"/>
                <c:pt idx="0">
                  <c:v>1.8</c:v>
                </c:pt>
                <c:pt idx="1">
                  <c:v>13.7</c:v>
                </c:pt>
                <c:pt idx="2">
                  <c:v>7</c:v>
                </c:pt>
                <c:pt idx="3">
                  <c:v>6</c:v>
                </c:pt>
              </c:numCache>
            </c:numRef>
          </c:val>
          <c:extLst>
            <c:ext xmlns:c16="http://schemas.microsoft.com/office/drawing/2014/chart" uri="{C3380CC4-5D6E-409C-BE32-E72D297353CC}">
              <c16:uniqueId val="{00000001-7CA2-4781-81D7-748C303A6B27}"/>
            </c:ext>
          </c:extLst>
        </c:ser>
        <c:dLbls>
          <c:showLegendKey val="0"/>
          <c:showVal val="0"/>
          <c:showCatName val="0"/>
          <c:showSerName val="0"/>
          <c:showPercent val="0"/>
          <c:showBubbleSize val="0"/>
        </c:dLbls>
        <c:gapWidth val="57"/>
        <c:overlap val="-16"/>
        <c:axId val="1011580544"/>
        <c:axId val="1011583040"/>
      </c:barChart>
      <c:catAx>
        <c:axId val="1011580544"/>
        <c:scaling>
          <c:orientation val="minMax"/>
        </c:scaling>
        <c:delete val="0"/>
        <c:axPos val="b"/>
        <c:numFmt formatCode="General" sourceLinked="1"/>
        <c:majorTickMark val="none"/>
        <c:minorTickMark val="none"/>
        <c:tickLblPos val="nextTo"/>
        <c:spPr>
          <a:noFill/>
          <a:ln w="6350" cap="flat" cmpd="sng" algn="ctr">
            <a:noFill/>
            <a:round/>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1011583040"/>
        <c:crosses val="autoZero"/>
        <c:auto val="1"/>
        <c:lblAlgn val="ctr"/>
        <c:lblOffset val="100"/>
        <c:noMultiLvlLbl val="0"/>
      </c:catAx>
      <c:valAx>
        <c:axId val="1011583040"/>
        <c:scaling>
          <c:orientation val="minMax"/>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1011580544"/>
        <c:crosses val="autoZero"/>
        <c:crossBetween val="between"/>
        <c:majorUnit val="5"/>
      </c:valAx>
      <c:spPr>
        <a:noFill/>
        <a:ln>
          <a:noFill/>
        </a:ln>
        <a:effectLst/>
      </c:spPr>
    </c:plotArea>
    <c:legend>
      <c:legendPos val="b"/>
      <c:layout>
        <c:manualLayout>
          <c:xMode val="edge"/>
          <c:yMode val="edge"/>
          <c:x val="0.11687591134441529"/>
          <c:y val="0.8803256704980843"/>
          <c:w val="0.75698855351414407"/>
          <c:h val="0.10380726303514909"/>
        </c:manualLayout>
      </c:layout>
      <c:overlay val="0"/>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sz="750">
          <a:solidFill>
            <a:schemeClr val="tx2"/>
          </a:solidFill>
        </a:defRPr>
      </a:pPr>
      <a:endParaRPr lang="en-US"/>
    </a:p>
  </c:txPr>
  <c:externalData r:id="rId4">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6.0253935185185188E-2"/>
          <c:y val="4.6197089947089945E-2"/>
          <c:w val="0.90740810185185183"/>
          <c:h val="0.69238921957671962"/>
        </c:manualLayout>
      </c:layout>
      <c:barChart>
        <c:barDir val="col"/>
        <c:grouping val="stacked"/>
        <c:varyColors val="0"/>
        <c:ser>
          <c:idx val="2"/>
          <c:order val="0"/>
          <c:tx>
            <c:strRef>
              <c:f>BDP_doprinosi!$R$8</c:f>
              <c:strCache>
                <c:ptCount val="1"/>
                <c:pt idx="0">
                  <c:v>Приватна потрошња</c:v>
                </c:pt>
              </c:strCache>
            </c:strRef>
          </c:tx>
          <c:spPr>
            <a:solidFill>
              <a:srgbClr val="10103C"/>
            </a:solidFill>
            <a:ln>
              <a:noFill/>
            </a:ln>
            <a:effectLst/>
          </c:spPr>
          <c:invertIfNegative val="0"/>
          <c:cat>
            <c:numRef>
              <c:f>BDP_doprinosi!$AC$6:$AI$6</c:f>
              <c:numCache>
                <c:formatCode>General</c:formatCode>
                <c:ptCount val="7"/>
                <c:pt idx="0">
                  <c:v>2018</c:v>
                </c:pt>
                <c:pt idx="1">
                  <c:v>2019</c:v>
                </c:pt>
                <c:pt idx="2">
                  <c:v>2020</c:v>
                </c:pt>
                <c:pt idx="3">
                  <c:v>2021</c:v>
                </c:pt>
                <c:pt idx="4">
                  <c:v>2022</c:v>
                </c:pt>
                <c:pt idx="5">
                  <c:v>2023</c:v>
                </c:pt>
                <c:pt idx="6">
                  <c:v>2024</c:v>
                </c:pt>
              </c:numCache>
            </c:numRef>
          </c:cat>
          <c:val>
            <c:numRef>
              <c:f>BDP_doprinosi!$AC$8:$AI$8</c:f>
              <c:numCache>
                <c:formatCode>0.0</c:formatCode>
                <c:ptCount val="7"/>
                <c:pt idx="0">
                  <c:v>2.2073224566944836</c:v>
                </c:pt>
                <c:pt idx="1">
                  <c:v>2.5473058756827083</c:v>
                </c:pt>
                <c:pt idx="2">
                  <c:v>-1.3152905908725412</c:v>
                </c:pt>
                <c:pt idx="3">
                  <c:v>4.3777472327204077</c:v>
                </c:pt>
                <c:pt idx="4">
                  <c:v>2.5005893025063073</c:v>
                </c:pt>
                <c:pt idx="5">
                  <c:v>2.4453375448794725</c:v>
                </c:pt>
                <c:pt idx="6">
                  <c:v>2.2116403623953271</c:v>
                </c:pt>
              </c:numCache>
            </c:numRef>
          </c:val>
          <c:extLst>
            <c:ext xmlns:c16="http://schemas.microsoft.com/office/drawing/2014/chart" uri="{C3380CC4-5D6E-409C-BE32-E72D297353CC}">
              <c16:uniqueId val="{00000000-7E8A-4D1D-AA65-E8796F5A2FBB}"/>
            </c:ext>
          </c:extLst>
        </c:ser>
        <c:ser>
          <c:idx val="3"/>
          <c:order val="1"/>
          <c:tx>
            <c:strRef>
              <c:f>BDP_doprinosi!$R$9</c:f>
              <c:strCache>
                <c:ptCount val="1"/>
                <c:pt idx="0">
                  <c:v>Државна потрошња</c:v>
                </c:pt>
              </c:strCache>
            </c:strRef>
          </c:tx>
          <c:spPr>
            <a:solidFill>
              <a:srgbClr val="29489A"/>
            </a:solidFill>
            <a:ln>
              <a:noFill/>
            </a:ln>
            <a:effectLst/>
          </c:spPr>
          <c:invertIfNegative val="0"/>
          <c:cat>
            <c:numRef>
              <c:f>BDP_doprinosi!$AC$6:$AI$6</c:f>
              <c:numCache>
                <c:formatCode>General</c:formatCode>
                <c:ptCount val="7"/>
                <c:pt idx="0">
                  <c:v>2018</c:v>
                </c:pt>
                <c:pt idx="1">
                  <c:v>2019</c:v>
                </c:pt>
                <c:pt idx="2">
                  <c:v>2020</c:v>
                </c:pt>
                <c:pt idx="3">
                  <c:v>2021</c:v>
                </c:pt>
                <c:pt idx="4">
                  <c:v>2022</c:v>
                </c:pt>
                <c:pt idx="5">
                  <c:v>2023</c:v>
                </c:pt>
                <c:pt idx="6">
                  <c:v>2024</c:v>
                </c:pt>
              </c:numCache>
            </c:numRef>
          </c:cat>
          <c:val>
            <c:numRef>
              <c:f>BDP_doprinosi!$AC$9:$AI$9</c:f>
              <c:numCache>
                <c:formatCode>0.0</c:formatCode>
                <c:ptCount val="7"/>
                <c:pt idx="0">
                  <c:v>0.6041922862215825</c:v>
                </c:pt>
                <c:pt idx="1">
                  <c:v>0.3216522389161825</c:v>
                </c:pt>
                <c:pt idx="2">
                  <c:v>0.46680918748177314</c:v>
                </c:pt>
                <c:pt idx="3">
                  <c:v>0.44339115758112257</c:v>
                </c:pt>
                <c:pt idx="4">
                  <c:v>0.35604021445560868</c:v>
                </c:pt>
                <c:pt idx="5">
                  <c:v>0.18177979191060992</c:v>
                </c:pt>
                <c:pt idx="6">
                  <c:v>0.17519859184253189</c:v>
                </c:pt>
              </c:numCache>
            </c:numRef>
          </c:val>
          <c:extLst>
            <c:ext xmlns:c16="http://schemas.microsoft.com/office/drawing/2014/chart" uri="{C3380CC4-5D6E-409C-BE32-E72D297353CC}">
              <c16:uniqueId val="{00000001-7E8A-4D1D-AA65-E8796F5A2FBB}"/>
            </c:ext>
          </c:extLst>
        </c:ser>
        <c:ser>
          <c:idx val="1"/>
          <c:order val="2"/>
          <c:tx>
            <c:strRef>
              <c:f>BDP_doprinosi!$R$10</c:f>
              <c:strCache>
                <c:ptCount val="1"/>
                <c:pt idx="0">
                  <c:v>Инвестиције</c:v>
                </c:pt>
              </c:strCache>
            </c:strRef>
          </c:tx>
          <c:spPr>
            <a:solidFill>
              <a:srgbClr val="2183C4"/>
            </a:solidFill>
            <a:ln>
              <a:noFill/>
            </a:ln>
            <a:effectLst/>
          </c:spPr>
          <c:invertIfNegative val="0"/>
          <c:cat>
            <c:numRef>
              <c:f>BDP_doprinosi!$AC$6:$AI$6</c:f>
              <c:numCache>
                <c:formatCode>General</c:formatCode>
                <c:ptCount val="7"/>
                <c:pt idx="0">
                  <c:v>2018</c:v>
                </c:pt>
                <c:pt idx="1">
                  <c:v>2019</c:v>
                </c:pt>
                <c:pt idx="2">
                  <c:v>2020</c:v>
                </c:pt>
                <c:pt idx="3">
                  <c:v>2021</c:v>
                </c:pt>
                <c:pt idx="4">
                  <c:v>2022</c:v>
                </c:pt>
                <c:pt idx="5">
                  <c:v>2023</c:v>
                </c:pt>
                <c:pt idx="6">
                  <c:v>2024</c:v>
                </c:pt>
              </c:numCache>
            </c:numRef>
          </c:cat>
          <c:val>
            <c:numRef>
              <c:f>BDP_doprinosi!$AC$10:$AI$10</c:f>
              <c:numCache>
                <c:formatCode>0.0</c:formatCode>
                <c:ptCount val="7"/>
                <c:pt idx="0">
                  <c:v>3.1071590852949291</c:v>
                </c:pt>
                <c:pt idx="1">
                  <c:v>3.4525791612196195</c:v>
                </c:pt>
                <c:pt idx="2">
                  <c:v>-0.4298181324153959</c:v>
                </c:pt>
                <c:pt idx="3">
                  <c:v>3.4190610421124528</c:v>
                </c:pt>
                <c:pt idx="4">
                  <c:v>1.5410548197421003</c:v>
                </c:pt>
                <c:pt idx="5">
                  <c:v>2.0096654497584772</c:v>
                </c:pt>
                <c:pt idx="6">
                  <c:v>2.2505183792719485</c:v>
                </c:pt>
              </c:numCache>
            </c:numRef>
          </c:val>
          <c:extLst>
            <c:ext xmlns:c16="http://schemas.microsoft.com/office/drawing/2014/chart" uri="{C3380CC4-5D6E-409C-BE32-E72D297353CC}">
              <c16:uniqueId val="{00000002-7E8A-4D1D-AA65-E8796F5A2FBB}"/>
            </c:ext>
          </c:extLst>
        </c:ser>
        <c:ser>
          <c:idx val="0"/>
          <c:order val="3"/>
          <c:tx>
            <c:strRef>
              <c:f>BDP_doprinosi!$R$11</c:f>
              <c:strCache>
                <c:ptCount val="1"/>
                <c:pt idx="0">
                  <c:v>Нето извоз</c:v>
                </c:pt>
              </c:strCache>
            </c:strRef>
          </c:tx>
          <c:spPr>
            <a:solidFill>
              <a:srgbClr val="51BBE7"/>
            </a:solidFill>
            <a:ln>
              <a:noFill/>
            </a:ln>
            <a:effectLst/>
          </c:spPr>
          <c:invertIfNegative val="0"/>
          <c:cat>
            <c:numRef>
              <c:f>BDP_doprinosi!$AC$6:$AI$6</c:f>
              <c:numCache>
                <c:formatCode>General</c:formatCode>
                <c:ptCount val="7"/>
                <c:pt idx="0">
                  <c:v>2018</c:v>
                </c:pt>
                <c:pt idx="1">
                  <c:v>2019</c:v>
                </c:pt>
                <c:pt idx="2">
                  <c:v>2020</c:v>
                </c:pt>
                <c:pt idx="3">
                  <c:v>2021</c:v>
                </c:pt>
                <c:pt idx="4">
                  <c:v>2022</c:v>
                </c:pt>
                <c:pt idx="5">
                  <c:v>2023</c:v>
                </c:pt>
                <c:pt idx="6">
                  <c:v>2024</c:v>
                </c:pt>
              </c:numCache>
            </c:numRef>
          </c:cat>
          <c:val>
            <c:numRef>
              <c:f>BDP_doprinosi!$AC$11:$AI$11</c:f>
              <c:numCache>
                <c:formatCode>0.0</c:formatCode>
                <c:ptCount val="7"/>
                <c:pt idx="0">
                  <c:v>-2.3698893504096477</c:v>
                </c:pt>
                <c:pt idx="1">
                  <c:v>-2.4321555095887164</c:v>
                </c:pt>
                <c:pt idx="2">
                  <c:v>4.838384261847635E-2</c:v>
                </c:pt>
                <c:pt idx="3">
                  <c:v>-0.67147051878353647</c:v>
                </c:pt>
                <c:pt idx="4">
                  <c:v>0.19065719063667821</c:v>
                </c:pt>
                <c:pt idx="5">
                  <c:v>0.4064057397600262</c:v>
                </c:pt>
                <c:pt idx="6">
                  <c:v>0.39582478047493452</c:v>
                </c:pt>
              </c:numCache>
            </c:numRef>
          </c:val>
          <c:extLst>
            <c:ext xmlns:c16="http://schemas.microsoft.com/office/drawing/2014/chart" uri="{C3380CC4-5D6E-409C-BE32-E72D297353CC}">
              <c16:uniqueId val="{00000003-7E8A-4D1D-AA65-E8796F5A2FBB}"/>
            </c:ext>
          </c:extLst>
        </c:ser>
        <c:ser>
          <c:idx val="4"/>
          <c:order val="4"/>
          <c:tx>
            <c:strRef>
              <c:f>BDP_doprinosi!$R$12</c:f>
              <c:strCache>
                <c:ptCount val="1"/>
                <c:pt idx="0">
                  <c:v>Промена у залихама</c:v>
                </c:pt>
              </c:strCache>
            </c:strRef>
          </c:tx>
          <c:spPr>
            <a:solidFill>
              <a:srgbClr val="9ED1E6"/>
            </a:solidFill>
            <a:ln>
              <a:noFill/>
            </a:ln>
            <a:effectLst/>
          </c:spPr>
          <c:invertIfNegative val="0"/>
          <c:cat>
            <c:numRef>
              <c:f>BDP_doprinosi!$AC$6:$AI$6</c:f>
              <c:numCache>
                <c:formatCode>General</c:formatCode>
                <c:ptCount val="7"/>
                <c:pt idx="0">
                  <c:v>2018</c:v>
                </c:pt>
                <c:pt idx="1">
                  <c:v>2019</c:v>
                </c:pt>
                <c:pt idx="2">
                  <c:v>2020</c:v>
                </c:pt>
                <c:pt idx="3">
                  <c:v>2021</c:v>
                </c:pt>
                <c:pt idx="4">
                  <c:v>2022</c:v>
                </c:pt>
                <c:pt idx="5">
                  <c:v>2023</c:v>
                </c:pt>
                <c:pt idx="6">
                  <c:v>2024</c:v>
                </c:pt>
              </c:numCache>
            </c:numRef>
          </c:cat>
          <c:val>
            <c:numRef>
              <c:f>BDP_doprinosi!$AC$12:$AI$12</c:f>
              <c:numCache>
                <c:formatCode>0.0</c:formatCode>
                <c:ptCount val="7"/>
                <c:pt idx="0">
                  <c:v>0.94633412526395344</c:v>
                </c:pt>
                <c:pt idx="1">
                  <c:v>0.44235363524077881</c:v>
                </c:pt>
                <c:pt idx="2">
                  <c:v>0.28531214052292403</c:v>
                </c:pt>
                <c:pt idx="3">
                  <c:v>-0.5487289136304464</c:v>
                </c:pt>
                <c:pt idx="4">
                  <c:v>-4.8341527340687244E-2</c:v>
                </c:pt>
                <c:pt idx="5">
                  <c:v>-4.1688526308582538E-2</c:v>
                </c:pt>
                <c:pt idx="6">
                  <c:v>-2.8182113984754575E-2</c:v>
                </c:pt>
              </c:numCache>
            </c:numRef>
          </c:val>
          <c:extLst>
            <c:ext xmlns:c16="http://schemas.microsoft.com/office/drawing/2014/chart" uri="{C3380CC4-5D6E-409C-BE32-E72D297353CC}">
              <c16:uniqueId val="{00000004-7E8A-4D1D-AA65-E8796F5A2FBB}"/>
            </c:ext>
          </c:extLst>
        </c:ser>
        <c:dLbls>
          <c:showLegendKey val="0"/>
          <c:showVal val="0"/>
          <c:showCatName val="0"/>
          <c:showSerName val="0"/>
          <c:showPercent val="0"/>
          <c:showBubbleSize val="0"/>
        </c:dLbls>
        <c:gapWidth val="60"/>
        <c:overlap val="100"/>
        <c:axId val="1768857248"/>
        <c:axId val="1768855072"/>
      </c:barChart>
      <c:lineChart>
        <c:grouping val="standard"/>
        <c:varyColors val="0"/>
        <c:ser>
          <c:idx val="5"/>
          <c:order val="5"/>
          <c:tx>
            <c:strRef>
              <c:f>BDP_doprinosi!$R$13</c:f>
              <c:strCache>
                <c:ptCount val="1"/>
                <c:pt idx="0">
                  <c:v>Реални раст БДП</c:v>
                </c:pt>
              </c:strCache>
            </c:strRef>
          </c:tx>
          <c:spPr>
            <a:ln w="25400" cap="rnd">
              <a:solidFill>
                <a:srgbClr val="FF0000"/>
              </a:solidFill>
              <a:round/>
            </a:ln>
            <a:effectLst/>
          </c:spPr>
          <c:marker>
            <c:symbol val="none"/>
          </c:marker>
          <c:dLbls>
            <c:dLbl>
              <c:idx val="2"/>
              <c:layout>
                <c:manualLayout>
                  <c:x val="-6.6898148148148151E-2"/>
                  <c:y val="5.152861686568265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7E8A-4D1D-AA65-E8796F5A2FBB}"/>
                </c:ext>
              </c:extLst>
            </c:dLbl>
            <c:spPr>
              <a:noFill/>
              <a:ln>
                <a:noFill/>
              </a:ln>
              <a:effectLst/>
            </c:spPr>
            <c:txPr>
              <a:bodyPr rot="0" spcFirstLastPara="1" vertOverflow="ellipsis" vert="horz" wrap="square" anchor="ctr" anchorCtr="1"/>
              <a:lstStyle/>
              <a:p>
                <a:pPr>
                  <a:defRPr sz="750" b="1" i="0" u="none" strike="noStrike" kern="1200" baseline="0">
                    <a:solidFill>
                      <a:srgbClr val="FF0000"/>
                    </a:solidFill>
                    <a:latin typeface="+mn-lt"/>
                    <a:ea typeface="+mn-ea"/>
                    <a:cs typeface="Arial" panose="020B0604020202020204" pitchFamily="34"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BDP_doprinosi!$AC$6:$AI$6</c:f>
              <c:numCache>
                <c:formatCode>General</c:formatCode>
                <c:ptCount val="7"/>
                <c:pt idx="0">
                  <c:v>2018</c:v>
                </c:pt>
                <c:pt idx="1">
                  <c:v>2019</c:v>
                </c:pt>
                <c:pt idx="2">
                  <c:v>2020</c:v>
                </c:pt>
                <c:pt idx="3">
                  <c:v>2021</c:v>
                </c:pt>
                <c:pt idx="4">
                  <c:v>2022</c:v>
                </c:pt>
                <c:pt idx="5">
                  <c:v>2023</c:v>
                </c:pt>
                <c:pt idx="6">
                  <c:v>2024</c:v>
                </c:pt>
              </c:numCache>
            </c:numRef>
          </c:cat>
          <c:val>
            <c:numRef>
              <c:f>BDP_doprinosi!$AC$13:$AI$13</c:f>
              <c:numCache>
                <c:formatCode>0.0</c:formatCode>
                <c:ptCount val="7"/>
                <c:pt idx="0">
                  <c:v>4.495118603065305</c:v>
                </c:pt>
                <c:pt idx="1">
                  <c:v>4.3317373727170967</c:v>
                </c:pt>
                <c:pt idx="2">
                  <c:v>-0.94459801949935784</c:v>
                </c:pt>
                <c:pt idx="3">
                  <c:v>7.0200000000000014</c:v>
                </c:pt>
                <c:pt idx="4">
                  <c:v>4.5400000000000071</c:v>
                </c:pt>
                <c:pt idx="5">
                  <c:v>5.0014999999999947</c:v>
                </c:pt>
                <c:pt idx="6">
                  <c:v>5.0049999999999901</c:v>
                </c:pt>
              </c:numCache>
            </c:numRef>
          </c:val>
          <c:smooth val="0"/>
          <c:extLst>
            <c:ext xmlns:c16="http://schemas.microsoft.com/office/drawing/2014/chart" uri="{C3380CC4-5D6E-409C-BE32-E72D297353CC}">
              <c16:uniqueId val="{00000006-7E8A-4D1D-AA65-E8796F5A2FBB}"/>
            </c:ext>
          </c:extLst>
        </c:ser>
        <c:dLbls>
          <c:showLegendKey val="0"/>
          <c:showVal val="0"/>
          <c:showCatName val="0"/>
          <c:showSerName val="0"/>
          <c:showPercent val="0"/>
          <c:showBubbleSize val="0"/>
        </c:dLbls>
        <c:marker val="1"/>
        <c:smooth val="0"/>
        <c:axId val="1768857248"/>
        <c:axId val="1768855072"/>
      </c:lineChart>
      <c:catAx>
        <c:axId val="1768857248"/>
        <c:scaling>
          <c:orientation val="minMax"/>
        </c:scaling>
        <c:delete val="0"/>
        <c:axPos val="b"/>
        <c:numFmt formatCode="General" sourceLinked="1"/>
        <c:majorTickMark val="none"/>
        <c:minorTickMark val="none"/>
        <c:tickLblPos val="low"/>
        <c:spPr>
          <a:noFill/>
          <a:ln w="6350" cap="flat" cmpd="sng" algn="ctr">
            <a:solidFill>
              <a:srgbClr val="898989"/>
            </a:solidFill>
            <a:round/>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Arial" panose="020B0604020202020204" pitchFamily="34" charset="0"/>
              </a:defRPr>
            </a:pPr>
            <a:endParaRPr lang="en-US"/>
          </a:p>
        </c:txPr>
        <c:crossAx val="1768855072"/>
        <c:crosses val="autoZero"/>
        <c:auto val="1"/>
        <c:lblAlgn val="ctr"/>
        <c:lblOffset val="100"/>
        <c:noMultiLvlLbl val="0"/>
      </c:catAx>
      <c:valAx>
        <c:axId val="1768855072"/>
        <c:scaling>
          <c:orientation val="minMax"/>
          <c:min val="-4"/>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Arial" panose="020B0604020202020204" pitchFamily="34" charset="0"/>
              </a:defRPr>
            </a:pPr>
            <a:endParaRPr lang="en-US"/>
          </a:p>
        </c:txPr>
        <c:crossAx val="1768857248"/>
        <c:crosses val="autoZero"/>
        <c:crossBetween val="between"/>
      </c:valAx>
      <c:spPr>
        <a:noFill/>
        <a:ln>
          <a:noFill/>
        </a:ln>
        <a:effectLst/>
      </c:spPr>
    </c:plotArea>
    <c:legend>
      <c:legendPos val="b"/>
      <c:layout>
        <c:manualLayout>
          <c:xMode val="edge"/>
          <c:yMode val="edge"/>
          <c:x val="0"/>
          <c:y val="0.83244109195402283"/>
          <c:w val="1"/>
          <c:h val="0.16755890804597701"/>
        </c:manualLayout>
      </c:layout>
      <c:overlay val="0"/>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Arial" panose="020B0604020202020204" pitchFamily="34" charset="0"/>
            </a:defRPr>
          </a:pPr>
          <a:endParaRPr lang="en-US"/>
        </a:p>
      </c:txPr>
    </c:legend>
    <c:plotVisOnly val="1"/>
    <c:dispBlanksAs val="gap"/>
    <c:showDLblsOverMax val="0"/>
  </c:chart>
  <c:spPr>
    <a:solidFill>
      <a:sysClr val="window" lastClr="FFFFFF"/>
    </a:solidFill>
    <a:ln w="9525" cap="flat" cmpd="sng" algn="ctr">
      <a:noFill/>
      <a:round/>
    </a:ln>
    <a:effectLst/>
  </c:spPr>
  <c:txPr>
    <a:bodyPr/>
    <a:lstStyle/>
    <a:p>
      <a:pPr>
        <a:defRPr sz="750">
          <a:solidFill>
            <a:schemeClr val="tx2"/>
          </a:solidFill>
          <a:latin typeface="+mn-lt"/>
          <a:cs typeface="Arial" panose="020B0604020202020204" pitchFamily="34" charset="0"/>
        </a:defRPr>
      </a:pPr>
      <a:endParaRPr lang="en-US"/>
    </a:p>
  </c:txPr>
  <c:externalData r:id="rId4">
    <c:autoUpdate val="0"/>
  </c:externalData>
  <c:userShapes r:id="rId5"/>
</c:chartSpace>
</file>

<file path=word/charts/chart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6.0253935185185188E-2"/>
          <c:y val="7.0236607987885669E-2"/>
          <c:w val="0.90740810185185183"/>
          <c:h val="0.66834989589248528"/>
        </c:manualLayout>
      </c:layout>
      <c:barChart>
        <c:barDir val="col"/>
        <c:grouping val="stacked"/>
        <c:varyColors val="0"/>
        <c:ser>
          <c:idx val="0"/>
          <c:order val="0"/>
          <c:tx>
            <c:strRef>
              <c:f>BDP_doprinosi!$R$34</c:f>
              <c:strCache>
                <c:ptCount val="1"/>
                <c:pt idx="0">
                  <c:v>Пољопривреда</c:v>
                </c:pt>
              </c:strCache>
            </c:strRef>
          </c:tx>
          <c:spPr>
            <a:solidFill>
              <a:srgbClr val="10103C"/>
            </a:solidFill>
            <a:ln>
              <a:noFill/>
            </a:ln>
            <a:effectLst/>
          </c:spPr>
          <c:invertIfNegative val="0"/>
          <c:cat>
            <c:numRef>
              <c:f>BDP_doprinosi!$AC$33:$AI$33</c:f>
              <c:numCache>
                <c:formatCode>General</c:formatCode>
                <c:ptCount val="7"/>
                <c:pt idx="0">
                  <c:v>2018</c:v>
                </c:pt>
                <c:pt idx="1">
                  <c:v>2019</c:v>
                </c:pt>
                <c:pt idx="2">
                  <c:v>2020</c:v>
                </c:pt>
                <c:pt idx="3">
                  <c:v>2021</c:v>
                </c:pt>
                <c:pt idx="4">
                  <c:v>2022</c:v>
                </c:pt>
                <c:pt idx="5">
                  <c:v>2023</c:v>
                </c:pt>
                <c:pt idx="6">
                  <c:v>2024</c:v>
                </c:pt>
              </c:numCache>
            </c:numRef>
          </c:cat>
          <c:val>
            <c:numRef>
              <c:f>BDP_doprinosi!$AC$34:$AI$34</c:f>
              <c:numCache>
                <c:formatCode>0.0</c:formatCode>
                <c:ptCount val="7"/>
                <c:pt idx="0">
                  <c:v>0.9090306618593762</c:v>
                </c:pt>
                <c:pt idx="1">
                  <c:v>-0.10470276360889522</c:v>
                </c:pt>
                <c:pt idx="2">
                  <c:v>0.12991134356799292</c:v>
                </c:pt>
                <c:pt idx="3">
                  <c:v>-0.24</c:v>
                </c:pt>
                <c:pt idx="4">
                  <c:v>3.1331984183785314E-2</c:v>
                </c:pt>
                <c:pt idx="5">
                  <c:v>0</c:v>
                </c:pt>
                <c:pt idx="6">
                  <c:v>0</c:v>
                </c:pt>
              </c:numCache>
            </c:numRef>
          </c:val>
          <c:extLst>
            <c:ext xmlns:c16="http://schemas.microsoft.com/office/drawing/2014/chart" uri="{C3380CC4-5D6E-409C-BE32-E72D297353CC}">
              <c16:uniqueId val="{00000000-A636-4BC5-9B87-124BDB1420D6}"/>
            </c:ext>
          </c:extLst>
        </c:ser>
        <c:ser>
          <c:idx val="1"/>
          <c:order val="1"/>
          <c:tx>
            <c:strRef>
              <c:f>BDP_doprinosi!$R$35</c:f>
              <c:strCache>
                <c:ptCount val="1"/>
                <c:pt idx="0">
                  <c:v>Индустрија</c:v>
                </c:pt>
              </c:strCache>
            </c:strRef>
          </c:tx>
          <c:spPr>
            <a:solidFill>
              <a:srgbClr val="29489A"/>
            </a:solidFill>
            <a:ln>
              <a:noFill/>
            </a:ln>
            <a:effectLst/>
          </c:spPr>
          <c:invertIfNegative val="0"/>
          <c:cat>
            <c:numRef>
              <c:f>BDP_doprinosi!$AC$33:$AI$33</c:f>
              <c:numCache>
                <c:formatCode>General</c:formatCode>
                <c:ptCount val="7"/>
                <c:pt idx="0">
                  <c:v>2018</c:v>
                </c:pt>
                <c:pt idx="1">
                  <c:v>2019</c:v>
                </c:pt>
                <c:pt idx="2">
                  <c:v>2020</c:v>
                </c:pt>
                <c:pt idx="3">
                  <c:v>2021</c:v>
                </c:pt>
                <c:pt idx="4">
                  <c:v>2022</c:v>
                </c:pt>
                <c:pt idx="5">
                  <c:v>2023</c:v>
                </c:pt>
                <c:pt idx="6">
                  <c:v>2024</c:v>
                </c:pt>
              </c:numCache>
            </c:numRef>
          </c:cat>
          <c:val>
            <c:numRef>
              <c:f>BDP_doprinosi!$AC$35:$AI$35</c:f>
              <c:numCache>
                <c:formatCode>0.0</c:formatCode>
                <c:ptCount val="7"/>
                <c:pt idx="0">
                  <c:v>0.19789162760454576</c:v>
                </c:pt>
                <c:pt idx="1">
                  <c:v>6.9803813652535865E-2</c:v>
                </c:pt>
                <c:pt idx="2">
                  <c:v>5.3216139416875453E-2</c:v>
                </c:pt>
                <c:pt idx="3">
                  <c:v>0.86</c:v>
                </c:pt>
                <c:pt idx="4">
                  <c:v>1.308687038077738</c:v>
                </c:pt>
                <c:pt idx="5">
                  <c:v>1.397275083732231</c:v>
                </c:pt>
                <c:pt idx="6">
                  <c:v>1.4697562119949981</c:v>
                </c:pt>
              </c:numCache>
            </c:numRef>
          </c:val>
          <c:extLst>
            <c:ext xmlns:c16="http://schemas.microsoft.com/office/drawing/2014/chart" uri="{C3380CC4-5D6E-409C-BE32-E72D297353CC}">
              <c16:uniqueId val="{00000001-A636-4BC5-9B87-124BDB1420D6}"/>
            </c:ext>
          </c:extLst>
        </c:ser>
        <c:ser>
          <c:idx val="2"/>
          <c:order val="2"/>
          <c:tx>
            <c:strRef>
              <c:f>BDP_doprinosi!$R$36</c:f>
              <c:strCache>
                <c:ptCount val="1"/>
                <c:pt idx="0">
                  <c:v>Грађевинарство</c:v>
                </c:pt>
              </c:strCache>
            </c:strRef>
          </c:tx>
          <c:spPr>
            <a:solidFill>
              <a:srgbClr val="2183C4"/>
            </a:solidFill>
            <a:ln>
              <a:noFill/>
            </a:ln>
            <a:effectLst/>
          </c:spPr>
          <c:invertIfNegative val="0"/>
          <c:cat>
            <c:numRef>
              <c:f>BDP_doprinosi!$AC$33:$AI$33</c:f>
              <c:numCache>
                <c:formatCode>General</c:formatCode>
                <c:ptCount val="7"/>
                <c:pt idx="0">
                  <c:v>2018</c:v>
                </c:pt>
                <c:pt idx="1">
                  <c:v>2019</c:v>
                </c:pt>
                <c:pt idx="2">
                  <c:v>2020</c:v>
                </c:pt>
                <c:pt idx="3">
                  <c:v>2021</c:v>
                </c:pt>
                <c:pt idx="4">
                  <c:v>2022</c:v>
                </c:pt>
                <c:pt idx="5">
                  <c:v>2023</c:v>
                </c:pt>
                <c:pt idx="6">
                  <c:v>2024</c:v>
                </c:pt>
              </c:numCache>
            </c:numRef>
          </c:cat>
          <c:val>
            <c:numRef>
              <c:f>BDP_doprinosi!$AC$36:$AI$36</c:f>
              <c:numCache>
                <c:formatCode>0.0</c:formatCode>
                <c:ptCount val="7"/>
                <c:pt idx="0">
                  <c:v>0.5094118253743446</c:v>
                </c:pt>
                <c:pt idx="1">
                  <c:v>1.4979384702968617</c:v>
                </c:pt>
                <c:pt idx="2">
                  <c:v>-0.20542798351131497</c:v>
                </c:pt>
                <c:pt idx="3">
                  <c:v>0.97</c:v>
                </c:pt>
                <c:pt idx="4">
                  <c:v>0.40455607032397095</c:v>
                </c:pt>
                <c:pt idx="5">
                  <c:v>0.54341720797571225</c:v>
                </c:pt>
                <c:pt idx="6">
                  <c:v>0.59590015763936255</c:v>
                </c:pt>
              </c:numCache>
            </c:numRef>
          </c:val>
          <c:extLst>
            <c:ext xmlns:c16="http://schemas.microsoft.com/office/drawing/2014/chart" uri="{C3380CC4-5D6E-409C-BE32-E72D297353CC}">
              <c16:uniqueId val="{00000002-A636-4BC5-9B87-124BDB1420D6}"/>
            </c:ext>
          </c:extLst>
        </c:ser>
        <c:ser>
          <c:idx val="3"/>
          <c:order val="3"/>
          <c:tx>
            <c:strRef>
              <c:f>BDP_doprinosi!$R$37</c:f>
              <c:strCache>
                <c:ptCount val="1"/>
                <c:pt idx="0">
                  <c:v>Услуге</c:v>
                </c:pt>
              </c:strCache>
            </c:strRef>
          </c:tx>
          <c:spPr>
            <a:solidFill>
              <a:srgbClr val="51BBE7"/>
            </a:solidFill>
            <a:ln>
              <a:noFill/>
            </a:ln>
            <a:effectLst/>
          </c:spPr>
          <c:invertIfNegative val="0"/>
          <c:cat>
            <c:numRef>
              <c:f>BDP_doprinosi!$AC$33:$AI$33</c:f>
              <c:numCache>
                <c:formatCode>General</c:formatCode>
                <c:ptCount val="7"/>
                <c:pt idx="0">
                  <c:v>2018</c:v>
                </c:pt>
                <c:pt idx="1">
                  <c:v>2019</c:v>
                </c:pt>
                <c:pt idx="2">
                  <c:v>2020</c:v>
                </c:pt>
                <c:pt idx="3">
                  <c:v>2021</c:v>
                </c:pt>
                <c:pt idx="4">
                  <c:v>2022</c:v>
                </c:pt>
                <c:pt idx="5">
                  <c:v>2023</c:v>
                </c:pt>
                <c:pt idx="6">
                  <c:v>2024</c:v>
                </c:pt>
              </c:numCache>
            </c:numRef>
          </c:cat>
          <c:val>
            <c:numRef>
              <c:f>BDP_doprinosi!$AC$37:$AI$37</c:f>
              <c:numCache>
                <c:formatCode>0.0</c:formatCode>
                <c:ptCount val="7"/>
                <c:pt idx="0">
                  <c:v>1.9462949303635</c:v>
                </c:pt>
                <c:pt idx="1">
                  <c:v>2.1454456712607226</c:v>
                </c:pt>
                <c:pt idx="2">
                  <c:v>-0.61231851540600202</c:v>
                </c:pt>
                <c:pt idx="3">
                  <c:v>4.26</c:v>
                </c:pt>
                <c:pt idx="4">
                  <c:v>2.0581286886840777</c:v>
                </c:pt>
                <c:pt idx="5">
                  <c:v>2.3434138534521676</c:v>
                </c:pt>
                <c:pt idx="6">
                  <c:v>2.3230363416830184</c:v>
                </c:pt>
              </c:numCache>
            </c:numRef>
          </c:val>
          <c:extLst>
            <c:ext xmlns:c16="http://schemas.microsoft.com/office/drawing/2014/chart" uri="{C3380CC4-5D6E-409C-BE32-E72D297353CC}">
              <c16:uniqueId val="{00000003-A636-4BC5-9B87-124BDB1420D6}"/>
            </c:ext>
          </c:extLst>
        </c:ser>
        <c:ser>
          <c:idx val="4"/>
          <c:order val="4"/>
          <c:tx>
            <c:strRef>
              <c:f>BDP_doprinosi!$R$38</c:f>
              <c:strCache>
                <c:ptCount val="1"/>
                <c:pt idx="0">
                  <c:v>Нето порези</c:v>
                </c:pt>
              </c:strCache>
            </c:strRef>
          </c:tx>
          <c:spPr>
            <a:solidFill>
              <a:srgbClr val="9ED1E6"/>
            </a:solidFill>
            <a:ln>
              <a:noFill/>
            </a:ln>
            <a:effectLst/>
          </c:spPr>
          <c:invertIfNegative val="0"/>
          <c:cat>
            <c:numRef>
              <c:f>BDP_doprinosi!$AC$33:$AI$33</c:f>
              <c:numCache>
                <c:formatCode>General</c:formatCode>
                <c:ptCount val="7"/>
                <c:pt idx="0">
                  <c:v>2018</c:v>
                </c:pt>
                <c:pt idx="1">
                  <c:v>2019</c:v>
                </c:pt>
                <c:pt idx="2">
                  <c:v>2020</c:v>
                </c:pt>
                <c:pt idx="3">
                  <c:v>2021</c:v>
                </c:pt>
                <c:pt idx="4">
                  <c:v>2022</c:v>
                </c:pt>
                <c:pt idx="5">
                  <c:v>2023</c:v>
                </c:pt>
                <c:pt idx="6">
                  <c:v>2024</c:v>
                </c:pt>
              </c:numCache>
            </c:numRef>
          </c:cat>
          <c:val>
            <c:numRef>
              <c:f>BDP_doprinosi!$AC$38:$AI$38</c:f>
              <c:numCache>
                <c:formatCode>0.0</c:formatCode>
                <c:ptCount val="7"/>
                <c:pt idx="0">
                  <c:v>0.93248106129231578</c:v>
                </c:pt>
                <c:pt idx="1">
                  <c:v>0.72325826563415441</c:v>
                </c:pt>
                <c:pt idx="2">
                  <c:v>-0.30997898614484298</c:v>
                </c:pt>
                <c:pt idx="3">
                  <c:v>1.1599999999999999</c:v>
                </c:pt>
                <c:pt idx="4">
                  <c:v>0.68756812309661253</c:v>
                </c:pt>
                <c:pt idx="5">
                  <c:v>0.67725460125016335</c:v>
                </c:pt>
                <c:pt idx="6">
                  <c:v>0.63600051386436662</c:v>
                </c:pt>
              </c:numCache>
            </c:numRef>
          </c:val>
          <c:extLst>
            <c:ext xmlns:c16="http://schemas.microsoft.com/office/drawing/2014/chart" uri="{C3380CC4-5D6E-409C-BE32-E72D297353CC}">
              <c16:uniqueId val="{00000004-A636-4BC5-9B87-124BDB1420D6}"/>
            </c:ext>
          </c:extLst>
        </c:ser>
        <c:dLbls>
          <c:showLegendKey val="0"/>
          <c:showVal val="0"/>
          <c:showCatName val="0"/>
          <c:showSerName val="0"/>
          <c:showPercent val="0"/>
          <c:showBubbleSize val="0"/>
        </c:dLbls>
        <c:gapWidth val="60"/>
        <c:overlap val="100"/>
        <c:axId val="1768857792"/>
        <c:axId val="1768858336"/>
      </c:barChart>
      <c:lineChart>
        <c:grouping val="standard"/>
        <c:varyColors val="0"/>
        <c:ser>
          <c:idx val="5"/>
          <c:order val="5"/>
          <c:tx>
            <c:strRef>
              <c:f>BDP_doprinosi!$R$39</c:f>
              <c:strCache>
                <c:ptCount val="1"/>
                <c:pt idx="0">
                  <c:v>Реални раст БДП</c:v>
                </c:pt>
              </c:strCache>
            </c:strRef>
          </c:tx>
          <c:spPr>
            <a:ln w="25400" cap="rnd">
              <a:solidFill>
                <a:srgbClr val="FF0000"/>
              </a:solidFill>
              <a:round/>
            </a:ln>
            <a:effectLst/>
          </c:spPr>
          <c:marker>
            <c:symbol val="none"/>
          </c:marker>
          <c:dLbls>
            <c:dLbl>
              <c:idx val="2"/>
              <c:layout>
                <c:manualLayout>
                  <c:x val="-6.6898148148148151E-2"/>
                  <c:y val="5.154978232065114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A636-4BC5-9B87-124BDB1420D6}"/>
                </c:ext>
              </c:extLst>
            </c:dLbl>
            <c:spPr>
              <a:noFill/>
              <a:ln>
                <a:noFill/>
              </a:ln>
              <a:effectLst/>
            </c:spPr>
            <c:txPr>
              <a:bodyPr rot="0" spcFirstLastPara="1" vertOverflow="ellipsis" vert="horz" wrap="square" anchor="ctr" anchorCtr="1"/>
              <a:lstStyle/>
              <a:p>
                <a:pPr>
                  <a:defRPr sz="750" b="1" i="0" u="none" strike="noStrike" kern="1200" baseline="0">
                    <a:solidFill>
                      <a:srgbClr val="FF0000"/>
                    </a:solidFill>
                    <a:latin typeface="+mn-lt"/>
                    <a:ea typeface="+mn-ea"/>
                    <a:cs typeface="Arial" panose="020B0604020202020204" pitchFamily="34"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BDP_doprinosi!$AC$33:$AI$33</c:f>
              <c:numCache>
                <c:formatCode>General</c:formatCode>
                <c:ptCount val="7"/>
                <c:pt idx="0">
                  <c:v>2018</c:v>
                </c:pt>
                <c:pt idx="1">
                  <c:v>2019</c:v>
                </c:pt>
                <c:pt idx="2">
                  <c:v>2020</c:v>
                </c:pt>
                <c:pt idx="3">
                  <c:v>2021</c:v>
                </c:pt>
                <c:pt idx="4">
                  <c:v>2022</c:v>
                </c:pt>
                <c:pt idx="5">
                  <c:v>2023</c:v>
                </c:pt>
                <c:pt idx="6">
                  <c:v>2024</c:v>
                </c:pt>
              </c:numCache>
            </c:numRef>
          </c:cat>
          <c:val>
            <c:numRef>
              <c:f>BDP_doprinosi!$AC$39:$AI$39</c:f>
              <c:numCache>
                <c:formatCode>0.0</c:formatCode>
                <c:ptCount val="7"/>
                <c:pt idx="0">
                  <c:v>4.4951101064940868</c:v>
                </c:pt>
                <c:pt idx="1">
                  <c:v>4.3317434572353886</c:v>
                </c:pt>
                <c:pt idx="2">
                  <c:v>-0.94459800207730116</c:v>
                </c:pt>
                <c:pt idx="3">
                  <c:v>7.01</c:v>
                </c:pt>
                <c:pt idx="4">
                  <c:v>4.4902719043661845</c:v>
                </c:pt>
                <c:pt idx="5">
                  <c:v>4.961360746410274</c:v>
                </c:pt>
                <c:pt idx="6">
                  <c:v>5.0246932251817453</c:v>
                </c:pt>
              </c:numCache>
            </c:numRef>
          </c:val>
          <c:smooth val="0"/>
          <c:extLst>
            <c:ext xmlns:c16="http://schemas.microsoft.com/office/drawing/2014/chart" uri="{C3380CC4-5D6E-409C-BE32-E72D297353CC}">
              <c16:uniqueId val="{00000006-A636-4BC5-9B87-124BDB1420D6}"/>
            </c:ext>
          </c:extLst>
        </c:ser>
        <c:dLbls>
          <c:showLegendKey val="0"/>
          <c:showVal val="0"/>
          <c:showCatName val="0"/>
          <c:showSerName val="0"/>
          <c:showPercent val="0"/>
          <c:showBubbleSize val="0"/>
        </c:dLbls>
        <c:marker val="1"/>
        <c:smooth val="0"/>
        <c:axId val="1768857792"/>
        <c:axId val="1768858336"/>
      </c:lineChart>
      <c:catAx>
        <c:axId val="1768857792"/>
        <c:scaling>
          <c:orientation val="minMax"/>
        </c:scaling>
        <c:delete val="0"/>
        <c:axPos val="b"/>
        <c:numFmt formatCode="General" sourceLinked="1"/>
        <c:majorTickMark val="none"/>
        <c:minorTickMark val="none"/>
        <c:tickLblPos val="low"/>
        <c:spPr>
          <a:noFill/>
          <a:ln w="6350" cap="flat" cmpd="sng" algn="ctr">
            <a:solidFill>
              <a:srgbClr val="898989"/>
            </a:solidFill>
            <a:round/>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Arial" panose="020B0604020202020204" pitchFamily="34" charset="0"/>
              </a:defRPr>
            </a:pPr>
            <a:endParaRPr lang="en-US"/>
          </a:p>
        </c:txPr>
        <c:crossAx val="1768858336"/>
        <c:crosses val="autoZero"/>
        <c:auto val="1"/>
        <c:lblAlgn val="ctr"/>
        <c:lblOffset val="100"/>
        <c:noMultiLvlLbl val="0"/>
      </c:catAx>
      <c:valAx>
        <c:axId val="1768858336"/>
        <c:scaling>
          <c:orientation val="minMax"/>
          <c:max val="8"/>
          <c:min val="-2"/>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Arial" panose="020B0604020202020204" pitchFamily="34" charset="0"/>
              </a:defRPr>
            </a:pPr>
            <a:endParaRPr lang="en-US"/>
          </a:p>
        </c:txPr>
        <c:crossAx val="1768857792"/>
        <c:crosses val="autoZero"/>
        <c:crossBetween val="between"/>
        <c:majorUnit val="2"/>
      </c:valAx>
      <c:spPr>
        <a:noFill/>
        <a:ln>
          <a:noFill/>
        </a:ln>
        <a:effectLst/>
      </c:spPr>
    </c:plotArea>
    <c:legend>
      <c:legendPos val="b"/>
      <c:layout>
        <c:manualLayout>
          <c:xMode val="edge"/>
          <c:yMode val="edge"/>
          <c:x val="2.9349664625255175E-2"/>
          <c:y val="0.84945769449176611"/>
          <c:w val="0.93586103820355804"/>
          <c:h val="0.1475728752602688"/>
        </c:manualLayout>
      </c:layout>
      <c:overlay val="0"/>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Arial" panose="020B0604020202020204" pitchFamily="34" charset="0"/>
            </a:defRPr>
          </a:pPr>
          <a:endParaRPr lang="en-US"/>
        </a:p>
      </c:txPr>
    </c:legend>
    <c:plotVisOnly val="1"/>
    <c:dispBlanksAs val="gap"/>
    <c:showDLblsOverMax val="0"/>
  </c:chart>
  <c:spPr>
    <a:solidFill>
      <a:sysClr val="window" lastClr="FFFFFF"/>
    </a:solidFill>
    <a:ln w="9525" cap="flat" cmpd="sng" algn="ctr">
      <a:noFill/>
      <a:round/>
    </a:ln>
    <a:effectLst/>
  </c:spPr>
  <c:txPr>
    <a:bodyPr/>
    <a:lstStyle/>
    <a:p>
      <a:pPr>
        <a:defRPr sz="750">
          <a:solidFill>
            <a:schemeClr val="tx2"/>
          </a:solidFill>
          <a:latin typeface="+mn-lt"/>
          <a:cs typeface="Arial" panose="020B0604020202020204" pitchFamily="34" charset="0"/>
        </a:defRPr>
      </a:pPr>
      <a:endParaRPr lang="en-US"/>
    </a:p>
  </c:txPr>
  <c:externalData r:id="rId4">
    <c:autoUpdate val="0"/>
  </c:externalData>
  <c:userShapes r:id="rId5"/>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3.8138138138138135E-2"/>
          <c:y val="0.12394894894894895"/>
          <c:w val="0.91418918918918923"/>
          <c:h val="0.72349849849849845"/>
        </c:manualLayout>
      </c:layout>
      <c:barChart>
        <c:barDir val="col"/>
        <c:grouping val="clustered"/>
        <c:varyColors val="0"/>
        <c:ser>
          <c:idx val="0"/>
          <c:order val="0"/>
          <c:tx>
            <c:strRef>
              <c:f>'Osn. makroekon. agregati'!$B$5</c:f>
              <c:strCache>
                <c:ptCount val="1"/>
                <c:pt idx="0">
                  <c:v>Реални раст БДП, %</c:v>
                </c:pt>
              </c:strCache>
            </c:strRef>
          </c:tx>
          <c:spPr>
            <a:solidFill>
              <a:srgbClr val="003891"/>
            </a:solidFill>
            <a:ln>
              <a:noFill/>
            </a:ln>
            <a:effectLst/>
          </c:spPr>
          <c:invertIfNegative val="0"/>
          <c:dPt>
            <c:idx val="0"/>
            <c:invertIfNegative val="0"/>
            <c:bubble3D val="0"/>
            <c:spPr>
              <a:solidFill>
                <a:srgbClr val="29489A"/>
              </a:solidFill>
              <a:ln>
                <a:noFill/>
              </a:ln>
              <a:effectLst/>
            </c:spPr>
            <c:extLst>
              <c:ext xmlns:c16="http://schemas.microsoft.com/office/drawing/2014/chart" uri="{C3380CC4-5D6E-409C-BE32-E72D297353CC}">
                <c16:uniqueId val="{00000001-BA80-4114-988C-1DC67DC848B0}"/>
              </c:ext>
            </c:extLst>
          </c:dPt>
          <c:dPt>
            <c:idx val="1"/>
            <c:invertIfNegative val="0"/>
            <c:bubble3D val="0"/>
            <c:spPr>
              <a:solidFill>
                <a:srgbClr val="ED1C24"/>
              </a:solidFill>
              <a:ln>
                <a:noFill/>
              </a:ln>
              <a:effectLst/>
            </c:spPr>
            <c:extLst>
              <c:ext xmlns:c16="http://schemas.microsoft.com/office/drawing/2014/chart" uri="{C3380CC4-5D6E-409C-BE32-E72D297353CC}">
                <c16:uniqueId val="{00000003-BA80-4114-988C-1DC67DC848B0}"/>
              </c:ext>
            </c:extLst>
          </c:dPt>
          <c:dLbls>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rgbClr val="29489A"/>
                      </a:solidFill>
                      <a:latin typeface="+mn-lt"/>
                      <a:ea typeface="+mn-ea"/>
                      <a:cs typeface="+mn-cs"/>
                    </a:defRPr>
                  </a:pPr>
                  <a:endParaRPr lang="en-US"/>
                </a:p>
              </c:txPr>
              <c:showLegendKey val="0"/>
              <c:showVal val="1"/>
              <c:showCatName val="0"/>
              <c:showSerName val="0"/>
              <c:showPercent val="0"/>
              <c:showBubbleSize val="0"/>
              <c:extLst>
                <c:ext xmlns:c16="http://schemas.microsoft.com/office/drawing/2014/chart" uri="{C3380CC4-5D6E-409C-BE32-E72D297353CC}">
                  <c16:uniqueId val="{00000001-BA80-4114-988C-1DC67DC848B0}"/>
                </c:ext>
              </c:extLst>
            </c:dLbl>
            <c:dLbl>
              <c:idx val="1"/>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rgbClr val="FF0000"/>
                      </a:solidFill>
                      <a:latin typeface="+mn-lt"/>
                      <a:ea typeface="+mn-ea"/>
                      <a:cs typeface="+mn-cs"/>
                    </a:defRPr>
                  </a:pPr>
                  <a:endParaRPr lang="en-US"/>
                </a:p>
              </c:txPr>
              <c:showLegendKey val="0"/>
              <c:showVal val="1"/>
              <c:showCatName val="0"/>
              <c:showSerName val="0"/>
              <c:showPercent val="0"/>
              <c:showBubbleSize val="0"/>
              <c:extLst>
                <c:ext xmlns:c16="http://schemas.microsoft.com/office/drawing/2014/chart" uri="{C3380CC4-5D6E-409C-BE32-E72D297353CC}">
                  <c16:uniqueId val="{00000003-BA80-4114-988C-1DC67DC848B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('Osn. makroekon. agregati'!$C$5,'Osn. makroekon. agregati'!$D$5)</c:f>
              <c:numCache>
                <c:formatCode>0.0</c:formatCode>
                <c:ptCount val="2"/>
                <c:pt idx="0">
                  <c:v>6</c:v>
                </c:pt>
                <c:pt idx="1">
                  <c:v>7</c:v>
                </c:pt>
              </c:numCache>
            </c:numRef>
          </c:val>
          <c:extLst>
            <c:ext xmlns:c16="http://schemas.microsoft.com/office/drawing/2014/chart" uri="{C3380CC4-5D6E-409C-BE32-E72D297353CC}">
              <c16:uniqueId val="{00000004-BA80-4114-988C-1DC67DC848B0}"/>
            </c:ext>
          </c:extLst>
        </c:ser>
        <c:dLbls>
          <c:showLegendKey val="0"/>
          <c:showVal val="0"/>
          <c:showCatName val="0"/>
          <c:showSerName val="0"/>
          <c:showPercent val="0"/>
          <c:showBubbleSize val="0"/>
        </c:dLbls>
        <c:gapWidth val="15"/>
        <c:axId val="1768831680"/>
        <c:axId val="1768853440"/>
      </c:barChart>
      <c:catAx>
        <c:axId val="1768831680"/>
        <c:scaling>
          <c:orientation val="minMax"/>
        </c:scaling>
        <c:delete val="0"/>
        <c:axPos val="b"/>
        <c:title>
          <c:tx>
            <c:rich>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r>
                  <a:rPr lang="en-US" b="1"/>
                  <a:t>2021</a:t>
                </a:r>
              </a:p>
            </c:rich>
          </c:tx>
          <c:overlay val="0"/>
          <c:spPr>
            <a:noFill/>
            <a:ln>
              <a:noFill/>
            </a:ln>
            <a:effectLst/>
          </c:spPr>
          <c:txPr>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en-US"/>
            </a:p>
          </c:txPr>
        </c:title>
        <c:majorTickMark val="none"/>
        <c:minorTickMark val="none"/>
        <c:tickLblPos val="none"/>
        <c:spPr>
          <a:noFill/>
          <a:ln w="12700" cap="flat" cmpd="sng" algn="ctr">
            <a:solidFill>
              <a:srgbClr val="898989"/>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68853440"/>
        <c:crossesAt val="0"/>
        <c:auto val="1"/>
        <c:lblAlgn val="ctr"/>
        <c:lblOffset val="100"/>
        <c:noMultiLvlLbl val="0"/>
      </c:catAx>
      <c:valAx>
        <c:axId val="1768853440"/>
        <c:scaling>
          <c:orientation val="minMax"/>
          <c:min val="0"/>
        </c:scaling>
        <c:delete val="0"/>
        <c:axPos val="l"/>
        <c:numFmt formatCode="0.0" sourceLinked="1"/>
        <c:majorTickMark val="out"/>
        <c:minorTickMark val="none"/>
        <c:tickLblPos val="none"/>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68831680"/>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n-US"/>
    </a:p>
  </c:txPr>
  <c:externalData r:id="rId4">
    <c:autoUpdate val="0"/>
  </c:externalData>
  <c:userShapes r:id="rId5"/>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6.0253890798861412E-2"/>
          <c:y val="9.5036966533029524E-2"/>
          <c:w val="0.90740810185185183"/>
          <c:h val="0.58088975694444445"/>
        </c:manualLayout>
      </c:layout>
      <c:barChart>
        <c:barDir val="col"/>
        <c:grouping val="stacked"/>
        <c:varyColors val="0"/>
        <c:ser>
          <c:idx val="2"/>
          <c:order val="1"/>
          <c:tx>
            <c:strRef>
              <c:f>'nepoljoprivredni BDP'!$D$5</c:f>
              <c:strCache>
                <c:ptCount val="1"/>
                <c:pt idx="0">
                  <c:v>Допринос фактора рада, п.п.</c:v>
                </c:pt>
              </c:strCache>
            </c:strRef>
          </c:tx>
          <c:spPr>
            <a:solidFill>
              <a:srgbClr val="10103C"/>
            </a:solidFill>
            <a:ln>
              <a:noFill/>
            </a:ln>
            <a:effectLst/>
          </c:spPr>
          <c:invertIfNegative val="0"/>
          <c:cat>
            <c:numRef>
              <c:f>'nepoljoprivredni BDP'!$B$10:$B$15</c:f>
              <c:numCache>
                <c:formatCode>General</c:formatCode>
                <c:ptCount val="6"/>
                <c:pt idx="0">
                  <c:v>2019</c:v>
                </c:pt>
                <c:pt idx="1">
                  <c:v>2020</c:v>
                </c:pt>
                <c:pt idx="2">
                  <c:v>2021</c:v>
                </c:pt>
                <c:pt idx="3">
                  <c:v>2022</c:v>
                </c:pt>
                <c:pt idx="4">
                  <c:v>2023</c:v>
                </c:pt>
                <c:pt idx="5">
                  <c:v>2024</c:v>
                </c:pt>
              </c:numCache>
            </c:numRef>
          </c:cat>
          <c:val>
            <c:numRef>
              <c:f>'nepoljoprivredni BDP'!$D$10:$D$15</c:f>
              <c:numCache>
                <c:formatCode>0.0</c:formatCode>
                <c:ptCount val="6"/>
                <c:pt idx="0">
                  <c:v>1.2</c:v>
                </c:pt>
                <c:pt idx="1">
                  <c:v>1</c:v>
                </c:pt>
                <c:pt idx="2">
                  <c:v>0.9</c:v>
                </c:pt>
                <c:pt idx="3">
                  <c:v>0.9</c:v>
                </c:pt>
                <c:pt idx="4">
                  <c:v>0.9</c:v>
                </c:pt>
                <c:pt idx="5">
                  <c:v>0.9</c:v>
                </c:pt>
              </c:numCache>
            </c:numRef>
          </c:val>
          <c:extLst>
            <c:ext xmlns:c16="http://schemas.microsoft.com/office/drawing/2014/chart" uri="{C3380CC4-5D6E-409C-BE32-E72D297353CC}">
              <c16:uniqueId val="{00000000-8800-4B46-AB80-C9DE30E6DB9D}"/>
            </c:ext>
          </c:extLst>
        </c:ser>
        <c:ser>
          <c:idx val="1"/>
          <c:order val="2"/>
          <c:tx>
            <c:strRef>
              <c:f>'nepoljoprivredni BDP'!$E$5</c:f>
              <c:strCache>
                <c:ptCount val="1"/>
                <c:pt idx="0">
                  <c:v>Допринос капитала, п.п.</c:v>
                </c:pt>
              </c:strCache>
            </c:strRef>
          </c:tx>
          <c:spPr>
            <a:solidFill>
              <a:srgbClr val="29489A"/>
            </a:solidFill>
            <a:ln>
              <a:noFill/>
            </a:ln>
            <a:effectLst/>
          </c:spPr>
          <c:invertIfNegative val="0"/>
          <c:cat>
            <c:numRef>
              <c:f>'nepoljoprivredni BDP'!$B$10:$B$15</c:f>
              <c:numCache>
                <c:formatCode>General</c:formatCode>
                <c:ptCount val="6"/>
                <c:pt idx="0">
                  <c:v>2019</c:v>
                </c:pt>
                <c:pt idx="1">
                  <c:v>2020</c:v>
                </c:pt>
                <c:pt idx="2">
                  <c:v>2021</c:v>
                </c:pt>
                <c:pt idx="3">
                  <c:v>2022</c:v>
                </c:pt>
                <c:pt idx="4">
                  <c:v>2023</c:v>
                </c:pt>
                <c:pt idx="5">
                  <c:v>2024</c:v>
                </c:pt>
              </c:numCache>
            </c:numRef>
          </c:cat>
          <c:val>
            <c:numRef>
              <c:f>'nepoljoprivredni BDP'!$E$10:$E$15</c:f>
              <c:numCache>
                <c:formatCode>0.0</c:formatCode>
                <c:ptCount val="6"/>
                <c:pt idx="0">
                  <c:v>1.5</c:v>
                </c:pt>
                <c:pt idx="1">
                  <c:v>1.3425514737248223</c:v>
                </c:pt>
                <c:pt idx="2">
                  <c:v>1.6</c:v>
                </c:pt>
                <c:pt idx="3">
                  <c:v>1.709937138774946</c:v>
                </c:pt>
                <c:pt idx="4">
                  <c:v>1.7721695022454309</c:v>
                </c:pt>
                <c:pt idx="5">
                  <c:v>1.8779429833503301</c:v>
                </c:pt>
              </c:numCache>
            </c:numRef>
          </c:val>
          <c:extLst>
            <c:ext xmlns:c16="http://schemas.microsoft.com/office/drawing/2014/chart" uri="{C3380CC4-5D6E-409C-BE32-E72D297353CC}">
              <c16:uniqueId val="{00000001-8800-4B46-AB80-C9DE30E6DB9D}"/>
            </c:ext>
          </c:extLst>
        </c:ser>
        <c:ser>
          <c:idx val="3"/>
          <c:order val="3"/>
          <c:tx>
            <c:strRef>
              <c:f>'nepoljoprivredni BDP'!$F$5</c:f>
              <c:strCache>
                <c:ptCount val="1"/>
                <c:pt idx="0">
                  <c:v>ТФП, п.п.</c:v>
                </c:pt>
              </c:strCache>
            </c:strRef>
          </c:tx>
          <c:spPr>
            <a:solidFill>
              <a:srgbClr val="51BBE7"/>
            </a:solidFill>
            <a:ln>
              <a:noFill/>
            </a:ln>
            <a:effectLst/>
          </c:spPr>
          <c:invertIfNegative val="0"/>
          <c:cat>
            <c:numRef>
              <c:f>'nepoljoprivredni BDP'!$B$10:$B$15</c:f>
              <c:numCache>
                <c:formatCode>General</c:formatCode>
                <c:ptCount val="6"/>
                <c:pt idx="0">
                  <c:v>2019</c:v>
                </c:pt>
                <c:pt idx="1">
                  <c:v>2020</c:v>
                </c:pt>
                <c:pt idx="2">
                  <c:v>2021</c:v>
                </c:pt>
                <c:pt idx="3">
                  <c:v>2022</c:v>
                </c:pt>
                <c:pt idx="4">
                  <c:v>2023</c:v>
                </c:pt>
                <c:pt idx="5">
                  <c:v>2024</c:v>
                </c:pt>
              </c:numCache>
            </c:numRef>
          </c:cat>
          <c:val>
            <c:numRef>
              <c:f>'nepoljoprivredni BDP'!$F$10:$F$15</c:f>
              <c:numCache>
                <c:formatCode>0.0</c:formatCode>
                <c:ptCount val="6"/>
                <c:pt idx="0">
                  <c:v>0.59999999999999964</c:v>
                </c:pt>
                <c:pt idx="1">
                  <c:v>1.2574485262751778</c:v>
                </c:pt>
                <c:pt idx="2">
                  <c:v>1.5999999999999996</c:v>
                </c:pt>
                <c:pt idx="3">
                  <c:v>1.8900628612250541</c:v>
                </c:pt>
                <c:pt idx="4">
                  <c:v>2.127830497754569</c:v>
                </c:pt>
                <c:pt idx="5">
                  <c:v>2.2220570166496696</c:v>
                </c:pt>
              </c:numCache>
            </c:numRef>
          </c:val>
          <c:extLst>
            <c:ext xmlns:c16="http://schemas.microsoft.com/office/drawing/2014/chart" uri="{C3380CC4-5D6E-409C-BE32-E72D297353CC}">
              <c16:uniqueId val="{00000002-8800-4B46-AB80-C9DE30E6DB9D}"/>
            </c:ext>
          </c:extLst>
        </c:ser>
        <c:dLbls>
          <c:showLegendKey val="0"/>
          <c:showVal val="0"/>
          <c:showCatName val="0"/>
          <c:showSerName val="0"/>
          <c:showPercent val="0"/>
          <c:showBubbleSize val="0"/>
        </c:dLbls>
        <c:gapWidth val="60"/>
        <c:overlap val="100"/>
        <c:axId val="1961428144"/>
        <c:axId val="1961437392"/>
      </c:barChart>
      <c:lineChart>
        <c:grouping val="standard"/>
        <c:varyColors val="0"/>
        <c:ser>
          <c:idx val="0"/>
          <c:order val="0"/>
          <c:tx>
            <c:strRef>
              <c:f>'nepoljoprivredni BDP'!$C$5</c:f>
              <c:strCache>
                <c:ptCount val="1"/>
                <c:pt idx="0">
                  <c:v>Раст потенцијалног БДП, %</c:v>
                </c:pt>
              </c:strCache>
            </c:strRef>
          </c:tx>
          <c:spPr>
            <a:ln w="28575" cap="rnd">
              <a:solidFill>
                <a:srgbClr val="FF0000"/>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750" b="1" i="0" u="none" strike="noStrike" kern="1200" baseline="0">
                    <a:solidFill>
                      <a:srgbClr val="FF0000"/>
                    </a:solidFill>
                    <a:latin typeface="+mn-lt"/>
                    <a:ea typeface="+mn-ea"/>
                    <a:cs typeface="Arial" panose="020B0604020202020204" pitchFamily="34"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'nepoljoprivredni BDP'!$B$10:$B$15</c:f>
              <c:numCache>
                <c:formatCode>General</c:formatCode>
                <c:ptCount val="6"/>
                <c:pt idx="0">
                  <c:v>2019</c:v>
                </c:pt>
                <c:pt idx="1">
                  <c:v>2020</c:v>
                </c:pt>
                <c:pt idx="2">
                  <c:v>2021</c:v>
                </c:pt>
                <c:pt idx="3">
                  <c:v>2022</c:v>
                </c:pt>
                <c:pt idx="4">
                  <c:v>2023</c:v>
                </c:pt>
                <c:pt idx="5">
                  <c:v>2024</c:v>
                </c:pt>
              </c:numCache>
            </c:numRef>
          </c:cat>
          <c:val>
            <c:numRef>
              <c:f>'nepoljoprivredni BDP'!$C$10:$C$15</c:f>
              <c:numCache>
                <c:formatCode>0.0</c:formatCode>
                <c:ptCount val="6"/>
                <c:pt idx="0">
                  <c:v>3.3</c:v>
                </c:pt>
                <c:pt idx="1">
                  <c:v>3.6</c:v>
                </c:pt>
                <c:pt idx="2">
                  <c:v>4.0999999999999996</c:v>
                </c:pt>
                <c:pt idx="3">
                  <c:v>4.5</c:v>
                </c:pt>
                <c:pt idx="4">
                  <c:v>4.8</c:v>
                </c:pt>
                <c:pt idx="5">
                  <c:v>5</c:v>
                </c:pt>
              </c:numCache>
            </c:numRef>
          </c:val>
          <c:smooth val="0"/>
          <c:extLst>
            <c:ext xmlns:c16="http://schemas.microsoft.com/office/drawing/2014/chart" uri="{C3380CC4-5D6E-409C-BE32-E72D297353CC}">
              <c16:uniqueId val="{00000003-8800-4B46-AB80-C9DE30E6DB9D}"/>
            </c:ext>
          </c:extLst>
        </c:ser>
        <c:dLbls>
          <c:showLegendKey val="0"/>
          <c:showVal val="0"/>
          <c:showCatName val="0"/>
          <c:showSerName val="0"/>
          <c:showPercent val="0"/>
          <c:showBubbleSize val="0"/>
        </c:dLbls>
        <c:marker val="1"/>
        <c:smooth val="0"/>
        <c:axId val="1961428144"/>
        <c:axId val="1961437392"/>
      </c:lineChart>
      <c:catAx>
        <c:axId val="1961428144"/>
        <c:scaling>
          <c:orientation val="minMax"/>
        </c:scaling>
        <c:delete val="0"/>
        <c:axPos val="b"/>
        <c:numFmt formatCode="General" sourceLinked="1"/>
        <c:majorTickMark val="none"/>
        <c:minorTickMark val="none"/>
        <c:tickLblPos val="low"/>
        <c:spPr>
          <a:noFill/>
          <a:ln w="6350" cap="flat" cmpd="sng" algn="ctr">
            <a:solidFill>
              <a:srgbClr val="898989"/>
            </a:solidFill>
            <a:round/>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Arial" panose="020B0604020202020204" pitchFamily="34" charset="0"/>
              </a:defRPr>
            </a:pPr>
            <a:endParaRPr lang="en-US"/>
          </a:p>
        </c:txPr>
        <c:crossAx val="1961437392"/>
        <c:crossesAt val="0"/>
        <c:auto val="1"/>
        <c:lblAlgn val="ctr"/>
        <c:lblOffset val="100"/>
        <c:noMultiLvlLbl val="0"/>
      </c:catAx>
      <c:valAx>
        <c:axId val="1961437392"/>
        <c:scaling>
          <c:orientation val="minMax"/>
          <c:min val="0"/>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Arial" panose="020B0604020202020204" pitchFamily="34" charset="0"/>
              </a:defRPr>
            </a:pPr>
            <a:endParaRPr lang="en-US"/>
          </a:p>
        </c:txPr>
        <c:crossAx val="1961428144"/>
        <c:crosses val="autoZero"/>
        <c:crossBetween val="between"/>
        <c:majorUnit val="1"/>
        <c:minorUnit val="0.2"/>
      </c:valAx>
      <c:spPr>
        <a:noFill/>
        <a:ln>
          <a:noFill/>
        </a:ln>
        <a:effectLst/>
      </c:spPr>
    </c:plotArea>
    <c:legend>
      <c:legendPos val="b"/>
      <c:layout>
        <c:manualLayout>
          <c:xMode val="edge"/>
          <c:yMode val="edge"/>
          <c:x val="1.4346234889652889E-3"/>
          <c:y val="0.79209678819444451"/>
          <c:w val="0.99827437063324831"/>
          <c:h val="0.19444878472222224"/>
        </c:manualLayout>
      </c:layout>
      <c:overlay val="0"/>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Arial" panose="020B0604020202020204" pitchFamily="34" charset="0"/>
            </a:defRPr>
          </a:pPr>
          <a:endParaRPr lang="en-US"/>
        </a:p>
      </c:txPr>
    </c:legend>
    <c:plotVisOnly val="1"/>
    <c:dispBlanksAs val="gap"/>
    <c:showDLblsOverMax val="0"/>
  </c:chart>
  <c:spPr>
    <a:solidFill>
      <a:sysClr val="window" lastClr="FFFFFF"/>
    </a:solidFill>
    <a:ln w="9525" cap="flat" cmpd="sng" algn="ctr">
      <a:noFill/>
      <a:round/>
    </a:ln>
    <a:effectLst/>
  </c:spPr>
  <c:txPr>
    <a:bodyPr/>
    <a:lstStyle/>
    <a:p>
      <a:pPr>
        <a:defRPr sz="750">
          <a:solidFill>
            <a:schemeClr val="tx2"/>
          </a:solidFill>
          <a:latin typeface="+mn-lt"/>
          <a:cs typeface="Arial" panose="020B0604020202020204" pitchFamily="34" charset="0"/>
        </a:defRPr>
      </a:pPr>
      <a:endParaRPr lang="en-US"/>
    </a:p>
  </c:txPr>
  <c:externalData r:id="rId4">
    <c:autoUpdate val="0"/>
  </c:externalData>
  <c:userShapes r:id="rId5"/>
</c:chartSpace>
</file>

<file path=word/charts/chart4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2.6672863808690581E-2"/>
          <c:y val="0.10225565087946097"/>
          <c:w val="0.96452464275298921"/>
          <c:h val="0.7363283320928169"/>
        </c:manualLayout>
      </c:layout>
      <c:barChart>
        <c:barDir val="col"/>
        <c:grouping val="clustered"/>
        <c:varyColors val="0"/>
        <c:ser>
          <c:idx val="0"/>
          <c:order val="0"/>
          <c:tx>
            <c:strRef>
              <c:f>'Trziste rada'!$Q$9</c:f>
              <c:strCache>
                <c:ptCount val="1"/>
                <c:pt idx="0">
                  <c:v>I 2020</c:v>
                </c:pt>
              </c:strCache>
            </c:strRef>
          </c:tx>
          <c:spPr>
            <a:solidFill>
              <a:srgbClr val="29489A"/>
            </a:solidFill>
            <a:ln>
              <a:noFill/>
            </a:ln>
            <a:effectLst/>
          </c:spPr>
          <c:invertIfNegative val="0"/>
          <c:dLbls>
            <c:dLbl>
              <c:idx val="1"/>
              <c:spPr>
                <a:noFill/>
                <a:ln>
                  <a:noFill/>
                </a:ln>
                <a:effectLst/>
              </c:spPr>
              <c:txPr>
                <a:bodyPr rot="-5400000" spcFirstLastPara="1" vertOverflow="ellipsis" wrap="square" lIns="38100" tIns="19050" rIns="38100" bIns="19050" anchor="ctr" anchorCtr="1">
                  <a:spAutoFit/>
                </a:bodyPr>
                <a:lstStyle/>
                <a:p>
                  <a:pPr>
                    <a:defRPr sz="750" b="0" i="0" u="none" strike="noStrike" kern="1200" baseline="0">
                      <a:solidFill>
                        <a:schemeClr val="bg1"/>
                      </a:solidFill>
                      <a:latin typeface="+mn-lt"/>
                      <a:ea typeface="+mn-ea"/>
                      <a:cs typeface="+mn-cs"/>
                    </a:defRPr>
                  </a:pPr>
                  <a:endParaRPr lang="en-US"/>
                </a:p>
              </c:txPr>
              <c:dLblPos val="inBase"/>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DF1-41FF-AC06-F6D792901D6C}"/>
                </c:ext>
              </c:extLst>
            </c:dLbl>
            <c:dLbl>
              <c:idx val="2"/>
              <c:spPr>
                <a:noFill/>
                <a:ln>
                  <a:noFill/>
                </a:ln>
                <a:effectLst/>
              </c:spPr>
              <c:txPr>
                <a:bodyPr rot="-5400000" spcFirstLastPara="1" vertOverflow="ellipsis" wrap="square" lIns="38100" tIns="19050" rIns="38100" bIns="19050" anchor="ctr" anchorCtr="1">
                  <a:spAutoFit/>
                </a:bodyPr>
                <a:lstStyle/>
                <a:p>
                  <a:pPr>
                    <a:defRPr sz="750" b="0" i="0" u="none" strike="noStrike" kern="1200" baseline="0">
                      <a:solidFill>
                        <a:schemeClr val="bg1"/>
                      </a:solidFill>
                      <a:latin typeface="+mn-lt"/>
                      <a:ea typeface="+mn-ea"/>
                      <a:cs typeface="+mn-cs"/>
                    </a:defRPr>
                  </a:pPr>
                  <a:endParaRPr lang="en-US"/>
                </a:p>
              </c:txPr>
              <c:dLblPos val="inBase"/>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DF1-41FF-AC06-F6D792901D6C}"/>
                </c:ext>
              </c:extLst>
            </c:dLbl>
            <c:spPr>
              <a:noFill/>
              <a:ln>
                <a:noFill/>
              </a:ln>
              <a:effectLst/>
            </c:spPr>
            <c:txPr>
              <a:bodyPr rot="-5400000" spcFirstLastPara="1" vertOverflow="ellipsis" wrap="square" lIns="38100" tIns="19050" rIns="38100" bIns="19050" anchor="ctr" anchorCtr="1">
                <a:spAutoFit/>
              </a:bodyPr>
              <a:lstStyle/>
              <a:p>
                <a:pPr>
                  <a:defRPr sz="750" b="0" i="0" u="none" strike="noStrike" kern="1200" baseline="0">
                    <a:solidFill>
                      <a:schemeClr val="tx2"/>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'Trziste rada'!$R$8:$T$8</c:f>
              <c:strCache>
                <c:ptCount val="3"/>
                <c:pt idx="0">
                  <c:v>Стопа незапослености</c:v>
                </c:pt>
                <c:pt idx="1">
                  <c:v>Стопа запослености</c:v>
                </c:pt>
                <c:pt idx="2">
                  <c:v>Стопа становништва ван радне снаге</c:v>
                </c:pt>
              </c:strCache>
            </c:strRef>
          </c:cat>
          <c:val>
            <c:numRef>
              <c:f>'Trziste rada'!$R$9:$T$9</c:f>
              <c:numCache>
                <c:formatCode>0.0%</c:formatCode>
                <c:ptCount val="3"/>
                <c:pt idx="0">
                  <c:v>0.105</c:v>
                </c:pt>
                <c:pt idx="1">
                  <c:v>0.46700000000000003</c:v>
                </c:pt>
                <c:pt idx="2">
                  <c:v>0.47799999999999998</c:v>
                </c:pt>
              </c:numCache>
            </c:numRef>
          </c:val>
          <c:extLst>
            <c:ext xmlns:c16="http://schemas.microsoft.com/office/drawing/2014/chart" uri="{C3380CC4-5D6E-409C-BE32-E72D297353CC}">
              <c16:uniqueId val="{00000002-0DF1-41FF-AC06-F6D792901D6C}"/>
            </c:ext>
          </c:extLst>
        </c:ser>
        <c:ser>
          <c:idx val="1"/>
          <c:order val="1"/>
          <c:tx>
            <c:strRef>
              <c:f>'Trziste rada'!$Q$10</c:f>
              <c:strCache>
                <c:ptCount val="1"/>
                <c:pt idx="0">
                  <c:v>II 2020</c:v>
                </c:pt>
              </c:strCache>
            </c:strRef>
          </c:tx>
          <c:spPr>
            <a:solidFill>
              <a:srgbClr val="29489A"/>
            </a:solidFill>
            <a:ln>
              <a:noFill/>
            </a:ln>
            <a:effectLst/>
          </c:spPr>
          <c:invertIfNegative val="0"/>
          <c:dLbls>
            <c:dLbl>
              <c:idx val="1"/>
              <c:spPr>
                <a:noFill/>
                <a:ln>
                  <a:noFill/>
                </a:ln>
                <a:effectLst/>
              </c:spPr>
              <c:txPr>
                <a:bodyPr rot="-5400000" spcFirstLastPara="1" vertOverflow="ellipsis" wrap="square" lIns="38100" tIns="19050" rIns="38100" bIns="19050" anchor="ctr" anchorCtr="1">
                  <a:spAutoFit/>
                </a:bodyPr>
                <a:lstStyle/>
                <a:p>
                  <a:pPr>
                    <a:defRPr sz="750" b="0" i="0" u="none" strike="noStrike" kern="1200" baseline="0">
                      <a:solidFill>
                        <a:schemeClr val="bg1"/>
                      </a:solidFill>
                      <a:latin typeface="+mn-lt"/>
                      <a:ea typeface="+mn-ea"/>
                      <a:cs typeface="+mn-cs"/>
                    </a:defRPr>
                  </a:pPr>
                  <a:endParaRPr lang="en-US"/>
                </a:p>
              </c:txPr>
              <c:dLblPos val="inBase"/>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DF1-41FF-AC06-F6D792901D6C}"/>
                </c:ext>
              </c:extLst>
            </c:dLbl>
            <c:dLbl>
              <c:idx val="2"/>
              <c:spPr>
                <a:noFill/>
                <a:ln>
                  <a:noFill/>
                </a:ln>
                <a:effectLst/>
              </c:spPr>
              <c:txPr>
                <a:bodyPr rot="-5400000" spcFirstLastPara="1" vertOverflow="ellipsis" wrap="square" lIns="38100" tIns="19050" rIns="38100" bIns="19050" anchor="ctr" anchorCtr="1">
                  <a:spAutoFit/>
                </a:bodyPr>
                <a:lstStyle/>
                <a:p>
                  <a:pPr>
                    <a:defRPr sz="750" b="0" i="0" u="none" strike="noStrike" kern="1200" baseline="0">
                      <a:solidFill>
                        <a:schemeClr val="bg1"/>
                      </a:solidFill>
                      <a:latin typeface="+mn-lt"/>
                      <a:ea typeface="+mn-ea"/>
                      <a:cs typeface="+mn-cs"/>
                    </a:defRPr>
                  </a:pPr>
                  <a:endParaRPr lang="en-US"/>
                </a:p>
              </c:txPr>
              <c:dLblPos val="inBase"/>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0DF1-41FF-AC06-F6D792901D6C}"/>
                </c:ext>
              </c:extLst>
            </c:dLbl>
            <c:spPr>
              <a:noFill/>
              <a:ln>
                <a:noFill/>
              </a:ln>
              <a:effectLst/>
            </c:spPr>
            <c:txPr>
              <a:bodyPr rot="-5400000" spcFirstLastPara="1" vertOverflow="ellipsis" wrap="square" lIns="38100" tIns="19050" rIns="38100" bIns="19050" anchor="ctr" anchorCtr="1">
                <a:spAutoFit/>
              </a:bodyPr>
              <a:lstStyle/>
              <a:p>
                <a:pPr>
                  <a:defRPr sz="750" b="0" i="0" u="none" strike="noStrike" kern="1200" baseline="0">
                    <a:solidFill>
                      <a:schemeClr val="tx2"/>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'Trziste rada'!$R$8:$T$8</c:f>
              <c:strCache>
                <c:ptCount val="3"/>
                <c:pt idx="0">
                  <c:v>Стопа незапослености</c:v>
                </c:pt>
                <c:pt idx="1">
                  <c:v>Стопа запослености</c:v>
                </c:pt>
                <c:pt idx="2">
                  <c:v>Стопа становништва ван радне снаге</c:v>
                </c:pt>
              </c:strCache>
            </c:strRef>
          </c:cat>
          <c:val>
            <c:numRef>
              <c:f>'Trziste rada'!$R$10:$T$10</c:f>
              <c:numCache>
                <c:formatCode>0.0%</c:formatCode>
                <c:ptCount val="3"/>
                <c:pt idx="0">
                  <c:v>7.9000000000000001E-2</c:v>
                </c:pt>
                <c:pt idx="1">
                  <c:v>0.46200000000000002</c:v>
                </c:pt>
                <c:pt idx="2">
                  <c:v>0.498</c:v>
                </c:pt>
              </c:numCache>
            </c:numRef>
          </c:val>
          <c:extLst>
            <c:ext xmlns:c16="http://schemas.microsoft.com/office/drawing/2014/chart" uri="{C3380CC4-5D6E-409C-BE32-E72D297353CC}">
              <c16:uniqueId val="{00000005-0DF1-41FF-AC06-F6D792901D6C}"/>
            </c:ext>
          </c:extLst>
        </c:ser>
        <c:ser>
          <c:idx val="2"/>
          <c:order val="2"/>
          <c:tx>
            <c:strRef>
              <c:f>'Trziste rada'!$Q$11</c:f>
              <c:strCache>
                <c:ptCount val="1"/>
                <c:pt idx="0">
                  <c:v>I 2021</c:v>
                </c:pt>
              </c:strCache>
            </c:strRef>
          </c:tx>
          <c:spPr>
            <a:solidFill>
              <a:srgbClr val="FF0000"/>
            </a:solidFill>
            <a:ln>
              <a:noFill/>
            </a:ln>
            <a:effectLst/>
          </c:spPr>
          <c:invertIfNegative val="0"/>
          <c:dLbls>
            <c:dLbl>
              <c:idx val="0"/>
              <c:spPr>
                <a:noFill/>
                <a:ln>
                  <a:noFill/>
                </a:ln>
                <a:effectLst/>
              </c:spPr>
              <c:txPr>
                <a:bodyPr rot="-5400000" spcFirstLastPara="1" vertOverflow="ellipsis" wrap="square" lIns="38100" tIns="19050" rIns="38100" bIns="19050" anchor="ctr" anchorCtr="1">
                  <a:spAutoFit/>
                </a:bodyPr>
                <a:lstStyle/>
                <a:p>
                  <a:pPr>
                    <a:defRPr sz="750" b="0" i="0" u="none" strike="noStrike" kern="1200" baseline="0">
                      <a:solidFill>
                        <a:sysClr val="windowText" lastClr="000000"/>
                      </a:solidFill>
                      <a:latin typeface="+mn-lt"/>
                      <a:ea typeface="+mn-ea"/>
                      <a:cs typeface="+mn-cs"/>
                    </a:defRPr>
                  </a:pPr>
                  <a:endParaRPr lang="en-US"/>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0DF1-41FF-AC06-F6D792901D6C}"/>
                </c:ext>
              </c:extLst>
            </c:dLbl>
            <c:spPr>
              <a:noFill/>
              <a:ln>
                <a:noFill/>
              </a:ln>
              <a:effectLst/>
            </c:spPr>
            <c:txPr>
              <a:bodyPr rot="-5400000" spcFirstLastPara="1" vertOverflow="ellipsis" wrap="square" lIns="38100" tIns="19050" rIns="38100" bIns="19050" anchor="ctr" anchorCtr="1">
                <a:spAutoFit/>
              </a:bodyPr>
              <a:lstStyle/>
              <a:p>
                <a:pPr>
                  <a:defRPr sz="750" b="0" i="0" u="none" strike="noStrike" kern="1200" baseline="0">
                    <a:solidFill>
                      <a:schemeClr val="bg1"/>
                    </a:solidFill>
                    <a:latin typeface="+mn-lt"/>
                    <a:ea typeface="+mn-ea"/>
                    <a:cs typeface="+mn-cs"/>
                  </a:defRPr>
                </a:pPr>
                <a:endParaRPr lang="en-US"/>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'Trziste rada'!$R$8:$T$8</c:f>
              <c:strCache>
                <c:ptCount val="3"/>
                <c:pt idx="0">
                  <c:v>Стопа незапослености</c:v>
                </c:pt>
                <c:pt idx="1">
                  <c:v>Стопа запослености</c:v>
                </c:pt>
                <c:pt idx="2">
                  <c:v>Стопа становништва ван радне снаге</c:v>
                </c:pt>
              </c:strCache>
            </c:strRef>
          </c:cat>
          <c:val>
            <c:numRef>
              <c:f>'Trziste rada'!$R$11:$T$11</c:f>
              <c:numCache>
                <c:formatCode>0.0%</c:formatCode>
                <c:ptCount val="3"/>
                <c:pt idx="0">
                  <c:v>0.128</c:v>
                </c:pt>
                <c:pt idx="1">
                  <c:v>0.46300000000000002</c:v>
                </c:pt>
                <c:pt idx="2">
                  <c:v>0.46899999999999997</c:v>
                </c:pt>
              </c:numCache>
            </c:numRef>
          </c:val>
          <c:extLst>
            <c:ext xmlns:c16="http://schemas.microsoft.com/office/drawing/2014/chart" uri="{C3380CC4-5D6E-409C-BE32-E72D297353CC}">
              <c16:uniqueId val="{00000007-0DF1-41FF-AC06-F6D792901D6C}"/>
            </c:ext>
          </c:extLst>
        </c:ser>
        <c:ser>
          <c:idx val="3"/>
          <c:order val="3"/>
          <c:tx>
            <c:strRef>
              <c:f>'Trziste rada'!$Q$12</c:f>
              <c:strCache>
                <c:ptCount val="1"/>
                <c:pt idx="0">
                  <c:v>II 2021</c:v>
                </c:pt>
              </c:strCache>
            </c:strRef>
          </c:tx>
          <c:spPr>
            <a:solidFill>
              <a:srgbClr val="FF0000"/>
            </a:solidFill>
            <a:ln>
              <a:noFill/>
            </a:ln>
            <a:effectLst/>
          </c:spPr>
          <c:invertIfNegative val="0"/>
          <c:dLbls>
            <c:dLbl>
              <c:idx val="0"/>
              <c:spPr>
                <a:noFill/>
                <a:ln>
                  <a:noFill/>
                </a:ln>
                <a:effectLst/>
              </c:spPr>
              <c:txPr>
                <a:bodyPr rot="-5400000" spcFirstLastPara="1" vertOverflow="ellipsis" wrap="square" lIns="38100" tIns="19050" rIns="38100" bIns="19050" anchor="ctr" anchorCtr="1">
                  <a:spAutoFit/>
                </a:bodyPr>
                <a:lstStyle/>
                <a:p>
                  <a:pPr>
                    <a:defRPr sz="750" b="0" i="0" u="none" strike="noStrike" kern="1200" baseline="0">
                      <a:solidFill>
                        <a:sysClr val="windowText" lastClr="000000"/>
                      </a:solidFill>
                      <a:latin typeface="+mn-lt"/>
                      <a:ea typeface="+mn-ea"/>
                      <a:cs typeface="+mn-cs"/>
                    </a:defRPr>
                  </a:pPr>
                  <a:endParaRPr lang="en-US"/>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0DF1-41FF-AC06-F6D792901D6C}"/>
                </c:ext>
              </c:extLst>
            </c:dLbl>
            <c:spPr>
              <a:noFill/>
              <a:ln>
                <a:noFill/>
              </a:ln>
              <a:effectLst/>
            </c:spPr>
            <c:txPr>
              <a:bodyPr rot="-5400000" spcFirstLastPara="1" vertOverflow="ellipsis" wrap="square" lIns="38100" tIns="19050" rIns="38100" bIns="19050" anchor="ctr" anchorCtr="1">
                <a:spAutoFit/>
              </a:bodyPr>
              <a:lstStyle/>
              <a:p>
                <a:pPr>
                  <a:defRPr sz="750" b="0" i="0" u="none" strike="noStrike" kern="1200" baseline="0">
                    <a:solidFill>
                      <a:schemeClr val="bg1"/>
                    </a:solidFill>
                    <a:latin typeface="+mn-lt"/>
                    <a:ea typeface="+mn-ea"/>
                    <a:cs typeface="+mn-cs"/>
                  </a:defRPr>
                </a:pPr>
                <a:endParaRPr lang="en-US"/>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'Trziste rada'!$R$8:$T$8</c:f>
              <c:strCache>
                <c:ptCount val="3"/>
                <c:pt idx="0">
                  <c:v>Стопа незапослености</c:v>
                </c:pt>
                <c:pt idx="1">
                  <c:v>Стопа запослености</c:v>
                </c:pt>
                <c:pt idx="2">
                  <c:v>Стопа становништва ван радне снаге</c:v>
                </c:pt>
              </c:strCache>
            </c:strRef>
          </c:cat>
          <c:val>
            <c:numRef>
              <c:f>'Trziste rada'!$R$12:$T$12</c:f>
              <c:numCache>
                <c:formatCode>0.0%</c:formatCode>
                <c:ptCount val="3"/>
                <c:pt idx="0">
                  <c:v>0.111</c:v>
                </c:pt>
                <c:pt idx="1">
                  <c:v>0.48299999999999998</c:v>
                </c:pt>
                <c:pt idx="2">
                  <c:v>0.45700000000000002</c:v>
                </c:pt>
              </c:numCache>
            </c:numRef>
          </c:val>
          <c:extLst>
            <c:ext xmlns:c16="http://schemas.microsoft.com/office/drawing/2014/chart" uri="{C3380CC4-5D6E-409C-BE32-E72D297353CC}">
              <c16:uniqueId val="{00000009-0DF1-41FF-AC06-F6D792901D6C}"/>
            </c:ext>
          </c:extLst>
        </c:ser>
        <c:dLbls>
          <c:showLegendKey val="0"/>
          <c:showVal val="0"/>
          <c:showCatName val="0"/>
          <c:showSerName val="0"/>
          <c:showPercent val="0"/>
          <c:showBubbleSize val="0"/>
        </c:dLbls>
        <c:gapWidth val="80"/>
        <c:overlap val="-12"/>
        <c:axId val="1961419440"/>
        <c:axId val="1961425968"/>
      </c:barChart>
      <c:catAx>
        <c:axId val="1961419440"/>
        <c:scaling>
          <c:orientation val="minMax"/>
        </c:scaling>
        <c:delete val="0"/>
        <c:axPos val="b"/>
        <c:numFmt formatCode="General" sourceLinked="1"/>
        <c:majorTickMark val="none"/>
        <c:minorTickMark val="none"/>
        <c:tickLblPos val="high"/>
        <c:spPr>
          <a:noFill/>
          <a:ln w="6350" cap="flat" cmpd="sng" algn="ctr">
            <a:noFill/>
            <a:round/>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1961425968"/>
        <c:crosses val="autoZero"/>
        <c:auto val="1"/>
        <c:lblAlgn val="ctr"/>
        <c:lblOffset val="100"/>
        <c:noMultiLvlLbl val="0"/>
      </c:catAx>
      <c:valAx>
        <c:axId val="1961425968"/>
        <c:scaling>
          <c:orientation val="minMax"/>
          <c:max val="0.5"/>
        </c:scaling>
        <c:delete val="0"/>
        <c:axPos val="l"/>
        <c:numFmt formatCode="0.0%" sourceLinked="1"/>
        <c:majorTickMark val="out"/>
        <c:minorTickMark val="none"/>
        <c:tickLblPos val="none"/>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196141944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750">
          <a:solidFill>
            <a:schemeClr val="tx2"/>
          </a:solidFill>
        </a:defRPr>
      </a:pPr>
      <a:endParaRPr lang="en-US"/>
    </a:p>
  </c:txPr>
  <c:externalData r:id="rId4">
    <c:autoUpdate val="0"/>
  </c:externalData>
  <c:userShapes r:id="rId5"/>
</c:chartSpace>
</file>

<file path=word/charts/chart4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2178986378388172E-2"/>
          <c:y val="5.3106332138590201E-2"/>
          <c:w val="0.80840046303318902"/>
          <c:h val="0.58882795698924728"/>
        </c:manualLayout>
      </c:layout>
      <c:barChart>
        <c:barDir val="col"/>
        <c:grouping val="stacked"/>
        <c:varyColors val="0"/>
        <c:ser>
          <c:idx val="0"/>
          <c:order val="0"/>
          <c:tx>
            <c:strRef>
              <c:f>NPL!$S$4</c:f>
              <c:strCache>
                <c:ptCount val="1"/>
                <c:pt idx="0">
                  <c:v>Привреда</c:v>
                </c:pt>
              </c:strCache>
            </c:strRef>
          </c:tx>
          <c:spPr>
            <a:solidFill>
              <a:srgbClr val="10103C"/>
            </a:solidFill>
            <a:ln>
              <a:noFill/>
            </a:ln>
            <a:effectLst/>
          </c:spPr>
          <c:invertIfNegative val="0"/>
          <c:cat>
            <c:strRef>
              <c:f>NPL!$Q$5:$Q$13</c:f>
              <c:strCache>
                <c:ptCount val="9"/>
                <c:pt idx="0">
                  <c:v>2013</c:v>
                </c:pt>
                <c:pt idx="1">
                  <c:v>2014</c:v>
                </c:pt>
                <c:pt idx="2">
                  <c:v>2015</c:v>
                </c:pt>
                <c:pt idx="3">
                  <c:v>2016</c:v>
                </c:pt>
                <c:pt idx="4">
                  <c:v>2017</c:v>
                </c:pt>
                <c:pt idx="5">
                  <c:v>2018</c:v>
                </c:pt>
                <c:pt idx="6">
                  <c:v>2019</c:v>
                </c:pt>
                <c:pt idx="7">
                  <c:v>2020</c:v>
                </c:pt>
                <c:pt idx="8">
                  <c:v>VIII 2021</c:v>
                </c:pt>
              </c:strCache>
            </c:strRef>
          </c:cat>
          <c:val>
            <c:numRef>
              <c:f>NPL!$S$5:$S$13</c:f>
              <c:numCache>
                <c:formatCode>#,##0</c:formatCode>
                <c:ptCount val="9"/>
                <c:pt idx="0">
                  <c:v>238.4</c:v>
                </c:pt>
                <c:pt idx="1">
                  <c:v>248.4</c:v>
                </c:pt>
                <c:pt idx="2" formatCode="0">
                  <c:v>216.8</c:v>
                </c:pt>
                <c:pt idx="3" formatCode="0">
                  <c:v>172.8</c:v>
                </c:pt>
                <c:pt idx="4" formatCode="0">
                  <c:v>107.6</c:v>
                </c:pt>
                <c:pt idx="5" formatCode="0">
                  <c:v>56.849434000000002</c:v>
                </c:pt>
                <c:pt idx="6" formatCode="0">
                  <c:v>38.949154999999998</c:v>
                </c:pt>
                <c:pt idx="7" formatCode="0">
                  <c:v>41.826799999999999</c:v>
                </c:pt>
              </c:numCache>
            </c:numRef>
          </c:val>
          <c:extLst>
            <c:ext xmlns:c16="http://schemas.microsoft.com/office/drawing/2014/chart" uri="{C3380CC4-5D6E-409C-BE32-E72D297353CC}">
              <c16:uniqueId val="{00000000-EB88-42B3-A2F3-D72DC9575324}"/>
            </c:ext>
          </c:extLst>
        </c:ser>
        <c:ser>
          <c:idx val="1"/>
          <c:order val="1"/>
          <c:tx>
            <c:strRef>
              <c:f>NPL!$T$4</c:f>
              <c:strCache>
                <c:ptCount val="1"/>
                <c:pt idx="0">
                  <c:v>Становништво</c:v>
                </c:pt>
              </c:strCache>
            </c:strRef>
          </c:tx>
          <c:spPr>
            <a:solidFill>
              <a:srgbClr val="2183C4"/>
            </a:solidFill>
            <a:ln>
              <a:noFill/>
            </a:ln>
            <a:effectLst/>
          </c:spPr>
          <c:invertIfNegative val="0"/>
          <c:cat>
            <c:strRef>
              <c:f>NPL!$Q$5:$Q$13</c:f>
              <c:strCache>
                <c:ptCount val="9"/>
                <c:pt idx="0">
                  <c:v>2013</c:v>
                </c:pt>
                <c:pt idx="1">
                  <c:v>2014</c:v>
                </c:pt>
                <c:pt idx="2">
                  <c:v>2015</c:v>
                </c:pt>
                <c:pt idx="3">
                  <c:v>2016</c:v>
                </c:pt>
                <c:pt idx="4">
                  <c:v>2017</c:v>
                </c:pt>
                <c:pt idx="5">
                  <c:v>2018</c:v>
                </c:pt>
                <c:pt idx="6">
                  <c:v>2019</c:v>
                </c:pt>
                <c:pt idx="7">
                  <c:v>2020</c:v>
                </c:pt>
                <c:pt idx="8">
                  <c:v>VIII 2021</c:v>
                </c:pt>
              </c:strCache>
            </c:strRef>
          </c:cat>
          <c:val>
            <c:numRef>
              <c:f>NPL!$T$5:$T$13</c:f>
              <c:numCache>
                <c:formatCode>#,##0</c:formatCode>
                <c:ptCount val="9"/>
                <c:pt idx="0">
                  <c:v>56.7</c:v>
                </c:pt>
                <c:pt idx="1">
                  <c:v>66.400000000000006</c:v>
                </c:pt>
                <c:pt idx="2" formatCode="0">
                  <c:v>73.400000000000006</c:v>
                </c:pt>
                <c:pt idx="3" formatCode="0">
                  <c:v>69.2</c:v>
                </c:pt>
                <c:pt idx="4" formatCode="0">
                  <c:v>45.4</c:v>
                </c:pt>
                <c:pt idx="5" formatCode="0">
                  <c:v>39.608241</c:v>
                </c:pt>
                <c:pt idx="6" formatCode="0">
                  <c:v>39.016837000000002</c:v>
                </c:pt>
                <c:pt idx="7" formatCode="0">
                  <c:v>40.746828000000001</c:v>
                </c:pt>
              </c:numCache>
            </c:numRef>
          </c:val>
          <c:extLst>
            <c:ext xmlns:c16="http://schemas.microsoft.com/office/drawing/2014/chart" uri="{C3380CC4-5D6E-409C-BE32-E72D297353CC}">
              <c16:uniqueId val="{00000001-EB88-42B3-A2F3-D72DC9575324}"/>
            </c:ext>
          </c:extLst>
        </c:ser>
        <c:ser>
          <c:idx val="2"/>
          <c:order val="2"/>
          <c:tx>
            <c:strRef>
              <c:f>NPL!$U$4</c:f>
              <c:strCache>
                <c:ptCount val="1"/>
                <c:pt idx="0">
                  <c:v>Остали</c:v>
                </c:pt>
              </c:strCache>
            </c:strRef>
          </c:tx>
          <c:spPr>
            <a:solidFill>
              <a:srgbClr val="51BBE7"/>
            </a:solidFill>
            <a:ln>
              <a:noFill/>
            </a:ln>
            <a:effectLst/>
          </c:spPr>
          <c:invertIfNegative val="0"/>
          <c:cat>
            <c:strRef>
              <c:f>NPL!$Q$5:$Q$13</c:f>
              <c:strCache>
                <c:ptCount val="9"/>
                <c:pt idx="0">
                  <c:v>2013</c:v>
                </c:pt>
                <c:pt idx="1">
                  <c:v>2014</c:v>
                </c:pt>
                <c:pt idx="2">
                  <c:v>2015</c:v>
                </c:pt>
                <c:pt idx="3">
                  <c:v>2016</c:v>
                </c:pt>
                <c:pt idx="4">
                  <c:v>2017</c:v>
                </c:pt>
                <c:pt idx="5">
                  <c:v>2018</c:v>
                </c:pt>
                <c:pt idx="6">
                  <c:v>2019</c:v>
                </c:pt>
                <c:pt idx="7">
                  <c:v>2020</c:v>
                </c:pt>
                <c:pt idx="8">
                  <c:v>VIII 2021</c:v>
                </c:pt>
              </c:strCache>
            </c:strRef>
          </c:cat>
          <c:val>
            <c:numRef>
              <c:f>NPL!$U$5:$U$13</c:f>
              <c:numCache>
                <c:formatCode>#,##0</c:formatCode>
                <c:ptCount val="9"/>
                <c:pt idx="0">
                  <c:v>100.2</c:v>
                </c:pt>
                <c:pt idx="1">
                  <c:v>106.4</c:v>
                </c:pt>
                <c:pt idx="2" formatCode="0">
                  <c:v>134.4</c:v>
                </c:pt>
                <c:pt idx="3" formatCode="0">
                  <c:v>103.8</c:v>
                </c:pt>
                <c:pt idx="4" formatCode="0">
                  <c:v>51.9</c:v>
                </c:pt>
                <c:pt idx="5" formatCode="0">
                  <c:v>34.192292000000002</c:v>
                </c:pt>
                <c:pt idx="6" formatCode="0">
                  <c:v>23.450085000000001</c:v>
                </c:pt>
                <c:pt idx="7" formatCode="0">
                  <c:v>19.835072</c:v>
                </c:pt>
              </c:numCache>
            </c:numRef>
          </c:val>
          <c:extLst>
            <c:ext xmlns:c16="http://schemas.microsoft.com/office/drawing/2014/chart" uri="{C3380CC4-5D6E-409C-BE32-E72D297353CC}">
              <c16:uniqueId val="{00000002-EB88-42B3-A2F3-D72DC9575324}"/>
            </c:ext>
          </c:extLst>
        </c:ser>
        <c:dLbls>
          <c:showLegendKey val="0"/>
          <c:showVal val="0"/>
          <c:showCatName val="0"/>
          <c:showSerName val="0"/>
          <c:showPercent val="0"/>
          <c:showBubbleSize val="0"/>
        </c:dLbls>
        <c:gapWidth val="40"/>
        <c:overlap val="100"/>
        <c:axId val="1839178672"/>
        <c:axId val="1839199888"/>
      </c:barChart>
      <c:lineChart>
        <c:grouping val="standard"/>
        <c:varyColors val="0"/>
        <c:ser>
          <c:idx val="3"/>
          <c:order val="3"/>
          <c:tx>
            <c:strRef>
              <c:f>NPL!$V$4</c:f>
              <c:strCache>
                <c:ptCount val="1"/>
                <c:pt idx="0">
                  <c:v>NPL % (бруто)</c:v>
                </c:pt>
              </c:strCache>
            </c:strRef>
          </c:tx>
          <c:spPr>
            <a:ln w="25400" cap="rnd">
              <a:solidFill>
                <a:srgbClr val="FF0000"/>
              </a:solidFill>
              <a:round/>
            </a:ln>
            <a:effectLst/>
          </c:spPr>
          <c:marker>
            <c:symbol val="none"/>
          </c:marker>
          <c:dLbls>
            <c:spPr>
              <a:noFill/>
              <a:ln>
                <a:noFill/>
              </a:ln>
              <a:effectLst/>
            </c:spPr>
            <c:txPr>
              <a:bodyPr rot="0" spcFirstLastPara="1" vertOverflow="ellipsis" vert="horz" wrap="square" anchor="ctr" anchorCtr="1"/>
              <a:lstStyle/>
              <a:p>
                <a:pPr>
                  <a:defRPr sz="700" b="1" i="0" u="none" strike="noStrike" kern="1200" baseline="0">
                    <a:solidFill>
                      <a:srgbClr val="FF0000"/>
                    </a:solidFill>
                    <a:latin typeface="+mn-lt"/>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NPL!$Q$5:$Q$13</c:f>
              <c:strCache>
                <c:ptCount val="9"/>
                <c:pt idx="0">
                  <c:v>2013</c:v>
                </c:pt>
                <c:pt idx="1">
                  <c:v>2014</c:v>
                </c:pt>
                <c:pt idx="2">
                  <c:v>2015</c:v>
                </c:pt>
                <c:pt idx="3">
                  <c:v>2016</c:v>
                </c:pt>
                <c:pt idx="4">
                  <c:v>2017</c:v>
                </c:pt>
                <c:pt idx="5">
                  <c:v>2018</c:v>
                </c:pt>
                <c:pt idx="6">
                  <c:v>2019</c:v>
                </c:pt>
                <c:pt idx="7">
                  <c:v>2020</c:v>
                </c:pt>
                <c:pt idx="8">
                  <c:v>VIII 2021</c:v>
                </c:pt>
              </c:strCache>
            </c:strRef>
          </c:cat>
          <c:val>
            <c:numRef>
              <c:f>NPL!$V$5:$V$13</c:f>
              <c:numCache>
                <c:formatCode>0.0%</c:formatCode>
                <c:ptCount val="9"/>
                <c:pt idx="0">
                  <c:v>0.2137</c:v>
                </c:pt>
                <c:pt idx="1">
                  <c:v>0.21539999999999998</c:v>
                </c:pt>
                <c:pt idx="2">
                  <c:v>0.216</c:v>
                </c:pt>
                <c:pt idx="3">
                  <c:v>0.17030000000000001</c:v>
                </c:pt>
                <c:pt idx="4">
                  <c:v>9.8500000000000004E-2</c:v>
                </c:pt>
                <c:pt idx="5">
                  <c:v>5.7000000000000002E-2</c:v>
                </c:pt>
                <c:pt idx="6">
                  <c:v>4.1000000000000002E-2</c:v>
                </c:pt>
                <c:pt idx="7">
                  <c:v>3.6999999999999998E-2</c:v>
                </c:pt>
                <c:pt idx="8">
                  <c:v>3.5000000000000003E-2</c:v>
                </c:pt>
              </c:numCache>
            </c:numRef>
          </c:val>
          <c:smooth val="0"/>
          <c:extLst>
            <c:ext xmlns:c16="http://schemas.microsoft.com/office/drawing/2014/chart" uri="{C3380CC4-5D6E-409C-BE32-E72D297353CC}">
              <c16:uniqueId val="{00000003-EB88-42B3-A2F3-D72DC9575324}"/>
            </c:ext>
          </c:extLst>
        </c:ser>
        <c:dLbls>
          <c:showLegendKey val="0"/>
          <c:showVal val="0"/>
          <c:showCatName val="0"/>
          <c:showSerName val="0"/>
          <c:showPercent val="0"/>
          <c:showBubbleSize val="0"/>
        </c:dLbls>
        <c:marker val="1"/>
        <c:smooth val="0"/>
        <c:axId val="1839198256"/>
        <c:axId val="1839197712"/>
      </c:lineChart>
      <c:catAx>
        <c:axId val="1839178672"/>
        <c:scaling>
          <c:orientation val="minMax"/>
        </c:scaling>
        <c:delete val="0"/>
        <c:axPos val="b"/>
        <c:numFmt formatCode="General" sourceLinked="1"/>
        <c:majorTickMark val="none"/>
        <c:minorTickMark val="none"/>
        <c:tickLblPos val="nextTo"/>
        <c:spPr>
          <a:noFill/>
          <a:ln w="6350" cap="flat" cmpd="sng" algn="ctr">
            <a:solidFill>
              <a:srgbClr val="898989"/>
            </a:solidFill>
            <a:round/>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1839199888"/>
        <c:crosses val="autoZero"/>
        <c:auto val="1"/>
        <c:lblAlgn val="ctr"/>
        <c:lblOffset val="100"/>
        <c:noMultiLvlLbl val="0"/>
      </c:catAx>
      <c:valAx>
        <c:axId val="1839199888"/>
        <c:scaling>
          <c:orientation val="minMax"/>
          <c:max val="450"/>
          <c:min val="0"/>
        </c:scaling>
        <c:delete val="0"/>
        <c:axPos val="l"/>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1839178672"/>
        <c:crosses val="autoZero"/>
        <c:crossBetween val="between"/>
        <c:majorUnit val="100"/>
      </c:valAx>
      <c:valAx>
        <c:axId val="1839197712"/>
        <c:scaling>
          <c:orientation val="minMax"/>
          <c:min val="0"/>
        </c:scaling>
        <c:delete val="0"/>
        <c:axPos val="r"/>
        <c:numFmt formatCode="0%" sourceLinked="0"/>
        <c:majorTickMark val="out"/>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1839198256"/>
        <c:crosses val="max"/>
        <c:crossBetween val="between"/>
      </c:valAx>
      <c:catAx>
        <c:axId val="1839198256"/>
        <c:scaling>
          <c:orientation val="minMax"/>
        </c:scaling>
        <c:delete val="1"/>
        <c:axPos val="b"/>
        <c:numFmt formatCode="General" sourceLinked="1"/>
        <c:majorTickMark val="out"/>
        <c:minorTickMark val="none"/>
        <c:tickLblPos val="nextTo"/>
        <c:crossAx val="1839197712"/>
        <c:crosses val="autoZero"/>
        <c:auto val="1"/>
        <c:lblAlgn val="ctr"/>
        <c:lblOffset val="100"/>
        <c:noMultiLvlLbl val="0"/>
      </c:catAx>
      <c:spPr>
        <a:noFill/>
        <a:ln>
          <a:noFill/>
        </a:ln>
        <a:effectLst/>
      </c:spPr>
    </c:plotArea>
    <c:legend>
      <c:legendPos val="b"/>
      <c:layout>
        <c:manualLayout>
          <c:xMode val="edge"/>
          <c:yMode val="edge"/>
          <c:x val="0.14793963254593176"/>
          <c:y val="0.82833811230585419"/>
          <c:w val="0.76430592009332154"/>
          <c:h val="0.14890203106332139"/>
        </c:manualLayout>
      </c:layout>
      <c:overlay val="0"/>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sz="750">
          <a:solidFill>
            <a:schemeClr val="tx2"/>
          </a:solidFill>
        </a:defRPr>
      </a:pPr>
      <a:endParaRPr lang="en-US"/>
    </a:p>
  </c:txPr>
  <c:externalData r:id="rId4">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6067586007101372E-2"/>
          <c:y val="5.6338028169014086E-2"/>
          <c:w val="0.79899510791436967"/>
          <c:h val="0.65544933643857894"/>
        </c:manualLayout>
      </c:layout>
      <c:barChart>
        <c:barDir val="col"/>
        <c:grouping val="clustered"/>
        <c:varyColors val="0"/>
        <c:ser>
          <c:idx val="1"/>
          <c:order val="1"/>
          <c:tx>
            <c:strRef>
              <c:f>'Devizni kurs'!$V$2</c:f>
              <c:strCache>
                <c:ptCount val="1"/>
                <c:pt idx="0">
                  <c:v>Интервенције НБС, нето продаја, мил. евра (десна скала)</c:v>
                </c:pt>
              </c:strCache>
            </c:strRef>
          </c:tx>
          <c:spPr>
            <a:solidFill>
              <a:srgbClr val="29489A"/>
            </a:solidFill>
            <a:ln>
              <a:noFill/>
            </a:ln>
            <a:effectLst/>
          </c:spPr>
          <c:invertIfNegative val="0"/>
          <c:cat>
            <c:numRef>
              <c:f>'Devizni kurs'!$Q$39:$Q$131</c:f>
              <c:numCache>
                <c:formatCode>yyyy</c:formatCode>
                <c:ptCount val="93"/>
                <c:pt idx="0">
                  <c:v>41640</c:v>
                </c:pt>
                <c:pt idx="1">
                  <c:v>41671</c:v>
                </c:pt>
                <c:pt idx="2">
                  <c:v>41699</c:v>
                </c:pt>
                <c:pt idx="3">
                  <c:v>41730</c:v>
                </c:pt>
                <c:pt idx="4">
                  <c:v>41760</c:v>
                </c:pt>
                <c:pt idx="5">
                  <c:v>41791</c:v>
                </c:pt>
                <c:pt idx="6">
                  <c:v>41821</c:v>
                </c:pt>
                <c:pt idx="7">
                  <c:v>41852</c:v>
                </c:pt>
                <c:pt idx="8">
                  <c:v>41883</c:v>
                </c:pt>
                <c:pt idx="9">
                  <c:v>41913</c:v>
                </c:pt>
                <c:pt idx="10">
                  <c:v>41944</c:v>
                </c:pt>
                <c:pt idx="11">
                  <c:v>41974</c:v>
                </c:pt>
                <c:pt idx="12">
                  <c:v>42005</c:v>
                </c:pt>
                <c:pt idx="13">
                  <c:v>42036</c:v>
                </c:pt>
                <c:pt idx="14">
                  <c:v>42064</c:v>
                </c:pt>
                <c:pt idx="15">
                  <c:v>42095</c:v>
                </c:pt>
                <c:pt idx="16">
                  <c:v>42125</c:v>
                </c:pt>
                <c:pt idx="17">
                  <c:v>42156</c:v>
                </c:pt>
                <c:pt idx="18">
                  <c:v>42186</c:v>
                </c:pt>
                <c:pt idx="19">
                  <c:v>42217</c:v>
                </c:pt>
                <c:pt idx="20">
                  <c:v>42248</c:v>
                </c:pt>
                <c:pt idx="21">
                  <c:v>42278</c:v>
                </c:pt>
                <c:pt idx="22">
                  <c:v>42309</c:v>
                </c:pt>
                <c:pt idx="23">
                  <c:v>42339</c:v>
                </c:pt>
                <c:pt idx="24">
                  <c:v>42370</c:v>
                </c:pt>
                <c:pt idx="25">
                  <c:v>42401</c:v>
                </c:pt>
                <c:pt idx="26">
                  <c:v>42430</c:v>
                </c:pt>
                <c:pt idx="27">
                  <c:v>42461</c:v>
                </c:pt>
                <c:pt idx="28">
                  <c:v>42491</c:v>
                </c:pt>
                <c:pt idx="29">
                  <c:v>42522</c:v>
                </c:pt>
                <c:pt idx="30">
                  <c:v>42552</c:v>
                </c:pt>
                <c:pt idx="31">
                  <c:v>42583</c:v>
                </c:pt>
                <c:pt idx="32">
                  <c:v>42614</c:v>
                </c:pt>
                <c:pt idx="33">
                  <c:v>42644</c:v>
                </c:pt>
                <c:pt idx="34">
                  <c:v>42675</c:v>
                </c:pt>
                <c:pt idx="35">
                  <c:v>42705</c:v>
                </c:pt>
                <c:pt idx="36">
                  <c:v>42736</c:v>
                </c:pt>
                <c:pt idx="37">
                  <c:v>42767</c:v>
                </c:pt>
                <c:pt idx="38">
                  <c:v>42795</c:v>
                </c:pt>
                <c:pt idx="39">
                  <c:v>42826</c:v>
                </c:pt>
                <c:pt idx="40">
                  <c:v>42856</c:v>
                </c:pt>
                <c:pt idx="41">
                  <c:v>42887</c:v>
                </c:pt>
                <c:pt idx="42">
                  <c:v>42917</c:v>
                </c:pt>
                <c:pt idx="43">
                  <c:v>42948</c:v>
                </c:pt>
                <c:pt idx="44">
                  <c:v>42979</c:v>
                </c:pt>
                <c:pt idx="45">
                  <c:v>43009</c:v>
                </c:pt>
                <c:pt idx="46">
                  <c:v>43040</c:v>
                </c:pt>
                <c:pt idx="47">
                  <c:v>43070</c:v>
                </c:pt>
                <c:pt idx="48">
                  <c:v>43101</c:v>
                </c:pt>
                <c:pt idx="49">
                  <c:v>43132</c:v>
                </c:pt>
                <c:pt idx="50">
                  <c:v>43160</c:v>
                </c:pt>
                <c:pt idx="51">
                  <c:v>43191</c:v>
                </c:pt>
                <c:pt idx="52">
                  <c:v>43221</c:v>
                </c:pt>
                <c:pt idx="53">
                  <c:v>43252</c:v>
                </c:pt>
                <c:pt idx="54">
                  <c:v>43282</c:v>
                </c:pt>
                <c:pt idx="55">
                  <c:v>43313</c:v>
                </c:pt>
                <c:pt idx="56">
                  <c:v>43344</c:v>
                </c:pt>
                <c:pt idx="57">
                  <c:v>43374</c:v>
                </c:pt>
                <c:pt idx="58">
                  <c:v>43405</c:v>
                </c:pt>
                <c:pt idx="59">
                  <c:v>43435</c:v>
                </c:pt>
                <c:pt idx="60">
                  <c:v>43466</c:v>
                </c:pt>
                <c:pt idx="61">
                  <c:v>43497</c:v>
                </c:pt>
                <c:pt idx="62">
                  <c:v>43525</c:v>
                </c:pt>
                <c:pt idx="63">
                  <c:v>43556</c:v>
                </c:pt>
                <c:pt idx="64">
                  <c:v>43586</c:v>
                </c:pt>
                <c:pt idx="65">
                  <c:v>43617</c:v>
                </c:pt>
                <c:pt idx="66">
                  <c:v>43647</c:v>
                </c:pt>
                <c:pt idx="67">
                  <c:v>43678</c:v>
                </c:pt>
                <c:pt idx="68">
                  <c:v>43709</c:v>
                </c:pt>
                <c:pt idx="69">
                  <c:v>43739</c:v>
                </c:pt>
                <c:pt idx="70">
                  <c:v>43770</c:v>
                </c:pt>
                <c:pt idx="71">
                  <c:v>43800</c:v>
                </c:pt>
                <c:pt idx="72">
                  <c:v>43831</c:v>
                </c:pt>
                <c:pt idx="73">
                  <c:v>43862</c:v>
                </c:pt>
                <c:pt idx="74">
                  <c:v>43891</c:v>
                </c:pt>
                <c:pt idx="75">
                  <c:v>43922</c:v>
                </c:pt>
                <c:pt idx="76">
                  <c:v>43952</c:v>
                </c:pt>
                <c:pt idx="77">
                  <c:v>43983</c:v>
                </c:pt>
                <c:pt idx="78">
                  <c:v>44013</c:v>
                </c:pt>
                <c:pt idx="79">
                  <c:v>44044</c:v>
                </c:pt>
                <c:pt idx="80">
                  <c:v>44075</c:v>
                </c:pt>
                <c:pt idx="81">
                  <c:v>44105</c:v>
                </c:pt>
                <c:pt idx="82">
                  <c:v>44136</c:v>
                </c:pt>
                <c:pt idx="83">
                  <c:v>44166</c:v>
                </c:pt>
                <c:pt idx="84">
                  <c:v>44197</c:v>
                </c:pt>
                <c:pt idx="85">
                  <c:v>44228</c:v>
                </c:pt>
                <c:pt idx="86">
                  <c:v>44256</c:v>
                </c:pt>
                <c:pt idx="87">
                  <c:v>44287</c:v>
                </c:pt>
                <c:pt idx="88">
                  <c:v>44317</c:v>
                </c:pt>
                <c:pt idx="89">
                  <c:v>44348</c:v>
                </c:pt>
                <c:pt idx="90">
                  <c:v>44378</c:v>
                </c:pt>
                <c:pt idx="91">
                  <c:v>44409</c:v>
                </c:pt>
                <c:pt idx="92">
                  <c:v>44440</c:v>
                </c:pt>
              </c:numCache>
            </c:numRef>
          </c:cat>
          <c:val>
            <c:numRef>
              <c:f>'Devizni kurs'!$V$39:$V$131</c:f>
              <c:numCache>
                <c:formatCode>General</c:formatCode>
                <c:ptCount val="93"/>
                <c:pt idx="0">
                  <c:v>330</c:v>
                </c:pt>
                <c:pt idx="1">
                  <c:v>280</c:v>
                </c:pt>
                <c:pt idx="2">
                  <c:v>190</c:v>
                </c:pt>
                <c:pt idx="3">
                  <c:v>-110</c:v>
                </c:pt>
                <c:pt idx="4">
                  <c:v>-20</c:v>
                </c:pt>
                <c:pt idx="5" formatCode="0">
                  <c:v>-40</c:v>
                </c:pt>
                <c:pt idx="6">
                  <c:v>30</c:v>
                </c:pt>
                <c:pt idx="7">
                  <c:v>60</c:v>
                </c:pt>
                <c:pt idx="8">
                  <c:v>135</c:v>
                </c:pt>
                <c:pt idx="9">
                  <c:v>140</c:v>
                </c:pt>
                <c:pt idx="10">
                  <c:v>250</c:v>
                </c:pt>
                <c:pt idx="11">
                  <c:v>375</c:v>
                </c:pt>
                <c:pt idx="12">
                  <c:v>90</c:v>
                </c:pt>
                <c:pt idx="13">
                  <c:v>-140</c:v>
                </c:pt>
                <c:pt idx="14">
                  <c:v>-120</c:v>
                </c:pt>
                <c:pt idx="15">
                  <c:v>-110</c:v>
                </c:pt>
                <c:pt idx="16">
                  <c:v>0</c:v>
                </c:pt>
                <c:pt idx="17">
                  <c:v>-10</c:v>
                </c:pt>
                <c:pt idx="18">
                  <c:v>-230</c:v>
                </c:pt>
                <c:pt idx="19">
                  <c:v>-130</c:v>
                </c:pt>
                <c:pt idx="20">
                  <c:v>-80</c:v>
                </c:pt>
                <c:pt idx="21">
                  <c:v>-60</c:v>
                </c:pt>
                <c:pt idx="22">
                  <c:v>0</c:v>
                </c:pt>
                <c:pt idx="23">
                  <c:v>270</c:v>
                </c:pt>
                <c:pt idx="24">
                  <c:v>290</c:v>
                </c:pt>
                <c:pt idx="25">
                  <c:v>100</c:v>
                </c:pt>
                <c:pt idx="26">
                  <c:v>175</c:v>
                </c:pt>
                <c:pt idx="27">
                  <c:v>140</c:v>
                </c:pt>
                <c:pt idx="28">
                  <c:v>65</c:v>
                </c:pt>
                <c:pt idx="29">
                  <c:v>50</c:v>
                </c:pt>
                <c:pt idx="30">
                  <c:v>-355</c:v>
                </c:pt>
                <c:pt idx="31">
                  <c:v>-90</c:v>
                </c:pt>
                <c:pt idx="32">
                  <c:v>-30</c:v>
                </c:pt>
                <c:pt idx="33">
                  <c:v>-135</c:v>
                </c:pt>
                <c:pt idx="34">
                  <c:v>-60</c:v>
                </c:pt>
                <c:pt idx="35">
                  <c:v>10</c:v>
                </c:pt>
                <c:pt idx="36">
                  <c:v>225</c:v>
                </c:pt>
                <c:pt idx="37">
                  <c:v>105</c:v>
                </c:pt>
                <c:pt idx="38">
                  <c:v>15</c:v>
                </c:pt>
                <c:pt idx="39">
                  <c:v>-40</c:v>
                </c:pt>
                <c:pt idx="40">
                  <c:v>-120</c:v>
                </c:pt>
                <c:pt idx="41">
                  <c:v>-345</c:v>
                </c:pt>
                <c:pt idx="42">
                  <c:v>-165</c:v>
                </c:pt>
                <c:pt idx="43">
                  <c:v>-290</c:v>
                </c:pt>
                <c:pt idx="44">
                  <c:v>-150</c:v>
                </c:pt>
                <c:pt idx="45">
                  <c:v>-15</c:v>
                </c:pt>
                <c:pt idx="46">
                  <c:v>-50</c:v>
                </c:pt>
                <c:pt idx="47">
                  <c:v>135</c:v>
                </c:pt>
                <c:pt idx="48">
                  <c:v>180</c:v>
                </c:pt>
                <c:pt idx="49">
                  <c:v>-180</c:v>
                </c:pt>
                <c:pt idx="50">
                  <c:v>-400</c:v>
                </c:pt>
                <c:pt idx="51">
                  <c:v>-205</c:v>
                </c:pt>
                <c:pt idx="52">
                  <c:v>-220</c:v>
                </c:pt>
                <c:pt idx="53">
                  <c:v>-365</c:v>
                </c:pt>
                <c:pt idx="54">
                  <c:v>-220</c:v>
                </c:pt>
                <c:pt idx="55">
                  <c:v>-190</c:v>
                </c:pt>
                <c:pt idx="56">
                  <c:v>5</c:v>
                </c:pt>
                <c:pt idx="57">
                  <c:v>30</c:v>
                </c:pt>
                <c:pt idx="58">
                  <c:v>-15</c:v>
                </c:pt>
                <c:pt idx="59">
                  <c:v>0</c:v>
                </c:pt>
                <c:pt idx="60">
                  <c:v>130</c:v>
                </c:pt>
                <c:pt idx="61">
                  <c:v>-30</c:v>
                </c:pt>
                <c:pt idx="62">
                  <c:v>-135</c:v>
                </c:pt>
                <c:pt idx="63">
                  <c:v>-75</c:v>
                </c:pt>
                <c:pt idx="64" formatCode="0">
                  <c:v>-110</c:v>
                </c:pt>
                <c:pt idx="65" formatCode="0">
                  <c:v>-735</c:v>
                </c:pt>
                <c:pt idx="66" formatCode="0">
                  <c:v>-645</c:v>
                </c:pt>
                <c:pt idx="67" formatCode="0">
                  <c:v>-105</c:v>
                </c:pt>
                <c:pt idx="68" formatCode="0">
                  <c:v>-410</c:v>
                </c:pt>
                <c:pt idx="69">
                  <c:v>-235</c:v>
                </c:pt>
                <c:pt idx="70">
                  <c:v>0</c:v>
                </c:pt>
                <c:pt idx="71">
                  <c:v>-355</c:v>
                </c:pt>
                <c:pt idx="72">
                  <c:v>-15</c:v>
                </c:pt>
                <c:pt idx="73">
                  <c:v>65</c:v>
                </c:pt>
                <c:pt idx="74">
                  <c:v>135</c:v>
                </c:pt>
                <c:pt idx="75">
                  <c:v>440</c:v>
                </c:pt>
                <c:pt idx="76">
                  <c:v>250</c:v>
                </c:pt>
                <c:pt idx="77">
                  <c:v>155</c:v>
                </c:pt>
                <c:pt idx="78">
                  <c:v>325</c:v>
                </c:pt>
                <c:pt idx="79">
                  <c:v>160</c:v>
                </c:pt>
                <c:pt idx="80">
                  <c:v>120</c:v>
                </c:pt>
                <c:pt idx="81">
                  <c:v>100</c:v>
                </c:pt>
                <c:pt idx="82">
                  <c:v>-115</c:v>
                </c:pt>
                <c:pt idx="83">
                  <c:v>-170</c:v>
                </c:pt>
                <c:pt idx="84">
                  <c:v>105</c:v>
                </c:pt>
                <c:pt idx="85">
                  <c:v>-55</c:v>
                </c:pt>
                <c:pt idx="86">
                  <c:v>0</c:v>
                </c:pt>
                <c:pt idx="87">
                  <c:v>0</c:v>
                </c:pt>
                <c:pt idx="88">
                  <c:v>-45</c:v>
                </c:pt>
                <c:pt idx="89">
                  <c:v>-325</c:v>
                </c:pt>
                <c:pt idx="90">
                  <c:v>-380</c:v>
                </c:pt>
                <c:pt idx="91">
                  <c:v>-265</c:v>
                </c:pt>
                <c:pt idx="92">
                  <c:v>-135</c:v>
                </c:pt>
              </c:numCache>
            </c:numRef>
          </c:val>
          <c:extLst>
            <c:ext xmlns:c16="http://schemas.microsoft.com/office/drawing/2014/chart" uri="{C3380CC4-5D6E-409C-BE32-E72D297353CC}">
              <c16:uniqueId val="{00000000-9A09-4E7E-9621-D6BD85FE6082}"/>
            </c:ext>
          </c:extLst>
        </c:ser>
        <c:dLbls>
          <c:showLegendKey val="0"/>
          <c:showVal val="0"/>
          <c:showCatName val="0"/>
          <c:showSerName val="0"/>
          <c:showPercent val="0"/>
          <c:showBubbleSize val="0"/>
        </c:dLbls>
        <c:gapWidth val="30"/>
        <c:axId val="1839186832"/>
        <c:axId val="1839203696"/>
      </c:barChart>
      <c:lineChart>
        <c:grouping val="standard"/>
        <c:varyColors val="0"/>
        <c:ser>
          <c:idx val="0"/>
          <c:order val="0"/>
          <c:tx>
            <c:strRef>
              <c:f>'Devizni kurs'!$U$2</c:f>
              <c:strCache>
                <c:ptCount val="1"/>
                <c:pt idx="0">
                  <c:v>Просечан девизни курс ЕУР/РСД</c:v>
                </c:pt>
              </c:strCache>
            </c:strRef>
          </c:tx>
          <c:spPr>
            <a:ln w="22225" cap="rnd">
              <a:solidFill>
                <a:srgbClr val="FF0000"/>
              </a:solidFill>
              <a:round/>
            </a:ln>
            <a:effectLst/>
          </c:spPr>
          <c:marker>
            <c:symbol val="none"/>
          </c:marker>
          <c:cat>
            <c:numRef>
              <c:f>'Devizni kurs'!$Q$39:$Q$131</c:f>
              <c:numCache>
                <c:formatCode>yyyy</c:formatCode>
                <c:ptCount val="93"/>
                <c:pt idx="0">
                  <c:v>41640</c:v>
                </c:pt>
                <c:pt idx="1">
                  <c:v>41671</c:v>
                </c:pt>
                <c:pt idx="2">
                  <c:v>41699</c:v>
                </c:pt>
                <c:pt idx="3">
                  <c:v>41730</c:v>
                </c:pt>
                <c:pt idx="4">
                  <c:v>41760</c:v>
                </c:pt>
                <c:pt idx="5">
                  <c:v>41791</c:v>
                </c:pt>
                <c:pt idx="6">
                  <c:v>41821</c:v>
                </c:pt>
                <c:pt idx="7">
                  <c:v>41852</c:v>
                </c:pt>
                <c:pt idx="8">
                  <c:v>41883</c:v>
                </c:pt>
                <c:pt idx="9">
                  <c:v>41913</c:v>
                </c:pt>
                <c:pt idx="10">
                  <c:v>41944</c:v>
                </c:pt>
                <c:pt idx="11">
                  <c:v>41974</c:v>
                </c:pt>
                <c:pt idx="12">
                  <c:v>42005</c:v>
                </c:pt>
                <c:pt idx="13">
                  <c:v>42036</c:v>
                </c:pt>
                <c:pt idx="14">
                  <c:v>42064</c:v>
                </c:pt>
                <c:pt idx="15">
                  <c:v>42095</c:v>
                </c:pt>
                <c:pt idx="16">
                  <c:v>42125</c:v>
                </c:pt>
                <c:pt idx="17">
                  <c:v>42156</c:v>
                </c:pt>
                <c:pt idx="18">
                  <c:v>42186</c:v>
                </c:pt>
                <c:pt idx="19">
                  <c:v>42217</c:v>
                </c:pt>
                <c:pt idx="20">
                  <c:v>42248</c:v>
                </c:pt>
                <c:pt idx="21">
                  <c:v>42278</c:v>
                </c:pt>
                <c:pt idx="22">
                  <c:v>42309</c:v>
                </c:pt>
                <c:pt idx="23">
                  <c:v>42339</c:v>
                </c:pt>
                <c:pt idx="24">
                  <c:v>42370</c:v>
                </c:pt>
                <c:pt idx="25">
                  <c:v>42401</c:v>
                </c:pt>
                <c:pt idx="26">
                  <c:v>42430</c:v>
                </c:pt>
                <c:pt idx="27">
                  <c:v>42461</c:v>
                </c:pt>
                <c:pt idx="28">
                  <c:v>42491</c:v>
                </c:pt>
                <c:pt idx="29">
                  <c:v>42522</c:v>
                </c:pt>
                <c:pt idx="30">
                  <c:v>42552</c:v>
                </c:pt>
                <c:pt idx="31">
                  <c:v>42583</c:v>
                </c:pt>
                <c:pt idx="32">
                  <c:v>42614</c:v>
                </c:pt>
                <c:pt idx="33">
                  <c:v>42644</c:v>
                </c:pt>
                <c:pt idx="34">
                  <c:v>42675</c:v>
                </c:pt>
                <c:pt idx="35">
                  <c:v>42705</c:v>
                </c:pt>
                <c:pt idx="36">
                  <c:v>42736</c:v>
                </c:pt>
                <c:pt idx="37">
                  <c:v>42767</c:v>
                </c:pt>
                <c:pt idx="38">
                  <c:v>42795</c:v>
                </c:pt>
                <c:pt idx="39">
                  <c:v>42826</c:v>
                </c:pt>
                <c:pt idx="40">
                  <c:v>42856</c:v>
                </c:pt>
                <c:pt idx="41">
                  <c:v>42887</c:v>
                </c:pt>
                <c:pt idx="42">
                  <c:v>42917</c:v>
                </c:pt>
                <c:pt idx="43">
                  <c:v>42948</c:v>
                </c:pt>
                <c:pt idx="44">
                  <c:v>42979</c:v>
                </c:pt>
                <c:pt idx="45">
                  <c:v>43009</c:v>
                </c:pt>
                <c:pt idx="46">
                  <c:v>43040</c:v>
                </c:pt>
                <c:pt idx="47">
                  <c:v>43070</c:v>
                </c:pt>
                <c:pt idx="48">
                  <c:v>43101</c:v>
                </c:pt>
                <c:pt idx="49">
                  <c:v>43132</c:v>
                </c:pt>
                <c:pt idx="50">
                  <c:v>43160</c:v>
                </c:pt>
                <c:pt idx="51">
                  <c:v>43191</c:v>
                </c:pt>
                <c:pt idx="52">
                  <c:v>43221</c:v>
                </c:pt>
                <c:pt idx="53">
                  <c:v>43252</c:v>
                </c:pt>
                <c:pt idx="54">
                  <c:v>43282</c:v>
                </c:pt>
                <c:pt idx="55">
                  <c:v>43313</c:v>
                </c:pt>
                <c:pt idx="56">
                  <c:v>43344</c:v>
                </c:pt>
                <c:pt idx="57">
                  <c:v>43374</c:v>
                </c:pt>
                <c:pt idx="58">
                  <c:v>43405</c:v>
                </c:pt>
                <c:pt idx="59">
                  <c:v>43435</c:v>
                </c:pt>
                <c:pt idx="60">
                  <c:v>43466</c:v>
                </c:pt>
                <c:pt idx="61">
                  <c:v>43497</c:v>
                </c:pt>
                <c:pt idx="62">
                  <c:v>43525</c:v>
                </c:pt>
                <c:pt idx="63">
                  <c:v>43556</c:v>
                </c:pt>
                <c:pt idx="64">
                  <c:v>43586</c:v>
                </c:pt>
                <c:pt idx="65">
                  <c:v>43617</c:v>
                </c:pt>
                <c:pt idx="66">
                  <c:v>43647</c:v>
                </c:pt>
                <c:pt idx="67">
                  <c:v>43678</c:v>
                </c:pt>
                <c:pt idx="68">
                  <c:v>43709</c:v>
                </c:pt>
                <c:pt idx="69">
                  <c:v>43739</c:v>
                </c:pt>
                <c:pt idx="70">
                  <c:v>43770</c:v>
                </c:pt>
                <c:pt idx="71">
                  <c:v>43800</c:v>
                </c:pt>
                <c:pt idx="72">
                  <c:v>43831</c:v>
                </c:pt>
                <c:pt idx="73">
                  <c:v>43862</c:v>
                </c:pt>
                <c:pt idx="74">
                  <c:v>43891</c:v>
                </c:pt>
                <c:pt idx="75">
                  <c:v>43922</c:v>
                </c:pt>
                <c:pt idx="76">
                  <c:v>43952</c:v>
                </c:pt>
                <c:pt idx="77">
                  <c:v>43983</c:v>
                </c:pt>
                <c:pt idx="78">
                  <c:v>44013</c:v>
                </c:pt>
                <c:pt idx="79">
                  <c:v>44044</c:v>
                </c:pt>
                <c:pt idx="80">
                  <c:v>44075</c:v>
                </c:pt>
                <c:pt idx="81">
                  <c:v>44105</c:v>
                </c:pt>
                <c:pt idx="82">
                  <c:v>44136</c:v>
                </c:pt>
                <c:pt idx="83">
                  <c:v>44166</c:v>
                </c:pt>
                <c:pt idx="84">
                  <c:v>44197</c:v>
                </c:pt>
                <c:pt idx="85">
                  <c:v>44228</c:v>
                </c:pt>
                <c:pt idx="86">
                  <c:v>44256</c:v>
                </c:pt>
                <c:pt idx="87">
                  <c:v>44287</c:v>
                </c:pt>
                <c:pt idx="88">
                  <c:v>44317</c:v>
                </c:pt>
                <c:pt idx="89">
                  <c:v>44348</c:v>
                </c:pt>
                <c:pt idx="90">
                  <c:v>44378</c:v>
                </c:pt>
                <c:pt idx="91">
                  <c:v>44409</c:v>
                </c:pt>
                <c:pt idx="92">
                  <c:v>44440</c:v>
                </c:pt>
              </c:numCache>
            </c:numRef>
          </c:cat>
          <c:val>
            <c:numRef>
              <c:f>'Devizni kurs'!$U$39:$U$131</c:f>
              <c:numCache>
                <c:formatCode>0.00</c:formatCode>
                <c:ptCount val="93"/>
                <c:pt idx="0">
                  <c:v>115.50068000000002</c:v>
                </c:pt>
                <c:pt idx="1">
                  <c:v>115.89948421052632</c:v>
                </c:pt>
                <c:pt idx="2">
                  <c:v>115.84343333333334</c:v>
                </c:pt>
                <c:pt idx="3">
                  <c:v>115.5407</c:v>
                </c:pt>
                <c:pt idx="4">
                  <c:v>115.65779999999999</c:v>
                </c:pt>
                <c:pt idx="5">
                  <c:v>115.5341</c:v>
                </c:pt>
                <c:pt idx="6">
                  <c:v>116.22490000000001</c:v>
                </c:pt>
                <c:pt idx="7">
                  <c:v>117.3078</c:v>
                </c:pt>
                <c:pt idx="8">
                  <c:v>118.61799999999999</c:v>
                </c:pt>
                <c:pt idx="9">
                  <c:v>119.3497</c:v>
                </c:pt>
                <c:pt idx="10">
                  <c:v>119.9829</c:v>
                </c:pt>
                <c:pt idx="11">
                  <c:v>121.53</c:v>
                </c:pt>
                <c:pt idx="12">
                  <c:v>122.62</c:v>
                </c:pt>
                <c:pt idx="13">
                  <c:v>121.58</c:v>
                </c:pt>
                <c:pt idx="14">
                  <c:v>120.47</c:v>
                </c:pt>
                <c:pt idx="15">
                  <c:v>120.17</c:v>
                </c:pt>
                <c:pt idx="16">
                  <c:v>120.59</c:v>
                </c:pt>
                <c:pt idx="17">
                  <c:v>120.55517727272726</c:v>
                </c:pt>
                <c:pt idx="18">
                  <c:v>120.21342173913044</c:v>
                </c:pt>
                <c:pt idx="19">
                  <c:v>120.22183333333331</c:v>
                </c:pt>
                <c:pt idx="20">
                  <c:v>120.18703181818181</c:v>
                </c:pt>
                <c:pt idx="21">
                  <c:v>120.07991818181817</c:v>
                </c:pt>
                <c:pt idx="22">
                  <c:v>120.65054000000001</c:v>
                </c:pt>
                <c:pt idx="23">
                  <c:v>121.75174782608696</c:v>
                </c:pt>
                <c:pt idx="24">
                  <c:v>122.54524736842107</c:v>
                </c:pt>
                <c:pt idx="25">
                  <c:v>122.87654736842104</c:v>
                </c:pt>
                <c:pt idx="26">
                  <c:v>123.13206956521738</c:v>
                </c:pt>
                <c:pt idx="27">
                  <c:v>122.80799500000001</c:v>
                </c:pt>
                <c:pt idx="28">
                  <c:v>122.82450500000002</c:v>
                </c:pt>
                <c:pt idx="29">
                  <c:v>123.40000909090909</c:v>
                </c:pt>
                <c:pt idx="30">
                  <c:v>123.34886190476189</c:v>
                </c:pt>
                <c:pt idx="31">
                  <c:v>123.30531739130437</c:v>
                </c:pt>
                <c:pt idx="32">
                  <c:v>123.23121818181816</c:v>
                </c:pt>
                <c:pt idx="33">
                  <c:v>123.17817142857142</c:v>
                </c:pt>
                <c:pt idx="34">
                  <c:v>123.18741904761906</c:v>
                </c:pt>
                <c:pt idx="35">
                  <c:v>123.42</c:v>
                </c:pt>
                <c:pt idx="36">
                  <c:v>123.8</c:v>
                </c:pt>
                <c:pt idx="37">
                  <c:v>123.94</c:v>
                </c:pt>
                <c:pt idx="38">
                  <c:v>123.89</c:v>
                </c:pt>
                <c:pt idx="39">
                  <c:v>123.66</c:v>
                </c:pt>
                <c:pt idx="40">
                  <c:v>123.05</c:v>
                </c:pt>
                <c:pt idx="41">
                  <c:v>122.02</c:v>
                </c:pt>
                <c:pt idx="42">
                  <c:v>120.42</c:v>
                </c:pt>
                <c:pt idx="43">
                  <c:v>119.57</c:v>
                </c:pt>
                <c:pt idx="44">
                  <c:v>119.2957</c:v>
                </c:pt>
                <c:pt idx="45">
                  <c:v>119.2818</c:v>
                </c:pt>
                <c:pt idx="46">
                  <c:v>118.89884545454547</c:v>
                </c:pt>
                <c:pt idx="47">
                  <c:v>119.13943333333332</c:v>
                </c:pt>
                <c:pt idx="48">
                  <c:v>118.61770952380952</c:v>
                </c:pt>
                <c:pt idx="49">
                  <c:v>118.39149999999999</c:v>
                </c:pt>
                <c:pt idx="50">
                  <c:v>118.2688</c:v>
                </c:pt>
                <c:pt idx="51">
                  <c:v>118.19159999999999</c:v>
                </c:pt>
                <c:pt idx="52">
                  <c:v>118.18894761904762</c:v>
                </c:pt>
                <c:pt idx="53">
                  <c:v>118.13484285714287</c:v>
                </c:pt>
                <c:pt idx="54">
                  <c:v>118.04732272727273</c:v>
                </c:pt>
                <c:pt idx="55">
                  <c:v>118.10411304347828</c:v>
                </c:pt>
                <c:pt idx="56">
                  <c:v>118.278565</c:v>
                </c:pt>
                <c:pt idx="57">
                  <c:v>118.43672608695648</c:v>
                </c:pt>
                <c:pt idx="58">
                  <c:v>118.34287619047618</c:v>
                </c:pt>
                <c:pt idx="59">
                  <c:v>118.27724285714282</c:v>
                </c:pt>
                <c:pt idx="60">
                  <c:v>118.41</c:v>
                </c:pt>
                <c:pt idx="61">
                  <c:v>118.24</c:v>
                </c:pt>
                <c:pt idx="62">
                  <c:v>118.04</c:v>
                </c:pt>
                <c:pt idx="63">
                  <c:v>117.99</c:v>
                </c:pt>
                <c:pt idx="64">
                  <c:v>117.96469999999999</c:v>
                </c:pt>
                <c:pt idx="65">
                  <c:v>117.93766999999998</c:v>
                </c:pt>
                <c:pt idx="66">
                  <c:v>117.78449999999999</c:v>
                </c:pt>
                <c:pt idx="67">
                  <c:v>117.777</c:v>
                </c:pt>
                <c:pt idx="68">
                  <c:v>117.5958</c:v>
                </c:pt>
                <c:pt idx="69">
                  <c:v>117.5453</c:v>
                </c:pt>
                <c:pt idx="70">
                  <c:v>117.51315499999998</c:v>
                </c:pt>
                <c:pt idx="71">
                  <c:v>117.54</c:v>
                </c:pt>
                <c:pt idx="72">
                  <c:v>117.5643</c:v>
                </c:pt>
                <c:pt idx="73">
                  <c:v>117.57170000000001</c:v>
                </c:pt>
                <c:pt idx="74">
                  <c:v>117.5625</c:v>
                </c:pt>
                <c:pt idx="75">
                  <c:v>117.5694</c:v>
                </c:pt>
                <c:pt idx="76">
                  <c:v>117.5913</c:v>
                </c:pt>
                <c:pt idx="77">
                  <c:v>117.5852</c:v>
                </c:pt>
                <c:pt idx="78">
                  <c:v>117.58579130434782</c:v>
                </c:pt>
                <c:pt idx="79">
                  <c:v>117.58645238095237</c:v>
                </c:pt>
                <c:pt idx="80">
                  <c:v>117.58302727272726</c:v>
                </c:pt>
                <c:pt idx="81" formatCode="General">
                  <c:v>117.58</c:v>
                </c:pt>
                <c:pt idx="82">
                  <c:v>117.57380000000001</c:v>
                </c:pt>
                <c:pt idx="83">
                  <c:v>117.57769999999999</c:v>
                </c:pt>
                <c:pt idx="84">
                  <c:v>117.58203684210527</c:v>
                </c:pt>
                <c:pt idx="85">
                  <c:v>117.57634999999998</c:v>
                </c:pt>
                <c:pt idx="86">
                  <c:v>117.57657826086957</c:v>
                </c:pt>
                <c:pt idx="87">
                  <c:v>117.57283333333332</c:v>
                </c:pt>
                <c:pt idx="88">
                  <c:v>117.57888421052631</c:v>
                </c:pt>
                <c:pt idx="89">
                  <c:v>117.57026363636363</c:v>
                </c:pt>
                <c:pt idx="90">
                  <c:v>117.56288181818182</c:v>
                </c:pt>
                <c:pt idx="91">
                  <c:v>117.56745909090908</c:v>
                </c:pt>
                <c:pt idx="92">
                  <c:v>117.5668</c:v>
                </c:pt>
              </c:numCache>
            </c:numRef>
          </c:val>
          <c:smooth val="0"/>
          <c:extLst>
            <c:ext xmlns:c16="http://schemas.microsoft.com/office/drawing/2014/chart" uri="{C3380CC4-5D6E-409C-BE32-E72D297353CC}">
              <c16:uniqueId val="{00000001-9A09-4E7E-9621-D6BD85FE6082}"/>
            </c:ext>
          </c:extLst>
        </c:ser>
        <c:ser>
          <c:idx val="2"/>
          <c:order val="2"/>
          <c:tx>
            <c:strRef>
              <c:f>'Devizni kurs'!$W$2</c:f>
              <c:strCache>
                <c:ptCount val="1"/>
              </c:strCache>
            </c:strRef>
          </c:tx>
          <c:spPr>
            <a:ln w="28575" cap="rnd">
              <a:noFill/>
              <a:round/>
            </a:ln>
            <a:effectLst/>
          </c:spPr>
          <c:marker>
            <c:symbol val="square"/>
            <c:size val="2"/>
            <c:spPr>
              <a:solidFill>
                <a:schemeClr val="bg1"/>
              </a:solidFill>
              <a:ln w="9525">
                <a:noFill/>
              </a:ln>
              <a:effectLst/>
            </c:spPr>
          </c:marker>
          <c:dLbls>
            <c:dLbl>
              <c:idx val="0"/>
              <c:layout>
                <c:manualLayout>
                  <c:x val="-1.0095873432487606E-2"/>
                  <c:y val="3.8385859931566971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2-9A09-4E7E-9621-D6BD85FE6082}"/>
                </c:ext>
              </c:extLst>
            </c:dLbl>
            <c:dLbl>
              <c:idx val="12"/>
              <c:layout>
                <c:manualLayout>
                  <c:x val="-1.4740813648294005E-2"/>
                  <c:y val="3.8385859931566971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3-9A09-4E7E-9621-D6BD85FE6082}"/>
                </c:ext>
              </c:extLst>
            </c:dLbl>
            <c:dLbl>
              <c:idx val="24"/>
              <c:layout>
                <c:manualLayout>
                  <c:x val="-1.4736803732866767E-2"/>
                  <c:y val="3.8385859931566971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4-9A09-4E7E-9621-D6BD85FE6082}"/>
                </c:ext>
              </c:extLst>
            </c:dLbl>
            <c:dLbl>
              <c:idx val="36"/>
              <c:layout>
                <c:manualLayout>
                  <c:x val="-1.0111184018664334E-2"/>
                  <c:y val="3.8385859931566971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5-9A09-4E7E-9621-D6BD85FE6082}"/>
                </c:ext>
              </c:extLst>
            </c:dLbl>
            <c:dLbl>
              <c:idx val="48"/>
              <c:layout>
                <c:manualLayout>
                  <c:x val="-1.0894575678040331E-2"/>
                  <c:y val="3.8385566710315594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6-9A09-4E7E-9621-D6BD85FE6082}"/>
                </c:ext>
              </c:extLst>
            </c:dLbl>
            <c:dLbl>
              <c:idx val="60"/>
              <c:layout>
                <c:manualLayout>
                  <c:x val="-1.1555459739139894E-2"/>
                  <c:y val="3.8385846442506755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7-9A09-4E7E-9621-D6BD85FE6082}"/>
                </c:ext>
              </c:extLst>
            </c:dLbl>
            <c:dLbl>
              <c:idx val="72"/>
              <c:layout>
                <c:manualLayout>
                  <c:x val="-1.2098643919510061E-2"/>
                  <c:y val="3.7904736348413862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8-9A09-4E7E-9621-D6BD85FE6082}"/>
                </c:ext>
              </c:extLst>
            </c:dLbl>
            <c:dLbl>
              <c:idx val="84"/>
              <c:layout>
                <c:manualLayout>
                  <c:x val="-3.1481481481481478E-2"/>
                  <c:y val="3.7529412668681261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9-9A09-4E7E-9621-D6BD85FE6082}"/>
                </c:ext>
              </c:extLst>
            </c:dLbl>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tx2"/>
                    </a:solidFill>
                    <a:latin typeface="+mn-lt"/>
                    <a:ea typeface="+mn-ea"/>
                    <a:cs typeface="+mn-cs"/>
                  </a:defRPr>
                </a:pPr>
                <a:endParaRPr lang="en-U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'Devizni kurs'!$Q$39:$Q$131</c:f>
              <c:numCache>
                <c:formatCode>yyyy</c:formatCode>
                <c:ptCount val="93"/>
                <c:pt idx="0">
                  <c:v>41640</c:v>
                </c:pt>
                <c:pt idx="1">
                  <c:v>41671</c:v>
                </c:pt>
                <c:pt idx="2">
                  <c:v>41699</c:v>
                </c:pt>
                <c:pt idx="3">
                  <c:v>41730</c:v>
                </c:pt>
                <c:pt idx="4">
                  <c:v>41760</c:v>
                </c:pt>
                <c:pt idx="5">
                  <c:v>41791</c:v>
                </c:pt>
                <c:pt idx="6">
                  <c:v>41821</c:v>
                </c:pt>
                <c:pt idx="7">
                  <c:v>41852</c:v>
                </c:pt>
                <c:pt idx="8">
                  <c:v>41883</c:v>
                </c:pt>
                <c:pt idx="9">
                  <c:v>41913</c:v>
                </c:pt>
                <c:pt idx="10">
                  <c:v>41944</c:v>
                </c:pt>
                <c:pt idx="11">
                  <c:v>41974</c:v>
                </c:pt>
                <c:pt idx="12">
                  <c:v>42005</c:v>
                </c:pt>
                <c:pt idx="13">
                  <c:v>42036</c:v>
                </c:pt>
                <c:pt idx="14">
                  <c:v>42064</c:v>
                </c:pt>
                <c:pt idx="15">
                  <c:v>42095</c:v>
                </c:pt>
                <c:pt idx="16">
                  <c:v>42125</c:v>
                </c:pt>
                <c:pt idx="17">
                  <c:v>42156</c:v>
                </c:pt>
                <c:pt idx="18">
                  <c:v>42186</c:v>
                </c:pt>
                <c:pt idx="19">
                  <c:v>42217</c:v>
                </c:pt>
                <c:pt idx="20">
                  <c:v>42248</c:v>
                </c:pt>
                <c:pt idx="21">
                  <c:v>42278</c:v>
                </c:pt>
                <c:pt idx="22">
                  <c:v>42309</c:v>
                </c:pt>
                <c:pt idx="23">
                  <c:v>42339</c:v>
                </c:pt>
                <c:pt idx="24">
                  <c:v>42370</c:v>
                </c:pt>
                <c:pt idx="25">
                  <c:v>42401</c:v>
                </c:pt>
                <c:pt idx="26">
                  <c:v>42430</c:v>
                </c:pt>
                <c:pt idx="27">
                  <c:v>42461</c:v>
                </c:pt>
                <c:pt idx="28">
                  <c:v>42491</c:v>
                </c:pt>
                <c:pt idx="29">
                  <c:v>42522</c:v>
                </c:pt>
                <c:pt idx="30">
                  <c:v>42552</c:v>
                </c:pt>
                <c:pt idx="31">
                  <c:v>42583</c:v>
                </c:pt>
                <c:pt idx="32">
                  <c:v>42614</c:v>
                </c:pt>
                <c:pt idx="33">
                  <c:v>42644</c:v>
                </c:pt>
                <c:pt idx="34">
                  <c:v>42675</c:v>
                </c:pt>
                <c:pt idx="35">
                  <c:v>42705</c:v>
                </c:pt>
                <c:pt idx="36">
                  <c:v>42736</c:v>
                </c:pt>
                <c:pt idx="37">
                  <c:v>42767</c:v>
                </c:pt>
                <c:pt idx="38">
                  <c:v>42795</c:v>
                </c:pt>
                <c:pt idx="39">
                  <c:v>42826</c:v>
                </c:pt>
                <c:pt idx="40">
                  <c:v>42856</c:v>
                </c:pt>
                <c:pt idx="41">
                  <c:v>42887</c:v>
                </c:pt>
                <c:pt idx="42">
                  <c:v>42917</c:v>
                </c:pt>
                <c:pt idx="43">
                  <c:v>42948</c:v>
                </c:pt>
                <c:pt idx="44">
                  <c:v>42979</c:v>
                </c:pt>
                <c:pt idx="45">
                  <c:v>43009</c:v>
                </c:pt>
                <c:pt idx="46">
                  <c:v>43040</c:v>
                </c:pt>
                <c:pt idx="47">
                  <c:v>43070</c:v>
                </c:pt>
                <c:pt idx="48">
                  <c:v>43101</c:v>
                </c:pt>
                <c:pt idx="49">
                  <c:v>43132</c:v>
                </c:pt>
                <c:pt idx="50">
                  <c:v>43160</c:v>
                </c:pt>
                <c:pt idx="51">
                  <c:v>43191</c:v>
                </c:pt>
                <c:pt idx="52">
                  <c:v>43221</c:v>
                </c:pt>
                <c:pt idx="53">
                  <c:v>43252</c:v>
                </c:pt>
                <c:pt idx="54">
                  <c:v>43282</c:v>
                </c:pt>
                <c:pt idx="55">
                  <c:v>43313</c:v>
                </c:pt>
                <c:pt idx="56">
                  <c:v>43344</c:v>
                </c:pt>
                <c:pt idx="57">
                  <c:v>43374</c:v>
                </c:pt>
                <c:pt idx="58">
                  <c:v>43405</c:v>
                </c:pt>
                <c:pt idx="59">
                  <c:v>43435</c:v>
                </c:pt>
                <c:pt idx="60">
                  <c:v>43466</c:v>
                </c:pt>
                <c:pt idx="61">
                  <c:v>43497</c:v>
                </c:pt>
                <c:pt idx="62">
                  <c:v>43525</c:v>
                </c:pt>
                <c:pt idx="63">
                  <c:v>43556</c:v>
                </c:pt>
                <c:pt idx="64">
                  <c:v>43586</c:v>
                </c:pt>
                <c:pt idx="65">
                  <c:v>43617</c:v>
                </c:pt>
                <c:pt idx="66">
                  <c:v>43647</c:v>
                </c:pt>
                <c:pt idx="67">
                  <c:v>43678</c:v>
                </c:pt>
                <c:pt idx="68">
                  <c:v>43709</c:v>
                </c:pt>
                <c:pt idx="69">
                  <c:v>43739</c:v>
                </c:pt>
                <c:pt idx="70">
                  <c:v>43770</c:v>
                </c:pt>
                <c:pt idx="71">
                  <c:v>43800</c:v>
                </c:pt>
                <c:pt idx="72">
                  <c:v>43831</c:v>
                </c:pt>
                <c:pt idx="73">
                  <c:v>43862</c:v>
                </c:pt>
                <c:pt idx="74">
                  <c:v>43891</c:v>
                </c:pt>
                <c:pt idx="75">
                  <c:v>43922</c:v>
                </c:pt>
                <c:pt idx="76">
                  <c:v>43952</c:v>
                </c:pt>
                <c:pt idx="77">
                  <c:v>43983</c:v>
                </c:pt>
                <c:pt idx="78">
                  <c:v>44013</c:v>
                </c:pt>
                <c:pt idx="79">
                  <c:v>44044</c:v>
                </c:pt>
                <c:pt idx="80">
                  <c:v>44075</c:v>
                </c:pt>
                <c:pt idx="81">
                  <c:v>44105</c:v>
                </c:pt>
                <c:pt idx="82">
                  <c:v>44136</c:v>
                </c:pt>
                <c:pt idx="83">
                  <c:v>44166</c:v>
                </c:pt>
                <c:pt idx="84">
                  <c:v>44197</c:v>
                </c:pt>
                <c:pt idx="85">
                  <c:v>44228</c:v>
                </c:pt>
                <c:pt idx="86">
                  <c:v>44256</c:v>
                </c:pt>
                <c:pt idx="87">
                  <c:v>44287</c:v>
                </c:pt>
                <c:pt idx="88">
                  <c:v>44317</c:v>
                </c:pt>
                <c:pt idx="89">
                  <c:v>44348</c:v>
                </c:pt>
                <c:pt idx="90">
                  <c:v>44378</c:v>
                </c:pt>
                <c:pt idx="91">
                  <c:v>44409</c:v>
                </c:pt>
                <c:pt idx="92">
                  <c:v>44440</c:v>
                </c:pt>
              </c:numCache>
            </c:numRef>
          </c:cat>
          <c:val>
            <c:numRef>
              <c:f>'Devizni kurs'!$W$39:$W$131</c:f>
              <c:numCache>
                <c:formatCode>General</c:formatCode>
                <c:ptCount val="93"/>
                <c:pt idx="0">
                  <c:v>85</c:v>
                </c:pt>
                <c:pt idx="12">
                  <c:v>85</c:v>
                </c:pt>
                <c:pt idx="24">
                  <c:v>85</c:v>
                </c:pt>
                <c:pt idx="36">
                  <c:v>85</c:v>
                </c:pt>
                <c:pt idx="48">
                  <c:v>85</c:v>
                </c:pt>
                <c:pt idx="60">
                  <c:v>85</c:v>
                </c:pt>
                <c:pt idx="72">
                  <c:v>85</c:v>
                </c:pt>
                <c:pt idx="84">
                  <c:v>85</c:v>
                </c:pt>
              </c:numCache>
            </c:numRef>
          </c:val>
          <c:smooth val="0"/>
          <c:extLst>
            <c:ext xmlns:c16="http://schemas.microsoft.com/office/drawing/2014/chart" uri="{C3380CC4-5D6E-409C-BE32-E72D297353CC}">
              <c16:uniqueId val="{0000000A-9A09-4E7E-9621-D6BD85FE6082}"/>
            </c:ext>
          </c:extLst>
        </c:ser>
        <c:dLbls>
          <c:showLegendKey val="0"/>
          <c:showVal val="0"/>
          <c:showCatName val="0"/>
          <c:showSerName val="0"/>
          <c:showPercent val="0"/>
          <c:showBubbleSize val="0"/>
        </c:dLbls>
        <c:marker val="1"/>
        <c:smooth val="0"/>
        <c:axId val="1839186288"/>
        <c:axId val="1839187920"/>
      </c:lineChart>
      <c:catAx>
        <c:axId val="1839186288"/>
        <c:scaling>
          <c:orientation val="minMax"/>
        </c:scaling>
        <c:delete val="0"/>
        <c:axPos val="b"/>
        <c:numFmt formatCode="\I\ yyyy" sourceLinked="0"/>
        <c:majorTickMark val="none"/>
        <c:minorTickMark val="none"/>
        <c:tickLblPos val="none"/>
        <c:spPr>
          <a:noFill/>
          <a:ln w="6350" cap="flat" cmpd="sng" algn="ctr">
            <a:solidFill>
              <a:srgbClr val="898989"/>
            </a:solidFill>
            <a:round/>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1839187920"/>
        <c:crosses val="autoZero"/>
        <c:auto val="0"/>
        <c:lblAlgn val="ctr"/>
        <c:lblOffset val="100"/>
        <c:tickLblSkip val="12"/>
        <c:noMultiLvlLbl val="1"/>
      </c:catAx>
      <c:valAx>
        <c:axId val="1839187920"/>
        <c:scaling>
          <c:orientation val="minMax"/>
          <c:max val="140"/>
          <c:min val="85"/>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1839186288"/>
        <c:crosses val="autoZero"/>
        <c:crossBetween val="midCat"/>
        <c:majorUnit val="10"/>
      </c:valAx>
      <c:valAx>
        <c:axId val="1839203696"/>
        <c:scaling>
          <c:orientation val="minMax"/>
        </c:scaling>
        <c:delete val="0"/>
        <c:axPos val="r"/>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1839186832"/>
        <c:crosses val="max"/>
        <c:crossBetween val="between"/>
        <c:majorUnit val="200"/>
      </c:valAx>
      <c:dateAx>
        <c:axId val="1839186832"/>
        <c:scaling>
          <c:orientation val="minMax"/>
        </c:scaling>
        <c:delete val="1"/>
        <c:axPos val="b"/>
        <c:numFmt formatCode="yyyy" sourceLinked="1"/>
        <c:majorTickMark val="out"/>
        <c:minorTickMark val="none"/>
        <c:tickLblPos val="nextTo"/>
        <c:crossAx val="1839203696"/>
        <c:crosses val="autoZero"/>
        <c:auto val="1"/>
        <c:lblOffset val="100"/>
        <c:baseTimeUnit val="months"/>
      </c:dateAx>
      <c:spPr>
        <a:noFill/>
        <a:ln>
          <a:noFill/>
        </a:ln>
        <a:effectLst/>
      </c:spPr>
    </c:plotArea>
    <c:legend>
      <c:legendPos val="b"/>
      <c:legendEntry>
        <c:idx val="2"/>
        <c:delete val="1"/>
      </c:legendEntry>
      <c:layout>
        <c:manualLayout>
          <c:xMode val="edge"/>
          <c:yMode val="edge"/>
          <c:x val="0"/>
          <c:y val="0.83348870056497193"/>
          <c:w val="0.99854002624671911"/>
          <c:h val="0.15415960451977401"/>
        </c:manualLayout>
      </c:layout>
      <c:overlay val="0"/>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sz="750">
          <a:solidFill>
            <a:schemeClr val="tx2"/>
          </a:solidFill>
        </a:defRPr>
      </a:pPr>
      <a:endParaRPr lang="en-US"/>
    </a:p>
  </c:txPr>
  <c:externalData r:id="rId4">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7488334791484402E-2"/>
          <c:y val="4.9388888888888892E-2"/>
          <c:w val="0.85158573928258963"/>
          <c:h val="0.68513222222222225"/>
        </c:manualLayout>
      </c:layout>
      <c:barChart>
        <c:barDir val="col"/>
        <c:grouping val="clustered"/>
        <c:varyColors val="0"/>
        <c:ser>
          <c:idx val="1"/>
          <c:order val="1"/>
          <c:tx>
            <c:strRef>
              <c:f>'Stednja i rezerve'!$V$2</c:f>
              <c:strCache>
                <c:ptCount val="1"/>
                <c:pt idx="0">
                  <c:v>Девизне резерве НБС </c:v>
                </c:pt>
              </c:strCache>
            </c:strRef>
          </c:tx>
          <c:spPr>
            <a:solidFill>
              <a:srgbClr val="9ED1E6"/>
            </a:solidFill>
            <a:ln>
              <a:noFill/>
            </a:ln>
            <a:effectLst/>
          </c:spPr>
          <c:invertIfNegative val="0"/>
          <c:cat>
            <c:numRef>
              <c:f>'Stednja i rezerve'!$Q$27:$Q$119</c:f>
              <c:numCache>
                <c:formatCode>yyyy</c:formatCode>
                <c:ptCount val="93"/>
                <c:pt idx="0">
                  <c:v>41640</c:v>
                </c:pt>
                <c:pt idx="1">
                  <c:v>41671</c:v>
                </c:pt>
                <c:pt idx="2">
                  <c:v>41699</c:v>
                </c:pt>
                <c:pt idx="3">
                  <c:v>41730</c:v>
                </c:pt>
                <c:pt idx="4">
                  <c:v>41760</c:v>
                </c:pt>
                <c:pt idx="5">
                  <c:v>41791</c:v>
                </c:pt>
                <c:pt idx="6">
                  <c:v>41821</c:v>
                </c:pt>
                <c:pt idx="7">
                  <c:v>41852</c:v>
                </c:pt>
                <c:pt idx="8">
                  <c:v>41883</c:v>
                </c:pt>
                <c:pt idx="9">
                  <c:v>41913</c:v>
                </c:pt>
                <c:pt idx="10">
                  <c:v>41944</c:v>
                </c:pt>
                <c:pt idx="11">
                  <c:v>41974</c:v>
                </c:pt>
                <c:pt idx="12">
                  <c:v>42005</c:v>
                </c:pt>
                <c:pt idx="13">
                  <c:v>42036</c:v>
                </c:pt>
                <c:pt idx="14">
                  <c:v>42064</c:v>
                </c:pt>
                <c:pt idx="15">
                  <c:v>42095</c:v>
                </c:pt>
                <c:pt idx="16">
                  <c:v>42125</c:v>
                </c:pt>
                <c:pt idx="17">
                  <c:v>42156</c:v>
                </c:pt>
                <c:pt idx="18">
                  <c:v>42186</c:v>
                </c:pt>
                <c:pt idx="19">
                  <c:v>42217</c:v>
                </c:pt>
                <c:pt idx="20">
                  <c:v>42248</c:v>
                </c:pt>
                <c:pt idx="21">
                  <c:v>42278</c:v>
                </c:pt>
                <c:pt idx="22">
                  <c:v>42309</c:v>
                </c:pt>
                <c:pt idx="23">
                  <c:v>42339</c:v>
                </c:pt>
                <c:pt idx="24">
                  <c:v>42370</c:v>
                </c:pt>
                <c:pt idx="25">
                  <c:v>42401</c:v>
                </c:pt>
                <c:pt idx="26">
                  <c:v>42430</c:v>
                </c:pt>
                <c:pt idx="27">
                  <c:v>42461</c:v>
                </c:pt>
                <c:pt idx="28">
                  <c:v>42491</c:v>
                </c:pt>
                <c:pt idx="29">
                  <c:v>42522</c:v>
                </c:pt>
                <c:pt idx="30">
                  <c:v>42552</c:v>
                </c:pt>
                <c:pt idx="31">
                  <c:v>42583</c:v>
                </c:pt>
                <c:pt idx="32">
                  <c:v>42614</c:v>
                </c:pt>
                <c:pt idx="33">
                  <c:v>42644</c:v>
                </c:pt>
                <c:pt idx="34">
                  <c:v>42675</c:v>
                </c:pt>
                <c:pt idx="35">
                  <c:v>42705</c:v>
                </c:pt>
                <c:pt idx="36">
                  <c:v>42736</c:v>
                </c:pt>
                <c:pt idx="37">
                  <c:v>42767</c:v>
                </c:pt>
                <c:pt idx="38">
                  <c:v>42795</c:v>
                </c:pt>
                <c:pt idx="39">
                  <c:v>42826</c:v>
                </c:pt>
                <c:pt idx="40">
                  <c:v>42856</c:v>
                </c:pt>
                <c:pt idx="41">
                  <c:v>42887</c:v>
                </c:pt>
                <c:pt idx="42">
                  <c:v>42917</c:v>
                </c:pt>
                <c:pt idx="43">
                  <c:v>42948</c:v>
                </c:pt>
                <c:pt idx="44">
                  <c:v>42979</c:v>
                </c:pt>
                <c:pt idx="45">
                  <c:v>43009</c:v>
                </c:pt>
                <c:pt idx="46">
                  <c:v>43040</c:v>
                </c:pt>
                <c:pt idx="47">
                  <c:v>43070</c:v>
                </c:pt>
                <c:pt idx="48">
                  <c:v>43101</c:v>
                </c:pt>
                <c:pt idx="49">
                  <c:v>43132</c:v>
                </c:pt>
                <c:pt idx="50">
                  <c:v>43160</c:v>
                </c:pt>
                <c:pt idx="51">
                  <c:v>43191</c:v>
                </c:pt>
                <c:pt idx="52">
                  <c:v>43221</c:v>
                </c:pt>
                <c:pt idx="53">
                  <c:v>43252</c:v>
                </c:pt>
                <c:pt idx="54">
                  <c:v>43282</c:v>
                </c:pt>
                <c:pt idx="55">
                  <c:v>43313</c:v>
                </c:pt>
                <c:pt idx="56">
                  <c:v>43344</c:v>
                </c:pt>
                <c:pt idx="57">
                  <c:v>43374</c:v>
                </c:pt>
                <c:pt idx="58">
                  <c:v>43405</c:v>
                </c:pt>
                <c:pt idx="59">
                  <c:v>43435</c:v>
                </c:pt>
                <c:pt idx="60">
                  <c:v>43466</c:v>
                </c:pt>
                <c:pt idx="61">
                  <c:v>43497</c:v>
                </c:pt>
                <c:pt idx="62">
                  <c:v>43525</c:v>
                </c:pt>
                <c:pt idx="63">
                  <c:v>43556</c:v>
                </c:pt>
                <c:pt idx="64">
                  <c:v>43586</c:v>
                </c:pt>
                <c:pt idx="65">
                  <c:v>43617</c:v>
                </c:pt>
                <c:pt idx="66">
                  <c:v>43647</c:v>
                </c:pt>
                <c:pt idx="67">
                  <c:v>43678</c:v>
                </c:pt>
                <c:pt idx="68">
                  <c:v>43709</c:v>
                </c:pt>
                <c:pt idx="69">
                  <c:v>43739</c:v>
                </c:pt>
                <c:pt idx="70">
                  <c:v>43770</c:v>
                </c:pt>
                <c:pt idx="71">
                  <c:v>43800</c:v>
                </c:pt>
                <c:pt idx="72">
                  <c:v>43831</c:v>
                </c:pt>
                <c:pt idx="73">
                  <c:v>43862</c:v>
                </c:pt>
                <c:pt idx="74">
                  <c:v>43891</c:v>
                </c:pt>
                <c:pt idx="75">
                  <c:v>43922</c:v>
                </c:pt>
                <c:pt idx="76">
                  <c:v>43952</c:v>
                </c:pt>
                <c:pt idx="77">
                  <c:v>43983</c:v>
                </c:pt>
                <c:pt idx="78">
                  <c:v>44013</c:v>
                </c:pt>
                <c:pt idx="79">
                  <c:v>44044</c:v>
                </c:pt>
                <c:pt idx="80">
                  <c:v>44075</c:v>
                </c:pt>
                <c:pt idx="81">
                  <c:v>44105</c:v>
                </c:pt>
                <c:pt idx="82">
                  <c:v>44136</c:v>
                </c:pt>
                <c:pt idx="83">
                  <c:v>44166</c:v>
                </c:pt>
                <c:pt idx="84">
                  <c:v>44197</c:v>
                </c:pt>
                <c:pt idx="85">
                  <c:v>44228</c:v>
                </c:pt>
                <c:pt idx="86">
                  <c:v>44256</c:v>
                </c:pt>
                <c:pt idx="87">
                  <c:v>44287</c:v>
                </c:pt>
                <c:pt idx="88">
                  <c:v>44317</c:v>
                </c:pt>
                <c:pt idx="89">
                  <c:v>44348</c:v>
                </c:pt>
                <c:pt idx="90">
                  <c:v>44378</c:v>
                </c:pt>
                <c:pt idx="91">
                  <c:v>44409</c:v>
                </c:pt>
                <c:pt idx="92">
                  <c:v>44440</c:v>
                </c:pt>
              </c:numCache>
            </c:numRef>
          </c:cat>
          <c:val>
            <c:numRef>
              <c:f>'Stednja i rezerve'!$V$27:$V$119</c:f>
              <c:numCache>
                <c:formatCode>0.000</c:formatCode>
                <c:ptCount val="93"/>
                <c:pt idx="0">
                  <c:v>11.125999999999999</c:v>
                </c:pt>
                <c:pt idx="1">
                  <c:v>10.832000000000001</c:v>
                </c:pt>
                <c:pt idx="2">
                  <c:v>10.428000000000001</c:v>
                </c:pt>
                <c:pt idx="3">
                  <c:v>10.448</c:v>
                </c:pt>
                <c:pt idx="4">
                  <c:v>10.37</c:v>
                </c:pt>
                <c:pt idx="5">
                  <c:v>10.125</c:v>
                </c:pt>
                <c:pt idx="6">
                  <c:v>10.122999999999999</c:v>
                </c:pt>
                <c:pt idx="7">
                  <c:v>10.949</c:v>
                </c:pt>
                <c:pt idx="8">
                  <c:v>10.878</c:v>
                </c:pt>
                <c:pt idx="9">
                  <c:v>10.714</c:v>
                </c:pt>
                <c:pt idx="10">
                  <c:v>10.271000000000001</c:v>
                </c:pt>
                <c:pt idx="11">
                  <c:v>9.907</c:v>
                </c:pt>
                <c:pt idx="12">
                  <c:v>10.048999999999999</c:v>
                </c:pt>
                <c:pt idx="13">
                  <c:v>10.313000000000001</c:v>
                </c:pt>
                <c:pt idx="14">
                  <c:v>10.515000000000001</c:v>
                </c:pt>
                <c:pt idx="15">
                  <c:v>10.534000000000001</c:v>
                </c:pt>
                <c:pt idx="16">
                  <c:v>10.545</c:v>
                </c:pt>
                <c:pt idx="17">
                  <c:v>10.292999999999999</c:v>
                </c:pt>
                <c:pt idx="18">
                  <c:v>10.631</c:v>
                </c:pt>
                <c:pt idx="19">
                  <c:v>10.61</c:v>
                </c:pt>
                <c:pt idx="20">
                  <c:v>10.510999999999999</c:v>
                </c:pt>
                <c:pt idx="21">
                  <c:v>10.673999999999999</c:v>
                </c:pt>
                <c:pt idx="22">
                  <c:v>10.746</c:v>
                </c:pt>
                <c:pt idx="23">
                  <c:v>10.378</c:v>
                </c:pt>
                <c:pt idx="24">
                  <c:v>10.1045</c:v>
                </c:pt>
                <c:pt idx="25">
                  <c:v>9.8507999999999996</c:v>
                </c:pt>
                <c:pt idx="26">
                  <c:v>9.5008999999999997</c:v>
                </c:pt>
                <c:pt idx="27">
                  <c:v>9.3379999999999992</c:v>
                </c:pt>
                <c:pt idx="28">
                  <c:v>9.2639999999999993</c:v>
                </c:pt>
                <c:pt idx="29">
                  <c:v>9.2910000000000004</c:v>
                </c:pt>
                <c:pt idx="30">
                  <c:v>9.6059999999999999</c:v>
                </c:pt>
                <c:pt idx="31">
                  <c:v>9.5839999999999996</c:v>
                </c:pt>
                <c:pt idx="32">
                  <c:v>9.5519999999999996</c:v>
                </c:pt>
                <c:pt idx="33">
                  <c:v>9.7070000000000007</c:v>
                </c:pt>
                <c:pt idx="34">
                  <c:v>9.8179999999999996</c:v>
                </c:pt>
                <c:pt idx="35">
                  <c:v>10.205</c:v>
                </c:pt>
                <c:pt idx="36">
                  <c:v>9.8539999999999992</c:v>
                </c:pt>
                <c:pt idx="37">
                  <c:v>9.7590000000000003</c:v>
                </c:pt>
                <c:pt idx="38">
                  <c:v>9.73</c:v>
                </c:pt>
                <c:pt idx="39">
                  <c:v>9.4090000000000007</c:v>
                </c:pt>
                <c:pt idx="40">
                  <c:v>9.4920000000000009</c:v>
                </c:pt>
                <c:pt idx="41">
                  <c:v>9.67</c:v>
                </c:pt>
                <c:pt idx="42">
                  <c:v>9.9480000000000004</c:v>
                </c:pt>
                <c:pt idx="43">
                  <c:v>10.278</c:v>
                </c:pt>
                <c:pt idx="44">
                  <c:v>10.635999999999999</c:v>
                </c:pt>
                <c:pt idx="45">
                  <c:v>10.76</c:v>
                </c:pt>
                <c:pt idx="46">
                  <c:v>10.105</c:v>
                </c:pt>
                <c:pt idx="47">
                  <c:v>9.9617000000000004</c:v>
                </c:pt>
                <c:pt idx="48">
                  <c:v>9.6477000000000004</c:v>
                </c:pt>
                <c:pt idx="49">
                  <c:v>9.7910000000000004</c:v>
                </c:pt>
                <c:pt idx="50">
                  <c:v>10.234999999999999</c:v>
                </c:pt>
                <c:pt idx="51">
                  <c:v>10.43</c:v>
                </c:pt>
                <c:pt idx="52">
                  <c:v>10.882999999999999</c:v>
                </c:pt>
                <c:pt idx="53">
                  <c:v>11.103999999999999</c:v>
                </c:pt>
                <c:pt idx="54">
                  <c:v>11.403</c:v>
                </c:pt>
                <c:pt idx="55">
                  <c:v>11.326000000000001</c:v>
                </c:pt>
                <c:pt idx="56">
                  <c:v>11.17249</c:v>
                </c:pt>
                <c:pt idx="57">
                  <c:v>11.5504</c:v>
                </c:pt>
                <c:pt idx="58">
                  <c:v>11.627000000000001</c:v>
                </c:pt>
                <c:pt idx="59">
                  <c:v>11.262</c:v>
                </c:pt>
                <c:pt idx="60">
                  <c:v>11.346</c:v>
                </c:pt>
                <c:pt idx="61">
                  <c:v>11.398</c:v>
                </c:pt>
                <c:pt idx="62">
                  <c:v>11.44</c:v>
                </c:pt>
                <c:pt idx="63">
                  <c:v>11.336</c:v>
                </c:pt>
                <c:pt idx="64">
                  <c:v>11.656000000000001</c:v>
                </c:pt>
                <c:pt idx="65">
                  <c:v>12.146000000000001</c:v>
                </c:pt>
                <c:pt idx="66">
                  <c:v>12.757999999999999</c:v>
                </c:pt>
                <c:pt idx="67">
                  <c:v>13.1</c:v>
                </c:pt>
                <c:pt idx="68">
                  <c:v>13.295</c:v>
                </c:pt>
                <c:pt idx="69">
                  <c:v>13.499000000000001</c:v>
                </c:pt>
                <c:pt idx="70">
                  <c:v>13.464700000000001</c:v>
                </c:pt>
                <c:pt idx="71">
                  <c:v>13.378500000000001</c:v>
                </c:pt>
                <c:pt idx="72">
                  <c:v>13.694000000000001</c:v>
                </c:pt>
                <c:pt idx="73">
                  <c:v>13.459</c:v>
                </c:pt>
                <c:pt idx="74">
                  <c:v>13.115</c:v>
                </c:pt>
                <c:pt idx="75">
                  <c:v>12.792999999999999</c:v>
                </c:pt>
                <c:pt idx="76">
                  <c:v>14.345000000000001</c:v>
                </c:pt>
                <c:pt idx="77">
                  <c:v>13.956</c:v>
                </c:pt>
                <c:pt idx="78">
                  <c:v>13.521000000000001</c:v>
                </c:pt>
                <c:pt idx="79">
                  <c:v>13.369</c:v>
                </c:pt>
                <c:pt idx="80">
                  <c:v>13.03</c:v>
                </c:pt>
                <c:pt idx="81">
                  <c:v>13.05</c:v>
                </c:pt>
                <c:pt idx="82" formatCode="General">
                  <c:v>12.843999999999999</c:v>
                </c:pt>
                <c:pt idx="83" formatCode="General">
                  <c:v>13.492000000000001</c:v>
                </c:pt>
                <c:pt idx="84">
                  <c:v>13.602928</c:v>
                </c:pt>
                <c:pt idx="85">
                  <c:v>13.4227504</c:v>
                </c:pt>
                <c:pt idx="86">
                  <c:v>14.275499999999999</c:v>
                </c:pt>
                <c:pt idx="87">
                  <c:v>13.997441199999999</c:v>
                </c:pt>
                <c:pt idx="88">
                  <c:v>14.181562900000001</c:v>
                </c:pt>
                <c:pt idx="89">
                  <c:v>14.091799999999999</c:v>
                </c:pt>
                <c:pt idx="90">
                  <c:v>14.5802736</c:v>
                </c:pt>
                <c:pt idx="91">
                  <c:v>15.585386699999999</c:v>
                </c:pt>
                <c:pt idx="92">
                  <c:v>16.802540499999999</c:v>
                </c:pt>
              </c:numCache>
            </c:numRef>
          </c:val>
          <c:extLst>
            <c:ext xmlns:c16="http://schemas.microsoft.com/office/drawing/2014/chart" uri="{C3380CC4-5D6E-409C-BE32-E72D297353CC}">
              <c16:uniqueId val="{00000000-C207-4E1B-855D-0D1180CB80B0}"/>
            </c:ext>
          </c:extLst>
        </c:ser>
        <c:dLbls>
          <c:showLegendKey val="0"/>
          <c:showVal val="0"/>
          <c:showCatName val="0"/>
          <c:showSerName val="0"/>
          <c:showPercent val="0"/>
          <c:showBubbleSize val="0"/>
        </c:dLbls>
        <c:gapWidth val="100"/>
        <c:axId val="2067915440"/>
        <c:axId val="2067938832"/>
      </c:barChart>
      <c:lineChart>
        <c:grouping val="standard"/>
        <c:varyColors val="0"/>
        <c:ser>
          <c:idx val="0"/>
          <c:order val="0"/>
          <c:tx>
            <c:strRef>
              <c:f>'Stednja i rezerve'!$U$2</c:f>
              <c:strCache>
                <c:ptCount val="1"/>
                <c:pt idx="0">
                  <c:v>Девизна штедња становништва</c:v>
                </c:pt>
              </c:strCache>
            </c:strRef>
          </c:tx>
          <c:spPr>
            <a:ln w="22225" cap="rnd">
              <a:solidFill>
                <a:srgbClr val="FF0000"/>
              </a:solidFill>
              <a:round/>
            </a:ln>
            <a:effectLst/>
          </c:spPr>
          <c:marker>
            <c:symbol val="none"/>
          </c:marker>
          <c:cat>
            <c:numRef>
              <c:f>'Stednja i rezerve'!$Q$27:$Q$119</c:f>
              <c:numCache>
                <c:formatCode>yyyy</c:formatCode>
                <c:ptCount val="93"/>
                <c:pt idx="0">
                  <c:v>41640</c:v>
                </c:pt>
                <c:pt idx="1">
                  <c:v>41671</c:v>
                </c:pt>
                <c:pt idx="2">
                  <c:v>41699</c:v>
                </c:pt>
                <c:pt idx="3">
                  <c:v>41730</c:v>
                </c:pt>
                <c:pt idx="4">
                  <c:v>41760</c:v>
                </c:pt>
                <c:pt idx="5">
                  <c:v>41791</c:v>
                </c:pt>
                <c:pt idx="6">
                  <c:v>41821</c:v>
                </c:pt>
                <c:pt idx="7">
                  <c:v>41852</c:v>
                </c:pt>
                <c:pt idx="8">
                  <c:v>41883</c:v>
                </c:pt>
                <c:pt idx="9">
                  <c:v>41913</c:v>
                </c:pt>
                <c:pt idx="10">
                  <c:v>41944</c:v>
                </c:pt>
                <c:pt idx="11">
                  <c:v>41974</c:v>
                </c:pt>
                <c:pt idx="12">
                  <c:v>42005</c:v>
                </c:pt>
                <c:pt idx="13">
                  <c:v>42036</c:v>
                </c:pt>
                <c:pt idx="14">
                  <c:v>42064</c:v>
                </c:pt>
                <c:pt idx="15">
                  <c:v>42095</c:v>
                </c:pt>
                <c:pt idx="16">
                  <c:v>42125</c:v>
                </c:pt>
                <c:pt idx="17">
                  <c:v>42156</c:v>
                </c:pt>
                <c:pt idx="18">
                  <c:v>42186</c:v>
                </c:pt>
                <c:pt idx="19">
                  <c:v>42217</c:v>
                </c:pt>
                <c:pt idx="20">
                  <c:v>42248</c:v>
                </c:pt>
                <c:pt idx="21">
                  <c:v>42278</c:v>
                </c:pt>
                <c:pt idx="22">
                  <c:v>42309</c:v>
                </c:pt>
                <c:pt idx="23">
                  <c:v>42339</c:v>
                </c:pt>
                <c:pt idx="24">
                  <c:v>42370</c:v>
                </c:pt>
                <c:pt idx="25">
                  <c:v>42401</c:v>
                </c:pt>
                <c:pt idx="26">
                  <c:v>42430</c:v>
                </c:pt>
                <c:pt idx="27">
                  <c:v>42461</c:v>
                </c:pt>
                <c:pt idx="28">
                  <c:v>42491</c:v>
                </c:pt>
                <c:pt idx="29">
                  <c:v>42522</c:v>
                </c:pt>
                <c:pt idx="30">
                  <c:v>42552</c:v>
                </c:pt>
                <c:pt idx="31">
                  <c:v>42583</c:v>
                </c:pt>
                <c:pt idx="32">
                  <c:v>42614</c:v>
                </c:pt>
                <c:pt idx="33">
                  <c:v>42644</c:v>
                </c:pt>
                <c:pt idx="34">
                  <c:v>42675</c:v>
                </c:pt>
                <c:pt idx="35">
                  <c:v>42705</c:v>
                </c:pt>
                <c:pt idx="36">
                  <c:v>42736</c:v>
                </c:pt>
                <c:pt idx="37">
                  <c:v>42767</c:v>
                </c:pt>
                <c:pt idx="38">
                  <c:v>42795</c:v>
                </c:pt>
                <c:pt idx="39">
                  <c:v>42826</c:v>
                </c:pt>
                <c:pt idx="40">
                  <c:v>42856</c:v>
                </c:pt>
                <c:pt idx="41">
                  <c:v>42887</c:v>
                </c:pt>
                <c:pt idx="42">
                  <c:v>42917</c:v>
                </c:pt>
                <c:pt idx="43">
                  <c:v>42948</c:v>
                </c:pt>
                <c:pt idx="44">
                  <c:v>42979</c:v>
                </c:pt>
                <c:pt idx="45">
                  <c:v>43009</c:v>
                </c:pt>
                <c:pt idx="46">
                  <c:v>43040</c:v>
                </c:pt>
                <c:pt idx="47">
                  <c:v>43070</c:v>
                </c:pt>
                <c:pt idx="48">
                  <c:v>43101</c:v>
                </c:pt>
                <c:pt idx="49">
                  <c:v>43132</c:v>
                </c:pt>
                <c:pt idx="50">
                  <c:v>43160</c:v>
                </c:pt>
                <c:pt idx="51">
                  <c:v>43191</c:v>
                </c:pt>
                <c:pt idx="52">
                  <c:v>43221</c:v>
                </c:pt>
                <c:pt idx="53">
                  <c:v>43252</c:v>
                </c:pt>
                <c:pt idx="54">
                  <c:v>43282</c:v>
                </c:pt>
                <c:pt idx="55">
                  <c:v>43313</c:v>
                </c:pt>
                <c:pt idx="56">
                  <c:v>43344</c:v>
                </c:pt>
                <c:pt idx="57">
                  <c:v>43374</c:v>
                </c:pt>
                <c:pt idx="58">
                  <c:v>43405</c:v>
                </c:pt>
                <c:pt idx="59">
                  <c:v>43435</c:v>
                </c:pt>
                <c:pt idx="60">
                  <c:v>43466</c:v>
                </c:pt>
                <c:pt idx="61">
                  <c:v>43497</c:v>
                </c:pt>
                <c:pt idx="62">
                  <c:v>43525</c:v>
                </c:pt>
                <c:pt idx="63">
                  <c:v>43556</c:v>
                </c:pt>
                <c:pt idx="64">
                  <c:v>43586</c:v>
                </c:pt>
                <c:pt idx="65">
                  <c:v>43617</c:v>
                </c:pt>
                <c:pt idx="66">
                  <c:v>43647</c:v>
                </c:pt>
                <c:pt idx="67">
                  <c:v>43678</c:v>
                </c:pt>
                <c:pt idx="68">
                  <c:v>43709</c:v>
                </c:pt>
                <c:pt idx="69">
                  <c:v>43739</c:v>
                </c:pt>
                <c:pt idx="70">
                  <c:v>43770</c:v>
                </c:pt>
                <c:pt idx="71">
                  <c:v>43800</c:v>
                </c:pt>
                <c:pt idx="72">
                  <c:v>43831</c:v>
                </c:pt>
                <c:pt idx="73">
                  <c:v>43862</c:v>
                </c:pt>
                <c:pt idx="74">
                  <c:v>43891</c:v>
                </c:pt>
                <c:pt idx="75">
                  <c:v>43922</c:v>
                </c:pt>
                <c:pt idx="76">
                  <c:v>43952</c:v>
                </c:pt>
                <c:pt idx="77">
                  <c:v>43983</c:v>
                </c:pt>
                <c:pt idx="78">
                  <c:v>44013</c:v>
                </c:pt>
                <c:pt idx="79">
                  <c:v>44044</c:v>
                </c:pt>
                <c:pt idx="80">
                  <c:v>44075</c:v>
                </c:pt>
                <c:pt idx="81">
                  <c:v>44105</c:v>
                </c:pt>
                <c:pt idx="82">
                  <c:v>44136</c:v>
                </c:pt>
                <c:pt idx="83">
                  <c:v>44166</c:v>
                </c:pt>
                <c:pt idx="84">
                  <c:v>44197</c:v>
                </c:pt>
                <c:pt idx="85">
                  <c:v>44228</c:v>
                </c:pt>
                <c:pt idx="86">
                  <c:v>44256</c:v>
                </c:pt>
                <c:pt idx="87">
                  <c:v>44287</c:v>
                </c:pt>
                <c:pt idx="88">
                  <c:v>44317</c:v>
                </c:pt>
                <c:pt idx="89">
                  <c:v>44348</c:v>
                </c:pt>
                <c:pt idx="90">
                  <c:v>44378</c:v>
                </c:pt>
                <c:pt idx="91">
                  <c:v>44409</c:v>
                </c:pt>
                <c:pt idx="92">
                  <c:v>44440</c:v>
                </c:pt>
              </c:numCache>
            </c:numRef>
          </c:cat>
          <c:val>
            <c:numRef>
              <c:f>'Stednja i rezerve'!$U$27:$U$119</c:f>
              <c:numCache>
                <c:formatCode>0.000</c:formatCode>
                <c:ptCount val="93"/>
                <c:pt idx="0">
                  <c:v>8.3740000000000006</c:v>
                </c:pt>
                <c:pt idx="1">
                  <c:v>8.4179999999999993</c:v>
                </c:pt>
                <c:pt idx="2">
                  <c:v>8.4039999999999999</c:v>
                </c:pt>
                <c:pt idx="3">
                  <c:v>8.4369999999999994</c:v>
                </c:pt>
                <c:pt idx="4">
                  <c:v>8.4329999999999998</c:v>
                </c:pt>
                <c:pt idx="5">
                  <c:v>8.4860000000000007</c:v>
                </c:pt>
                <c:pt idx="6">
                  <c:v>8.4960000000000004</c:v>
                </c:pt>
                <c:pt idx="7">
                  <c:v>8.4890000000000008</c:v>
                </c:pt>
                <c:pt idx="8">
                  <c:v>8.4890000000000008</c:v>
                </c:pt>
                <c:pt idx="9">
                  <c:v>8.5120000000000005</c:v>
                </c:pt>
                <c:pt idx="10">
                  <c:v>8.4830000000000005</c:v>
                </c:pt>
                <c:pt idx="11">
                  <c:v>8.5250000000000004</c:v>
                </c:pt>
                <c:pt idx="12">
                  <c:v>8.6050000000000004</c:v>
                </c:pt>
                <c:pt idx="13">
                  <c:v>8.61</c:v>
                </c:pt>
                <c:pt idx="14">
                  <c:v>8.6419999999999995</c:v>
                </c:pt>
                <c:pt idx="15">
                  <c:v>8.6389999999999993</c:v>
                </c:pt>
                <c:pt idx="16">
                  <c:v>8.6349999999999998</c:v>
                </c:pt>
                <c:pt idx="17">
                  <c:v>8.67</c:v>
                </c:pt>
                <c:pt idx="18">
                  <c:v>8.6210000000000004</c:v>
                </c:pt>
                <c:pt idx="19">
                  <c:v>8.6050000000000004</c:v>
                </c:pt>
                <c:pt idx="20">
                  <c:v>8.59</c:v>
                </c:pt>
                <c:pt idx="21">
                  <c:v>8.6039999999999992</c:v>
                </c:pt>
                <c:pt idx="22">
                  <c:v>8.5969999999999995</c:v>
                </c:pt>
                <c:pt idx="23">
                  <c:v>8.6289999999999996</c:v>
                </c:pt>
                <c:pt idx="24">
                  <c:v>8.6264760000000003</c:v>
                </c:pt>
                <c:pt idx="25">
                  <c:v>8.636355</c:v>
                </c:pt>
                <c:pt idx="26">
                  <c:v>8.6437650000000001</c:v>
                </c:pt>
                <c:pt idx="27">
                  <c:v>8.6690000000000005</c:v>
                </c:pt>
                <c:pt idx="28">
                  <c:v>8.7550000000000008</c:v>
                </c:pt>
                <c:pt idx="29">
                  <c:v>8.7959999999999994</c:v>
                </c:pt>
                <c:pt idx="30">
                  <c:v>8.8219999999999992</c:v>
                </c:pt>
                <c:pt idx="31">
                  <c:v>8.8309999999999995</c:v>
                </c:pt>
                <c:pt idx="32">
                  <c:v>8.843</c:v>
                </c:pt>
                <c:pt idx="33">
                  <c:v>8.8960000000000008</c:v>
                </c:pt>
                <c:pt idx="34">
                  <c:v>8.9149999999999991</c:v>
                </c:pt>
                <c:pt idx="35">
                  <c:v>8.9870000000000001</c:v>
                </c:pt>
                <c:pt idx="36">
                  <c:v>9.0310000000000006</c:v>
                </c:pt>
                <c:pt idx="37">
                  <c:v>9.0555649999999996</c:v>
                </c:pt>
                <c:pt idx="38">
                  <c:v>9.0842139999999993</c:v>
                </c:pt>
                <c:pt idx="39">
                  <c:v>9.1143780000000003</c:v>
                </c:pt>
                <c:pt idx="40">
                  <c:v>9.1059999999999999</c:v>
                </c:pt>
                <c:pt idx="41">
                  <c:v>9.1370000000000005</c:v>
                </c:pt>
                <c:pt idx="42">
                  <c:v>9.1780000000000008</c:v>
                </c:pt>
                <c:pt idx="43">
                  <c:v>9.2170000000000005</c:v>
                </c:pt>
                <c:pt idx="44">
                  <c:v>9.2629999999999999</c:v>
                </c:pt>
                <c:pt idx="45">
                  <c:v>9.2880000000000003</c:v>
                </c:pt>
                <c:pt idx="46">
                  <c:v>9.298</c:v>
                </c:pt>
                <c:pt idx="47">
                  <c:v>9.373151</c:v>
                </c:pt>
                <c:pt idx="48">
                  <c:v>9.4209999999999994</c:v>
                </c:pt>
                <c:pt idx="49">
                  <c:v>9.5150000000000006</c:v>
                </c:pt>
                <c:pt idx="50">
                  <c:v>9.5660000000000007</c:v>
                </c:pt>
                <c:pt idx="51">
                  <c:v>9.5939999999999994</c:v>
                </c:pt>
                <c:pt idx="52">
                  <c:v>9.6340000000000003</c:v>
                </c:pt>
                <c:pt idx="53">
                  <c:v>9.6869999999999994</c:v>
                </c:pt>
                <c:pt idx="54">
                  <c:v>9.718</c:v>
                </c:pt>
                <c:pt idx="55">
                  <c:v>9.7629999999999999</c:v>
                </c:pt>
                <c:pt idx="56">
                  <c:v>9.7824939999999998</c:v>
                </c:pt>
                <c:pt idx="57">
                  <c:v>9.8469999999999995</c:v>
                </c:pt>
                <c:pt idx="58">
                  <c:v>9.875</c:v>
                </c:pt>
                <c:pt idx="59">
                  <c:v>9.9550000000000001</c:v>
                </c:pt>
                <c:pt idx="60">
                  <c:v>10.105</c:v>
                </c:pt>
                <c:pt idx="61">
                  <c:v>10.167</c:v>
                </c:pt>
                <c:pt idx="62">
                  <c:v>10.217000000000001</c:v>
                </c:pt>
                <c:pt idx="63">
                  <c:v>10.295999999999999</c:v>
                </c:pt>
                <c:pt idx="64">
                  <c:v>10.340999999999999</c:v>
                </c:pt>
                <c:pt idx="65">
                  <c:v>10.391</c:v>
                </c:pt>
                <c:pt idx="66">
                  <c:v>10.474</c:v>
                </c:pt>
                <c:pt idx="67">
                  <c:v>10.547000000000001</c:v>
                </c:pt>
                <c:pt idx="68">
                  <c:v>10.612</c:v>
                </c:pt>
                <c:pt idx="69">
                  <c:v>10.661</c:v>
                </c:pt>
                <c:pt idx="70">
                  <c:v>10.72</c:v>
                </c:pt>
                <c:pt idx="71">
                  <c:v>10.804</c:v>
                </c:pt>
                <c:pt idx="72">
                  <c:v>10.941129999999999</c:v>
                </c:pt>
                <c:pt idx="73">
                  <c:v>11.007695</c:v>
                </c:pt>
                <c:pt idx="74">
                  <c:v>10.819725</c:v>
                </c:pt>
                <c:pt idx="75">
                  <c:v>10.889227</c:v>
                </c:pt>
                <c:pt idx="76">
                  <c:v>10.915190000000001</c:v>
                </c:pt>
                <c:pt idx="77">
                  <c:v>10.987965000000001</c:v>
                </c:pt>
                <c:pt idx="78">
                  <c:v>10.998704</c:v>
                </c:pt>
                <c:pt idx="79">
                  <c:v>11.069706</c:v>
                </c:pt>
                <c:pt idx="80">
                  <c:v>11.155711999999999</c:v>
                </c:pt>
                <c:pt idx="81" formatCode="General">
                  <c:v>11.256</c:v>
                </c:pt>
                <c:pt idx="82" formatCode="General">
                  <c:v>11.291</c:v>
                </c:pt>
                <c:pt idx="83" formatCode="General">
                  <c:v>11.436</c:v>
                </c:pt>
                <c:pt idx="84" formatCode="General">
                  <c:v>11.586</c:v>
                </c:pt>
                <c:pt idx="85" formatCode="General">
                  <c:v>11.683999999999999</c:v>
                </c:pt>
                <c:pt idx="86">
                  <c:v>11.778</c:v>
                </c:pt>
                <c:pt idx="87">
                  <c:v>11.84</c:v>
                </c:pt>
                <c:pt idx="88">
                  <c:v>12.006</c:v>
                </c:pt>
                <c:pt idx="89">
                  <c:v>12.118</c:v>
                </c:pt>
                <c:pt idx="90">
                  <c:v>12.221</c:v>
                </c:pt>
                <c:pt idx="91">
                  <c:v>12.275</c:v>
                </c:pt>
              </c:numCache>
            </c:numRef>
          </c:val>
          <c:smooth val="0"/>
          <c:extLst>
            <c:ext xmlns:c16="http://schemas.microsoft.com/office/drawing/2014/chart" uri="{C3380CC4-5D6E-409C-BE32-E72D297353CC}">
              <c16:uniqueId val="{00000001-C207-4E1B-855D-0D1180CB80B0}"/>
            </c:ext>
          </c:extLst>
        </c:ser>
        <c:ser>
          <c:idx val="2"/>
          <c:order val="2"/>
          <c:tx>
            <c:strRef>
              <c:f>'Stednja i rezerve'!$W$2</c:f>
              <c:strCache>
                <c:ptCount val="1"/>
              </c:strCache>
            </c:strRef>
          </c:tx>
          <c:spPr>
            <a:ln w="28575" cap="rnd">
              <a:noFill/>
              <a:round/>
            </a:ln>
            <a:effectLst/>
          </c:spPr>
          <c:marker>
            <c:symbol val="square"/>
            <c:size val="2"/>
            <c:spPr>
              <a:solidFill>
                <a:schemeClr val="bg1"/>
              </a:solidFill>
              <a:ln w="9525">
                <a:noFill/>
              </a:ln>
              <a:effectLst/>
            </c:spPr>
          </c:marker>
          <c:dLbls>
            <c:dLbl>
              <c:idx val="0"/>
              <c:layout>
                <c:manualLayout>
                  <c:x val="-6.3630999105944858E-3"/>
                  <c:y val="2.7915645174925362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207-4E1B-855D-0D1180CB80B0}"/>
                </c:ext>
              </c:extLst>
            </c:dLbl>
            <c:dLbl>
              <c:idx val="12"/>
              <c:layout>
                <c:manualLayout>
                  <c:x val="-9.0692625661315546E-3"/>
                  <c:y val="2.8022985232677652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207-4E1B-855D-0D1180CB80B0}"/>
                </c:ext>
              </c:extLst>
            </c:dLbl>
            <c:dLbl>
              <c:idx val="24"/>
              <c:layout>
                <c:manualLayout>
                  <c:x val="-9.0692625661315963E-3"/>
                  <c:y val="2.8022985232677652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4-C207-4E1B-855D-0D1180CB80B0}"/>
                </c:ext>
              </c:extLst>
            </c:dLbl>
            <c:dLbl>
              <c:idx val="36"/>
              <c:layout>
                <c:manualLayout>
                  <c:x val="-9.0768978497223485E-3"/>
                  <c:y val="2.8022985232677652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5-C207-4E1B-855D-0D1180CB80B0}"/>
                </c:ext>
              </c:extLst>
            </c:dLbl>
            <c:dLbl>
              <c:idx val="48"/>
              <c:layout>
                <c:manualLayout>
                  <c:x val="-6.3063806610628532E-3"/>
                  <c:y val="2.8022985232677652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6-C207-4E1B-855D-0D1180CB80B0}"/>
                </c:ext>
              </c:extLst>
            </c:dLbl>
            <c:dLbl>
              <c:idx val="60"/>
              <c:layout>
                <c:manualLayout>
                  <c:x val="-8.72312971001565E-3"/>
                  <c:y val="2.8022429066575177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7-C207-4E1B-855D-0D1180CB80B0}"/>
                </c:ext>
              </c:extLst>
            </c:dLbl>
            <c:dLbl>
              <c:idx val="72"/>
              <c:layout>
                <c:manualLayout>
                  <c:x val="-7.4942126368306447E-3"/>
                  <c:y val="2.8734321677574937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8-C207-4E1B-855D-0D1180CB80B0}"/>
                </c:ext>
              </c:extLst>
            </c:dLbl>
            <c:dLbl>
              <c:idx val="84"/>
              <c:layout>
                <c:manualLayout>
                  <c:x val="-2.5262608307406866E-2"/>
                  <c:y val="2.8534658046833635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9-C207-4E1B-855D-0D1180CB80B0}"/>
                </c:ext>
              </c:extLst>
            </c:dLbl>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tx2"/>
                    </a:solidFill>
                    <a:latin typeface="+mn-lt"/>
                    <a:ea typeface="+mn-ea"/>
                    <a:cs typeface="+mn-cs"/>
                  </a:defRPr>
                </a:pPr>
                <a:endParaRPr lang="en-U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'Stednja i rezerve'!$Q$27:$Q$119</c:f>
              <c:numCache>
                <c:formatCode>yyyy</c:formatCode>
                <c:ptCount val="93"/>
                <c:pt idx="0">
                  <c:v>41640</c:v>
                </c:pt>
                <c:pt idx="1">
                  <c:v>41671</c:v>
                </c:pt>
                <c:pt idx="2">
                  <c:v>41699</c:v>
                </c:pt>
                <c:pt idx="3">
                  <c:v>41730</c:v>
                </c:pt>
                <c:pt idx="4">
                  <c:v>41760</c:v>
                </c:pt>
                <c:pt idx="5">
                  <c:v>41791</c:v>
                </c:pt>
                <c:pt idx="6">
                  <c:v>41821</c:v>
                </c:pt>
                <c:pt idx="7">
                  <c:v>41852</c:v>
                </c:pt>
                <c:pt idx="8">
                  <c:v>41883</c:v>
                </c:pt>
                <c:pt idx="9">
                  <c:v>41913</c:v>
                </c:pt>
                <c:pt idx="10">
                  <c:v>41944</c:v>
                </c:pt>
                <c:pt idx="11">
                  <c:v>41974</c:v>
                </c:pt>
                <c:pt idx="12">
                  <c:v>42005</c:v>
                </c:pt>
                <c:pt idx="13">
                  <c:v>42036</c:v>
                </c:pt>
                <c:pt idx="14">
                  <c:v>42064</c:v>
                </c:pt>
                <c:pt idx="15">
                  <c:v>42095</c:v>
                </c:pt>
                <c:pt idx="16">
                  <c:v>42125</c:v>
                </c:pt>
                <c:pt idx="17">
                  <c:v>42156</c:v>
                </c:pt>
                <c:pt idx="18">
                  <c:v>42186</c:v>
                </c:pt>
                <c:pt idx="19">
                  <c:v>42217</c:v>
                </c:pt>
                <c:pt idx="20">
                  <c:v>42248</c:v>
                </c:pt>
                <c:pt idx="21">
                  <c:v>42278</c:v>
                </c:pt>
                <c:pt idx="22">
                  <c:v>42309</c:v>
                </c:pt>
                <c:pt idx="23">
                  <c:v>42339</c:v>
                </c:pt>
                <c:pt idx="24">
                  <c:v>42370</c:v>
                </c:pt>
                <c:pt idx="25">
                  <c:v>42401</c:v>
                </c:pt>
                <c:pt idx="26">
                  <c:v>42430</c:v>
                </c:pt>
                <c:pt idx="27">
                  <c:v>42461</c:v>
                </c:pt>
                <c:pt idx="28">
                  <c:v>42491</c:v>
                </c:pt>
                <c:pt idx="29">
                  <c:v>42522</c:v>
                </c:pt>
                <c:pt idx="30">
                  <c:v>42552</c:v>
                </c:pt>
                <c:pt idx="31">
                  <c:v>42583</c:v>
                </c:pt>
                <c:pt idx="32">
                  <c:v>42614</c:v>
                </c:pt>
                <c:pt idx="33">
                  <c:v>42644</c:v>
                </c:pt>
                <c:pt idx="34">
                  <c:v>42675</c:v>
                </c:pt>
                <c:pt idx="35">
                  <c:v>42705</c:v>
                </c:pt>
                <c:pt idx="36">
                  <c:v>42736</c:v>
                </c:pt>
                <c:pt idx="37">
                  <c:v>42767</c:v>
                </c:pt>
                <c:pt idx="38">
                  <c:v>42795</c:v>
                </c:pt>
                <c:pt idx="39">
                  <c:v>42826</c:v>
                </c:pt>
                <c:pt idx="40">
                  <c:v>42856</c:v>
                </c:pt>
                <c:pt idx="41">
                  <c:v>42887</c:v>
                </c:pt>
                <c:pt idx="42">
                  <c:v>42917</c:v>
                </c:pt>
                <c:pt idx="43">
                  <c:v>42948</c:v>
                </c:pt>
                <c:pt idx="44">
                  <c:v>42979</c:v>
                </c:pt>
                <c:pt idx="45">
                  <c:v>43009</c:v>
                </c:pt>
                <c:pt idx="46">
                  <c:v>43040</c:v>
                </c:pt>
                <c:pt idx="47">
                  <c:v>43070</c:v>
                </c:pt>
                <c:pt idx="48">
                  <c:v>43101</c:v>
                </c:pt>
                <c:pt idx="49">
                  <c:v>43132</c:v>
                </c:pt>
                <c:pt idx="50">
                  <c:v>43160</c:v>
                </c:pt>
                <c:pt idx="51">
                  <c:v>43191</c:v>
                </c:pt>
                <c:pt idx="52">
                  <c:v>43221</c:v>
                </c:pt>
                <c:pt idx="53">
                  <c:v>43252</c:v>
                </c:pt>
                <c:pt idx="54">
                  <c:v>43282</c:v>
                </c:pt>
                <c:pt idx="55">
                  <c:v>43313</c:v>
                </c:pt>
                <c:pt idx="56">
                  <c:v>43344</c:v>
                </c:pt>
                <c:pt idx="57">
                  <c:v>43374</c:v>
                </c:pt>
                <c:pt idx="58">
                  <c:v>43405</c:v>
                </c:pt>
                <c:pt idx="59">
                  <c:v>43435</c:v>
                </c:pt>
                <c:pt idx="60">
                  <c:v>43466</c:v>
                </c:pt>
                <c:pt idx="61">
                  <c:v>43497</c:v>
                </c:pt>
                <c:pt idx="62">
                  <c:v>43525</c:v>
                </c:pt>
                <c:pt idx="63">
                  <c:v>43556</c:v>
                </c:pt>
                <c:pt idx="64">
                  <c:v>43586</c:v>
                </c:pt>
                <c:pt idx="65">
                  <c:v>43617</c:v>
                </c:pt>
                <c:pt idx="66">
                  <c:v>43647</c:v>
                </c:pt>
                <c:pt idx="67">
                  <c:v>43678</c:v>
                </c:pt>
                <c:pt idx="68">
                  <c:v>43709</c:v>
                </c:pt>
                <c:pt idx="69">
                  <c:v>43739</c:v>
                </c:pt>
                <c:pt idx="70">
                  <c:v>43770</c:v>
                </c:pt>
                <c:pt idx="71">
                  <c:v>43800</c:v>
                </c:pt>
                <c:pt idx="72">
                  <c:v>43831</c:v>
                </c:pt>
                <c:pt idx="73">
                  <c:v>43862</c:v>
                </c:pt>
                <c:pt idx="74">
                  <c:v>43891</c:v>
                </c:pt>
                <c:pt idx="75">
                  <c:v>43922</c:v>
                </c:pt>
                <c:pt idx="76">
                  <c:v>43952</c:v>
                </c:pt>
                <c:pt idx="77">
                  <c:v>43983</c:v>
                </c:pt>
                <c:pt idx="78">
                  <c:v>44013</c:v>
                </c:pt>
                <c:pt idx="79">
                  <c:v>44044</c:v>
                </c:pt>
                <c:pt idx="80">
                  <c:v>44075</c:v>
                </c:pt>
                <c:pt idx="81">
                  <c:v>44105</c:v>
                </c:pt>
                <c:pt idx="82">
                  <c:v>44136</c:v>
                </c:pt>
                <c:pt idx="83">
                  <c:v>44166</c:v>
                </c:pt>
                <c:pt idx="84">
                  <c:v>44197</c:v>
                </c:pt>
                <c:pt idx="85">
                  <c:v>44228</c:v>
                </c:pt>
                <c:pt idx="86">
                  <c:v>44256</c:v>
                </c:pt>
                <c:pt idx="87">
                  <c:v>44287</c:v>
                </c:pt>
                <c:pt idx="88">
                  <c:v>44317</c:v>
                </c:pt>
                <c:pt idx="89">
                  <c:v>44348</c:v>
                </c:pt>
                <c:pt idx="90">
                  <c:v>44378</c:v>
                </c:pt>
                <c:pt idx="91">
                  <c:v>44409</c:v>
                </c:pt>
                <c:pt idx="92">
                  <c:v>44440</c:v>
                </c:pt>
              </c:numCache>
            </c:numRef>
          </c:cat>
          <c:val>
            <c:numRef>
              <c:f>'Stednja i rezerve'!$W$27:$W$119</c:f>
              <c:numCache>
                <c:formatCode>General</c:formatCode>
                <c:ptCount val="93"/>
                <c:pt idx="0">
                  <c:v>7</c:v>
                </c:pt>
                <c:pt idx="12">
                  <c:v>7</c:v>
                </c:pt>
                <c:pt idx="24">
                  <c:v>7</c:v>
                </c:pt>
                <c:pt idx="36">
                  <c:v>7</c:v>
                </c:pt>
                <c:pt idx="48">
                  <c:v>7</c:v>
                </c:pt>
                <c:pt idx="60">
                  <c:v>7</c:v>
                </c:pt>
                <c:pt idx="72">
                  <c:v>7</c:v>
                </c:pt>
                <c:pt idx="84">
                  <c:v>7</c:v>
                </c:pt>
              </c:numCache>
            </c:numRef>
          </c:val>
          <c:smooth val="0"/>
          <c:extLst>
            <c:ext xmlns:c16="http://schemas.microsoft.com/office/drawing/2014/chart" uri="{C3380CC4-5D6E-409C-BE32-E72D297353CC}">
              <c16:uniqueId val="{0000000A-C207-4E1B-855D-0D1180CB80B0}"/>
            </c:ext>
          </c:extLst>
        </c:ser>
        <c:dLbls>
          <c:showLegendKey val="0"/>
          <c:showVal val="0"/>
          <c:showCatName val="0"/>
          <c:showSerName val="0"/>
          <c:showPercent val="0"/>
          <c:showBubbleSize val="0"/>
        </c:dLbls>
        <c:marker val="1"/>
        <c:smooth val="0"/>
        <c:axId val="2067915440"/>
        <c:axId val="2067938832"/>
      </c:lineChart>
      <c:catAx>
        <c:axId val="2067915440"/>
        <c:scaling>
          <c:orientation val="minMax"/>
        </c:scaling>
        <c:delete val="0"/>
        <c:axPos val="b"/>
        <c:numFmt formatCode="yyyy" sourceLinked="0"/>
        <c:majorTickMark val="none"/>
        <c:minorTickMark val="none"/>
        <c:tickLblPos val="none"/>
        <c:spPr>
          <a:noFill/>
          <a:ln w="6350" cap="flat" cmpd="sng" algn="ctr">
            <a:solidFill>
              <a:srgbClr val="898989"/>
            </a:solidFill>
            <a:round/>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2067938832"/>
        <c:crosses val="autoZero"/>
        <c:auto val="0"/>
        <c:lblAlgn val="ctr"/>
        <c:lblOffset val="100"/>
        <c:tickLblSkip val="12"/>
        <c:noMultiLvlLbl val="1"/>
      </c:catAx>
      <c:valAx>
        <c:axId val="2067938832"/>
        <c:scaling>
          <c:orientation val="minMax"/>
          <c:min val="7"/>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2067915440"/>
        <c:crosses val="autoZero"/>
        <c:crossBetween val="midCat"/>
        <c:majorUnit val="1"/>
      </c:valAx>
      <c:spPr>
        <a:noFill/>
        <a:ln>
          <a:noFill/>
        </a:ln>
        <a:effectLst/>
      </c:spPr>
    </c:plotArea>
    <c:legend>
      <c:legendPos val="b"/>
      <c:legendEntry>
        <c:idx val="2"/>
        <c:delete val="1"/>
      </c:legendEntry>
      <c:layout>
        <c:manualLayout>
          <c:xMode val="edge"/>
          <c:yMode val="edge"/>
          <c:x val="5.2835374744823561E-2"/>
          <c:y val="0.81213222222222226"/>
          <c:w val="0.91284740449110524"/>
          <c:h val="0.14553444444444447"/>
        </c:manualLayout>
      </c:layout>
      <c:overlay val="0"/>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sz="750">
          <a:solidFill>
            <a:schemeClr val="tx2"/>
          </a:solidFill>
        </a:defRPr>
      </a:pPr>
      <a:endParaRPr lang="en-US"/>
    </a:p>
  </c:txPr>
  <c:externalData r:id="rId4">
    <c:autoUpdate val="0"/>
  </c:externalData>
  <c:userShapes r:id="rId5"/>
</c:chartSpace>
</file>

<file path=word/charts/chart4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40491452991453"/>
          <c:y val="3.9230096237970254E-2"/>
          <c:w val="0.85891310541310539"/>
          <c:h val="0.6289622222222222"/>
        </c:manualLayout>
      </c:layout>
      <c:lineChart>
        <c:grouping val="standard"/>
        <c:varyColors val="0"/>
        <c:ser>
          <c:idx val="0"/>
          <c:order val="0"/>
          <c:tx>
            <c:strRef>
              <c:f>Inflacija!$U$3</c:f>
              <c:strCache>
                <c:ptCount val="1"/>
                <c:pt idx="0">
                  <c:v>Референтна каматна стопа</c:v>
                </c:pt>
              </c:strCache>
            </c:strRef>
          </c:tx>
          <c:spPr>
            <a:ln w="22225" cap="rnd">
              <a:solidFill>
                <a:srgbClr val="51BBE7"/>
              </a:solidFill>
              <a:round/>
            </a:ln>
            <a:effectLst/>
          </c:spPr>
          <c:marker>
            <c:symbol val="none"/>
          </c:marker>
          <c:cat>
            <c:numRef>
              <c:f>Inflacija!$Q$40:$Q$144</c:f>
              <c:numCache>
                <c:formatCode>yyyy</c:formatCode>
                <c:ptCount val="105"/>
                <c:pt idx="0">
                  <c:v>41275</c:v>
                </c:pt>
                <c:pt idx="1">
                  <c:v>41306</c:v>
                </c:pt>
                <c:pt idx="2">
                  <c:v>41334</c:v>
                </c:pt>
                <c:pt idx="3">
                  <c:v>41365</c:v>
                </c:pt>
                <c:pt idx="4">
                  <c:v>41395</c:v>
                </c:pt>
                <c:pt idx="5">
                  <c:v>41426</c:v>
                </c:pt>
                <c:pt idx="6">
                  <c:v>41456</c:v>
                </c:pt>
                <c:pt idx="7">
                  <c:v>41487</c:v>
                </c:pt>
                <c:pt idx="8">
                  <c:v>41518</c:v>
                </c:pt>
                <c:pt idx="9">
                  <c:v>41548</c:v>
                </c:pt>
                <c:pt idx="10">
                  <c:v>41579</c:v>
                </c:pt>
                <c:pt idx="11">
                  <c:v>41609</c:v>
                </c:pt>
                <c:pt idx="12">
                  <c:v>41640</c:v>
                </c:pt>
                <c:pt idx="13">
                  <c:v>41671</c:v>
                </c:pt>
                <c:pt idx="14">
                  <c:v>41699</c:v>
                </c:pt>
                <c:pt idx="15">
                  <c:v>41730</c:v>
                </c:pt>
                <c:pt idx="16">
                  <c:v>41760</c:v>
                </c:pt>
                <c:pt idx="17">
                  <c:v>41791</c:v>
                </c:pt>
                <c:pt idx="18">
                  <c:v>41821</c:v>
                </c:pt>
                <c:pt idx="19">
                  <c:v>41852</c:v>
                </c:pt>
                <c:pt idx="20">
                  <c:v>41883</c:v>
                </c:pt>
                <c:pt idx="21">
                  <c:v>41913</c:v>
                </c:pt>
                <c:pt idx="22">
                  <c:v>41944</c:v>
                </c:pt>
                <c:pt idx="23">
                  <c:v>41974</c:v>
                </c:pt>
                <c:pt idx="24">
                  <c:v>42005</c:v>
                </c:pt>
                <c:pt idx="25">
                  <c:v>42036</c:v>
                </c:pt>
                <c:pt idx="26">
                  <c:v>42064</c:v>
                </c:pt>
                <c:pt idx="27">
                  <c:v>42095</c:v>
                </c:pt>
                <c:pt idx="28">
                  <c:v>42125</c:v>
                </c:pt>
                <c:pt idx="29">
                  <c:v>42156</c:v>
                </c:pt>
                <c:pt idx="30">
                  <c:v>42186</c:v>
                </c:pt>
                <c:pt idx="31">
                  <c:v>42217</c:v>
                </c:pt>
                <c:pt idx="32">
                  <c:v>42248</c:v>
                </c:pt>
                <c:pt idx="33">
                  <c:v>42278</c:v>
                </c:pt>
                <c:pt idx="34">
                  <c:v>42309</c:v>
                </c:pt>
                <c:pt idx="35">
                  <c:v>42339</c:v>
                </c:pt>
                <c:pt idx="36">
                  <c:v>42370</c:v>
                </c:pt>
                <c:pt idx="37">
                  <c:v>42401</c:v>
                </c:pt>
                <c:pt idx="38">
                  <c:v>42430</c:v>
                </c:pt>
                <c:pt idx="39">
                  <c:v>42461</c:v>
                </c:pt>
                <c:pt idx="40">
                  <c:v>42491</c:v>
                </c:pt>
                <c:pt idx="41">
                  <c:v>42522</c:v>
                </c:pt>
                <c:pt idx="42">
                  <c:v>42552</c:v>
                </c:pt>
                <c:pt idx="43">
                  <c:v>42583</c:v>
                </c:pt>
                <c:pt idx="44">
                  <c:v>42614</c:v>
                </c:pt>
                <c:pt idx="45">
                  <c:v>42644</c:v>
                </c:pt>
                <c:pt idx="46">
                  <c:v>42675</c:v>
                </c:pt>
                <c:pt idx="47">
                  <c:v>42705</c:v>
                </c:pt>
                <c:pt idx="48">
                  <c:v>42736</c:v>
                </c:pt>
                <c:pt idx="49">
                  <c:v>42767</c:v>
                </c:pt>
                <c:pt idx="50">
                  <c:v>42795</c:v>
                </c:pt>
                <c:pt idx="51">
                  <c:v>42826</c:v>
                </c:pt>
                <c:pt idx="52">
                  <c:v>42856</c:v>
                </c:pt>
                <c:pt idx="53">
                  <c:v>42887</c:v>
                </c:pt>
                <c:pt idx="54">
                  <c:v>42917</c:v>
                </c:pt>
                <c:pt idx="55">
                  <c:v>42948</c:v>
                </c:pt>
                <c:pt idx="56">
                  <c:v>42979</c:v>
                </c:pt>
                <c:pt idx="57">
                  <c:v>43009</c:v>
                </c:pt>
                <c:pt idx="58">
                  <c:v>43040</c:v>
                </c:pt>
                <c:pt idx="59">
                  <c:v>43070</c:v>
                </c:pt>
                <c:pt idx="60">
                  <c:v>43101</c:v>
                </c:pt>
                <c:pt idx="61">
                  <c:v>43132</c:v>
                </c:pt>
                <c:pt idx="62">
                  <c:v>43160</c:v>
                </c:pt>
                <c:pt idx="63">
                  <c:v>43191</c:v>
                </c:pt>
                <c:pt idx="64">
                  <c:v>43221</c:v>
                </c:pt>
                <c:pt idx="65">
                  <c:v>43252</c:v>
                </c:pt>
                <c:pt idx="66">
                  <c:v>43282</c:v>
                </c:pt>
                <c:pt idx="67">
                  <c:v>43313</c:v>
                </c:pt>
                <c:pt idx="68">
                  <c:v>43344</c:v>
                </c:pt>
                <c:pt idx="69">
                  <c:v>43374</c:v>
                </c:pt>
                <c:pt idx="70">
                  <c:v>43405</c:v>
                </c:pt>
                <c:pt idx="71">
                  <c:v>43435</c:v>
                </c:pt>
                <c:pt idx="72">
                  <c:v>43466</c:v>
                </c:pt>
                <c:pt idx="73">
                  <c:v>43497</c:v>
                </c:pt>
                <c:pt idx="74">
                  <c:v>43525</c:v>
                </c:pt>
                <c:pt idx="75">
                  <c:v>43556</c:v>
                </c:pt>
                <c:pt idx="76">
                  <c:v>43586</c:v>
                </c:pt>
                <c:pt idx="77">
                  <c:v>43617</c:v>
                </c:pt>
                <c:pt idx="78">
                  <c:v>43647</c:v>
                </c:pt>
                <c:pt idx="79">
                  <c:v>43678</c:v>
                </c:pt>
                <c:pt idx="80">
                  <c:v>43709</c:v>
                </c:pt>
                <c:pt idx="81">
                  <c:v>43739</c:v>
                </c:pt>
                <c:pt idx="82">
                  <c:v>43770</c:v>
                </c:pt>
                <c:pt idx="83">
                  <c:v>43800</c:v>
                </c:pt>
                <c:pt idx="84">
                  <c:v>43831</c:v>
                </c:pt>
                <c:pt idx="85">
                  <c:v>43862</c:v>
                </c:pt>
                <c:pt idx="86">
                  <c:v>43891</c:v>
                </c:pt>
                <c:pt idx="87">
                  <c:v>43922</c:v>
                </c:pt>
                <c:pt idx="88">
                  <c:v>43952</c:v>
                </c:pt>
                <c:pt idx="89">
                  <c:v>43983</c:v>
                </c:pt>
                <c:pt idx="90">
                  <c:v>44013</c:v>
                </c:pt>
                <c:pt idx="91">
                  <c:v>44044</c:v>
                </c:pt>
                <c:pt idx="92">
                  <c:v>44075</c:v>
                </c:pt>
                <c:pt idx="93">
                  <c:v>44105</c:v>
                </c:pt>
                <c:pt idx="94">
                  <c:v>44136</c:v>
                </c:pt>
                <c:pt idx="95">
                  <c:v>44166</c:v>
                </c:pt>
                <c:pt idx="96">
                  <c:v>44197</c:v>
                </c:pt>
                <c:pt idx="97">
                  <c:v>44228</c:v>
                </c:pt>
                <c:pt idx="98">
                  <c:v>44256</c:v>
                </c:pt>
                <c:pt idx="99">
                  <c:v>44287</c:v>
                </c:pt>
                <c:pt idx="100">
                  <c:v>44317</c:v>
                </c:pt>
                <c:pt idx="101">
                  <c:v>44348</c:v>
                </c:pt>
                <c:pt idx="102">
                  <c:v>44378</c:v>
                </c:pt>
                <c:pt idx="103">
                  <c:v>44409</c:v>
                </c:pt>
                <c:pt idx="104">
                  <c:v>44440</c:v>
                </c:pt>
              </c:numCache>
            </c:numRef>
          </c:cat>
          <c:val>
            <c:numRef>
              <c:f>Inflacija!$U$40:$U$144</c:f>
              <c:numCache>
                <c:formatCode>0.00</c:formatCode>
                <c:ptCount val="105"/>
                <c:pt idx="0">
                  <c:v>11.5</c:v>
                </c:pt>
                <c:pt idx="1">
                  <c:v>11.75</c:v>
                </c:pt>
                <c:pt idx="2">
                  <c:v>11.75</c:v>
                </c:pt>
                <c:pt idx="3">
                  <c:v>11.75</c:v>
                </c:pt>
                <c:pt idx="4">
                  <c:v>11.25</c:v>
                </c:pt>
                <c:pt idx="5">
                  <c:v>11</c:v>
                </c:pt>
                <c:pt idx="6">
                  <c:v>11</c:v>
                </c:pt>
                <c:pt idx="7">
                  <c:v>11</c:v>
                </c:pt>
                <c:pt idx="8">
                  <c:v>11</c:v>
                </c:pt>
                <c:pt idx="9">
                  <c:v>10.5</c:v>
                </c:pt>
                <c:pt idx="10">
                  <c:v>10</c:v>
                </c:pt>
                <c:pt idx="11">
                  <c:v>9.5</c:v>
                </c:pt>
                <c:pt idx="12">
                  <c:v>9.5</c:v>
                </c:pt>
                <c:pt idx="13">
                  <c:v>9.5</c:v>
                </c:pt>
                <c:pt idx="14">
                  <c:v>9.5</c:v>
                </c:pt>
                <c:pt idx="15">
                  <c:v>9.5</c:v>
                </c:pt>
                <c:pt idx="16">
                  <c:v>9</c:v>
                </c:pt>
                <c:pt idx="17">
                  <c:v>8.5</c:v>
                </c:pt>
                <c:pt idx="18">
                  <c:v>8.5</c:v>
                </c:pt>
                <c:pt idx="19">
                  <c:v>8.5</c:v>
                </c:pt>
                <c:pt idx="20">
                  <c:v>8.5</c:v>
                </c:pt>
                <c:pt idx="21">
                  <c:v>8.5</c:v>
                </c:pt>
                <c:pt idx="22">
                  <c:v>8</c:v>
                </c:pt>
                <c:pt idx="23">
                  <c:v>8</c:v>
                </c:pt>
                <c:pt idx="24">
                  <c:v>8</c:v>
                </c:pt>
                <c:pt idx="25">
                  <c:v>8</c:v>
                </c:pt>
                <c:pt idx="26">
                  <c:v>7.5</c:v>
                </c:pt>
                <c:pt idx="27">
                  <c:v>7</c:v>
                </c:pt>
                <c:pt idx="28">
                  <c:v>6.5</c:v>
                </c:pt>
                <c:pt idx="29">
                  <c:v>6</c:v>
                </c:pt>
                <c:pt idx="30">
                  <c:v>6</c:v>
                </c:pt>
                <c:pt idx="31">
                  <c:v>5.5</c:v>
                </c:pt>
                <c:pt idx="32">
                  <c:v>5</c:v>
                </c:pt>
                <c:pt idx="33">
                  <c:v>4.5</c:v>
                </c:pt>
                <c:pt idx="34">
                  <c:v>4.5</c:v>
                </c:pt>
                <c:pt idx="35">
                  <c:v>4.5</c:v>
                </c:pt>
                <c:pt idx="36">
                  <c:v>4.5</c:v>
                </c:pt>
                <c:pt idx="37">
                  <c:v>4.25</c:v>
                </c:pt>
                <c:pt idx="38">
                  <c:v>4.25</c:v>
                </c:pt>
                <c:pt idx="39">
                  <c:v>4.25</c:v>
                </c:pt>
                <c:pt idx="40">
                  <c:v>4.25</c:v>
                </c:pt>
                <c:pt idx="41">
                  <c:v>4.25</c:v>
                </c:pt>
                <c:pt idx="42">
                  <c:v>4</c:v>
                </c:pt>
                <c:pt idx="43">
                  <c:v>4</c:v>
                </c:pt>
                <c:pt idx="44">
                  <c:v>4</c:v>
                </c:pt>
                <c:pt idx="45">
                  <c:v>4</c:v>
                </c:pt>
                <c:pt idx="46">
                  <c:v>4</c:v>
                </c:pt>
                <c:pt idx="47">
                  <c:v>4</c:v>
                </c:pt>
                <c:pt idx="48">
                  <c:v>4</c:v>
                </c:pt>
                <c:pt idx="49">
                  <c:v>4</c:v>
                </c:pt>
                <c:pt idx="50">
                  <c:v>4</c:v>
                </c:pt>
                <c:pt idx="51">
                  <c:v>4</c:v>
                </c:pt>
                <c:pt idx="52">
                  <c:v>4</c:v>
                </c:pt>
                <c:pt idx="53">
                  <c:v>4</c:v>
                </c:pt>
                <c:pt idx="54">
                  <c:v>4</c:v>
                </c:pt>
                <c:pt idx="55">
                  <c:v>4</c:v>
                </c:pt>
                <c:pt idx="56">
                  <c:v>3.75</c:v>
                </c:pt>
                <c:pt idx="57">
                  <c:v>3.5</c:v>
                </c:pt>
                <c:pt idx="58">
                  <c:v>3.5</c:v>
                </c:pt>
                <c:pt idx="59">
                  <c:v>3.5</c:v>
                </c:pt>
                <c:pt idx="60">
                  <c:v>3.5</c:v>
                </c:pt>
                <c:pt idx="61">
                  <c:v>3.5</c:v>
                </c:pt>
                <c:pt idx="62">
                  <c:v>3.25</c:v>
                </c:pt>
                <c:pt idx="63">
                  <c:v>3</c:v>
                </c:pt>
                <c:pt idx="64">
                  <c:v>3</c:v>
                </c:pt>
                <c:pt idx="65">
                  <c:v>3</c:v>
                </c:pt>
                <c:pt idx="66">
                  <c:v>3</c:v>
                </c:pt>
                <c:pt idx="67">
                  <c:v>3</c:v>
                </c:pt>
                <c:pt idx="68">
                  <c:v>3</c:v>
                </c:pt>
                <c:pt idx="69">
                  <c:v>3</c:v>
                </c:pt>
                <c:pt idx="70">
                  <c:v>3</c:v>
                </c:pt>
                <c:pt idx="71">
                  <c:v>3</c:v>
                </c:pt>
                <c:pt idx="72">
                  <c:v>3</c:v>
                </c:pt>
                <c:pt idx="73">
                  <c:v>3</c:v>
                </c:pt>
                <c:pt idx="74">
                  <c:v>3</c:v>
                </c:pt>
                <c:pt idx="75">
                  <c:v>3</c:v>
                </c:pt>
                <c:pt idx="76">
                  <c:v>3</c:v>
                </c:pt>
                <c:pt idx="77">
                  <c:v>3</c:v>
                </c:pt>
                <c:pt idx="78">
                  <c:v>2.75</c:v>
                </c:pt>
                <c:pt idx="79">
                  <c:v>2.5</c:v>
                </c:pt>
                <c:pt idx="80">
                  <c:v>2.5</c:v>
                </c:pt>
                <c:pt idx="81">
                  <c:v>2.5</c:v>
                </c:pt>
                <c:pt idx="82">
                  <c:v>2.25</c:v>
                </c:pt>
                <c:pt idx="83">
                  <c:v>2.25</c:v>
                </c:pt>
                <c:pt idx="84">
                  <c:v>2.25</c:v>
                </c:pt>
                <c:pt idx="85">
                  <c:v>2.25</c:v>
                </c:pt>
                <c:pt idx="86">
                  <c:v>1.75</c:v>
                </c:pt>
                <c:pt idx="87">
                  <c:v>1.5</c:v>
                </c:pt>
                <c:pt idx="88">
                  <c:v>1.5</c:v>
                </c:pt>
                <c:pt idx="89">
                  <c:v>1.25</c:v>
                </c:pt>
                <c:pt idx="90">
                  <c:v>1.25</c:v>
                </c:pt>
                <c:pt idx="91">
                  <c:v>1.25</c:v>
                </c:pt>
                <c:pt idx="92">
                  <c:v>1.25</c:v>
                </c:pt>
                <c:pt idx="93" formatCode="General">
                  <c:v>1.25</c:v>
                </c:pt>
                <c:pt idx="94" formatCode="General">
                  <c:v>1.25</c:v>
                </c:pt>
                <c:pt idx="95">
                  <c:v>1</c:v>
                </c:pt>
                <c:pt idx="96">
                  <c:v>1</c:v>
                </c:pt>
                <c:pt idx="97">
                  <c:v>1</c:v>
                </c:pt>
                <c:pt idx="98">
                  <c:v>1</c:v>
                </c:pt>
                <c:pt idx="99">
                  <c:v>1</c:v>
                </c:pt>
                <c:pt idx="100">
                  <c:v>1</c:v>
                </c:pt>
                <c:pt idx="101">
                  <c:v>1</c:v>
                </c:pt>
                <c:pt idx="102">
                  <c:v>1</c:v>
                </c:pt>
                <c:pt idx="103">
                  <c:v>1</c:v>
                </c:pt>
                <c:pt idx="104">
                  <c:v>1</c:v>
                </c:pt>
              </c:numCache>
            </c:numRef>
          </c:val>
          <c:smooth val="0"/>
          <c:extLst>
            <c:ext xmlns:c16="http://schemas.microsoft.com/office/drawing/2014/chart" uri="{C3380CC4-5D6E-409C-BE32-E72D297353CC}">
              <c16:uniqueId val="{00000000-549E-4806-861F-34B5744F1480}"/>
            </c:ext>
          </c:extLst>
        </c:ser>
        <c:ser>
          <c:idx val="1"/>
          <c:order val="1"/>
          <c:tx>
            <c:strRef>
              <c:f>Inflacija!$V$3</c:f>
              <c:strCache>
                <c:ptCount val="1"/>
                <c:pt idx="0">
                  <c:v>Потрошачке цене</c:v>
                </c:pt>
              </c:strCache>
            </c:strRef>
          </c:tx>
          <c:spPr>
            <a:ln w="22225" cap="rnd">
              <a:solidFill>
                <a:srgbClr val="7F3F98"/>
              </a:solidFill>
              <a:round/>
            </a:ln>
            <a:effectLst/>
          </c:spPr>
          <c:marker>
            <c:symbol val="none"/>
          </c:marker>
          <c:cat>
            <c:numRef>
              <c:f>Inflacija!$Q$40:$Q$144</c:f>
              <c:numCache>
                <c:formatCode>yyyy</c:formatCode>
                <c:ptCount val="105"/>
                <c:pt idx="0">
                  <c:v>41275</c:v>
                </c:pt>
                <c:pt idx="1">
                  <c:v>41306</c:v>
                </c:pt>
                <c:pt idx="2">
                  <c:v>41334</c:v>
                </c:pt>
                <c:pt idx="3">
                  <c:v>41365</c:v>
                </c:pt>
                <c:pt idx="4">
                  <c:v>41395</c:v>
                </c:pt>
                <c:pt idx="5">
                  <c:v>41426</c:v>
                </c:pt>
                <c:pt idx="6">
                  <c:v>41456</c:v>
                </c:pt>
                <c:pt idx="7">
                  <c:v>41487</c:v>
                </c:pt>
                <c:pt idx="8">
                  <c:v>41518</c:v>
                </c:pt>
                <c:pt idx="9">
                  <c:v>41548</c:v>
                </c:pt>
                <c:pt idx="10">
                  <c:v>41579</c:v>
                </c:pt>
                <c:pt idx="11">
                  <c:v>41609</c:v>
                </c:pt>
                <c:pt idx="12">
                  <c:v>41640</c:v>
                </c:pt>
                <c:pt idx="13">
                  <c:v>41671</c:v>
                </c:pt>
                <c:pt idx="14">
                  <c:v>41699</c:v>
                </c:pt>
                <c:pt idx="15">
                  <c:v>41730</c:v>
                </c:pt>
                <c:pt idx="16">
                  <c:v>41760</c:v>
                </c:pt>
                <c:pt idx="17">
                  <c:v>41791</c:v>
                </c:pt>
                <c:pt idx="18">
                  <c:v>41821</c:v>
                </c:pt>
                <c:pt idx="19">
                  <c:v>41852</c:v>
                </c:pt>
                <c:pt idx="20">
                  <c:v>41883</c:v>
                </c:pt>
                <c:pt idx="21">
                  <c:v>41913</c:v>
                </c:pt>
                <c:pt idx="22">
                  <c:v>41944</c:v>
                </c:pt>
                <c:pt idx="23">
                  <c:v>41974</c:v>
                </c:pt>
                <c:pt idx="24">
                  <c:v>42005</c:v>
                </c:pt>
                <c:pt idx="25">
                  <c:v>42036</c:v>
                </c:pt>
                <c:pt idx="26">
                  <c:v>42064</c:v>
                </c:pt>
                <c:pt idx="27">
                  <c:v>42095</c:v>
                </c:pt>
                <c:pt idx="28">
                  <c:v>42125</c:v>
                </c:pt>
                <c:pt idx="29">
                  <c:v>42156</c:v>
                </c:pt>
                <c:pt idx="30">
                  <c:v>42186</c:v>
                </c:pt>
                <c:pt idx="31">
                  <c:v>42217</c:v>
                </c:pt>
                <c:pt idx="32">
                  <c:v>42248</c:v>
                </c:pt>
                <c:pt idx="33">
                  <c:v>42278</c:v>
                </c:pt>
                <c:pt idx="34">
                  <c:v>42309</c:v>
                </c:pt>
                <c:pt idx="35">
                  <c:v>42339</c:v>
                </c:pt>
                <c:pt idx="36">
                  <c:v>42370</c:v>
                </c:pt>
                <c:pt idx="37">
                  <c:v>42401</c:v>
                </c:pt>
                <c:pt idx="38">
                  <c:v>42430</c:v>
                </c:pt>
                <c:pt idx="39">
                  <c:v>42461</c:v>
                </c:pt>
                <c:pt idx="40">
                  <c:v>42491</c:v>
                </c:pt>
                <c:pt idx="41">
                  <c:v>42522</c:v>
                </c:pt>
                <c:pt idx="42">
                  <c:v>42552</c:v>
                </c:pt>
                <c:pt idx="43">
                  <c:v>42583</c:v>
                </c:pt>
                <c:pt idx="44">
                  <c:v>42614</c:v>
                </c:pt>
                <c:pt idx="45">
                  <c:v>42644</c:v>
                </c:pt>
                <c:pt idx="46">
                  <c:v>42675</c:v>
                </c:pt>
                <c:pt idx="47">
                  <c:v>42705</c:v>
                </c:pt>
                <c:pt idx="48">
                  <c:v>42736</c:v>
                </c:pt>
                <c:pt idx="49">
                  <c:v>42767</c:v>
                </c:pt>
                <c:pt idx="50">
                  <c:v>42795</c:v>
                </c:pt>
                <c:pt idx="51">
                  <c:v>42826</c:v>
                </c:pt>
                <c:pt idx="52">
                  <c:v>42856</c:v>
                </c:pt>
                <c:pt idx="53">
                  <c:v>42887</c:v>
                </c:pt>
                <c:pt idx="54">
                  <c:v>42917</c:v>
                </c:pt>
                <c:pt idx="55">
                  <c:v>42948</c:v>
                </c:pt>
                <c:pt idx="56">
                  <c:v>42979</c:v>
                </c:pt>
                <c:pt idx="57">
                  <c:v>43009</c:v>
                </c:pt>
                <c:pt idx="58">
                  <c:v>43040</c:v>
                </c:pt>
                <c:pt idx="59">
                  <c:v>43070</c:v>
                </c:pt>
                <c:pt idx="60">
                  <c:v>43101</c:v>
                </c:pt>
                <c:pt idx="61">
                  <c:v>43132</c:v>
                </c:pt>
                <c:pt idx="62">
                  <c:v>43160</c:v>
                </c:pt>
                <c:pt idx="63">
                  <c:v>43191</c:v>
                </c:pt>
                <c:pt idx="64">
                  <c:v>43221</c:v>
                </c:pt>
                <c:pt idx="65">
                  <c:v>43252</c:v>
                </c:pt>
                <c:pt idx="66">
                  <c:v>43282</c:v>
                </c:pt>
                <c:pt idx="67">
                  <c:v>43313</c:v>
                </c:pt>
                <c:pt idx="68">
                  <c:v>43344</c:v>
                </c:pt>
                <c:pt idx="69">
                  <c:v>43374</c:v>
                </c:pt>
                <c:pt idx="70">
                  <c:v>43405</c:v>
                </c:pt>
                <c:pt idx="71">
                  <c:v>43435</c:v>
                </c:pt>
                <c:pt idx="72">
                  <c:v>43466</c:v>
                </c:pt>
                <c:pt idx="73">
                  <c:v>43497</c:v>
                </c:pt>
                <c:pt idx="74">
                  <c:v>43525</c:v>
                </c:pt>
                <c:pt idx="75">
                  <c:v>43556</c:v>
                </c:pt>
                <c:pt idx="76">
                  <c:v>43586</c:v>
                </c:pt>
                <c:pt idx="77">
                  <c:v>43617</c:v>
                </c:pt>
                <c:pt idx="78">
                  <c:v>43647</c:v>
                </c:pt>
                <c:pt idx="79">
                  <c:v>43678</c:v>
                </c:pt>
                <c:pt idx="80">
                  <c:v>43709</c:v>
                </c:pt>
                <c:pt idx="81">
                  <c:v>43739</c:v>
                </c:pt>
                <c:pt idx="82">
                  <c:v>43770</c:v>
                </c:pt>
                <c:pt idx="83">
                  <c:v>43800</c:v>
                </c:pt>
                <c:pt idx="84">
                  <c:v>43831</c:v>
                </c:pt>
                <c:pt idx="85">
                  <c:v>43862</c:v>
                </c:pt>
                <c:pt idx="86">
                  <c:v>43891</c:v>
                </c:pt>
                <c:pt idx="87">
                  <c:v>43922</c:v>
                </c:pt>
                <c:pt idx="88">
                  <c:v>43952</c:v>
                </c:pt>
                <c:pt idx="89">
                  <c:v>43983</c:v>
                </c:pt>
                <c:pt idx="90">
                  <c:v>44013</c:v>
                </c:pt>
                <c:pt idx="91">
                  <c:v>44044</c:v>
                </c:pt>
                <c:pt idx="92">
                  <c:v>44075</c:v>
                </c:pt>
                <c:pt idx="93">
                  <c:v>44105</c:v>
                </c:pt>
                <c:pt idx="94">
                  <c:v>44136</c:v>
                </c:pt>
                <c:pt idx="95">
                  <c:v>44166</c:v>
                </c:pt>
                <c:pt idx="96">
                  <c:v>44197</c:v>
                </c:pt>
                <c:pt idx="97">
                  <c:v>44228</c:v>
                </c:pt>
                <c:pt idx="98">
                  <c:v>44256</c:v>
                </c:pt>
                <c:pt idx="99">
                  <c:v>44287</c:v>
                </c:pt>
                <c:pt idx="100">
                  <c:v>44317</c:v>
                </c:pt>
                <c:pt idx="101">
                  <c:v>44348</c:v>
                </c:pt>
                <c:pt idx="102">
                  <c:v>44378</c:v>
                </c:pt>
                <c:pt idx="103">
                  <c:v>44409</c:v>
                </c:pt>
                <c:pt idx="104">
                  <c:v>44440</c:v>
                </c:pt>
              </c:numCache>
            </c:numRef>
          </c:cat>
          <c:val>
            <c:numRef>
              <c:f>Inflacija!$V$40:$V$144</c:f>
              <c:numCache>
                <c:formatCode>0.0</c:formatCode>
                <c:ptCount val="105"/>
                <c:pt idx="0">
                  <c:v>12.753293315144077</c:v>
                </c:pt>
                <c:pt idx="1">
                  <c:v>12.412739988820135</c:v>
                </c:pt>
                <c:pt idx="2">
                  <c:v>11.175774206136737</c:v>
                </c:pt>
                <c:pt idx="3">
                  <c:v>11.4</c:v>
                </c:pt>
                <c:pt idx="4">
                  <c:v>9.9</c:v>
                </c:pt>
                <c:pt idx="5">
                  <c:v>9.8000000000000007</c:v>
                </c:pt>
                <c:pt idx="6">
                  <c:v>8.6</c:v>
                </c:pt>
                <c:pt idx="7" formatCode="General">
                  <c:v>7.3</c:v>
                </c:pt>
                <c:pt idx="8">
                  <c:v>4.8545411542100254</c:v>
                </c:pt>
                <c:pt idx="9">
                  <c:v>2.1686608375517835</c:v>
                </c:pt>
                <c:pt idx="10">
                  <c:v>1.5706806282722425</c:v>
                </c:pt>
                <c:pt idx="11">
                  <c:v>2.2241478913922492</c:v>
                </c:pt>
                <c:pt idx="12" formatCode="General">
                  <c:v>3.1</c:v>
                </c:pt>
                <c:pt idx="13" formatCode="General">
                  <c:v>2.6</c:v>
                </c:pt>
                <c:pt idx="14" formatCode="General">
                  <c:v>2.2999999999999998</c:v>
                </c:pt>
                <c:pt idx="15" formatCode="General">
                  <c:v>2.1</c:v>
                </c:pt>
                <c:pt idx="16">
                  <c:v>2.1</c:v>
                </c:pt>
                <c:pt idx="17" formatCode="General">
                  <c:v>1.3</c:v>
                </c:pt>
                <c:pt idx="18" formatCode="General">
                  <c:v>2.1</c:v>
                </c:pt>
                <c:pt idx="19" formatCode="General">
                  <c:v>1.5</c:v>
                </c:pt>
                <c:pt idx="20" formatCode="General">
                  <c:v>2.1</c:v>
                </c:pt>
                <c:pt idx="21" formatCode="General">
                  <c:v>1.8</c:v>
                </c:pt>
                <c:pt idx="22" formatCode="General">
                  <c:v>2.4</c:v>
                </c:pt>
                <c:pt idx="23" formatCode="General">
                  <c:v>1.7</c:v>
                </c:pt>
                <c:pt idx="24" formatCode="General">
                  <c:v>0.1</c:v>
                </c:pt>
                <c:pt idx="25" formatCode="General">
                  <c:v>0.8</c:v>
                </c:pt>
                <c:pt idx="26" formatCode="General">
                  <c:v>1.9</c:v>
                </c:pt>
                <c:pt idx="27" formatCode="General">
                  <c:v>1.8</c:v>
                </c:pt>
                <c:pt idx="28">
                  <c:v>1.5</c:v>
                </c:pt>
                <c:pt idx="29">
                  <c:v>1.9</c:v>
                </c:pt>
                <c:pt idx="30">
                  <c:v>1</c:v>
                </c:pt>
                <c:pt idx="31" formatCode="General">
                  <c:v>2.1</c:v>
                </c:pt>
                <c:pt idx="32" formatCode="General">
                  <c:v>1.4</c:v>
                </c:pt>
                <c:pt idx="33" formatCode="General">
                  <c:v>1.4</c:v>
                </c:pt>
                <c:pt idx="34" formatCode="General">
                  <c:v>1.3</c:v>
                </c:pt>
                <c:pt idx="35" formatCode="General">
                  <c:v>1.5</c:v>
                </c:pt>
                <c:pt idx="36" formatCode="General">
                  <c:v>2.4</c:v>
                </c:pt>
                <c:pt idx="37" formatCode="General">
                  <c:v>1.5</c:v>
                </c:pt>
                <c:pt idx="38" formatCode="General">
                  <c:v>0.6</c:v>
                </c:pt>
                <c:pt idx="39" formatCode="General">
                  <c:v>0.4</c:v>
                </c:pt>
                <c:pt idx="40">
                  <c:v>0.7</c:v>
                </c:pt>
                <c:pt idx="41">
                  <c:v>0.3</c:v>
                </c:pt>
                <c:pt idx="42">
                  <c:v>1.2</c:v>
                </c:pt>
                <c:pt idx="43" formatCode="General">
                  <c:v>1.2</c:v>
                </c:pt>
                <c:pt idx="44" formatCode="General">
                  <c:v>0.6</c:v>
                </c:pt>
                <c:pt idx="45" formatCode="General">
                  <c:v>1.5</c:v>
                </c:pt>
                <c:pt idx="46" formatCode="General">
                  <c:v>1.5</c:v>
                </c:pt>
                <c:pt idx="47" formatCode="General">
                  <c:v>1.6</c:v>
                </c:pt>
                <c:pt idx="48" formatCode="General">
                  <c:v>2.4</c:v>
                </c:pt>
                <c:pt idx="49" formatCode="General">
                  <c:v>3.2</c:v>
                </c:pt>
                <c:pt idx="50" formatCode="General">
                  <c:v>3.6</c:v>
                </c:pt>
                <c:pt idx="51">
                  <c:v>4</c:v>
                </c:pt>
                <c:pt idx="52">
                  <c:v>3.5</c:v>
                </c:pt>
                <c:pt idx="53">
                  <c:v>3.6</c:v>
                </c:pt>
                <c:pt idx="54">
                  <c:v>3.2</c:v>
                </c:pt>
                <c:pt idx="55" formatCode="General">
                  <c:v>2.5</c:v>
                </c:pt>
                <c:pt idx="56" formatCode="General">
                  <c:v>3.2</c:v>
                </c:pt>
                <c:pt idx="57" formatCode="General">
                  <c:v>2.8</c:v>
                </c:pt>
                <c:pt idx="58" formatCode="General">
                  <c:v>2.8</c:v>
                </c:pt>
                <c:pt idx="59">
                  <c:v>3</c:v>
                </c:pt>
                <c:pt idx="60">
                  <c:v>1.9</c:v>
                </c:pt>
                <c:pt idx="61" formatCode="General">
                  <c:v>1.5</c:v>
                </c:pt>
                <c:pt idx="62" formatCode="General">
                  <c:v>1.4</c:v>
                </c:pt>
                <c:pt idx="63">
                  <c:v>1.1000000000000001</c:v>
                </c:pt>
                <c:pt idx="64" formatCode="General">
                  <c:v>2.1</c:v>
                </c:pt>
                <c:pt idx="65" formatCode="General">
                  <c:v>2.2999999999999998</c:v>
                </c:pt>
                <c:pt idx="66" formatCode="General">
                  <c:v>2.4</c:v>
                </c:pt>
                <c:pt idx="67" formatCode="General">
                  <c:v>2.6</c:v>
                </c:pt>
                <c:pt idx="68" formatCode="General">
                  <c:v>2.1</c:v>
                </c:pt>
                <c:pt idx="69" formatCode="General">
                  <c:v>2.2000000000000002</c:v>
                </c:pt>
                <c:pt idx="70" formatCode="General">
                  <c:v>1.9</c:v>
                </c:pt>
                <c:pt idx="71">
                  <c:v>2</c:v>
                </c:pt>
                <c:pt idx="72">
                  <c:v>2.1</c:v>
                </c:pt>
                <c:pt idx="73">
                  <c:v>2.4</c:v>
                </c:pt>
                <c:pt idx="74" formatCode="General">
                  <c:v>2.8</c:v>
                </c:pt>
                <c:pt idx="75" formatCode="General">
                  <c:v>3.1</c:v>
                </c:pt>
                <c:pt idx="76" formatCode="General">
                  <c:v>2.2000000000000028</c:v>
                </c:pt>
                <c:pt idx="77" formatCode="General">
                  <c:v>1.5</c:v>
                </c:pt>
                <c:pt idx="78" formatCode="General">
                  <c:v>1.6</c:v>
                </c:pt>
                <c:pt idx="79" formatCode="General">
                  <c:v>1.2999999999999972</c:v>
                </c:pt>
                <c:pt idx="80" formatCode="General">
                  <c:v>1.1000000000000001</c:v>
                </c:pt>
                <c:pt idx="81">
                  <c:v>1</c:v>
                </c:pt>
                <c:pt idx="82">
                  <c:v>1.5</c:v>
                </c:pt>
                <c:pt idx="83">
                  <c:v>1.9</c:v>
                </c:pt>
                <c:pt idx="84">
                  <c:v>2</c:v>
                </c:pt>
                <c:pt idx="85">
                  <c:v>1.9</c:v>
                </c:pt>
                <c:pt idx="86">
                  <c:v>1.3</c:v>
                </c:pt>
                <c:pt idx="87">
                  <c:v>0.6</c:v>
                </c:pt>
                <c:pt idx="88">
                  <c:v>0.7</c:v>
                </c:pt>
                <c:pt idx="89">
                  <c:v>1.6</c:v>
                </c:pt>
                <c:pt idx="90">
                  <c:v>2</c:v>
                </c:pt>
                <c:pt idx="91">
                  <c:v>1.9</c:v>
                </c:pt>
                <c:pt idx="92">
                  <c:v>1.8</c:v>
                </c:pt>
                <c:pt idx="93">
                  <c:v>1.8</c:v>
                </c:pt>
                <c:pt idx="94">
                  <c:v>1.7</c:v>
                </c:pt>
                <c:pt idx="95">
                  <c:v>1.3</c:v>
                </c:pt>
                <c:pt idx="96">
                  <c:v>1.1000000000000001</c:v>
                </c:pt>
                <c:pt idx="97">
                  <c:v>1.2</c:v>
                </c:pt>
                <c:pt idx="98">
                  <c:v>1.8</c:v>
                </c:pt>
                <c:pt idx="99">
                  <c:v>2.8</c:v>
                </c:pt>
                <c:pt idx="100">
                  <c:v>3.6</c:v>
                </c:pt>
                <c:pt idx="101">
                  <c:v>3.3</c:v>
                </c:pt>
                <c:pt idx="102">
                  <c:v>3.3</c:v>
                </c:pt>
                <c:pt idx="103">
                  <c:v>4.3</c:v>
                </c:pt>
                <c:pt idx="104">
                  <c:v>5.7</c:v>
                </c:pt>
              </c:numCache>
            </c:numRef>
          </c:val>
          <c:smooth val="0"/>
          <c:extLst>
            <c:ext xmlns:c16="http://schemas.microsoft.com/office/drawing/2014/chart" uri="{C3380CC4-5D6E-409C-BE32-E72D297353CC}">
              <c16:uniqueId val="{00000001-549E-4806-861F-34B5744F1480}"/>
            </c:ext>
          </c:extLst>
        </c:ser>
        <c:ser>
          <c:idx val="2"/>
          <c:order val="2"/>
          <c:tx>
            <c:strRef>
              <c:f>Inflacija!$W$3</c:f>
              <c:strCache>
                <c:ptCount val="1"/>
                <c:pt idx="0">
                  <c:v>Циљана инфлација</c:v>
                </c:pt>
              </c:strCache>
            </c:strRef>
          </c:tx>
          <c:spPr>
            <a:ln w="22225" cap="rnd">
              <a:solidFill>
                <a:srgbClr val="FF0000"/>
              </a:solidFill>
              <a:round/>
            </a:ln>
            <a:effectLst/>
          </c:spPr>
          <c:marker>
            <c:symbol val="none"/>
          </c:marker>
          <c:cat>
            <c:numRef>
              <c:f>Inflacija!$Q$40:$Q$144</c:f>
              <c:numCache>
                <c:formatCode>yyyy</c:formatCode>
                <c:ptCount val="105"/>
                <c:pt idx="0">
                  <c:v>41275</c:v>
                </c:pt>
                <c:pt idx="1">
                  <c:v>41306</c:v>
                </c:pt>
                <c:pt idx="2">
                  <c:v>41334</c:v>
                </c:pt>
                <c:pt idx="3">
                  <c:v>41365</c:v>
                </c:pt>
                <c:pt idx="4">
                  <c:v>41395</c:v>
                </c:pt>
                <c:pt idx="5">
                  <c:v>41426</c:v>
                </c:pt>
                <c:pt idx="6">
                  <c:v>41456</c:v>
                </c:pt>
                <c:pt idx="7">
                  <c:v>41487</c:v>
                </c:pt>
                <c:pt idx="8">
                  <c:v>41518</c:v>
                </c:pt>
                <c:pt idx="9">
                  <c:v>41548</c:v>
                </c:pt>
                <c:pt idx="10">
                  <c:v>41579</c:v>
                </c:pt>
                <c:pt idx="11">
                  <c:v>41609</c:v>
                </c:pt>
                <c:pt idx="12">
                  <c:v>41640</c:v>
                </c:pt>
                <c:pt idx="13">
                  <c:v>41671</c:v>
                </c:pt>
                <c:pt idx="14">
                  <c:v>41699</c:v>
                </c:pt>
                <c:pt idx="15">
                  <c:v>41730</c:v>
                </c:pt>
                <c:pt idx="16">
                  <c:v>41760</c:v>
                </c:pt>
                <c:pt idx="17">
                  <c:v>41791</c:v>
                </c:pt>
                <c:pt idx="18">
                  <c:v>41821</c:v>
                </c:pt>
                <c:pt idx="19">
                  <c:v>41852</c:v>
                </c:pt>
                <c:pt idx="20">
                  <c:v>41883</c:v>
                </c:pt>
                <c:pt idx="21">
                  <c:v>41913</c:v>
                </c:pt>
                <c:pt idx="22">
                  <c:v>41944</c:v>
                </c:pt>
                <c:pt idx="23">
                  <c:v>41974</c:v>
                </c:pt>
                <c:pt idx="24">
                  <c:v>42005</c:v>
                </c:pt>
                <c:pt idx="25">
                  <c:v>42036</c:v>
                </c:pt>
                <c:pt idx="26">
                  <c:v>42064</c:v>
                </c:pt>
                <c:pt idx="27">
                  <c:v>42095</c:v>
                </c:pt>
                <c:pt idx="28">
                  <c:v>42125</c:v>
                </c:pt>
                <c:pt idx="29">
                  <c:v>42156</c:v>
                </c:pt>
                <c:pt idx="30">
                  <c:v>42186</c:v>
                </c:pt>
                <c:pt idx="31">
                  <c:v>42217</c:v>
                </c:pt>
                <c:pt idx="32">
                  <c:v>42248</c:v>
                </c:pt>
                <c:pt idx="33">
                  <c:v>42278</c:v>
                </c:pt>
                <c:pt idx="34">
                  <c:v>42309</c:v>
                </c:pt>
                <c:pt idx="35">
                  <c:v>42339</c:v>
                </c:pt>
                <c:pt idx="36">
                  <c:v>42370</c:v>
                </c:pt>
                <c:pt idx="37">
                  <c:v>42401</c:v>
                </c:pt>
                <c:pt idx="38">
                  <c:v>42430</c:v>
                </c:pt>
                <c:pt idx="39">
                  <c:v>42461</c:v>
                </c:pt>
                <c:pt idx="40">
                  <c:v>42491</c:v>
                </c:pt>
                <c:pt idx="41">
                  <c:v>42522</c:v>
                </c:pt>
                <c:pt idx="42">
                  <c:v>42552</c:v>
                </c:pt>
                <c:pt idx="43">
                  <c:v>42583</c:v>
                </c:pt>
                <c:pt idx="44">
                  <c:v>42614</c:v>
                </c:pt>
                <c:pt idx="45">
                  <c:v>42644</c:v>
                </c:pt>
                <c:pt idx="46">
                  <c:v>42675</c:v>
                </c:pt>
                <c:pt idx="47">
                  <c:v>42705</c:v>
                </c:pt>
                <c:pt idx="48">
                  <c:v>42736</c:v>
                </c:pt>
                <c:pt idx="49">
                  <c:v>42767</c:v>
                </c:pt>
                <c:pt idx="50">
                  <c:v>42795</c:v>
                </c:pt>
                <c:pt idx="51">
                  <c:v>42826</c:v>
                </c:pt>
                <c:pt idx="52">
                  <c:v>42856</c:v>
                </c:pt>
                <c:pt idx="53">
                  <c:v>42887</c:v>
                </c:pt>
                <c:pt idx="54">
                  <c:v>42917</c:v>
                </c:pt>
                <c:pt idx="55">
                  <c:v>42948</c:v>
                </c:pt>
                <c:pt idx="56">
                  <c:v>42979</c:v>
                </c:pt>
                <c:pt idx="57">
                  <c:v>43009</c:v>
                </c:pt>
                <c:pt idx="58">
                  <c:v>43040</c:v>
                </c:pt>
                <c:pt idx="59">
                  <c:v>43070</c:v>
                </c:pt>
                <c:pt idx="60">
                  <c:v>43101</c:v>
                </c:pt>
                <c:pt idx="61">
                  <c:v>43132</c:v>
                </c:pt>
                <c:pt idx="62">
                  <c:v>43160</c:v>
                </c:pt>
                <c:pt idx="63">
                  <c:v>43191</c:v>
                </c:pt>
                <c:pt idx="64">
                  <c:v>43221</c:v>
                </c:pt>
                <c:pt idx="65">
                  <c:v>43252</c:v>
                </c:pt>
                <c:pt idx="66">
                  <c:v>43282</c:v>
                </c:pt>
                <c:pt idx="67">
                  <c:v>43313</c:v>
                </c:pt>
                <c:pt idx="68">
                  <c:v>43344</c:v>
                </c:pt>
                <c:pt idx="69">
                  <c:v>43374</c:v>
                </c:pt>
                <c:pt idx="70">
                  <c:v>43405</c:v>
                </c:pt>
                <c:pt idx="71">
                  <c:v>43435</c:v>
                </c:pt>
                <c:pt idx="72">
                  <c:v>43466</c:v>
                </c:pt>
                <c:pt idx="73">
                  <c:v>43497</c:v>
                </c:pt>
                <c:pt idx="74">
                  <c:v>43525</c:v>
                </c:pt>
                <c:pt idx="75">
                  <c:v>43556</c:v>
                </c:pt>
                <c:pt idx="76">
                  <c:v>43586</c:v>
                </c:pt>
                <c:pt idx="77">
                  <c:v>43617</c:v>
                </c:pt>
                <c:pt idx="78">
                  <c:v>43647</c:v>
                </c:pt>
                <c:pt idx="79">
                  <c:v>43678</c:v>
                </c:pt>
                <c:pt idx="80">
                  <c:v>43709</c:v>
                </c:pt>
                <c:pt idx="81">
                  <c:v>43739</c:v>
                </c:pt>
                <c:pt idx="82">
                  <c:v>43770</c:v>
                </c:pt>
                <c:pt idx="83">
                  <c:v>43800</c:v>
                </c:pt>
                <c:pt idx="84">
                  <c:v>43831</c:v>
                </c:pt>
                <c:pt idx="85">
                  <c:v>43862</c:v>
                </c:pt>
                <c:pt idx="86">
                  <c:v>43891</c:v>
                </c:pt>
                <c:pt idx="87">
                  <c:v>43922</c:v>
                </c:pt>
                <c:pt idx="88">
                  <c:v>43952</c:v>
                </c:pt>
                <c:pt idx="89">
                  <c:v>43983</c:v>
                </c:pt>
                <c:pt idx="90">
                  <c:v>44013</c:v>
                </c:pt>
                <c:pt idx="91">
                  <c:v>44044</c:v>
                </c:pt>
                <c:pt idx="92">
                  <c:v>44075</c:v>
                </c:pt>
                <c:pt idx="93">
                  <c:v>44105</c:v>
                </c:pt>
                <c:pt idx="94">
                  <c:v>44136</c:v>
                </c:pt>
                <c:pt idx="95">
                  <c:v>44166</c:v>
                </c:pt>
                <c:pt idx="96">
                  <c:v>44197</c:v>
                </c:pt>
                <c:pt idx="97">
                  <c:v>44228</c:v>
                </c:pt>
                <c:pt idx="98">
                  <c:v>44256</c:v>
                </c:pt>
                <c:pt idx="99">
                  <c:v>44287</c:v>
                </c:pt>
                <c:pt idx="100">
                  <c:v>44317</c:v>
                </c:pt>
                <c:pt idx="101">
                  <c:v>44348</c:v>
                </c:pt>
                <c:pt idx="102">
                  <c:v>44378</c:v>
                </c:pt>
                <c:pt idx="103">
                  <c:v>44409</c:v>
                </c:pt>
                <c:pt idx="104">
                  <c:v>44440</c:v>
                </c:pt>
              </c:numCache>
            </c:numRef>
          </c:cat>
          <c:val>
            <c:numRef>
              <c:f>Inflacija!$W$40:$W$144</c:f>
              <c:numCache>
                <c:formatCode>0.0</c:formatCode>
                <c:ptCount val="105"/>
                <c:pt idx="0">
                  <c:v>4</c:v>
                </c:pt>
                <c:pt idx="1">
                  <c:v>4</c:v>
                </c:pt>
                <c:pt idx="2">
                  <c:v>4</c:v>
                </c:pt>
                <c:pt idx="3">
                  <c:v>4</c:v>
                </c:pt>
                <c:pt idx="4">
                  <c:v>4</c:v>
                </c:pt>
                <c:pt idx="5">
                  <c:v>4</c:v>
                </c:pt>
                <c:pt idx="6">
                  <c:v>4</c:v>
                </c:pt>
                <c:pt idx="7">
                  <c:v>4</c:v>
                </c:pt>
                <c:pt idx="8">
                  <c:v>4</c:v>
                </c:pt>
                <c:pt idx="9">
                  <c:v>4</c:v>
                </c:pt>
                <c:pt idx="10">
                  <c:v>4</c:v>
                </c:pt>
                <c:pt idx="11">
                  <c:v>4</c:v>
                </c:pt>
                <c:pt idx="12">
                  <c:v>4</c:v>
                </c:pt>
                <c:pt idx="13">
                  <c:v>4</c:v>
                </c:pt>
                <c:pt idx="14">
                  <c:v>4</c:v>
                </c:pt>
                <c:pt idx="15">
                  <c:v>4</c:v>
                </c:pt>
                <c:pt idx="16">
                  <c:v>4</c:v>
                </c:pt>
                <c:pt idx="17">
                  <c:v>4</c:v>
                </c:pt>
                <c:pt idx="18">
                  <c:v>4</c:v>
                </c:pt>
                <c:pt idx="19">
                  <c:v>4</c:v>
                </c:pt>
                <c:pt idx="20">
                  <c:v>4</c:v>
                </c:pt>
                <c:pt idx="21">
                  <c:v>4</c:v>
                </c:pt>
                <c:pt idx="22">
                  <c:v>4</c:v>
                </c:pt>
                <c:pt idx="23">
                  <c:v>4</c:v>
                </c:pt>
                <c:pt idx="24">
                  <c:v>4</c:v>
                </c:pt>
                <c:pt idx="25">
                  <c:v>4</c:v>
                </c:pt>
                <c:pt idx="26">
                  <c:v>4</c:v>
                </c:pt>
                <c:pt idx="27">
                  <c:v>4</c:v>
                </c:pt>
                <c:pt idx="28">
                  <c:v>4</c:v>
                </c:pt>
                <c:pt idx="29">
                  <c:v>4</c:v>
                </c:pt>
                <c:pt idx="30">
                  <c:v>4</c:v>
                </c:pt>
                <c:pt idx="31">
                  <c:v>4</c:v>
                </c:pt>
                <c:pt idx="32">
                  <c:v>4</c:v>
                </c:pt>
                <c:pt idx="33">
                  <c:v>4</c:v>
                </c:pt>
                <c:pt idx="34">
                  <c:v>4</c:v>
                </c:pt>
                <c:pt idx="35">
                  <c:v>4</c:v>
                </c:pt>
                <c:pt idx="36">
                  <c:v>4</c:v>
                </c:pt>
                <c:pt idx="37">
                  <c:v>4</c:v>
                </c:pt>
                <c:pt idx="38">
                  <c:v>4</c:v>
                </c:pt>
                <c:pt idx="39">
                  <c:v>4</c:v>
                </c:pt>
                <c:pt idx="40">
                  <c:v>4</c:v>
                </c:pt>
                <c:pt idx="41">
                  <c:v>4</c:v>
                </c:pt>
                <c:pt idx="42">
                  <c:v>4</c:v>
                </c:pt>
                <c:pt idx="43">
                  <c:v>4</c:v>
                </c:pt>
                <c:pt idx="44">
                  <c:v>4</c:v>
                </c:pt>
                <c:pt idx="45">
                  <c:v>4</c:v>
                </c:pt>
                <c:pt idx="46">
                  <c:v>4</c:v>
                </c:pt>
                <c:pt idx="47">
                  <c:v>4</c:v>
                </c:pt>
                <c:pt idx="48">
                  <c:v>3</c:v>
                </c:pt>
                <c:pt idx="49">
                  <c:v>3</c:v>
                </c:pt>
                <c:pt idx="50">
                  <c:v>3</c:v>
                </c:pt>
                <c:pt idx="51">
                  <c:v>3</c:v>
                </c:pt>
                <c:pt idx="52">
                  <c:v>3</c:v>
                </c:pt>
                <c:pt idx="53">
                  <c:v>3</c:v>
                </c:pt>
                <c:pt idx="54">
                  <c:v>3</c:v>
                </c:pt>
                <c:pt idx="55">
                  <c:v>3</c:v>
                </c:pt>
                <c:pt idx="56">
                  <c:v>3</c:v>
                </c:pt>
                <c:pt idx="57">
                  <c:v>3</c:v>
                </c:pt>
                <c:pt idx="58">
                  <c:v>3</c:v>
                </c:pt>
                <c:pt idx="59">
                  <c:v>3</c:v>
                </c:pt>
                <c:pt idx="60">
                  <c:v>3</c:v>
                </c:pt>
                <c:pt idx="61">
                  <c:v>3</c:v>
                </c:pt>
                <c:pt idx="62">
                  <c:v>3</c:v>
                </c:pt>
                <c:pt idx="63">
                  <c:v>3</c:v>
                </c:pt>
                <c:pt idx="64">
                  <c:v>3</c:v>
                </c:pt>
                <c:pt idx="65">
                  <c:v>3</c:v>
                </c:pt>
                <c:pt idx="66">
                  <c:v>3</c:v>
                </c:pt>
                <c:pt idx="67">
                  <c:v>3</c:v>
                </c:pt>
                <c:pt idx="68">
                  <c:v>3</c:v>
                </c:pt>
                <c:pt idx="69">
                  <c:v>3</c:v>
                </c:pt>
                <c:pt idx="70">
                  <c:v>3</c:v>
                </c:pt>
                <c:pt idx="71">
                  <c:v>3</c:v>
                </c:pt>
                <c:pt idx="72">
                  <c:v>3</c:v>
                </c:pt>
                <c:pt idx="73">
                  <c:v>3</c:v>
                </c:pt>
                <c:pt idx="74">
                  <c:v>3</c:v>
                </c:pt>
                <c:pt idx="75">
                  <c:v>3</c:v>
                </c:pt>
                <c:pt idx="76">
                  <c:v>3</c:v>
                </c:pt>
                <c:pt idx="77">
                  <c:v>3</c:v>
                </c:pt>
                <c:pt idx="78">
                  <c:v>3</c:v>
                </c:pt>
                <c:pt idx="79">
                  <c:v>3</c:v>
                </c:pt>
                <c:pt idx="80">
                  <c:v>3</c:v>
                </c:pt>
                <c:pt idx="81">
                  <c:v>3</c:v>
                </c:pt>
                <c:pt idx="82">
                  <c:v>3</c:v>
                </c:pt>
                <c:pt idx="83">
                  <c:v>3</c:v>
                </c:pt>
                <c:pt idx="84">
                  <c:v>3</c:v>
                </c:pt>
                <c:pt idx="85">
                  <c:v>3</c:v>
                </c:pt>
                <c:pt idx="86">
                  <c:v>3</c:v>
                </c:pt>
                <c:pt idx="87">
                  <c:v>3</c:v>
                </c:pt>
                <c:pt idx="88">
                  <c:v>3</c:v>
                </c:pt>
                <c:pt idx="89">
                  <c:v>3</c:v>
                </c:pt>
                <c:pt idx="90">
                  <c:v>3</c:v>
                </c:pt>
                <c:pt idx="91">
                  <c:v>3</c:v>
                </c:pt>
                <c:pt idx="92">
                  <c:v>3</c:v>
                </c:pt>
                <c:pt idx="93">
                  <c:v>3</c:v>
                </c:pt>
                <c:pt idx="94">
                  <c:v>3</c:v>
                </c:pt>
                <c:pt idx="95">
                  <c:v>3</c:v>
                </c:pt>
                <c:pt idx="96">
                  <c:v>3</c:v>
                </c:pt>
                <c:pt idx="97">
                  <c:v>3</c:v>
                </c:pt>
                <c:pt idx="98">
                  <c:v>3</c:v>
                </c:pt>
                <c:pt idx="99">
                  <c:v>3</c:v>
                </c:pt>
                <c:pt idx="100">
                  <c:v>3</c:v>
                </c:pt>
                <c:pt idx="101">
                  <c:v>3</c:v>
                </c:pt>
                <c:pt idx="102">
                  <c:v>3</c:v>
                </c:pt>
                <c:pt idx="103">
                  <c:v>3</c:v>
                </c:pt>
                <c:pt idx="104">
                  <c:v>3</c:v>
                </c:pt>
              </c:numCache>
            </c:numRef>
          </c:val>
          <c:smooth val="0"/>
          <c:extLst>
            <c:ext xmlns:c16="http://schemas.microsoft.com/office/drawing/2014/chart" uri="{C3380CC4-5D6E-409C-BE32-E72D297353CC}">
              <c16:uniqueId val="{00000002-549E-4806-861F-34B5744F1480}"/>
            </c:ext>
          </c:extLst>
        </c:ser>
        <c:ser>
          <c:idx val="3"/>
          <c:order val="3"/>
          <c:tx>
            <c:strRef>
              <c:f>Inflacija!$X$3</c:f>
              <c:strCache>
                <c:ptCount val="1"/>
                <c:pt idx="0">
                  <c:v>Коридор инфлације</c:v>
                </c:pt>
              </c:strCache>
            </c:strRef>
          </c:tx>
          <c:spPr>
            <a:ln w="12700" cap="rnd">
              <a:solidFill>
                <a:srgbClr val="898989"/>
              </a:solidFill>
              <a:prstDash val="sysDash"/>
              <a:round/>
            </a:ln>
            <a:effectLst/>
          </c:spPr>
          <c:marker>
            <c:symbol val="none"/>
          </c:marker>
          <c:cat>
            <c:numRef>
              <c:f>Inflacija!$Q$40:$Q$144</c:f>
              <c:numCache>
                <c:formatCode>yyyy</c:formatCode>
                <c:ptCount val="105"/>
                <c:pt idx="0">
                  <c:v>41275</c:v>
                </c:pt>
                <c:pt idx="1">
                  <c:v>41306</c:v>
                </c:pt>
                <c:pt idx="2">
                  <c:v>41334</c:v>
                </c:pt>
                <c:pt idx="3">
                  <c:v>41365</c:v>
                </c:pt>
                <c:pt idx="4">
                  <c:v>41395</c:v>
                </c:pt>
                <c:pt idx="5">
                  <c:v>41426</c:v>
                </c:pt>
                <c:pt idx="6">
                  <c:v>41456</c:v>
                </c:pt>
                <c:pt idx="7">
                  <c:v>41487</c:v>
                </c:pt>
                <c:pt idx="8">
                  <c:v>41518</c:v>
                </c:pt>
                <c:pt idx="9">
                  <c:v>41548</c:v>
                </c:pt>
                <c:pt idx="10">
                  <c:v>41579</c:v>
                </c:pt>
                <c:pt idx="11">
                  <c:v>41609</c:v>
                </c:pt>
                <c:pt idx="12">
                  <c:v>41640</c:v>
                </c:pt>
                <c:pt idx="13">
                  <c:v>41671</c:v>
                </c:pt>
                <c:pt idx="14">
                  <c:v>41699</c:v>
                </c:pt>
                <c:pt idx="15">
                  <c:v>41730</c:v>
                </c:pt>
                <c:pt idx="16">
                  <c:v>41760</c:v>
                </c:pt>
                <c:pt idx="17">
                  <c:v>41791</c:v>
                </c:pt>
                <c:pt idx="18">
                  <c:v>41821</c:v>
                </c:pt>
                <c:pt idx="19">
                  <c:v>41852</c:v>
                </c:pt>
                <c:pt idx="20">
                  <c:v>41883</c:v>
                </c:pt>
                <c:pt idx="21">
                  <c:v>41913</c:v>
                </c:pt>
                <c:pt idx="22">
                  <c:v>41944</c:v>
                </c:pt>
                <c:pt idx="23">
                  <c:v>41974</c:v>
                </c:pt>
                <c:pt idx="24">
                  <c:v>42005</c:v>
                </c:pt>
                <c:pt idx="25">
                  <c:v>42036</c:v>
                </c:pt>
                <c:pt idx="26">
                  <c:v>42064</c:v>
                </c:pt>
                <c:pt idx="27">
                  <c:v>42095</c:v>
                </c:pt>
                <c:pt idx="28">
                  <c:v>42125</c:v>
                </c:pt>
                <c:pt idx="29">
                  <c:v>42156</c:v>
                </c:pt>
                <c:pt idx="30">
                  <c:v>42186</c:v>
                </c:pt>
                <c:pt idx="31">
                  <c:v>42217</c:v>
                </c:pt>
                <c:pt idx="32">
                  <c:v>42248</c:v>
                </c:pt>
                <c:pt idx="33">
                  <c:v>42278</c:v>
                </c:pt>
                <c:pt idx="34">
                  <c:v>42309</c:v>
                </c:pt>
                <c:pt idx="35">
                  <c:v>42339</c:v>
                </c:pt>
                <c:pt idx="36">
                  <c:v>42370</c:v>
                </c:pt>
                <c:pt idx="37">
                  <c:v>42401</c:v>
                </c:pt>
                <c:pt idx="38">
                  <c:v>42430</c:v>
                </c:pt>
                <c:pt idx="39">
                  <c:v>42461</c:v>
                </c:pt>
                <c:pt idx="40">
                  <c:v>42491</c:v>
                </c:pt>
                <c:pt idx="41">
                  <c:v>42522</c:v>
                </c:pt>
                <c:pt idx="42">
                  <c:v>42552</c:v>
                </c:pt>
                <c:pt idx="43">
                  <c:v>42583</c:v>
                </c:pt>
                <c:pt idx="44">
                  <c:v>42614</c:v>
                </c:pt>
                <c:pt idx="45">
                  <c:v>42644</c:v>
                </c:pt>
                <c:pt idx="46">
                  <c:v>42675</c:v>
                </c:pt>
                <c:pt idx="47">
                  <c:v>42705</c:v>
                </c:pt>
                <c:pt idx="48">
                  <c:v>42736</c:v>
                </c:pt>
                <c:pt idx="49">
                  <c:v>42767</c:v>
                </c:pt>
                <c:pt idx="50">
                  <c:v>42795</c:v>
                </c:pt>
                <c:pt idx="51">
                  <c:v>42826</c:v>
                </c:pt>
                <c:pt idx="52">
                  <c:v>42856</c:v>
                </c:pt>
                <c:pt idx="53">
                  <c:v>42887</c:v>
                </c:pt>
                <c:pt idx="54">
                  <c:v>42917</c:v>
                </c:pt>
                <c:pt idx="55">
                  <c:v>42948</c:v>
                </c:pt>
                <c:pt idx="56">
                  <c:v>42979</c:v>
                </c:pt>
                <c:pt idx="57">
                  <c:v>43009</c:v>
                </c:pt>
                <c:pt idx="58">
                  <c:v>43040</c:v>
                </c:pt>
                <c:pt idx="59">
                  <c:v>43070</c:v>
                </c:pt>
                <c:pt idx="60">
                  <c:v>43101</c:v>
                </c:pt>
                <c:pt idx="61">
                  <c:v>43132</c:v>
                </c:pt>
                <c:pt idx="62">
                  <c:v>43160</c:v>
                </c:pt>
                <c:pt idx="63">
                  <c:v>43191</c:v>
                </c:pt>
                <c:pt idx="64">
                  <c:v>43221</c:v>
                </c:pt>
                <c:pt idx="65">
                  <c:v>43252</c:v>
                </c:pt>
                <c:pt idx="66">
                  <c:v>43282</c:v>
                </c:pt>
                <c:pt idx="67">
                  <c:v>43313</c:v>
                </c:pt>
                <c:pt idx="68">
                  <c:v>43344</c:v>
                </c:pt>
                <c:pt idx="69">
                  <c:v>43374</c:v>
                </c:pt>
                <c:pt idx="70">
                  <c:v>43405</c:v>
                </c:pt>
                <c:pt idx="71">
                  <c:v>43435</c:v>
                </c:pt>
                <c:pt idx="72">
                  <c:v>43466</c:v>
                </c:pt>
                <c:pt idx="73">
                  <c:v>43497</c:v>
                </c:pt>
                <c:pt idx="74">
                  <c:v>43525</c:v>
                </c:pt>
                <c:pt idx="75">
                  <c:v>43556</c:v>
                </c:pt>
                <c:pt idx="76">
                  <c:v>43586</c:v>
                </c:pt>
                <c:pt idx="77">
                  <c:v>43617</c:v>
                </c:pt>
                <c:pt idx="78">
                  <c:v>43647</c:v>
                </c:pt>
                <c:pt idx="79">
                  <c:v>43678</c:v>
                </c:pt>
                <c:pt idx="80">
                  <c:v>43709</c:v>
                </c:pt>
                <c:pt idx="81">
                  <c:v>43739</c:v>
                </c:pt>
                <c:pt idx="82">
                  <c:v>43770</c:v>
                </c:pt>
                <c:pt idx="83">
                  <c:v>43800</c:v>
                </c:pt>
                <c:pt idx="84">
                  <c:v>43831</c:v>
                </c:pt>
                <c:pt idx="85">
                  <c:v>43862</c:v>
                </c:pt>
                <c:pt idx="86">
                  <c:v>43891</c:v>
                </c:pt>
                <c:pt idx="87">
                  <c:v>43922</c:v>
                </c:pt>
                <c:pt idx="88">
                  <c:v>43952</c:v>
                </c:pt>
                <c:pt idx="89">
                  <c:v>43983</c:v>
                </c:pt>
                <c:pt idx="90">
                  <c:v>44013</c:v>
                </c:pt>
                <c:pt idx="91">
                  <c:v>44044</c:v>
                </c:pt>
                <c:pt idx="92">
                  <c:v>44075</c:v>
                </c:pt>
                <c:pt idx="93">
                  <c:v>44105</c:v>
                </c:pt>
                <c:pt idx="94">
                  <c:v>44136</c:v>
                </c:pt>
                <c:pt idx="95">
                  <c:v>44166</c:v>
                </c:pt>
                <c:pt idx="96">
                  <c:v>44197</c:v>
                </c:pt>
                <c:pt idx="97">
                  <c:v>44228</c:v>
                </c:pt>
                <c:pt idx="98">
                  <c:v>44256</c:v>
                </c:pt>
                <c:pt idx="99">
                  <c:v>44287</c:v>
                </c:pt>
                <c:pt idx="100">
                  <c:v>44317</c:v>
                </c:pt>
                <c:pt idx="101">
                  <c:v>44348</c:v>
                </c:pt>
                <c:pt idx="102">
                  <c:v>44378</c:v>
                </c:pt>
                <c:pt idx="103">
                  <c:v>44409</c:v>
                </c:pt>
                <c:pt idx="104">
                  <c:v>44440</c:v>
                </c:pt>
              </c:numCache>
            </c:numRef>
          </c:cat>
          <c:val>
            <c:numRef>
              <c:f>Inflacija!$X$40:$X$144</c:f>
              <c:numCache>
                <c:formatCode>0.0</c:formatCode>
                <c:ptCount val="105"/>
                <c:pt idx="0">
                  <c:v>5.5</c:v>
                </c:pt>
                <c:pt idx="1">
                  <c:v>5.5</c:v>
                </c:pt>
                <c:pt idx="2">
                  <c:v>5.5</c:v>
                </c:pt>
                <c:pt idx="3">
                  <c:v>5.5</c:v>
                </c:pt>
                <c:pt idx="4">
                  <c:v>5.5</c:v>
                </c:pt>
                <c:pt idx="5">
                  <c:v>5.5</c:v>
                </c:pt>
                <c:pt idx="6">
                  <c:v>5.5</c:v>
                </c:pt>
                <c:pt idx="7">
                  <c:v>5.5</c:v>
                </c:pt>
                <c:pt idx="8">
                  <c:v>5.5</c:v>
                </c:pt>
                <c:pt idx="9">
                  <c:v>5.5</c:v>
                </c:pt>
                <c:pt idx="10">
                  <c:v>5.5</c:v>
                </c:pt>
                <c:pt idx="11">
                  <c:v>5.5</c:v>
                </c:pt>
                <c:pt idx="12">
                  <c:v>5.5</c:v>
                </c:pt>
                <c:pt idx="13">
                  <c:v>5.5</c:v>
                </c:pt>
                <c:pt idx="14">
                  <c:v>5.5</c:v>
                </c:pt>
                <c:pt idx="15">
                  <c:v>5.5</c:v>
                </c:pt>
                <c:pt idx="16">
                  <c:v>5.5</c:v>
                </c:pt>
                <c:pt idx="17">
                  <c:v>5.5</c:v>
                </c:pt>
                <c:pt idx="18">
                  <c:v>5.5</c:v>
                </c:pt>
                <c:pt idx="19">
                  <c:v>5.5</c:v>
                </c:pt>
                <c:pt idx="20">
                  <c:v>5.5</c:v>
                </c:pt>
                <c:pt idx="21">
                  <c:v>5.5</c:v>
                </c:pt>
                <c:pt idx="22">
                  <c:v>5.5</c:v>
                </c:pt>
                <c:pt idx="23">
                  <c:v>5.5</c:v>
                </c:pt>
                <c:pt idx="24">
                  <c:v>5.5</c:v>
                </c:pt>
                <c:pt idx="25">
                  <c:v>5.5</c:v>
                </c:pt>
                <c:pt idx="26">
                  <c:v>5.5</c:v>
                </c:pt>
                <c:pt idx="27">
                  <c:v>5.5</c:v>
                </c:pt>
                <c:pt idx="28">
                  <c:v>5.5</c:v>
                </c:pt>
                <c:pt idx="29">
                  <c:v>5.5</c:v>
                </c:pt>
                <c:pt idx="30">
                  <c:v>5.5</c:v>
                </c:pt>
                <c:pt idx="31">
                  <c:v>5.5</c:v>
                </c:pt>
                <c:pt idx="32">
                  <c:v>5.5</c:v>
                </c:pt>
                <c:pt idx="33">
                  <c:v>5.5</c:v>
                </c:pt>
                <c:pt idx="34">
                  <c:v>5.5</c:v>
                </c:pt>
                <c:pt idx="35">
                  <c:v>5.5</c:v>
                </c:pt>
                <c:pt idx="36">
                  <c:v>5.5</c:v>
                </c:pt>
                <c:pt idx="37" formatCode="General">
                  <c:v>5.5</c:v>
                </c:pt>
                <c:pt idx="38" formatCode="General">
                  <c:v>5.5</c:v>
                </c:pt>
                <c:pt idx="39" formatCode="General">
                  <c:v>5.5</c:v>
                </c:pt>
                <c:pt idx="40" formatCode="General">
                  <c:v>5.5</c:v>
                </c:pt>
                <c:pt idx="41" formatCode="General">
                  <c:v>5.5</c:v>
                </c:pt>
                <c:pt idx="42" formatCode="General">
                  <c:v>5.5</c:v>
                </c:pt>
                <c:pt idx="43" formatCode="General">
                  <c:v>5.5</c:v>
                </c:pt>
                <c:pt idx="44" formatCode="General">
                  <c:v>5.5</c:v>
                </c:pt>
                <c:pt idx="45" formatCode="General">
                  <c:v>5.5</c:v>
                </c:pt>
                <c:pt idx="46" formatCode="General">
                  <c:v>5.5</c:v>
                </c:pt>
                <c:pt idx="47" formatCode="General">
                  <c:v>5.5</c:v>
                </c:pt>
                <c:pt idx="48">
                  <c:v>4.5</c:v>
                </c:pt>
                <c:pt idx="49">
                  <c:v>4.5</c:v>
                </c:pt>
                <c:pt idx="50">
                  <c:v>4.5</c:v>
                </c:pt>
                <c:pt idx="51">
                  <c:v>4.5</c:v>
                </c:pt>
                <c:pt idx="52">
                  <c:v>4.5</c:v>
                </c:pt>
                <c:pt idx="53">
                  <c:v>4.5</c:v>
                </c:pt>
                <c:pt idx="54">
                  <c:v>4.5</c:v>
                </c:pt>
                <c:pt idx="55">
                  <c:v>4.5</c:v>
                </c:pt>
                <c:pt idx="56">
                  <c:v>4.5</c:v>
                </c:pt>
                <c:pt idx="57">
                  <c:v>4.5</c:v>
                </c:pt>
                <c:pt idx="58">
                  <c:v>4.5</c:v>
                </c:pt>
                <c:pt idx="59">
                  <c:v>4.5</c:v>
                </c:pt>
                <c:pt idx="60">
                  <c:v>4.5</c:v>
                </c:pt>
                <c:pt idx="61">
                  <c:v>4.5</c:v>
                </c:pt>
                <c:pt idx="62">
                  <c:v>4.5</c:v>
                </c:pt>
                <c:pt idx="63">
                  <c:v>4.5</c:v>
                </c:pt>
                <c:pt idx="64">
                  <c:v>4.5</c:v>
                </c:pt>
                <c:pt idx="65" formatCode="General">
                  <c:v>4.5</c:v>
                </c:pt>
                <c:pt idx="66" formatCode="General">
                  <c:v>4.5</c:v>
                </c:pt>
                <c:pt idx="67" formatCode="General">
                  <c:v>4.5</c:v>
                </c:pt>
                <c:pt idx="68">
                  <c:v>4.5</c:v>
                </c:pt>
                <c:pt idx="69">
                  <c:v>4.5</c:v>
                </c:pt>
                <c:pt idx="70">
                  <c:v>4.5</c:v>
                </c:pt>
                <c:pt idx="71">
                  <c:v>4.5</c:v>
                </c:pt>
                <c:pt idx="72">
                  <c:v>4.5</c:v>
                </c:pt>
                <c:pt idx="73">
                  <c:v>4.5</c:v>
                </c:pt>
                <c:pt idx="74">
                  <c:v>4.5</c:v>
                </c:pt>
                <c:pt idx="75">
                  <c:v>4.5</c:v>
                </c:pt>
                <c:pt idx="76">
                  <c:v>4.5</c:v>
                </c:pt>
                <c:pt idx="77">
                  <c:v>4.5</c:v>
                </c:pt>
                <c:pt idx="78">
                  <c:v>4.5</c:v>
                </c:pt>
                <c:pt idx="79">
                  <c:v>4.5</c:v>
                </c:pt>
                <c:pt idx="80">
                  <c:v>4.5</c:v>
                </c:pt>
                <c:pt idx="81">
                  <c:v>4.5</c:v>
                </c:pt>
                <c:pt idx="82">
                  <c:v>4.5</c:v>
                </c:pt>
                <c:pt idx="83">
                  <c:v>4.5</c:v>
                </c:pt>
                <c:pt idx="84">
                  <c:v>4.5</c:v>
                </c:pt>
                <c:pt idx="85">
                  <c:v>4.5</c:v>
                </c:pt>
                <c:pt idx="86">
                  <c:v>4.5</c:v>
                </c:pt>
                <c:pt idx="87">
                  <c:v>4.5</c:v>
                </c:pt>
                <c:pt idx="88">
                  <c:v>4.5</c:v>
                </c:pt>
                <c:pt idx="89">
                  <c:v>4.5</c:v>
                </c:pt>
                <c:pt idx="90">
                  <c:v>4.5</c:v>
                </c:pt>
                <c:pt idx="91">
                  <c:v>4.5</c:v>
                </c:pt>
                <c:pt idx="92">
                  <c:v>4.5</c:v>
                </c:pt>
                <c:pt idx="93">
                  <c:v>4.5</c:v>
                </c:pt>
                <c:pt idx="94">
                  <c:v>4.5</c:v>
                </c:pt>
                <c:pt idx="95">
                  <c:v>4.5</c:v>
                </c:pt>
                <c:pt idx="96">
                  <c:v>4.5</c:v>
                </c:pt>
                <c:pt idx="97">
                  <c:v>4.5</c:v>
                </c:pt>
                <c:pt idx="98">
                  <c:v>4.5</c:v>
                </c:pt>
                <c:pt idx="99">
                  <c:v>4.5</c:v>
                </c:pt>
                <c:pt idx="100">
                  <c:v>4.5</c:v>
                </c:pt>
                <c:pt idx="101">
                  <c:v>4.5</c:v>
                </c:pt>
                <c:pt idx="102">
                  <c:v>4.5</c:v>
                </c:pt>
                <c:pt idx="103">
                  <c:v>4.5</c:v>
                </c:pt>
                <c:pt idx="104">
                  <c:v>4.5</c:v>
                </c:pt>
              </c:numCache>
            </c:numRef>
          </c:val>
          <c:smooth val="0"/>
          <c:extLst>
            <c:ext xmlns:c16="http://schemas.microsoft.com/office/drawing/2014/chart" uri="{C3380CC4-5D6E-409C-BE32-E72D297353CC}">
              <c16:uniqueId val="{00000003-549E-4806-861F-34B5744F1480}"/>
            </c:ext>
          </c:extLst>
        </c:ser>
        <c:ser>
          <c:idx val="4"/>
          <c:order val="4"/>
          <c:tx>
            <c:strRef>
              <c:f>Inflacija!$Y$3</c:f>
              <c:strCache>
                <c:ptCount val="1"/>
              </c:strCache>
            </c:strRef>
          </c:tx>
          <c:spPr>
            <a:ln w="12700" cap="rnd">
              <a:solidFill>
                <a:srgbClr val="898989"/>
              </a:solidFill>
              <a:prstDash val="sysDash"/>
              <a:round/>
            </a:ln>
            <a:effectLst/>
          </c:spPr>
          <c:marker>
            <c:symbol val="none"/>
          </c:marker>
          <c:cat>
            <c:numRef>
              <c:f>Inflacija!$Q$40:$Q$144</c:f>
              <c:numCache>
                <c:formatCode>yyyy</c:formatCode>
                <c:ptCount val="105"/>
                <c:pt idx="0">
                  <c:v>41275</c:v>
                </c:pt>
                <c:pt idx="1">
                  <c:v>41306</c:v>
                </c:pt>
                <c:pt idx="2">
                  <c:v>41334</c:v>
                </c:pt>
                <c:pt idx="3">
                  <c:v>41365</c:v>
                </c:pt>
                <c:pt idx="4">
                  <c:v>41395</c:v>
                </c:pt>
                <c:pt idx="5">
                  <c:v>41426</c:v>
                </c:pt>
                <c:pt idx="6">
                  <c:v>41456</c:v>
                </c:pt>
                <c:pt idx="7">
                  <c:v>41487</c:v>
                </c:pt>
                <c:pt idx="8">
                  <c:v>41518</c:v>
                </c:pt>
                <c:pt idx="9">
                  <c:v>41548</c:v>
                </c:pt>
                <c:pt idx="10">
                  <c:v>41579</c:v>
                </c:pt>
                <c:pt idx="11">
                  <c:v>41609</c:v>
                </c:pt>
                <c:pt idx="12">
                  <c:v>41640</c:v>
                </c:pt>
                <c:pt idx="13">
                  <c:v>41671</c:v>
                </c:pt>
                <c:pt idx="14">
                  <c:v>41699</c:v>
                </c:pt>
                <c:pt idx="15">
                  <c:v>41730</c:v>
                </c:pt>
                <c:pt idx="16">
                  <c:v>41760</c:v>
                </c:pt>
                <c:pt idx="17">
                  <c:v>41791</c:v>
                </c:pt>
                <c:pt idx="18">
                  <c:v>41821</c:v>
                </c:pt>
                <c:pt idx="19">
                  <c:v>41852</c:v>
                </c:pt>
                <c:pt idx="20">
                  <c:v>41883</c:v>
                </c:pt>
                <c:pt idx="21">
                  <c:v>41913</c:v>
                </c:pt>
                <c:pt idx="22">
                  <c:v>41944</c:v>
                </c:pt>
                <c:pt idx="23">
                  <c:v>41974</c:v>
                </c:pt>
                <c:pt idx="24">
                  <c:v>42005</c:v>
                </c:pt>
                <c:pt idx="25">
                  <c:v>42036</c:v>
                </c:pt>
                <c:pt idx="26">
                  <c:v>42064</c:v>
                </c:pt>
                <c:pt idx="27">
                  <c:v>42095</c:v>
                </c:pt>
                <c:pt idx="28">
                  <c:v>42125</c:v>
                </c:pt>
                <c:pt idx="29">
                  <c:v>42156</c:v>
                </c:pt>
                <c:pt idx="30">
                  <c:v>42186</c:v>
                </c:pt>
                <c:pt idx="31">
                  <c:v>42217</c:v>
                </c:pt>
                <c:pt idx="32">
                  <c:v>42248</c:v>
                </c:pt>
                <c:pt idx="33">
                  <c:v>42278</c:v>
                </c:pt>
                <c:pt idx="34">
                  <c:v>42309</c:v>
                </c:pt>
                <c:pt idx="35">
                  <c:v>42339</c:v>
                </c:pt>
                <c:pt idx="36">
                  <c:v>42370</c:v>
                </c:pt>
                <c:pt idx="37">
                  <c:v>42401</c:v>
                </c:pt>
                <c:pt idx="38">
                  <c:v>42430</c:v>
                </c:pt>
                <c:pt idx="39">
                  <c:v>42461</c:v>
                </c:pt>
                <c:pt idx="40">
                  <c:v>42491</c:v>
                </c:pt>
                <c:pt idx="41">
                  <c:v>42522</c:v>
                </c:pt>
                <c:pt idx="42">
                  <c:v>42552</c:v>
                </c:pt>
                <c:pt idx="43">
                  <c:v>42583</c:v>
                </c:pt>
                <c:pt idx="44">
                  <c:v>42614</c:v>
                </c:pt>
                <c:pt idx="45">
                  <c:v>42644</c:v>
                </c:pt>
                <c:pt idx="46">
                  <c:v>42675</c:v>
                </c:pt>
                <c:pt idx="47">
                  <c:v>42705</c:v>
                </c:pt>
                <c:pt idx="48">
                  <c:v>42736</c:v>
                </c:pt>
                <c:pt idx="49">
                  <c:v>42767</c:v>
                </c:pt>
                <c:pt idx="50">
                  <c:v>42795</c:v>
                </c:pt>
                <c:pt idx="51">
                  <c:v>42826</c:v>
                </c:pt>
                <c:pt idx="52">
                  <c:v>42856</c:v>
                </c:pt>
                <c:pt idx="53">
                  <c:v>42887</c:v>
                </c:pt>
                <c:pt idx="54">
                  <c:v>42917</c:v>
                </c:pt>
                <c:pt idx="55">
                  <c:v>42948</c:v>
                </c:pt>
                <c:pt idx="56">
                  <c:v>42979</c:v>
                </c:pt>
                <c:pt idx="57">
                  <c:v>43009</c:v>
                </c:pt>
                <c:pt idx="58">
                  <c:v>43040</c:v>
                </c:pt>
                <c:pt idx="59">
                  <c:v>43070</c:v>
                </c:pt>
                <c:pt idx="60">
                  <c:v>43101</c:v>
                </c:pt>
                <c:pt idx="61">
                  <c:v>43132</c:v>
                </c:pt>
                <c:pt idx="62">
                  <c:v>43160</c:v>
                </c:pt>
                <c:pt idx="63">
                  <c:v>43191</c:v>
                </c:pt>
                <c:pt idx="64">
                  <c:v>43221</c:v>
                </c:pt>
                <c:pt idx="65">
                  <c:v>43252</c:v>
                </c:pt>
                <c:pt idx="66">
                  <c:v>43282</c:v>
                </c:pt>
                <c:pt idx="67">
                  <c:v>43313</c:v>
                </c:pt>
                <c:pt idx="68">
                  <c:v>43344</c:v>
                </c:pt>
                <c:pt idx="69">
                  <c:v>43374</c:v>
                </c:pt>
                <c:pt idx="70">
                  <c:v>43405</c:v>
                </c:pt>
                <c:pt idx="71">
                  <c:v>43435</c:v>
                </c:pt>
                <c:pt idx="72">
                  <c:v>43466</c:v>
                </c:pt>
                <c:pt idx="73">
                  <c:v>43497</c:v>
                </c:pt>
                <c:pt idx="74">
                  <c:v>43525</c:v>
                </c:pt>
                <c:pt idx="75">
                  <c:v>43556</c:v>
                </c:pt>
                <c:pt idx="76">
                  <c:v>43586</c:v>
                </c:pt>
                <c:pt idx="77">
                  <c:v>43617</c:v>
                </c:pt>
                <c:pt idx="78">
                  <c:v>43647</c:v>
                </c:pt>
                <c:pt idx="79">
                  <c:v>43678</c:v>
                </c:pt>
                <c:pt idx="80">
                  <c:v>43709</c:v>
                </c:pt>
                <c:pt idx="81">
                  <c:v>43739</c:v>
                </c:pt>
                <c:pt idx="82">
                  <c:v>43770</c:v>
                </c:pt>
                <c:pt idx="83">
                  <c:v>43800</c:v>
                </c:pt>
                <c:pt idx="84">
                  <c:v>43831</c:v>
                </c:pt>
                <c:pt idx="85">
                  <c:v>43862</c:v>
                </c:pt>
                <c:pt idx="86">
                  <c:v>43891</c:v>
                </c:pt>
                <c:pt idx="87">
                  <c:v>43922</c:v>
                </c:pt>
                <c:pt idx="88">
                  <c:v>43952</c:v>
                </c:pt>
                <c:pt idx="89">
                  <c:v>43983</c:v>
                </c:pt>
                <c:pt idx="90">
                  <c:v>44013</c:v>
                </c:pt>
                <c:pt idx="91">
                  <c:v>44044</c:v>
                </c:pt>
                <c:pt idx="92">
                  <c:v>44075</c:v>
                </c:pt>
                <c:pt idx="93">
                  <c:v>44105</c:v>
                </c:pt>
                <c:pt idx="94">
                  <c:v>44136</c:v>
                </c:pt>
                <c:pt idx="95">
                  <c:v>44166</c:v>
                </c:pt>
                <c:pt idx="96">
                  <c:v>44197</c:v>
                </c:pt>
                <c:pt idx="97">
                  <c:v>44228</c:v>
                </c:pt>
                <c:pt idx="98">
                  <c:v>44256</c:v>
                </c:pt>
                <c:pt idx="99">
                  <c:v>44287</c:v>
                </c:pt>
                <c:pt idx="100">
                  <c:v>44317</c:v>
                </c:pt>
                <c:pt idx="101">
                  <c:v>44348</c:v>
                </c:pt>
                <c:pt idx="102">
                  <c:v>44378</c:v>
                </c:pt>
                <c:pt idx="103">
                  <c:v>44409</c:v>
                </c:pt>
                <c:pt idx="104">
                  <c:v>44440</c:v>
                </c:pt>
              </c:numCache>
            </c:numRef>
          </c:cat>
          <c:val>
            <c:numRef>
              <c:f>Inflacija!$Y$40:$Y$144</c:f>
              <c:numCache>
                <c:formatCode>0.0</c:formatCode>
                <c:ptCount val="105"/>
                <c:pt idx="0">
                  <c:v>2.5</c:v>
                </c:pt>
                <c:pt idx="1">
                  <c:v>2.5</c:v>
                </c:pt>
                <c:pt idx="2">
                  <c:v>2.5</c:v>
                </c:pt>
                <c:pt idx="3">
                  <c:v>2.5</c:v>
                </c:pt>
                <c:pt idx="4">
                  <c:v>2.5</c:v>
                </c:pt>
                <c:pt idx="5">
                  <c:v>2.5</c:v>
                </c:pt>
                <c:pt idx="6">
                  <c:v>2.5</c:v>
                </c:pt>
                <c:pt idx="7">
                  <c:v>2.5</c:v>
                </c:pt>
                <c:pt idx="8">
                  <c:v>2.5</c:v>
                </c:pt>
                <c:pt idx="9">
                  <c:v>2.5</c:v>
                </c:pt>
                <c:pt idx="10">
                  <c:v>2.5</c:v>
                </c:pt>
                <c:pt idx="11">
                  <c:v>2.5</c:v>
                </c:pt>
                <c:pt idx="12">
                  <c:v>2.5</c:v>
                </c:pt>
                <c:pt idx="13">
                  <c:v>2.5</c:v>
                </c:pt>
                <c:pt idx="14">
                  <c:v>2.5</c:v>
                </c:pt>
                <c:pt idx="15">
                  <c:v>2.5</c:v>
                </c:pt>
                <c:pt idx="16">
                  <c:v>2.5</c:v>
                </c:pt>
                <c:pt idx="17">
                  <c:v>2.5</c:v>
                </c:pt>
                <c:pt idx="18">
                  <c:v>2.5</c:v>
                </c:pt>
                <c:pt idx="19">
                  <c:v>2.5</c:v>
                </c:pt>
                <c:pt idx="20">
                  <c:v>2.5</c:v>
                </c:pt>
                <c:pt idx="21">
                  <c:v>2.5</c:v>
                </c:pt>
                <c:pt idx="22">
                  <c:v>2.5</c:v>
                </c:pt>
                <c:pt idx="23">
                  <c:v>2.5</c:v>
                </c:pt>
                <c:pt idx="24">
                  <c:v>2.5</c:v>
                </c:pt>
                <c:pt idx="25">
                  <c:v>2.5</c:v>
                </c:pt>
                <c:pt idx="26">
                  <c:v>2.5</c:v>
                </c:pt>
                <c:pt idx="27">
                  <c:v>2.5</c:v>
                </c:pt>
                <c:pt idx="28">
                  <c:v>2.5</c:v>
                </c:pt>
                <c:pt idx="29">
                  <c:v>2.5</c:v>
                </c:pt>
                <c:pt idx="30">
                  <c:v>2.5</c:v>
                </c:pt>
                <c:pt idx="31">
                  <c:v>2.5</c:v>
                </c:pt>
                <c:pt idx="32">
                  <c:v>2.5</c:v>
                </c:pt>
                <c:pt idx="33">
                  <c:v>2.5</c:v>
                </c:pt>
                <c:pt idx="34">
                  <c:v>2.5</c:v>
                </c:pt>
                <c:pt idx="35">
                  <c:v>2.5</c:v>
                </c:pt>
                <c:pt idx="36">
                  <c:v>2.5</c:v>
                </c:pt>
                <c:pt idx="37" formatCode="General">
                  <c:v>2.5</c:v>
                </c:pt>
                <c:pt idx="38" formatCode="General">
                  <c:v>2.5</c:v>
                </c:pt>
                <c:pt idx="39" formatCode="General">
                  <c:v>2.5</c:v>
                </c:pt>
                <c:pt idx="40" formatCode="General">
                  <c:v>2.5</c:v>
                </c:pt>
                <c:pt idx="41" formatCode="General">
                  <c:v>2.5</c:v>
                </c:pt>
                <c:pt idx="42" formatCode="General">
                  <c:v>2.5</c:v>
                </c:pt>
                <c:pt idx="43" formatCode="General">
                  <c:v>2.5</c:v>
                </c:pt>
                <c:pt idx="44" formatCode="General">
                  <c:v>2.5</c:v>
                </c:pt>
                <c:pt idx="45" formatCode="General">
                  <c:v>2.5</c:v>
                </c:pt>
                <c:pt idx="46" formatCode="General">
                  <c:v>2.5</c:v>
                </c:pt>
                <c:pt idx="47" formatCode="General">
                  <c:v>2.5</c:v>
                </c:pt>
                <c:pt idx="48">
                  <c:v>1.5</c:v>
                </c:pt>
                <c:pt idx="49">
                  <c:v>1.5</c:v>
                </c:pt>
                <c:pt idx="50">
                  <c:v>1.5</c:v>
                </c:pt>
                <c:pt idx="51">
                  <c:v>1.5</c:v>
                </c:pt>
                <c:pt idx="52">
                  <c:v>1.5</c:v>
                </c:pt>
                <c:pt idx="53">
                  <c:v>1.5</c:v>
                </c:pt>
                <c:pt idx="54">
                  <c:v>1.5</c:v>
                </c:pt>
                <c:pt idx="55">
                  <c:v>1.5</c:v>
                </c:pt>
                <c:pt idx="56">
                  <c:v>1.5</c:v>
                </c:pt>
                <c:pt idx="57">
                  <c:v>1.5</c:v>
                </c:pt>
                <c:pt idx="58">
                  <c:v>1.5</c:v>
                </c:pt>
                <c:pt idx="59">
                  <c:v>1.5</c:v>
                </c:pt>
                <c:pt idx="60">
                  <c:v>1.5</c:v>
                </c:pt>
                <c:pt idx="61">
                  <c:v>1.5</c:v>
                </c:pt>
                <c:pt idx="62">
                  <c:v>1.5</c:v>
                </c:pt>
                <c:pt idx="63">
                  <c:v>1.5</c:v>
                </c:pt>
                <c:pt idx="64">
                  <c:v>1.5</c:v>
                </c:pt>
                <c:pt idx="65" formatCode="General">
                  <c:v>1.5</c:v>
                </c:pt>
                <c:pt idx="66" formatCode="General">
                  <c:v>1.5</c:v>
                </c:pt>
                <c:pt idx="67" formatCode="General">
                  <c:v>1.5</c:v>
                </c:pt>
                <c:pt idx="68">
                  <c:v>1.5</c:v>
                </c:pt>
                <c:pt idx="69">
                  <c:v>1.5</c:v>
                </c:pt>
                <c:pt idx="70">
                  <c:v>1.5</c:v>
                </c:pt>
                <c:pt idx="71">
                  <c:v>1.5</c:v>
                </c:pt>
                <c:pt idx="72">
                  <c:v>1.5</c:v>
                </c:pt>
                <c:pt idx="73">
                  <c:v>1.5</c:v>
                </c:pt>
                <c:pt idx="74">
                  <c:v>1.5</c:v>
                </c:pt>
                <c:pt idx="75">
                  <c:v>1.5</c:v>
                </c:pt>
                <c:pt idx="76">
                  <c:v>1.5</c:v>
                </c:pt>
                <c:pt idx="77">
                  <c:v>1.5</c:v>
                </c:pt>
                <c:pt idx="78">
                  <c:v>1.5</c:v>
                </c:pt>
                <c:pt idx="79">
                  <c:v>1.5</c:v>
                </c:pt>
                <c:pt idx="80">
                  <c:v>1.5</c:v>
                </c:pt>
                <c:pt idx="81">
                  <c:v>1.5</c:v>
                </c:pt>
                <c:pt idx="82">
                  <c:v>1.5</c:v>
                </c:pt>
                <c:pt idx="83">
                  <c:v>1.5</c:v>
                </c:pt>
                <c:pt idx="84">
                  <c:v>1.5</c:v>
                </c:pt>
                <c:pt idx="85">
                  <c:v>1.5</c:v>
                </c:pt>
                <c:pt idx="86">
                  <c:v>1.5</c:v>
                </c:pt>
                <c:pt idx="87">
                  <c:v>1.5</c:v>
                </c:pt>
                <c:pt idx="88">
                  <c:v>1.5</c:v>
                </c:pt>
                <c:pt idx="89">
                  <c:v>1.5</c:v>
                </c:pt>
                <c:pt idx="90">
                  <c:v>1.5</c:v>
                </c:pt>
                <c:pt idx="91">
                  <c:v>1.5</c:v>
                </c:pt>
                <c:pt idx="92">
                  <c:v>1.5</c:v>
                </c:pt>
                <c:pt idx="93">
                  <c:v>1.5</c:v>
                </c:pt>
                <c:pt idx="94">
                  <c:v>1.5</c:v>
                </c:pt>
                <c:pt idx="95">
                  <c:v>1.5</c:v>
                </c:pt>
                <c:pt idx="96">
                  <c:v>1.5</c:v>
                </c:pt>
                <c:pt idx="97">
                  <c:v>1.5</c:v>
                </c:pt>
                <c:pt idx="98">
                  <c:v>1.5</c:v>
                </c:pt>
                <c:pt idx="99">
                  <c:v>1.5</c:v>
                </c:pt>
                <c:pt idx="100">
                  <c:v>1.5</c:v>
                </c:pt>
                <c:pt idx="101">
                  <c:v>1.5</c:v>
                </c:pt>
                <c:pt idx="102">
                  <c:v>1.5</c:v>
                </c:pt>
                <c:pt idx="103">
                  <c:v>1.5</c:v>
                </c:pt>
                <c:pt idx="104">
                  <c:v>1.5</c:v>
                </c:pt>
              </c:numCache>
            </c:numRef>
          </c:val>
          <c:smooth val="0"/>
          <c:extLst>
            <c:ext xmlns:c16="http://schemas.microsoft.com/office/drawing/2014/chart" uri="{C3380CC4-5D6E-409C-BE32-E72D297353CC}">
              <c16:uniqueId val="{00000004-549E-4806-861F-34B5744F1480}"/>
            </c:ext>
          </c:extLst>
        </c:ser>
        <c:ser>
          <c:idx val="5"/>
          <c:order val="5"/>
          <c:tx>
            <c:strRef>
              <c:f>Inflacija!$Z$3</c:f>
              <c:strCache>
                <c:ptCount val="1"/>
              </c:strCache>
            </c:strRef>
          </c:tx>
          <c:spPr>
            <a:ln w="28575" cap="rnd">
              <a:noFill/>
              <a:round/>
            </a:ln>
            <a:effectLst/>
          </c:spPr>
          <c:marker>
            <c:symbol val="square"/>
            <c:size val="2"/>
            <c:spPr>
              <a:solidFill>
                <a:schemeClr val="bg1"/>
              </a:solidFill>
              <a:ln w="9525">
                <a:noFill/>
              </a:ln>
              <a:effectLst/>
            </c:spPr>
          </c:marker>
          <c:dLbls>
            <c:dLbl>
              <c:idx val="0"/>
              <c:layout>
                <c:manualLayout>
                  <c:x val="-8.1706697161564729E-3"/>
                  <c:y val="3.591358084550250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5-549E-4806-861F-34B5744F1480}"/>
                </c:ext>
              </c:extLst>
            </c:dLbl>
            <c:dLbl>
              <c:idx val="12"/>
              <c:layout>
                <c:manualLayout>
                  <c:x val="-1.2693572615619557E-2"/>
                  <c:y val="3.591358084550250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6-549E-4806-861F-34B5744F1480}"/>
                </c:ext>
              </c:extLst>
            </c:dLbl>
            <c:dLbl>
              <c:idx val="24"/>
              <c:layout>
                <c:manualLayout>
                  <c:x val="-1.6189074446622868E-2"/>
                  <c:y val="3.5913416996546654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7-549E-4806-861F-34B5744F1480}"/>
                </c:ext>
              </c:extLst>
            </c:dLbl>
            <c:dLbl>
              <c:idx val="36"/>
              <c:layout>
                <c:manualLayout>
                  <c:x val="-1.2670622849874656E-2"/>
                  <c:y val="3.5913416996546654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8-549E-4806-861F-34B5744F1480}"/>
                </c:ext>
              </c:extLst>
            </c:dLbl>
            <c:dLbl>
              <c:idx val="48"/>
              <c:layout>
                <c:manualLayout>
                  <c:x val="-1.1661895724078273E-2"/>
                  <c:y val="3.5913416996546654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9-549E-4806-861F-34B5744F1480}"/>
                </c:ext>
              </c:extLst>
            </c:dLbl>
            <c:dLbl>
              <c:idx val="60"/>
              <c:layout>
                <c:manualLayout>
                  <c:x val="-1.2670622849874739E-2"/>
                  <c:y val="3.5913416996546654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A-549E-4806-861F-34B5744F1480}"/>
                </c:ext>
              </c:extLst>
            </c:dLbl>
            <c:dLbl>
              <c:idx val="72"/>
              <c:layout>
                <c:manualLayout>
                  <c:x val="-1.4519837351643212E-2"/>
                  <c:y val="3.5796063898481015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B-549E-4806-861F-34B5744F1480}"/>
                </c:ext>
              </c:extLst>
            </c:dLbl>
            <c:dLbl>
              <c:idx val="84"/>
              <c:layout>
                <c:manualLayout>
                  <c:x val="-1.7936562588032428E-2"/>
                  <c:y val="3.5529352311968333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C-549E-4806-861F-34B5744F1480}"/>
                </c:ext>
              </c:extLst>
            </c:dLbl>
            <c:dLbl>
              <c:idx val="96"/>
              <c:layout>
                <c:manualLayout>
                  <c:x val="-1.2608377699305414E-2"/>
                  <c:y val="3.6208203486903054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D-549E-4806-861F-34B5744F1480}"/>
                </c:ext>
              </c:extLst>
            </c:dLbl>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tx2"/>
                    </a:solidFill>
                    <a:latin typeface="+mn-lt"/>
                    <a:ea typeface="+mn-ea"/>
                    <a:cs typeface="+mn-cs"/>
                  </a:defRPr>
                </a:pPr>
                <a:endParaRPr lang="en-U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Inflacija!$Q$40:$Q$144</c:f>
              <c:numCache>
                <c:formatCode>yyyy</c:formatCode>
                <c:ptCount val="105"/>
                <c:pt idx="0">
                  <c:v>41275</c:v>
                </c:pt>
                <c:pt idx="1">
                  <c:v>41306</c:v>
                </c:pt>
                <c:pt idx="2">
                  <c:v>41334</c:v>
                </c:pt>
                <c:pt idx="3">
                  <c:v>41365</c:v>
                </c:pt>
                <c:pt idx="4">
                  <c:v>41395</c:v>
                </c:pt>
                <c:pt idx="5">
                  <c:v>41426</c:v>
                </c:pt>
                <c:pt idx="6">
                  <c:v>41456</c:v>
                </c:pt>
                <c:pt idx="7">
                  <c:v>41487</c:v>
                </c:pt>
                <c:pt idx="8">
                  <c:v>41518</c:v>
                </c:pt>
                <c:pt idx="9">
                  <c:v>41548</c:v>
                </c:pt>
                <c:pt idx="10">
                  <c:v>41579</c:v>
                </c:pt>
                <c:pt idx="11">
                  <c:v>41609</c:v>
                </c:pt>
                <c:pt idx="12">
                  <c:v>41640</c:v>
                </c:pt>
                <c:pt idx="13">
                  <c:v>41671</c:v>
                </c:pt>
                <c:pt idx="14">
                  <c:v>41699</c:v>
                </c:pt>
                <c:pt idx="15">
                  <c:v>41730</c:v>
                </c:pt>
                <c:pt idx="16">
                  <c:v>41760</c:v>
                </c:pt>
                <c:pt idx="17">
                  <c:v>41791</c:v>
                </c:pt>
                <c:pt idx="18">
                  <c:v>41821</c:v>
                </c:pt>
                <c:pt idx="19">
                  <c:v>41852</c:v>
                </c:pt>
                <c:pt idx="20">
                  <c:v>41883</c:v>
                </c:pt>
                <c:pt idx="21">
                  <c:v>41913</c:v>
                </c:pt>
                <c:pt idx="22">
                  <c:v>41944</c:v>
                </c:pt>
                <c:pt idx="23">
                  <c:v>41974</c:v>
                </c:pt>
                <c:pt idx="24">
                  <c:v>42005</c:v>
                </c:pt>
                <c:pt idx="25">
                  <c:v>42036</c:v>
                </c:pt>
                <c:pt idx="26">
                  <c:v>42064</c:v>
                </c:pt>
                <c:pt idx="27">
                  <c:v>42095</c:v>
                </c:pt>
                <c:pt idx="28">
                  <c:v>42125</c:v>
                </c:pt>
                <c:pt idx="29">
                  <c:v>42156</c:v>
                </c:pt>
                <c:pt idx="30">
                  <c:v>42186</c:v>
                </c:pt>
                <c:pt idx="31">
                  <c:v>42217</c:v>
                </c:pt>
                <c:pt idx="32">
                  <c:v>42248</c:v>
                </c:pt>
                <c:pt idx="33">
                  <c:v>42278</c:v>
                </c:pt>
                <c:pt idx="34">
                  <c:v>42309</c:v>
                </c:pt>
                <c:pt idx="35">
                  <c:v>42339</c:v>
                </c:pt>
                <c:pt idx="36">
                  <c:v>42370</c:v>
                </c:pt>
                <c:pt idx="37">
                  <c:v>42401</c:v>
                </c:pt>
                <c:pt idx="38">
                  <c:v>42430</c:v>
                </c:pt>
                <c:pt idx="39">
                  <c:v>42461</c:v>
                </c:pt>
                <c:pt idx="40">
                  <c:v>42491</c:v>
                </c:pt>
                <c:pt idx="41">
                  <c:v>42522</c:v>
                </c:pt>
                <c:pt idx="42">
                  <c:v>42552</c:v>
                </c:pt>
                <c:pt idx="43">
                  <c:v>42583</c:v>
                </c:pt>
                <c:pt idx="44">
                  <c:v>42614</c:v>
                </c:pt>
                <c:pt idx="45">
                  <c:v>42644</c:v>
                </c:pt>
                <c:pt idx="46">
                  <c:v>42675</c:v>
                </c:pt>
                <c:pt idx="47">
                  <c:v>42705</c:v>
                </c:pt>
                <c:pt idx="48">
                  <c:v>42736</c:v>
                </c:pt>
                <c:pt idx="49">
                  <c:v>42767</c:v>
                </c:pt>
                <c:pt idx="50">
                  <c:v>42795</c:v>
                </c:pt>
                <c:pt idx="51">
                  <c:v>42826</c:v>
                </c:pt>
                <c:pt idx="52">
                  <c:v>42856</c:v>
                </c:pt>
                <c:pt idx="53">
                  <c:v>42887</c:v>
                </c:pt>
                <c:pt idx="54">
                  <c:v>42917</c:v>
                </c:pt>
                <c:pt idx="55">
                  <c:v>42948</c:v>
                </c:pt>
                <c:pt idx="56">
                  <c:v>42979</c:v>
                </c:pt>
                <c:pt idx="57">
                  <c:v>43009</c:v>
                </c:pt>
                <c:pt idx="58">
                  <c:v>43040</c:v>
                </c:pt>
                <c:pt idx="59">
                  <c:v>43070</c:v>
                </c:pt>
                <c:pt idx="60">
                  <c:v>43101</c:v>
                </c:pt>
                <c:pt idx="61">
                  <c:v>43132</c:v>
                </c:pt>
                <c:pt idx="62">
                  <c:v>43160</c:v>
                </c:pt>
                <c:pt idx="63">
                  <c:v>43191</c:v>
                </c:pt>
                <c:pt idx="64">
                  <c:v>43221</c:v>
                </c:pt>
                <c:pt idx="65">
                  <c:v>43252</c:v>
                </c:pt>
                <c:pt idx="66">
                  <c:v>43282</c:v>
                </c:pt>
                <c:pt idx="67">
                  <c:v>43313</c:v>
                </c:pt>
                <c:pt idx="68">
                  <c:v>43344</c:v>
                </c:pt>
                <c:pt idx="69">
                  <c:v>43374</c:v>
                </c:pt>
                <c:pt idx="70">
                  <c:v>43405</c:v>
                </c:pt>
                <c:pt idx="71">
                  <c:v>43435</c:v>
                </c:pt>
                <c:pt idx="72">
                  <c:v>43466</c:v>
                </c:pt>
                <c:pt idx="73">
                  <c:v>43497</c:v>
                </c:pt>
                <c:pt idx="74">
                  <c:v>43525</c:v>
                </c:pt>
                <c:pt idx="75">
                  <c:v>43556</c:v>
                </c:pt>
                <c:pt idx="76">
                  <c:v>43586</c:v>
                </c:pt>
                <c:pt idx="77">
                  <c:v>43617</c:v>
                </c:pt>
                <c:pt idx="78">
                  <c:v>43647</c:v>
                </c:pt>
                <c:pt idx="79">
                  <c:v>43678</c:v>
                </c:pt>
                <c:pt idx="80">
                  <c:v>43709</c:v>
                </c:pt>
                <c:pt idx="81">
                  <c:v>43739</c:v>
                </c:pt>
                <c:pt idx="82">
                  <c:v>43770</c:v>
                </c:pt>
                <c:pt idx="83">
                  <c:v>43800</c:v>
                </c:pt>
                <c:pt idx="84">
                  <c:v>43831</c:v>
                </c:pt>
                <c:pt idx="85">
                  <c:v>43862</c:v>
                </c:pt>
                <c:pt idx="86">
                  <c:v>43891</c:v>
                </c:pt>
                <c:pt idx="87">
                  <c:v>43922</c:v>
                </c:pt>
                <c:pt idx="88">
                  <c:v>43952</c:v>
                </c:pt>
                <c:pt idx="89">
                  <c:v>43983</c:v>
                </c:pt>
                <c:pt idx="90">
                  <c:v>44013</c:v>
                </c:pt>
                <c:pt idx="91">
                  <c:v>44044</c:v>
                </c:pt>
                <c:pt idx="92">
                  <c:v>44075</c:v>
                </c:pt>
                <c:pt idx="93">
                  <c:v>44105</c:v>
                </c:pt>
                <c:pt idx="94">
                  <c:v>44136</c:v>
                </c:pt>
                <c:pt idx="95">
                  <c:v>44166</c:v>
                </c:pt>
                <c:pt idx="96">
                  <c:v>44197</c:v>
                </c:pt>
                <c:pt idx="97">
                  <c:v>44228</c:v>
                </c:pt>
                <c:pt idx="98">
                  <c:v>44256</c:v>
                </c:pt>
                <c:pt idx="99">
                  <c:v>44287</c:v>
                </c:pt>
                <c:pt idx="100">
                  <c:v>44317</c:v>
                </c:pt>
                <c:pt idx="101">
                  <c:v>44348</c:v>
                </c:pt>
                <c:pt idx="102">
                  <c:v>44378</c:v>
                </c:pt>
                <c:pt idx="103">
                  <c:v>44409</c:v>
                </c:pt>
                <c:pt idx="104">
                  <c:v>44440</c:v>
                </c:pt>
              </c:numCache>
            </c:numRef>
          </c:cat>
          <c:val>
            <c:numRef>
              <c:f>Inflacija!$Z$40:$Z$144</c:f>
              <c:numCache>
                <c:formatCode>General</c:formatCode>
                <c:ptCount val="105"/>
                <c:pt idx="0">
                  <c:v>0</c:v>
                </c:pt>
                <c:pt idx="12">
                  <c:v>0</c:v>
                </c:pt>
                <c:pt idx="24">
                  <c:v>0</c:v>
                </c:pt>
                <c:pt idx="36">
                  <c:v>0</c:v>
                </c:pt>
                <c:pt idx="48">
                  <c:v>0</c:v>
                </c:pt>
                <c:pt idx="60">
                  <c:v>0</c:v>
                </c:pt>
                <c:pt idx="72">
                  <c:v>0</c:v>
                </c:pt>
                <c:pt idx="84">
                  <c:v>0</c:v>
                </c:pt>
                <c:pt idx="96">
                  <c:v>0</c:v>
                </c:pt>
              </c:numCache>
            </c:numRef>
          </c:val>
          <c:smooth val="0"/>
          <c:extLst>
            <c:ext xmlns:c16="http://schemas.microsoft.com/office/drawing/2014/chart" uri="{C3380CC4-5D6E-409C-BE32-E72D297353CC}">
              <c16:uniqueId val="{0000000E-549E-4806-861F-34B5744F1480}"/>
            </c:ext>
          </c:extLst>
        </c:ser>
        <c:dLbls>
          <c:showLegendKey val="0"/>
          <c:showVal val="0"/>
          <c:showCatName val="0"/>
          <c:showSerName val="0"/>
          <c:showPercent val="0"/>
          <c:showBubbleSize val="0"/>
        </c:dLbls>
        <c:smooth val="0"/>
        <c:axId val="2067917072"/>
        <c:axId val="2067937744"/>
      </c:lineChart>
      <c:catAx>
        <c:axId val="2067917072"/>
        <c:scaling>
          <c:orientation val="minMax"/>
        </c:scaling>
        <c:delete val="0"/>
        <c:axPos val="b"/>
        <c:numFmt formatCode="yyyy" sourceLinked="0"/>
        <c:majorTickMark val="none"/>
        <c:minorTickMark val="none"/>
        <c:tickLblPos val="none"/>
        <c:spPr>
          <a:noFill/>
          <a:ln w="6350" cap="flat" cmpd="sng" algn="ctr">
            <a:solidFill>
              <a:srgbClr val="898989"/>
            </a:solidFill>
            <a:round/>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2067937744"/>
        <c:crosses val="autoZero"/>
        <c:auto val="0"/>
        <c:lblAlgn val="ctr"/>
        <c:lblOffset val="100"/>
        <c:tickLblSkip val="12"/>
        <c:tickMarkSkip val="1"/>
        <c:noMultiLvlLbl val="1"/>
      </c:catAx>
      <c:valAx>
        <c:axId val="2067937744"/>
        <c:scaling>
          <c:orientation val="minMax"/>
        </c:scaling>
        <c:delete val="0"/>
        <c:axPos val="l"/>
        <c:title>
          <c:tx>
            <c:rich>
              <a:bodyPr rot="-5400000" spcFirstLastPara="1" vertOverflow="ellipsis" vert="horz" wrap="square" anchor="ctr" anchorCtr="1"/>
              <a:lstStyle/>
              <a:p>
                <a:pPr>
                  <a:defRPr sz="750" b="0" i="0" u="none" strike="noStrike" kern="1200" baseline="0">
                    <a:solidFill>
                      <a:schemeClr val="tx2"/>
                    </a:solidFill>
                    <a:latin typeface="+mn-lt"/>
                    <a:ea typeface="+mn-ea"/>
                    <a:cs typeface="+mn-cs"/>
                  </a:defRPr>
                </a:pPr>
                <a:r>
                  <a:rPr lang="sr-Latn-RS"/>
                  <a:t>%</a:t>
                </a:r>
                <a:endParaRPr lang="en-GB"/>
              </a:p>
            </c:rich>
          </c:tx>
          <c:layout>
            <c:manualLayout>
              <c:xMode val="edge"/>
              <c:yMode val="edge"/>
              <c:x val="8.3333333333333332E-3"/>
              <c:y val="0.34151501895596381"/>
            </c:manualLayout>
          </c:layout>
          <c:overlay val="0"/>
          <c:spPr>
            <a:noFill/>
            <a:ln>
              <a:noFill/>
            </a:ln>
            <a:effectLst/>
          </c:spPr>
          <c:txPr>
            <a:bodyPr rot="-54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2067917072"/>
        <c:crosses val="autoZero"/>
        <c:crossBetween val="midCat"/>
        <c:majorUnit val="2"/>
      </c:valAx>
      <c:spPr>
        <a:noFill/>
        <a:ln>
          <a:noFill/>
        </a:ln>
        <a:effectLst/>
      </c:spPr>
    </c:plotArea>
    <c:legend>
      <c:legendPos val="b"/>
      <c:legendEntry>
        <c:idx val="4"/>
        <c:delete val="1"/>
      </c:legendEntry>
      <c:legendEntry>
        <c:idx val="5"/>
        <c:delete val="1"/>
      </c:legendEntry>
      <c:layout>
        <c:manualLayout>
          <c:xMode val="edge"/>
          <c:yMode val="edge"/>
          <c:x val="6.6013357144708795E-2"/>
          <c:y val="0.75916043952839907"/>
          <c:w val="0.89270036496097616"/>
          <c:h val="0.23753777777777776"/>
        </c:manualLayout>
      </c:layout>
      <c:overlay val="0"/>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sz="750">
          <a:solidFill>
            <a:schemeClr val="tx2"/>
          </a:solidFill>
        </a:defRPr>
      </a:pPr>
      <a:endParaRPr lang="en-US"/>
    </a:p>
  </c:txPr>
  <c:externalData r:id="rId4">
    <c:autoUpdate val="0"/>
  </c:externalData>
</c:chartSpace>
</file>

<file path=word/charts/chart4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2336188914802072E-2"/>
          <c:y val="5.633805593782408E-2"/>
          <c:w val="0.86437336615075899"/>
          <c:h val="0.64068107026989318"/>
        </c:manualLayout>
      </c:layout>
      <c:lineChart>
        <c:grouping val="standard"/>
        <c:varyColors val="0"/>
        <c:ser>
          <c:idx val="1"/>
          <c:order val="0"/>
          <c:tx>
            <c:strRef>
              <c:f>'Projekcija inflacije'!$C$7</c:f>
              <c:strCache>
                <c:ptCount val="1"/>
                <c:pt idx="0">
                  <c:v>Инфлација, просек периода</c:v>
                </c:pt>
              </c:strCache>
            </c:strRef>
          </c:tx>
          <c:spPr>
            <a:ln w="22225" cap="rnd">
              <a:solidFill>
                <a:srgbClr val="EC008C"/>
              </a:solidFill>
              <a:round/>
            </a:ln>
            <a:effectLst/>
          </c:spPr>
          <c:marker>
            <c:symbol val="none"/>
          </c:marker>
          <c:cat>
            <c:numRef>
              <c:f>'Projekcija inflacije'!$I$5:$T$5</c:f>
              <c:numCache>
                <c:formatCode>General</c:formatCode>
                <c:ptCount val="12"/>
                <c:pt idx="0">
                  <c:v>2013</c:v>
                </c:pt>
                <c:pt idx="1">
                  <c:v>2014</c:v>
                </c:pt>
                <c:pt idx="2">
                  <c:v>2015</c:v>
                </c:pt>
                <c:pt idx="3">
                  <c:v>2016</c:v>
                </c:pt>
                <c:pt idx="4">
                  <c:v>2017</c:v>
                </c:pt>
                <c:pt idx="5">
                  <c:v>2018</c:v>
                </c:pt>
                <c:pt idx="6">
                  <c:v>2019</c:v>
                </c:pt>
                <c:pt idx="7">
                  <c:v>2020</c:v>
                </c:pt>
                <c:pt idx="8">
                  <c:v>2021</c:v>
                </c:pt>
                <c:pt idx="9">
                  <c:v>2022</c:v>
                </c:pt>
                <c:pt idx="10">
                  <c:v>2023</c:v>
                </c:pt>
                <c:pt idx="11">
                  <c:v>2024</c:v>
                </c:pt>
              </c:numCache>
            </c:numRef>
          </c:cat>
          <c:val>
            <c:numRef>
              <c:f>'Projekcija inflacije'!$I$7:$T$7</c:f>
              <c:numCache>
                <c:formatCode>0.0</c:formatCode>
                <c:ptCount val="12"/>
                <c:pt idx="0">
                  <c:v>7.8</c:v>
                </c:pt>
                <c:pt idx="1">
                  <c:v>2.9</c:v>
                </c:pt>
                <c:pt idx="2">
                  <c:v>1.9</c:v>
                </c:pt>
                <c:pt idx="3">
                  <c:v>1.2</c:v>
                </c:pt>
                <c:pt idx="4">
                  <c:v>3</c:v>
                </c:pt>
                <c:pt idx="5">
                  <c:v>2</c:v>
                </c:pt>
                <c:pt idx="6">
                  <c:v>1.7</c:v>
                </c:pt>
                <c:pt idx="7">
                  <c:v>1.5</c:v>
                </c:pt>
                <c:pt idx="8">
                  <c:v>3.7</c:v>
                </c:pt>
                <c:pt idx="9">
                  <c:v>3.7</c:v>
                </c:pt>
                <c:pt idx="10">
                  <c:v>2.6</c:v>
                </c:pt>
                <c:pt idx="11">
                  <c:v>2.5</c:v>
                </c:pt>
              </c:numCache>
            </c:numRef>
          </c:val>
          <c:smooth val="0"/>
          <c:extLst>
            <c:ext xmlns:c16="http://schemas.microsoft.com/office/drawing/2014/chart" uri="{C3380CC4-5D6E-409C-BE32-E72D297353CC}">
              <c16:uniqueId val="{00000000-316C-4C6F-93D2-B70CAF091032}"/>
            </c:ext>
          </c:extLst>
        </c:ser>
        <c:ser>
          <c:idx val="2"/>
          <c:order val="1"/>
          <c:tx>
            <c:strRef>
              <c:f>'Projekcija inflacije'!$C$8</c:f>
              <c:strCache>
                <c:ptCount val="1"/>
                <c:pt idx="0">
                  <c:v>Дефлатор БДП</c:v>
                </c:pt>
              </c:strCache>
            </c:strRef>
          </c:tx>
          <c:spPr>
            <a:ln w="22225" cap="rnd">
              <a:solidFill>
                <a:srgbClr val="7F3F98"/>
              </a:solidFill>
              <a:round/>
            </a:ln>
            <a:effectLst/>
          </c:spPr>
          <c:marker>
            <c:symbol val="none"/>
          </c:marker>
          <c:cat>
            <c:numRef>
              <c:f>'Projekcija inflacije'!$I$5:$T$5</c:f>
              <c:numCache>
                <c:formatCode>General</c:formatCode>
                <c:ptCount val="12"/>
                <c:pt idx="0">
                  <c:v>2013</c:v>
                </c:pt>
                <c:pt idx="1">
                  <c:v>2014</c:v>
                </c:pt>
                <c:pt idx="2">
                  <c:v>2015</c:v>
                </c:pt>
                <c:pt idx="3">
                  <c:v>2016</c:v>
                </c:pt>
                <c:pt idx="4">
                  <c:v>2017</c:v>
                </c:pt>
                <c:pt idx="5">
                  <c:v>2018</c:v>
                </c:pt>
                <c:pt idx="6">
                  <c:v>2019</c:v>
                </c:pt>
                <c:pt idx="7">
                  <c:v>2020</c:v>
                </c:pt>
                <c:pt idx="8">
                  <c:v>2021</c:v>
                </c:pt>
                <c:pt idx="9">
                  <c:v>2022</c:v>
                </c:pt>
                <c:pt idx="10">
                  <c:v>2023</c:v>
                </c:pt>
                <c:pt idx="11">
                  <c:v>2024</c:v>
                </c:pt>
              </c:numCache>
            </c:numRef>
          </c:cat>
          <c:val>
            <c:numRef>
              <c:f>'Projekcija inflacije'!$I$8:$T$8</c:f>
              <c:numCache>
                <c:formatCode>0.0</c:formatCode>
                <c:ptCount val="12"/>
                <c:pt idx="0">
                  <c:v>5.1254413454188068</c:v>
                </c:pt>
                <c:pt idx="1">
                  <c:v>2.585383220508831</c:v>
                </c:pt>
                <c:pt idx="2">
                  <c:v>1.872893376087049</c:v>
                </c:pt>
                <c:pt idx="3">
                  <c:v>1.5498888324771798</c:v>
                </c:pt>
                <c:pt idx="4">
                  <c:v>2.9707931698183216</c:v>
                </c:pt>
                <c:pt idx="5">
                  <c:v>1.9749425621523642</c:v>
                </c:pt>
                <c:pt idx="6">
                  <c:v>2.444352070837823</c:v>
                </c:pt>
                <c:pt idx="7">
                  <c:v>1.8434681557092603</c:v>
                </c:pt>
                <c:pt idx="8">
                  <c:v>4.7</c:v>
                </c:pt>
                <c:pt idx="9">
                  <c:v>3</c:v>
                </c:pt>
                <c:pt idx="10">
                  <c:v>2.9</c:v>
                </c:pt>
                <c:pt idx="11">
                  <c:v>2.8</c:v>
                </c:pt>
              </c:numCache>
            </c:numRef>
          </c:val>
          <c:smooth val="0"/>
          <c:extLst>
            <c:ext xmlns:c16="http://schemas.microsoft.com/office/drawing/2014/chart" uri="{C3380CC4-5D6E-409C-BE32-E72D297353CC}">
              <c16:uniqueId val="{00000001-316C-4C6F-93D2-B70CAF091032}"/>
            </c:ext>
          </c:extLst>
        </c:ser>
        <c:ser>
          <c:idx val="3"/>
          <c:order val="2"/>
          <c:tx>
            <c:strRef>
              <c:f>'Projekcija inflacije'!$C$9</c:f>
              <c:strCache>
                <c:ptCount val="1"/>
              </c:strCache>
            </c:strRef>
          </c:tx>
          <c:spPr>
            <a:ln w="28575" cap="rnd">
              <a:noFill/>
              <a:round/>
            </a:ln>
            <a:effectLst/>
          </c:spPr>
          <c:marker>
            <c:symbol val="square"/>
            <c:size val="2"/>
            <c:spPr>
              <a:solidFill>
                <a:schemeClr val="bg1"/>
              </a:solidFill>
              <a:ln w="9525">
                <a:noFill/>
              </a:ln>
              <a:effectLst/>
            </c:spPr>
          </c:marker>
          <c:dLbls>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tx2"/>
                    </a:solidFill>
                    <a:latin typeface="+mn-lt"/>
                    <a:ea typeface="+mn-ea"/>
                    <a:cs typeface="+mn-cs"/>
                  </a:defRPr>
                </a:pPr>
                <a:endParaRPr lang="en-U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'Projekcija inflacije'!$I$5:$T$5</c:f>
              <c:numCache>
                <c:formatCode>General</c:formatCode>
                <c:ptCount val="12"/>
                <c:pt idx="0">
                  <c:v>2013</c:v>
                </c:pt>
                <c:pt idx="1">
                  <c:v>2014</c:v>
                </c:pt>
                <c:pt idx="2">
                  <c:v>2015</c:v>
                </c:pt>
                <c:pt idx="3">
                  <c:v>2016</c:v>
                </c:pt>
                <c:pt idx="4">
                  <c:v>2017</c:v>
                </c:pt>
                <c:pt idx="5">
                  <c:v>2018</c:v>
                </c:pt>
                <c:pt idx="6">
                  <c:v>2019</c:v>
                </c:pt>
                <c:pt idx="7">
                  <c:v>2020</c:v>
                </c:pt>
                <c:pt idx="8">
                  <c:v>2021</c:v>
                </c:pt>
                <c:pt idx="9">
                  <c:v>2022</c:v>
                </c:pt>
                <c:pt idx="10">
                  <c:v>2023</c:v>
                </c:pt>
                <c:pt idx="11">
                  <c:v>2024</c:v>
                </c:pt>
              </c:numCache>
            </c:numRef>
          </c:cat>
          <c:val>
            <c:numRef>
              <c:f>'Projekcija inflacije'!$I$9:$T$9</c:f>
              <c:numCache>
                <c:formatCode>General</c:formatCode>
                <c:ptCount val="12"/>
                <c:pt idx="0">
                  <c:v>0</c:v>
                </c:pt>
                <c:pt idx="1">
                  <c:v>0</c:v>
                </c:pt>
                <c:pt idx="2">
                  <c:v>0</c:v>
                </c:pt>
                <c:pt idx="3">
                  <c:v>0</c:v>
                </c:pt>
                <c:pt idx="4">
                  <c:v>0</c:v>
                </c:pt>
                <c:pt idx="5">
                  <c:v>0</c:v>
                </c:pt>
                <c:pt idx="6">
                  <c:v>0</c:v>
                </c:pt>
                <c:pt idx="7">
                  <c:v>0</c:v>
                </c:pt>
                <c:pt idx="8">
                  <c:v>0</c:v>
                </c:pt>
                <c:pt idx="9">
                  <c:v>0</c:v>
                </c:pt>
                <c:pt idx="10">
                  <c:v>0</c:v>
                </c:pt>
                <c:pt idx="11">
                  <c:v>0</c:v>
                </c:pt>
              </c:numCache>
            </c:numRef>
          </c:val>
          <c:smooth val="0"/>
          <c:extLst>
            <c:ext xmlns:c16="http://schemas.microsoft.com/office/drawing/2014/chart" uri="{C3380CC4-5D6E-409C-BE32-E72D297353CC}">
              <c16:uniqueId val="{00000002-316C-4C6F-93D2-B70CAF091032}"/>
            </c:ext>
          </c:extLst>
        </c:ser>
        <c:dLbls>
          <c:showLegendKey val="0"/>
          <c:showVal val="0"/>
          <c:showCatName val="0"/>
          <c:showSerName val="0"/>
          <c:showPercent val="0"/>
          <c:showBubbleSize val="0"/>
        </c:dLbls>
        <c:smooth val="0"/>
        <c:axId val="2067937200"/>
        <c:axId val="2067931760"/>
      </c:lineChart>
      <c:catAx>
        <c:axId val="2067937200"/>
        <c:scaling>
          <c:orientation val="minMax"/>
        </c:scaling>
        <c:delete val="0"/>
        <c:axPos val="b"/>
        <c:numFmt formatCode="General" sourceLinked="1"/>
        <c:majorTickMark val="none"/>
        <c:minorTickMark val="none"/>
        <c:tickLblPos val="none"/>
        <c:spPr>
          <a:noFill/>
          <a:ln w="6350" cap="flat" cmpd="sng" algn="ctr">
            <a:solidFill>
              <a:srgbClr val="898989"/>
            </a:solidFill>
            <a:round/>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2067931760"/>
        <c:crosses val="autoZero"/>
        <c:auto val="1"/>
        <c:lblAlgn val="ctr"/>
        <c:lblOffset val="100"/>
        <c:noMultiLvlLbl val="0"/>
      </c:catAx>
      <c:valAx>
        <c:axId val="2067931760"/>
        <c:scaling>
          <c:orientation val="minMax"/>
          <c:max val="8"/>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2067937200"/>
        <c:crosses val="autoZero"/>
        <c:crossBetween val="midCat"/>
        <c:majorUnit val="2"/>
      </c:valAx>
      <c:spPr>
        <a:noFill/>
        <a:ln>
          <a:noFill/>
        </a:ln>
        <a:effectLst/>
      </c:spPr>
    </c:plotArea>
    <c:legend>
      <c:legendPos val="b"/>
      <c:legendEntry>
        <c:idx val="2"/>
        <c:delete val="1"/>
      </c:legendEntry>
      <c:layout>
        <c:manualLayout>
          <c:xMode val="edge"/>
          <c:yMode val="edge"/>
          <c:x val="2.5218401951955399E-3"/>
          <c:y val="0.81351522231044981"/>
          <c:w val="0.99380576517352959"/>
          <c:h val="0.18648477768955027"/>
        </c:manualLayout>
      </c:layout>
      <c:overlay val="0"/>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sz="750">
          <a:solidFill>
            <a:schemeClr val="tx2"/>
          </a:solidFill>
        </a:defRPr>
      </a:pPr>
      <a:endParaRPr lang="en-US"/>
    </a:p>
  </c:txPr>
  <c:externalData r:id="rId4">
    <c:autoUpdate val="0"/>
  </c:externalData>
  <c:userShapes r:id="rId5"/>
</c:chartSpace>
</file>

<file path=word/charts/chart4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7488334791484402E-2"/>
          <c:y val="7.2092777777777783E-2"/>
          <c:w val="0.85158573928258963"/>
          <c:h val="0.61694696969696972"/>
        </c:manualLayout>
      </c:layout>
      <c:barChart>
        <c:barDir val="col"/>
        <c:grouping val="stacked"/>
        <c:varyColors val="0"/>
        <c:ser>
          <c:idx val="5"/>
          <c:order val="1"/>
          <c:tx>
            <c:strRef>
              <c:f>'Uvoz_ek. namena'!$B$7</c:f>
              <c:strCache>
                <c:ptCount val="1"/>
                <c:pt idx="0">
                  <c:v>Средства за рад</c:v>
                </c:pt>
              </c:strCache>
            </c:strRef>
          </c:tx>
          <c:spPr>
            <a:solidFill>
              <a:srgbClr val="10103C"/>
            </a:solidFill>
            <a:ln>
              <a:noFill/>
            </a:ln>
            <a:effectLst/>
          </c:spPr>
          <c:invertIfNegative val="0"/>
          <c:dLbls>
            <c:dLbl>
              <c:idx val="0"/>
              <c:layout>
                <c:manualLayout>
                  <c:x val="0"/>
                  <c:y val="-2.116666666666673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2ABE-4EEF-9D84-52B231C62AA7}"/>
                </c:ext>
              </c:extLst>
            </c:dLbl>
            <c:spPr>
              <a:noFill/>
              <a:ln>
                <a:noFill/>
              </a:ln>
              <a:effectLst/>
            </c:spPr>
            <c:txPr>
              <a:bodyPr rot="0" spcFirstLastPara="1" vertOverflow="ellipsis" vert="horz" wrap="square" lIns="38100" tIns="19050" rIns="38100" bIns="19050" anchor="ctr" anchorCtr="0">
                <a:spAutoFit/>
              </a:bodyPr>
              <a:lstStyle/>
              <a:p>
                <a:pPr algn="ctr">
                  <a:defRPr lang="en-US" sz="700" b="0" i="0" u="none" strike="noStrike" kern="1200" baseline="0">
                    <a:solidFill>
                      <a:schemeClr val="bg1"/>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'Uvoz_ek. namena'!$C$5:$G$5</c:f>
              <c:strCache>
                <c:ptCount val="5"/>
                <c:pt idx="0">
                  <c:v>2017</c:v>
                </c:pt>
                <c:pt idx="1">
                  <c:v>2018</c:v>
                </c:pt>
                <c:pt idx="2">
                  <c:v>2019</c:v>
                </c:pt>
                <c:pt idx="3">
                  <c:v>2020</c:v>
                </c:pt>
                <c:pt idx="4">
                  <c:v>I–VIII 2021</c:v>
                </c:pt>
              </c:strCache>
            </c:strRef>
          </c:cat>
          <c:val>
            <c:numRef>
              <c:f>'Uvoz_ek. namena'!$C$7:$G$7</c:f>
              <c:numCache>
                <c:formatCode>0.0</c:formatCode>
                <c:ptCount val="5"/>
                <c:pt idx="0">
                  <c:v>1.2009971935621828</c:v>
                </c:pt>
                <c:pt idx="1">
                  <c:v>2.0698649206021851</c:v>
                </c:pt>
                <c:pt idx="2">
                  <c:v>2.8085607266854353</c:v>
                </c:pt>
                <c:pt idx="3">
                  <c:v>0.22111135776304344</c:v>
                </c:pt>
                <c:pt idx="4">
                  <c:v>2.2263668704452066</c:v>
                </c:pt>
              </c:numCache>
            </c:numRef>
          </c:val>
          <c:extLst>
            <c:ext xmlns:c16="http://schemas.microsoft.com/office/drawing/2014/chart" uri="{C3380CC4-5D6E-409C-BE32-E72D297353CC}">
              <c16:uniqueId val="{00000001-2ABE-4EEF-9D84-52B231C62AA7}"/>
            </c:ext>
          </c:extLst>
        </c:ser>
        <c:ser>
          <c:idx val="0"/>
          <c:order val="2"/>
          <c:tx>
            <c:strRef>
              <c:f>'Uvoz_ek. namena'!$B$8</c:f>
              <c:strCache>
                <c:ptCount val="1"/>
                <c:pt idx="0">
                  <c:v>Репродукција</c:v>
                </c:pt>
              </c:strCache>
            </c:strRef>
          </c:tx>
          <c:spPr>
            <a:solidFill>
              <a:srgbClr val="2183C4"/>
            </a:solidFill>
            <a:ln>
              <a:noFill/>
            </a:ln>
            <a:effectLst/>
          </c:spPr>
          <c:invertIfNegative val="0"/>
          <c:dLbls>
            <c:dLbl>
              <c:idx val="3"/>
              <c:dLblPos val="inBase"/>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2ABE-4EEF-9D84-52B231C62AA7}"/>
                </c:ext>
              </c:extLst>
            </c:dLbl>
            <c:dLbl>
              <c:idx val="4"/>
              <c:layout>
                <c:manualLayout>
                  <c:x val="0"/>
                  <c:y val="-1.924242424242424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2ABE-4EEF-9D84-52B231C62AA7}"/>
                </c:ext>
              </c:extLst>
            </c:dLbl>
            <c:spPr>
              <a:noFill/>
              <a:ln>
                <a:noFill/>
              </a:ln>
              <a:effectLst/>
            </c:spPr>
            <c:txPr>
              <a:bodyPr rot="0" spcFirstLastPara="1" vertOverflow="ellipsis" vert="horz" wrap="square" anchor="ctr" anchorCtr="1"/>
              <a:lstStyle/>
              <a:p>
                <a:pPr>
                  <a:defRPr sz="700" b="0" i="0" u="none" strike="noStrike" kern="1200" baseline="0">
                    <a:solidFill>
                      <a:srgbClr val="002060"/>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'Uvoz_ek. namena'!$C$5:$G$5</c:f>
              <c:strCache>
                <c:ptCount val="5"/>
                <c:pt idx="0">
                  <c:v>2017</c:v>
                </c:pt>
                <c:pt idx="1">
                  <c:v>2018</c:v>
                </c:pt>
                <c:pt idx="2">
                  <c:v>2019</c:v>
                </c:pt>
                <c:pt idx="3">
                  <c:v>2020</c:v>
                </c:pt>
                <c:pt idx="4">
                  <c:v>I–VIII 2021</c:v>
                </c:pt>
              </c:strCache>
            </c:strRef>
          </c:cat>
          <c:val>
            <c:numRef>
              <c:f>'Uvoz_ek. namena'!$C$8:$G$8</c:f>
              <c:numCache>
                <c:formatCode>0.0</c:formatCode>
                <c:ptCount val="5"/>
                <c:pt idx="0">
                  <c:v>9.7395520245607141</c:v>
                </c:pt>
                <c:pt idx="1">
                  <c:v>6.5890595999175119</c:v>
                </c:pt>
                <c:pt idx="2">
                  <c:v>3.6183715275084705</c:v>
                </c:pt>
                <c:pt idx="3">
                  <c:v>-5.8440229023300203</c:v>
                </c:pt>
                <c:pt idx="4">
                  <c:v>15.641902393534355</c:v>
                </c:pt>
              </c:numCache>
            </c:numRef>
          </c:val>
          <c:extLst>
            <c:ext xmlns:c16="http://schemas.microsoft.com/office/drawing/2014/chart" uri="{C3380CC4-5D6E-409C-BE32-E72D297353CC}">
              <c16:uniqueId val="{00000004-2ABE-4EEF-9D84-52B231C62AA7}"/>
            </c:ext>
          </c:extLst>
        </c:ser>
        <c:ser>
          <c:idx val="1"/>
          <c:order val="3"/>
          <c:tx>
            <c:strRef>
              <c:f>'Uvoz_ek. namena'!$B$9</c:f>
              <c:strCache>
                <c:ptCount val="1"/>
                <c:pt idx="0">
                  <c:v>Потрошна роба</c:v>
                </c:pt>
              </c:strCache>
            </c:strRef>
          </c:tx>
          <c:spPr>
            <a:solidFill>
              <a:srgbClr val="51BBE7"/>
            </a:solidFill>
            <a:ln>
              <a:noFill/>
            </a:ln>
            <a:effectLst/>
          </c:spPr>
          <c:invertIfNegative val="0"/>
          <c:dLbls>
            <c:spPr>
              <a:noFill/>
              <a:ln>
                <a:noFill/>
              </a:ln>
              <a:effectLst/>
            </c:spPr>
            <c:txPr>
              <a:bodyPr rot="0" spcFirstLastPara="1" vertOverflow="ellipsis" vert="horz" wrap="square" anchor="ctr" anchorCtr="1"/>
              <a:lstStyle/>
              <a:p>
                <a:pPr>
                  <a:defRPr sz="700" b="0" i="0" u="none" strike="noStrike" kern="1200" baseline="0">
                    <a:solidFill>
                      <a:srgbClr val="002060"/>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'Uvoz_ek. namena'!$C$5:$G$5</c:f>
              <c:strCache>
                <c:ptCount val="5"/>
                <c:pt idx="0">
                  <c:v>2017</c:v>
                </c:pt>
                <c:pt idx="1">
                  <c:v>2018</c:v>
                </c:pt>
                <c:pt idx="2">
                  <c:v>2019</c:v>
                </c:pt>
                <c:pt idx="3">
                  <c:v>2020</c:v>
                </c:pt>
                <c:pt idx="4">
                  <c:v>I–VIII 2021</c:v>
                </c:pt>
              </c:strCache>
            </c:strRef>
          </c:cat>
          <c:val>
            <c:numRef>
              <c:f>'Uvoz_ek. namena'!$C$9:$G$9</c:f>
              <c:numCache>
                <c:formatCode>0.0</c:formatCode>
                <c:ptCount val="5"/>
                <c:pt idx="0">
                  <c:v>1.0684852852430575</c:v>
                </c:pt>
                <c:pt idx="1">
                  <c:v>2.0636419880387735</c:v>
                </c:pt>
                <c:pt idx="2">
                  <c:v>2.4162016907937023</c:v>
                </c:pt>
                <c:pt idx="3">
                  <c:v>1.5972699819478706</c:v>
                </c:pt>
                <c:pt idx="4">
                  <c:v>2.5040583013850064</c:v>
                </c:pt>
              </c:numCache>
            </c:numRef>
          </c:val>
          <c:extLst>
            <c:ext xmlns:c16="http://schemas.microsoft.com/office/drawing/2014/chart" uri="{C3380CC4-5D6E-409C-BE32-E72D297353CC}">
              <c16:uniqueId val="{00000005-2ABE-4EEF-9D84-52B231C62AA7}"/>
            </c:ext>
          </c:extLst>
        </c:ser>
        <c:ser>
          <c:idx val="2"/>
          <c:order val="4"/>
          <c:tx>
            <c:strRef>
              <c:f>'Uvoz_ek. namena'!$B$10</c:f>
              <c:strCache>
                <c:ptCount val="1"/>
                <c:pt idx="0">
                  <c:v>Некласификовано</c:v>
                </c:pt>
              </c:strCache>
            </c:strRef>
          </c:tx>
          <c:spPr>
            <a:solidFill>
              <a:srgbClr val="C9E4EB"/>
            </a:solidFill>
            <a:ln>
              <a:noFill/>
            </a:ln>
            <a:effectLst/>
          </c:spPr>
          <c:invertIfNegative val="0"/>
          <c:dLbls>
            <c:dLbl>
              <c:idx val="2"/>
              <c:layout>
                <c:manualLayout>
                  <c:x val="8.7771580635753868E-2"/>
                  <c:y val="-2.957413526522487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2ABE-4EEF-9D84-52B231C62AA7}"/>
                </c:ext>
              </c:extLst>
            </c:dLbl>
            <c:dLbl>
              <c:idx val="3"/>
              <c:layout>
                <c:manualLayout>
                  <c:x val="8.3384929833017069E-2"/>
                  <c:y val="-4.465353535353535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2ABE-4EEF-9D84-52B231C62AA7}"/>
                </c:ext>
              </c:extLst>
            </c:dLbl>
            <c:spPr>
              <a:noFill/>
              <a:ln>
                <a:noFill/>
              </a:ln>
              <a:effectLst/>
            </c:spPr>
            <c:txPr>
              <a:bodyPr rot="0" spcFirstLastPara="1" vertOverflow="ellipsis" vert="horz" wrap="square" anchor="ctr" anchorCtr="1"/>
              <a:lstStyle/>
              <a:p>
                <a:pPr>
                  <a:defRPr sz="700" b="0" i="0" u="none" strike="noStrike" kern="1200" baseline="0">
                    <a:solidFill>
                      <a:srgbClr val="002060"/>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3175" cap="flat" cmpd="sng" algn="ctr">
                      <a:solidFill>
                        <a:schemeClr val="tx1">
                          <a:lumMod val="35000"/>
                          <a:lumOff val="65000"/>
                        </a:schemeClr>
                      </a:solidFill>
                      <a:round/>
                    </a:ln>
                    <a:effectLst/>
                  </c:spPr>
                </c15:leaderLines>
              </c:ext>
            </c:extLst>
          </c:dLbls>
          <c:cat>
            <c:strRef>
              <c:f>'Uvoz_ek. namena'!$C$5:$G$5</c:f>
              <c:strCache>
                <c:ptCount val="5"/>
                <c:pt idx="0">
                  <c:v>2017</c:v>
                </c:pt>
                <c:pt idx="1">
                  <c:v>2018</c:v>
                </c:pt>
                <c:pt idx="2">
                  <c:v>2019</c:v>
                </c:pt>
                <c:pt idx="3">
                  <c:v>2020</c:v>
                </c:pt>
                <c:pt idx="4">
                  <c:v>I–VIII 2021</c:v>
                </c:pt>
              </c:strCache>
            </c:strRef>
          </c:cat>
          <c:val>
            <c:numRef>
              <c:f>'Uvoz_ek. namena'!$C$10:$G$10</c:f>
              <c:numCache>
                <c:formatCode>0.0</c:formatCode>
                <c:ptCount val="5"/>
                <c:pt idx="0">
                  <c:v>1.6309446387663389</c:v>
                </c:pt>
                <c:pt idx="1">
                  <c:v>2.2843833780160847</c:v>
                </c:pt>
                <c:pt idx="2">
                  <c:v>8.2577890112096625E-2</c:v>
                </c:pt>
                <c:pt idx="3">
                  <c:v>0.18220504035551299</c:v>
                </c:pt>
                <c:pt idx="4">
                  <c:v>3.3599281594308028</c:v>
                </c:pt>
              </c:numCache>
            </c:numRef>
          </c:val>
          <c:extLst>
            <c:ext xmlns:c16="http://schemas.microsoft.com/office/drawing/2014/chart" uri="{C3380CC4-5D6E-409C-BE32-E72D297353CC}">
              <c16:uniqueId val="{00000008-2ABE-4EEF-9D84-52B231C62AA7}"/>
            </c:ext>
          </c:extLst>
        </c:ser>
        <c:dLbls>
          <c:showLegendKey val="0"/>
          <c:showVal val="0"/>
          <c:showCatName val="0"/>
          <c:showSerName val="0"/>
          <c:showPercent val="0"/>
          <c:showBubbleSize val="0"/>
        </c:dLbls>
        <c:gapWidth val="70"/>
        <c:overlap val="100"/>
        <c:axId val="1839193360"/>
        <c:axId val="1839196080"/>
      </c:barChart>
      <c:lineChart>
        <c:grouping val="standard"/>
        <c:varyColors val="0"/>
        <c:ser>
          <c:idx val="3"/>
          <c:order val="0"/>
          <c:tx>
            <c:strRef>
              <c:f>'Uvoz_ek. namena'!$B$6</c:f>
              <c:strCache>
                <c:ptCount val="1"/>
                <c:pt idx="0">
                  <c:v>Укупно</c:v>
                </c:pt>
              </c:strCache>
            </c:strRef>
          </c:tx>
          <c:spPr>
            <a:ln w="28575" cap="rnd">
              <a:solidFill>
                <a:srgbClr val="FF0000"/>
              </a:solidFill>
              <a:round/>
            </a:ln>
            <a:effectLst/>
          </c:spPr>
          <c:marker>
            <c:symbol val="none"/>
          </c:marker>
          <c:dLbls>
            <c:dLbl>
              <c:idx val="3"/>
              <c:layout>
                <c:manualLayout>
                  <c:x val="1.1948454359871767E-2"/>
                  <c:y val="-2.9805555555556204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2ABE-4EEF-9D84-52B231C62AA7}"/>
                </c:ext>
              </c:extLst>
            </c:dLbl>
            <c:dLbl>
              <c:idx val="4"/>
              <c:layout>
                <c:manualLayout>
                  <c:x val="2.3148190376672081E-2"/>
                  <c:y val="2.82222222222222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2ABE-4EEF-9D84-52B231C62AA7}"/>
                </c:ext>
              </c:extLst>
            </c:dLbl>
            <c:spPr>
              <a:noFill/>
              <a:ln>
                <a:noFill/>
              </a:ln>
              <a:effectLst/>
            </c:spPr>
            <c:txPr>
              <a:bodyPr rot="0" spcFirstLastPara="1" vertOverflow="ellipsis" vert="horz" wrap="square" anchor="ctr" anchorCtr="1"/>
              <a:lstStyle/>
              <a:p>
                <a:pPr>
                  <a:defRPr sz="750" b="1" i="0" u="none" strike="noStrike" kern="1200" baseline="0">
                    <a:solidFill>
                      <a:srgbClr val="FF0000"/>
                    </a:solidFill>
                    <a:latin typeface="+mn-lt"/>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'Uvoz_ek. namena'!$C$5:$G$5</c:f>
              <c:strCache>
                <c:ptCount val="5"/>
                <c:pt idx="0">
                  <c:v>2017</c:v>
                </c:pt>
                <c:pt idx="1">
                  <c:v>2018</c:v>
                </c:pt>
                <c:pt idx="2">
                  <c:v>2019</c:v>
                </c:pt>
                <c:pt idx="3">
                  <c:v>2020</c:v>
                </c:pt>
                <c:pt idx="4">
                  <c:v>I–VIII 2021</c:v>
                </c:pt>
              </c:strCache>
            </c:strRef>
          </c:cat>
          <c:val>
            <c:numRef>
              <c:f>'Uvoz_ek. namena'!$C$6:$G$6</c:f>
              <c:numCache>
                <c:formatCode>0.0</c:formatCode>
                <c:ptCount val="5"/>
                <c:pt idx="0">
                  <c:v>13.640225218099459</c:v>
                </c:pt>
                <c:pt idx="1">
                  <c:v>13.006289956692115</c:v>
                </c:pt>
                <c:pt idx="2">
                  <c:v>8.9266242979738593</c:v>
                </c:pt>
                <c:pt idx="3">
                  <c:v>-3.8438511767391508</c:v>
                </c:pt>
                <c:pt idx="4">
                  <c:v>23.732255724795337</c:v>
                </c:pt>
              </c:numCache>
            </c:numRef>
          </c:val>
          <c:smooth val="0"/>
          <c:extLst>
            <c:ext xmlns:c16="http://schemas.microsoft.com/office/drawing/2014/chart" uri="{C3380CC4-5D6E-409C-BE32-E72D297353CC}">
              <c16:uniqueId val="{0000000B-2ABE-4EEF-9D84-52B231C62AA7}"/>
            </c:ext>
          </c:extLst>
        </c:ser>
        <c:dLbls>
          <c:showLegendKey val="0"/>
          <c:showVal val="0"/>
          <c:showCatName val="0"/>
          <c:showSerName val="0"/>
          <c:showPercent val="0"/>
          <c:showBubbleSize val="0"/>
        </c:dLbls>
        <c:marker val="1"/>
        <c:smooth val="0"/>
        <c:axId val="1839193360"/>
        <c:axId val="1839196080"/>
      </c:lineChart>
      <c:catAx>
        <c:axId val="1839193360"/>
        <c:scaling>
          <c:orientation val="minMax"/>
        </c:scaling>
        <c:delete val="0"/>
        <c:axPos val="b"/>
        <c:numFmt formatCode="General" sourceLinked="1"/>
        <c:majorTickMark val="none"/>
        <c:minorTickMark val="none"/>
        <c:tickLblPos val="low"/>
        <c:spPr>
          <a:noFill/>
          <a:ln w="6350" cap="flat" cmpd="sng" algn="ctr">
            <a:solidFill>
              <a:srgbClr val="898989"/>
            </a:solidFill>
            <a:round/>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1839196080"/>
        <c:crosses val="autoZero"/>
        <c:auto val="1"/>
        <c:lblAlgn val="ctr"/>
        <c:lblOffset val="100"/>
        <c:noMultiLvlLbl val="0"/>
      </c:catAx>
      <c:valAx>
        <c:axId val="1839196080"/>
        <c:scaling>
          <c:orientation val="minMax"/>
          <c:max val="24"/>
          <c:min val="-6"/>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1839193360"/>
        <c:crosses val="autoZero"/>
        <c:crossBetween val="between"/>
        <c:majorUnit val="3"/>
      </c:valAx>
      <c:spPr>
        <a:noFill/>
        <a:ln>
          <a:noFill/>
        </a:ln>
        <a:effectLst/>
      </c:spPr>
    </c:plotArea>
    <c:legend>
      <c:legendPos val="b"/>
      <c:layout>
        <c:manualLayout>
          <c:xMode val="edge"/>
          <c:yMode val="edge"/>
          <c:x val="1.2789078448527259E-2"/>
          <c:y val="0.80912929292929292"/>
          <c:w val="0.91940033537474486"/>
          <c:h val="0.19087070707070711"/>
        </c:manualLayout>
      </c:layout>
      <c:overlay val="0"/>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sz="750">
          <a:solidFill>
            <a:schemeClr val="tx2"/>
          </a:solidFill>
        </a:defRPr>
      </a:pPr>
      <a:endParaRPr lang="en-US"/>
    </a:p>
  </c:txPr>
  <c:externalData r:id="rId4">
    <c:autoUpdate val="0"/>
  </c:externalData>
</c:chartSpace>
</file>

<file path=word/charts/chart4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880796150481189"/>
          <c:y val="4.6989720998531569E-2"/>
          <c:w val="0.86246828521434815"/>
          <c:h val="0.81779689433093983"/>
        </c:manualLayout>
      </c:layout>
      <c:areaChart>
        <c:grouping val="standard"/>
        <c:varyColors val="0"/>
        <c:ser>
          <c:idx val="1"/>
          <c:order val="0"/>
          <c:tx>
            <c:strRef>
              <c:f>'Izvoz, uvoz (Q)'!$A$8</c:f>
              <c:strCache>
                <c:ptCount val="1"/>
                <c:pt idx="0">
                  <c:v>Увоз</c:v>
                </c:pt>
              </c:strCache>
            </c:strRef>
          </c:tx>
          <c:spPr>
            <a:solidFill>
              <a:srgbClr val="51BBE7"/>
            </a:solidFill>
            <a:ln>
              <a:noFill/>
            </a:ln>
            <a:effectLst/>
          </c:spPr>
          <c:dLbls>
            <c:dLbl>
              <c:idx val="0"/>
              <c:layout>
                <c:manualLayout>
                  <c:x val="-8.4875562720133283E-17"/>
                  <c:y val="-0.15425537364660644"/>
                </c:manualLayout>
              </c:layout>
              <c:showLegendKey val="0"/>
              <c:showVal val="0"/>
              <c:showCatName val="0"/>
              <c:showSerName val="1"/>
              <c:showPercent val="0"/>
              <c:showBubbleSize val="0"/>
              <c:extLst>
                <c:ext xmlns:c15="http://schemas.microsoft.com/office/drawing/2012/chart" uri="{CE6537A1-D6FC-4f65-9D91-7224C49458BB}"/>
                <c:ext xmlns:c16="http://schemas.microsoft.com/office/drawing/2014/chart" uri="{C3380CC4-5D6E-409C-BE32-E72D297353CC}">
                  <c16:uniqueId val="{00000000-7ADF-4945-B0ED-8E89ADD04B50}"/>
                </c:ext>
              </c:extLst>
            </c:dLbl>
            <c:spPr>
              <a:noFill/>
              <a:ln>
                <a:noFill/>
              </a:ln>
              <a:effectLst/>
            </c:spPr>
            <c:txPr>
              <a:bodyPr rot="0" spcFirstLastPara="1" vertOverflow="ellipsis" vert="horz" wrap="none" anchor="ctr" anchorCtr="1"/>
              <a:lstStyle/>
              <a:p>
                <a:pPr>
                  <a:defRPr sz="1000" b="1" i="0" u="none" strike="noStrike" kern="1200" baseline="0">
                    <a:solidFill>
                      <a:schemeClr val="bg1"/>
                    </a:solidFill>
                    <a:latin typeface="+mn-lt"/>
                    <a:ea typeface="+mn-ea"/>
                    <a:cs typeface="+mn-cs"/>
                  </a:defRPr>
                </a:pPr>
                <a:endParaRPr lang="en-US"/>
              </a:p>
            </c:txPr>
            <c:showLegendKey val="0"/>
            <c:showVal val="0"/>
            <c:showCatName val="0"/>
            <c:showSerName val="1"/>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cat>
            <c:multiLvlStrRef>
              <c:f>'Izvoz, uvoz (Q)'!$K$3:$AN$4</c:f>
              <c:multiLvlStrCache>
                <c:ptCount val="30"/>
                <c:lvl>
                  <c:pt idx="0">
                    <c:v>Q1</c:v>
                  </c:pt>
                  <c:pt idx="1">
                    <c:v>Q2</c:v>
                  </c:pt>
                  <c:pt idx="2">
                    <c:v>Q3</c:v>
                  </c:pt>
                  <c:pt idx="3">
                    <c:v>Q4</c:v>
                  </c:pt>
                  <c:pt idx="4">
                    <c:v>Q1</c:v>
                  </c:pt>
                  <c:pt idx="5">
                    <c:v>Q2</c:v>
                  </c:pt>
                  <c:pt idx="6">
                    <c:v>Q3</c:v>
                  </c:pt>
                  <c:pt idx="7">
                    <c:v>Q4</c:v>
                  </c:pt>
                  <c:pt idx="8">
                    <c:v>Q1</c:v>
                  </c:pt>
                  <c:pt idx="9">
                    <c:v>Q2</c:v>
                  </c:pt>
                  <c:pt idx="10">
                    <c:v>Q3</c:v>
                  </c:pt>
                  <c:pt idx="11">
                    <c:v>Q4</c:v>
                  </c:pt>
                  <c:pt idx="12">
                    <c:v>Q1</c:v>
                  </c:pt>
                  <c:pt idx="13">
                    <c:v>Q2</c:v>
                  </c:pt>
                  <c:pt idx="14">
                    <c:v>Q3</c:v>
                  </c:pt>
                  <c:pt idx="15">
                    <c:v>Q4</c:v>
                  </c:pt>
                  <c:pt idx="16">
                    <c:v>Q1</c:v>
                  </c:pt>
                  <c:pt idx="17">
                    <c:v>Q2</c:v>
                  </c:pt>
                  <c:pt idx="18">
                    <c:v>Q3</c:v>
                  </c:pt>
                  <c:pt idx="19">
                    <c:v>Q4</c:v>
                  </c:pt>
                  <c:pt idx="20">
                    <c:v>Q1</c:v>
                  </c:pt>
                  <c:pt idx="21">
                    <c:v>Q2</c:v>
                  </c:pt>
                  <c:pt idx="22">
                    <c:v>Q3</c:v>
                  </c:pt>
                  <c:pt idx="23">
                    <c:v>Q4</c:v>
                  </c:pt>
                  <c:pt idx="24">
                    <c:v>Q1</c:v>
                  </c:pt>
                  <c:pt idx="25">
                    <c:v>Q2</c:v>
                  </c:pt>
                  <c:pt idx="26">
                    <c:v>Q3</c:v>
                  </c:pt>
                  <c:pt idx="27">
                    <c:v>Q4</c:v>
                  </c:pt>
                  <c:pt idx="28">
                    <c:v>Q1</c:v>
                  </c:pt>
                  <c:pt idx="29">
                    <c:v>Q2</c:v>
                  </c:pt>
                </c:lvl>
                <c:lvl>
                  <c:pt idx="0">
                    <c:v>2014</c:v>
                  </c:pt>
                  <c:pt idx="4">
                    <c:v>2015</c:v>
                  </c:pt>
                  <c:pt idx="8">
                    <c:v>2016</c:v>
                  </c:pt>
                  <c:pt idx="12">
                    <c:v>2017</c:v>
                  </c:pt>
                  <c:pt idx="16">
                    <c:v>2018</c:v>
                  </c:pt>
                  <c:pt idx="20">
                    <c:v>2019</c:v>
                  </c:pt>
                  <c:pt idx="24">
                    <c:v>2020</c:v>
                  </c:pt>
                  <c:pt idx="28">
                    <c:v>2021</c:v>
                  </c:pt>
                </c:lvl>
              </c:multiLvlStrCache>
            </c:multiLvlStrRef>
          </c:cat>
          <c:val>
            <c:numRef>
              <c:f>'Izvoz, uvoz (Q)'!$K$8:$AN$8</c:f>
              <c:numCache>
                <c:formatCode>#,##0.0</c:formatCode>
                <c:ptCount val="30"/>
                <c:pt idx="0">
                  <c:v>3485</c:v>
                </c:pt>
                <c:pt idx="1">
                  <c:v>3866.6000000000004</c:v>
                </c:pt>
                <c:pt idx="2">
                  <c:v>3854</c:v>
                </c:pt>
                <c:pt idx="3">
                  <c:v>3981.8</c:v>
                </c:pt>
                <c:pt idx="4">
                  <c:v>3784.8</c:v>
                </c:pt>
                <c:pt idx="5">
                  <c:v>4090.1</c:v>
                </c:pt>
                <c:pt idx="6">
                  <c:v>3962.6</c:v>
                </c:pt>
                <c:pt idx="7">
                  <c:v>4249.1000000000004</c:v>
                </c:pt>
                <c:pt idx="8">
                  <c:v>3898.7717211190502</c:v>
                </c:pt>
                <c:pt idx="9">
                  <c:v>4458.9206734116106</c:v>
                </c:pt>
                <c:pt idx="10">
                  <c:v>4149.7076054693389</c:v>
                </c:pt>
                <c:pt idx="11">
                  <c:v>4560.5000000000018</c:v>
                </c:pt>
                <c:pt idx="12">
                  <c:v>4508.1000000000004</c:v>
                </c:pt>
                <c:pt idx="13">
                  <c:v>4918.5</c:v>
                </c:pt>
                <c:pt idx="14">
                  <c:v>4707.2999999999993</c:v>
                </c:pt>
                <c:pt idx="15">
                  <c:v>5262.1</c:v>
                </c:pt>
                <c:pt idx="16">
                  <c:v>5075.8999999999996</c:v>
                </c:pt>
                <c:pt idx="17">
                  <c:v>5458.7000000000007</c:v>
                </c:pt>
                <c:pt idx="18">
                  <c:v>5419</c:v>
                </c:pt>
                <c:pt idx="19">
                  <c:v>5965.1</c:v>
                </c:pt>
                <c:pt idx="20">
                  <c:v>5560.6</c:v>
                </c:pt>
                <c:pt idx="21">
                  <c:v>5942</c:v>
                </c:pt>
                <c:pt idx="22">
                  <c:v>5842.9999999999982</c:v>
                </c:pt>
                <c:pt idx="23">
                  <c:v>6529.7000000000007</c:v>
                </c:pt>
                <c:pt idx="24">
                  <c:v>5986.9</c:v>
                </c:pt>
                <c:pt idx="25">
                  <c:v>4743.2000000000007</c:v>
                </c:pt>
                <c:pt idx="26">
                  <c:v>5792.1629999999986</c:v>
                </c:pt>
                <c:pt idx="27">
                  <c:v>6435.3369999999995</c:v>
                </c:pt>
                <c:pt idx="28">
                  <c:v>5973.5283269297024</c:v>
                </c:pt>
                <c:pt idx="29">
                  <c:v>7005.4715509946973</c:v>
                </c:pt>
              </c:numCache>
            </c:numRef>
          </c:val>
          <c:extLst>
            <c:ext xmlns:c16="http://schemas.microsoft.com/office/drawing/2014/chart" uri="{C3380CC4-5D6E-409C-BE32-E72D297353CC}">
              <c16:uniqueId val="{00000001-7ADF-4945-B0ED-8E89ADD04B50}"/>
            </c:ext>
          </c:extLst>
        </c:ser>
        <c:ser>
          <c:idx val="0"/>
          <c:order val="1"/>
          <c:tx>
            <c:strRef>
              <c:f>'Izvoz, uvoz (Q)'!$A$7</c:f>
              <c:strCache>
                <c:ptCount val="1"/>
                <c:pt idx="0">
                  <c:v>Извоз</c:v>
                </c:pt>
              </c:strCache>
            </c:strRef>
          </c:tx>
          <c:spPr>
            <a:solidFill>
              <a:srgbClr val="29489A"/>
            </a:solidFill>
            <a:ln>
              <a:noFill/>
            </a:ln>
            <a:effectLst/>
          </c:spPr>
          <c:dLbls>
            <c:spPr>
              <a:noFill/>
              <a:ln>
                <a:noFill/>
              </a:ln>
              <a:effectLst/>
            </c:spPr>
            <c:txPr>
              <a:bodyPr rot="0" spcFirstLastPara="1" vertOverflow="ellipsis" vert="horz" wrap="none" anchor="ctr" anchorCtr="1"/>
              <a:lstStyle/>
              <a:p>
                <a:pPr>
                  <a:defRPr sz="1000" b="1" i="0" u="none" strike="noStrike" kern="1200" baseline="0">
                    <a:solidFill>
                      <a:schemeClr val="bg1"/>
                    </a:solidFill>
                    <a:latin typeface="+mn-lt"/>
                    <a:ea typeface="+mn-ea"/>
                    <a:cs typeface="+mn-cs"/>
                  </a:defRPr>
                </a:pPr>
                <a:endParaRPr lang="en-US"/>
              </a:p>
            </c:txPr>
            <c:showLegendKey val="0"/>
            <c:showVal val="0"/>
            <c:showCatName val="0"/>
            <c:showSerName val="1"/>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cat>
            <c:multiLvlStrRef>
              <c:f>'Izvoz, uvoz (Q)'!$K$3:$AN$4</c:f>
              <c:multiLvlStrCache>
                <c:ptCount val="30"/>
                <c:lvl>
                  <c:pt idx="0">
                    <c:v>Q1</c:v>
                  </c:pt>
                  <c:pt idx="1">
                    <c:v>Q2</c:v>
                  </c:pt>
                  <c:pt idx="2">
                    <c:v>Q3</c:v>
                  </c:pt>
                  <c:pt idx="3">
                    <c:v>Q4</c:v>
                  </c:pt>
                  <c:pt idx="4">
                    <c:v>Q1</c:v>
                  </c:pt>
                  <c:pt idx="5">
                    <c:v>Q2</c:v>
                  </c:pt>
                  <c:pt idx="6">
                    <c:v>Q3</c:v>
                  </c:pt>
                  <c:pt idx="7">
                    <c:v>Q4</c:v>
                  </c:pt>
                  <c:pt idx="8">
                    <c:v>Q1</c:v>
                  </c:pt>
                  <c:pt idx="9">
                    <c:v>Q2</c:v>
                  </c:pt>
                  <c:pt idx="10">
                    <c:v>Q3</c:v>
                  </c:pt>
                  <c:pt idx="11">
                    <c:v>Q4</c:v>
                  </c:pt>
                  <c:pt idx="12">
                    <c:v>Q1</c:v>
                  </c:pt>
                  <c:pt idx="13">
                    <c:v>Q2</c:v>
                  </c:pt>
                  <c:pt idx="14">
                    <c:v>Q3</c:v>
                  </c:pt>
                  <c:pt idx="15">
                    <c:v>Q4</c:v>
                  </c:pt>
                  <c:pt idx="16">
                    <c:v>Q1</c:v>
                  </c:pt>
                  <c:pt idx="17">
                    <c:v>Q2</c:v>
                  </c:pt>
                  <c:pt idx="18">
                    <c:v>Q3</c:v>
                  </c:pt>
                  <c:pt idx="19">
                    <c:v>Q4</c:v>
                  </c:pt>
                  <c:pt idx="20">
                    <c:v>Q1</c:v>
                  </c:pt>
                  <c:pt idx="21">
                    <c:v>Q2</c:v>
                  </c:pt>
                  <c:pt idx="22">
                    <c:v>Q3</c:v>
                  </c:pt>
                  <c:pt idx="23">
                    <c:v>Q4</c:v>
                  </c:pt>
                  <c:pt idx="24">
                    <c:v>Q1</c:v>
                  </c:pt>
                  <c:pt idx="25">
                    <c:v>Q2</c:v>
                  </c:pt>
                  <c:pt idx="26">
                    <c:v>Q3</c:v>
                  </c:pt>
                  <c:pt idx="27">
                    <c:v>Q4</c:v>
                  </c:pt>
                  <c:pt idx="28">
                    <c:v>Q1</c:v>
                  </c:pt>
                  <c:pt idx="29">
                    <c:v>Q2</c:v>
                  </c:pt>
                </c:lvl>
                <c:lvl>
                  <c:pt idx="0">
                    <c:v>2014</c:v>
                  </c:pt>
                  <c:pt idx="4">
                    <c:v>2015</c:v>
                  </c:pt>
                  <c:pt idx="8">
                    <c:v>2016</c:v>
                  </c:pt>
                  <c:pt idx="12">
                    <c:v>2017</c:v>
                  </c:pt>
                  <c:pt idx="16">
                    <c:v>2018</c:v>
                  </c:pt>
                  <c:pt idx="20">
                    <c:v>2019</c:v>
                  </c:pt>
                  <c:pt idx="24">
                    <c:v>2020</c:v>
                  </c:pt>
                  <c:pt idx="28">
                    <c:v>2021</c:v>
                  </c:pt>
                </c:lvl>
              </c:multiLvlStrCache>
            </c:multiLvlStrRef>
          </c:cat>
          <c:val>
            <c:numRef>
              <c:f>'Izvoz, uvoz (Q)'!$K$7:$AN$7</c:f>
              <c:numCache>
                <c:formatCode>#,##0.0</c:formatCode>
                <c:ptCount val="30"/>
                <c:pt idx="0">
                  <c:v>2636.4</c:v>
                </c:pt>
                <c:pt idx="1">
                  <c:v>2875.9999999999995</c:v>
                </c:pt>
                <c:pt idx="2">
                  <c:v>2786.2000000000007</c:v>
                </c:pt>
                <c:pt idx="3">
                  <c:v>2859.8999999999987</c:v>
                </c:pt>
                <c:pt idx="4">
                  <c:v>2774.5</c:v>
                </c:pt>
                <c:pt idx="5">
                  <c:v>3193.8</c:v>
                </c:pt>
                <c:pt idx="6">
                  <c:v>3041.9</c:v>
                </c:pt>
                <c:pt idx="7">
                  <c:v>3028.5</c:v>
                </c:pt>
                <c:pt idx="8">
                  <c:v>3093.6981629093693</c:v>
                </c:pt>
                <c:pt idx="9">
                  <c:v>3473.8402049835208</c:v>
                </c:pt>
                <c:pt idx="10">
                  <c:v>3353.2616321071091</c:v>
                </c:pt>
                <c:pt idx="11">
                  <c:v>3511.3000000000011</c:v>
                </c:pt>
                <c:pt idx="12">
                  <c:v>3516.4</c:v>
                </c:pt>
                <c:pt idx="13">
                  <c:v>3948.9999999999995</c:v>
                </c:pt>
                <c:pt idx="14">
                  <c:v>3785.7000000000007</c:v>
                </c:pt>
                <c:pt idx="15">
                  <c:v>3799.6999999999989</c:v>
                </c:pt>
                <c:pt idx="16">
                  <c:v>3829.1</c:v>
                </c:pt>
                <c:pt idx="17">
                  <c:v>4218.6000000000004</c:v>
                </c:pt>
                <c:pt idx="18">
                  <c:v>4091.0999999999995</c:v>
                </c:pt>
                <c:pt idx="19">
                  <c:v>4143.2000000000007</c:v>
                </c:pt>
                <c:pt idx="20">
                  <c:v>4102.1000000000004</c:v>
                </c:pt>
                <c:pt idx="21">
                  <c:v>4488.7999999999993</c:v>
                </c:pt>
                <c:pt idx="22">
                  <c:v>4404.1000000000004</c:v>
                </c:pt>
                <c:pt idx="23">
                  <c:v>4541.4000000000015</c:v>
                </c:pt>
                <c:pt idx="24">
                  <c:v>4237.5</c:v>
                </c:pt>
                <c:pt idx="25">
                  <c:v>3597.2</c:v>
                </c:pt>
                <c:pt idx="26">
                  <c:v>4368.4180000000006</c:v>
                </c:pt>
                <c:pt idx="27">
                  <c:v>4851.3819999999996</c:v>
                </c:pt>
                <c:pt idx="28">
                  <c:v>4829.0549999999994</c:v>
                </c:pt>
                <c:pt idx="29">
                  <c:v>5239.6178791088014</c:v>
                </c:pt>
              </c:numCache>
            </c:numRef>
          </c:val>
          <c:extLst>
            <c:ext xmlns:c16="http://schemas.microsoft.com/office/drawing/2014/chart" uri="{C3380CC4-5D6E-409C-BE32-E72D297353CC}">
              <c16:uniqueId val="{00000002-7ADF-4945-B0ED-8E89ADD04B50}"/>
            </c:ext>
          </c:extLst>
        </c:ser>
        <c:ser>
          <c:idx val="2"/>
          <c:order val="2"/>
          <c:tx>
            <c:strRef>
              <c:f>'Izvoz, uvoz (Q)'!$A$9</c:f>
              <c:strCache>
                <c:ptCount val="1"/>
                <c:pt idx="0">
                  <c:v>Дефицит</c:v>
                </c:pt>
              </c:strCache>
            </c:strRef>
          </c:tx>
          <c:spPr>
            <a:solidFill>
              <a:srgbClr val="ED1C24"/>
            </a:solidFill>
            <a:ln>
              <a:noFill/>
            </a:ln>
            <a:effectLst/>
          </c:spPr>
          <c:dLbls>
            <c:dLbl>
              <c:idx val="0"/>
              <c:layout>
                <c:manualLayout>
                  <c:x val="4.6296296296295444E-3"/>
                  <c:y val="-1.5225809173394153E-2"/>
                </c:manualLayout>
              </c:layout>
              <c:spPr>
                <a:noFill/>
                <a:ln>
                  <a:noFill/>
                </a:ln>
                <a:effectLst/>
              </c:spPr>
              <c:txPr>
                <a:bodyPr rot="0" spcFirstLastPara="1" vertOverflow="ellipsis" vert="horz" wrap="none" anchor="ctr" anchorCtr="1"/>
                <a:lstStyle/>
                <a:p>
                  <a:pPr>
                    <a:defRPr sz="1000" b="1" i="0" u="none" strike="noStrike" kern="1200" baseline="0">
                      <a:solidFill>
                        <a:schemeClr val="bg1"/>
                      </a:solidFill>
                      <a:latin typeface="+mn-lt"/>
                      <a:ea typeface="+mn-ea"/>
                      <a:cs typeface="+mn-cs"/>
                    </a:defRPr>
                  </a:pPr>
                  <a:endParaRPr lang="en-US"/>
                </a:p>
              </c:txPr>
              <c:showLegendKey val="0"/>
              <c:showVal val="0"/>
              <c:showCatName val="0"/>
              <c:showSerName val="1"/>
              <c:showPercent val="0"/>
              <c:showBubbleSize val="0"/>
              <c:extLst>
                <c:ext xmlns:c15="http://schemas.microsoft.com/office/drawing/2012/chart" uri="{CE6537A1-D6FC-4f65-9D91-7224C49458BB}">
                  <c15:layout>
                    <c:manualLayout>
                      <c:w val="0.26513888888888887"/>
                      <c:h val="0.20975355507351168"/>
                    </c:manualLayout>
                  </c15:layout>
                </c:ext>
                <c:ext xmlns:c16="http://schemas.microsoft.com/office/drawing/2014/chart" uri="{C3380CC4-5D6E-409C-BE32-E72D297353CC}">
                  <c16:uniqueId val="{00000003-7ADF-4945-B0ED-8E89ADD04B50}"/>
                </c:ext>
              </c:extLst>
            </c:dLbl>
            <c:spPr>
              <a:noFill/>
              <a:ln>
                <a:noFill/>
              </a:ln>
              <a:effectLst/>
            </c:spPr>
            <c:txPr>
              <a:bodyPr rot="0" spcFirstLastPara="1" vertOverflow="ellipsis" vert="horz" wrap="none" anchor="ctr" anchorCtr="1"/>
              <a:lstStyle/>
              <a:p>
                <a:pPr>
                  <a:defRPr sz="1000" b="1" i="0" u="none" strike="noStrike" kern="1200" baseline="0">
                    <a:solidFill>
                      <a:schemeClr val="bg1"/>
                    </a:solidFill>
                    <a:latin typeface="+mn-lt"/>
                    <a:ea typeface="+mn-ea"/>
                    <a:cs typeface="+mn-cs"/>
                  </a:defRPr>
                </a:pPr>
                <a:endParaRPr lang="en-US"/>
              </a:p>
            </c:txPr>
            <c:showLegendKey val="0"/>
            <c:showVal val="0"/>
            <c:showCatName val="0"/>
            <c:showSerName val="1"/>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cat>
            <c:multiLvlStrRef>
              <c:f>'Izvoz, uvoz (Q)'!$K$3:$AN$4</c:f>
              <c:multiLvlStrCache>
                <c:ptCount val="30"/>
                <c:lvl>
                  <c:pt idx="0">
                    <c:v>Q1</c:v>
                  </c:pt>
                  <c:pt idx="1">
                    <c:v>Q2</c:v>
                  </c:pt>
                  <c:pt idx="2">
                    <c:v>Q3</c:v>
                  </c:pt>
                  <c:pt idx="3">
                    <c:v>Q4</c:v>
                  </c:pt>
                  <c:pt idx="4">
                    <c:v>Q1</c:v>
                  </c:pt>
                  <c:pt idx="5">
                    <c:v>Q2</c:v>
                  </c:pt>
                  <c:pt idx="6">
                    <c:v>Q3</c:v>
                  </c:pt>
                  <c:pt idx="7">
                    <c:v>Q4</c:v>
                  </c:pt>
                  <c:pt idx="8">
                    <c:v>Q1</c:v>
                  </c:pt>
                  <c:pt idx="9">
                    <c:v>Q2</c:v>
                  </c:pt>
                  <c:pt idx="10">
                    <c:v>Q3</c:v>
                  </c:pt>
                  <c:pt idx="11">
                    <c:v>Q4</c:v>
                  </c:pt>
                  <c:pt idx="12">
                    <c:v>Q1</c:v>
                  </c:pt>
                  <c:pt idx="13">
                    <c:v>Q2</c:v>
                  </c:pt>
                  <c:pt idx="14">
                    <c:v>Q3</c:v>
                  </c:pt>
                  <c:pt idx="15">
                    <c:v>Q4</c:v>
                  </c:pt>
                  <c:pt idx="16">
                    <c:v>Q1</c:v>
                  </c:pt>
                  <c:pt idx="17">
                    <c:v>Q2</c:v>
                  </c:pt>
                  <c:pt idx="18">
                    <c:v>Q3</c:v>
                  </c:pt>
                  <c:pt idx="19">
                    <c:v>Q4</c:v>
                  </c:pt>
                  <c:pt idx="20">
                    <c:v>Q1</c:v>
                  </c:pt>
                  <c:pt idx="21">
                    <c:v>Q2</c:v>
                  </c:pt>
                  <c:pt idx="22">
                    <c:v>Q3</c:v>
                  </c:pt>
                  <c:pt idx="23">
                    <c:v>Q4</c:v>
                  </c:pt>
                  <c:pt idx="24">
                    <c:v>Q1</c:v>
                  </c:pt>
                  <c:pt idx="25">
                    <c:v>Q2</c:v>
                  </c:pt>
                  <c:pt idx="26">
                    <c:v>Q3</c:v>
                  </c:pt>
                  <c:pt idx="27">
                    <c:v>Q4</c:v>
                  </c:pt>
                  <c:pt idx="28">
                    <c:v>Q1</c:v>
                  </c:pt>
                  <c:pt idx="29">
                    <c:v>Q2</c:v>
                  </c:pt>
                </c:lvl>
                <c:lvl>
                  <c:pt idx="0">
                    <c:v>2014</c:v>
                  </c:pt>
                  <c:pt idx="4">
                    <c:v>2015</c:v>
                  </c:pt>
                  <c:pt idx="8">
                    <c:v>2016</c:v>
                  </c:pt>
                  <c:pt idx="12">
                    <c:v>2017</c:v>
                  </c:pt>
                  <c:pt idx="16">
                    <c:v>2018</c:v>
                  </c:pt>
                  <c:pt idx="20">
                    <c:v>2019</c:v>
                  </c:pt>
                  <c:pt idx="24">
                    <c:v>2020</c:v>
                  </c:pt>
                  <c:pt idx="28">
                    <c:v>2021</c:v>
                  </c:pt>
                </c:lvl>
              </c:multiLvlStrCache>
            </c:multiLvlStrRef>
          </c:cat>
          <c:val>
            <c:numRef>
              <c:f>'Izvoz, uvoz (Q)'!$K$9:$AN$9</c:f>
              <c:numCache>
                <c:formatCode>#,##0.0</c:formatCode>
                <c:ptCount val="30"/>
                <c:pt idx="0">
                  <c:v>-848.59999999999991</c:v>
                </c:pt>
                <c:pt idx="1">
                  <c:v>-990.60000000000082</c:v>
                </c:pt>
                <c:pt idx="2">
                  <c:v>-1067.7999999999993</c:v>
                </c:pt>
                <c:pt idx="3">
                  <c:v>-1121.9000000000015</c:v>
                </c:pt>
                <c:pt idx="4">
                  <c:v>-1010.3000000000002</c:v>
                </c:pt>
                <c:pt idx="5">
                  <c:v>-896.29999999999973</c:v>
                </c:pt>
                <c:pt idx="6">
                  <c:v>-920.69999999999982</c:v>
                </c:pt>
                <c:pt idx="7">
                  <c:v>-1220.6000000000004</c:v>
                </c:pt>
                <c:pt idx="8">
                  <c:v>-805.07355820968087</c:v>
                </c:pt>
                <c:pt idx="9">
                  <c:v>-985.08046842808972</c:v>
                </c:pt>
                <c:pt idx="10">
                  <c:v>-796.44597336222978</c:v>
                </c:pt>
                <c:pt idx="11">
                  <c:v>-1049.2000000000007</c:v>
                </c:pt>
                <c:pt idx="12">
                  <c:v>-991.70000000000027</c:v>
                </c:pt>
                <c:pt idx="13">
                  <c:v>-969.50000000000045</c:v>
                </c:pt>
                <c:pt idx="14">
                  <c:v>-921.59999999999854</c:v>
                </c:pt>
                <c:pt idx="15">
                  <c:v>-1462.4000000000015</c:v>
                </c:pt>
                <c:pt idx="16">
                  <c:v>-1246.7999999999997</c:v>
                </c:pt>
                <c:pt idx="17">
                  <c:v>-1240.1000000000004</c:v>
                </c:pt>
                <c:pt idx="18">
                  <c:v>-1327.9000000000005</c:v>
                </c:pt>
                <c:pt idx="19">
                  <c:v>-1821.8999999999996</c:v>
                </c:pt>
                <c:pt idx="20">
                  <c:v>-1458.5</c:v>
                </c:pt>
                <c:pt idx="21">
                  <c:v>-1453.2000000000007</c:v>
                </c:pt>
                <c:pt idx="22">
                  <c:v>-1438.8999999999978</c:v>
                </c:pt>
                <c:pt idx="23">
                  <c:v>-1988.2999999999993</c:v>
                </c:pt>
                <c:pt idx="24">
                  <c:v>-1749.3999999999996</c:v>
                </c:pt>
                <c:pt idx="25">
                  <c:v>-1146.0000000000009</c:v>
                </c:pt>
                <c:pt idx="26">
                  <c:v>-1423.7449999999981</c:v>
                </c:pt>
                <c:pt idx="27">
                  <c:v>-1583.9549999999999</c:v>
                </c:pt>
                <c:pt idx="28">
                  <c:v>-1144.473326929703</c:v>
                </c:pt>
                <c:pt idx="29">
                  <c:v>-1765.8536718858959</c:v>
                </c:pt>
              </c:numCache>
            </c:numRef>
          </c:val>
          <c:extLst>
            <c:ext xmlns:c16="http://schemas.microsoft.com/office/drawing/2014/chart" uri="{C3380CC4-5D6E-409C-BE32-E72D297353CC}">
              <c16:uniqueId val="{00000004-7ADF-4945-B0ED-8E89ADD04B50}"/>
            </c:ext>
          </c:extLst>
        </c:ser>
        <c:dLbls>
          <c:showLegendKey val="0"/>
          <c:showVal val="0"/>
          <c:showCatName val="0"/>
          <c:showSerName val="0"/>
          <c:showPercent val="0"/>
          <c:showBubbleSize val="0"/>
        </c:dLbls>
        <c:axId val="1839202064"/>
        <c:axId val="1839196624"/>
      </c:areaChart>
      <c:catAx>
        <c:axId val="1839202064"/>
        <c:scaling>
          <c:orientation val="minMax"/>
        </c:scaling>
        <c:delete val="0"/>
        <c:axPos val="b"/>
        <c:numFmt formatCode="General" sourceLinked="1"/>
        <c:majorTickMark val="none"/>
        <c:minorTickMark val="none"/>
        <c:tickLblPos val="low"/>
        <c:spPr>
          <a:noFill/>
          <a:ln w="6350" cap="flat" cmpd="sng" algn="ctr">
            <a:solidFill>
              <a:srgbClr val="898989"/>
            </a:solidFill>
            <a:round/>
          </a:ln>
          <a:effectLst/>
        </c:spPr>
        <c:txPr>
          <a:bodyPr rot="-5400000" spcFirstLastPara="1" vertOverflow="ellipsis" wrap="square" anchor="ctr" anchorCtr="1"/>
          <a:lstStyle/>
          <a:p>
            <a:pPr>
              <a:defRPr sz="510" b="0" i="0" u="none" strike="noStrike" kern="1200" baseline="0">
                <a:solidFill>
                  <a:schemeClr val="tx2"/>
                </a:solidFill>
                <a:latin typeface="+mn-lt"/>
                <a:ea typeface="+mn-ea"/>
                <a:cs typeface="+mn-cs"/>
              </a:defRPr>
            </a:pPr>
            <a:endParaRPr lang="en-US"/>
          </a:p>
        </c:txPr>
        <c:crossAx val="1839196624"/>
        <c:crosses val="autoZero"/>
        <c:auto val="1"/>
        <c:lblAlgn val="ctr"/>
        <c:lblOffset val="0"/>
        <c:noMultiLvlLbl val="0"/>
      </c:catAx>
      <c:valAx>
        <c:axId val="1839196624"/>
        <c:scaling>
          <c:orientation val="minMax"/>
          <c:max val="8000"/>
          <c:min val="-2000"/>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1839202064"/>
        <c:crosses val="autoZero"/>
        <c:crossBetween val="between"/>
        <c:majorUnit val="1000"/>
      </c:valAx>
      <c:spPr>
        <a:noFill/>
        <a:ln>
          <a:noFill/>
        </a:ln>
        <a:effectLst/>
      </c:spPr>
    </c:plotArea>
    <c:plotVisOnly val="1"/>
    <c:dispBlanksAs val="zero"/>
    <c:showDLblsOverMax val="0"/>
  </c:chart>
  <c:spPr>
    <a:solidFill>
      <a:schemeClr val="bg1"/>
    </a:solidFill>
    <a:ln w="9525" cap="flat" cmpd="sng" algn="ctr">
      <a:noFill/>
      <a:round/>
    </a:ln>
    <a:effectLst/>
  </c:spPr>
  <c:txPr>
    <a:bodyPr/>
    <a:lstStyle/>
    <a:p>
      <a:pPr>
        <a:defRPr sz="750">
          <a:solidFill>
            <a:schemeClr val="tx2"/>
          </a:solidFill>
        </a:defRPr>
      </a:pPr>
      <a:endParaRPr lang="en-US"/>
    </a:p>
  </c:txPr>
  <c:externalData r:id="rId2">
    <c:autoUpdate val="0"/>
  </c:externalData>
</c:chartSpace>
</file>

<file path=word/charts/chart4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539150826485673E-2"/>
          <c:y val="3.2258064516129031E-2"/>
          <c:w val="0.90409995360749396"/>
          <c:h val="0.75972906612479885"/>
        </c:manualLayout>
      </c:layout>
      <c:barChart>
        <c:barDir val="col"/>
        <c:grouping val="stacked"/>
        <c:varyColors val="0"/>
        <c:ser>
          <c:idx val="0"/>
          <c:order val="1"/>
          <c:tx>
            <c:strRef>
              <c:f>'Struktura CA i FA'!$B$10</c:f>
              <c:strCache>
                <c:ptCount val="1"/>
                <c:pt idx="0">
                  <c:v>Салдо робне размене </c:v>
                </c:pt>
              </c:strCache>
            </c:strRef>
          </c:tx>
          <c:spPr>
            <a:solidFill>
              <a:srgbClr val="10103C"/>
            </a:solidFill>
            <a:ln>
              <a:noFill/>
            </a:ln>
            <a:effectLst/>
          </c:spPr>
          <c:invertIfNegative val="0"/>
          <c:cat>
            <c:numRef>
              <c:f>'Struktura CA i FA'!$F$8:$L$8</c:f>
              <c:numCache>
                <c:formatCode>General</c:formatCode>
                <c:ptCount val="7"/>
                <c:pt idx="0">
                  <c:v>2018</c:v>
                </c:pt>
                <c:pt idx="1">
                  <c:v>2019</c:v>
                </c:pt>
                <c:pt idx="2">
                  <c:v>2020</c:v>
                </c:pt>
                <c:pt idx="3">
                  <c:v>2021</c:v>
                </c:pt>
                <c:pt idx="4">
                  <c:v>2022</c:v>
                </c:pt>
                <c:pt idx="5">
                  <c:v>2023</c:v>
                </c:pt>
                <c:pt idx="6">
                  <c:v>2024</c:v>
                </c:pt>
              </c:numCache>
            </c:numRef>
          </c:cat>
          <c:val>
            <c:numRef>
              <c:f>'Struktura CA i FA'!$F$10:$L$10</c:f>
              <c:numCache>
                <c:formatCode>0.0</c:formatCode>
                <c:ptCount val="7"/>
                <c:pt idx="0">
                  <c:v>-11.85634111525191</c:v>
                </c:pt>
                <c:pt idx="1">
                  <c:v>-12.232686434344609</c:v>
                </c:pt>
                <c:pt idx="2">
                  <c:v>-11.164222714274032</c:v>
                </c:pt>
                <c:pt idx="3">
                  <c:v>-10.626153156291346</c:v>
                </c:pt>
                <c:pt idx="4">
                  <c:v>-10.291470613995489</c:v>
                </c:pt>
                <c:pt idx="5">
                  <c:v>-9.6032210719377957</c:v>
                </c:pt>
                <c:pt idx="6">
                  <c:v>-8.8946814031164969</c:v>
                </c:pt>
              </c:numCache>
            </c:numRef>
          </c:val>
          <c:extLst>
            <c:ext xmlns:c16="http://schemas.microsoft.com/office/drawing/2014/chart" uri="{C3380CC4-5D6E-409C-BE32-E72D297353CC}">
              <c16:uniqueId val="{00000000-2363-4AF7-83B0-724BD5FECD61}"/>
            </c:ext>
          </c:extLst>
        </c:ser>
        <c:ser>
          <c:idx val="1"/>
          <c:order val="2"/>
          <c:tx>
            <c:strRef>
              <c:f>'Struktura CA i FA'!$B$11</c:f>
              <c:strCache>
                <c:ptCount val="1"/>
                <c:pt idx="0">
                  <c:v>Салдо услугa</c:v>
                </c:pt>
              </c:strCache>
            </c:strRef>
          </c:tx>
          <c:spPr>
            <a:solidFill>
              <a:srgbClr val="29489A"/>
            </a:solidFill>
            <a:ln>
              <a:noFill/>
            </a:ln>
            <a:effectLst/>
          </c:spPr>
          <c:invertIfNegative val="0"/>
          <c:cat>
            <c:numRef>
              <c:f>'Struktura CA i FA'!$F$8:$L$8</c:f>
              <c:numCache>
                <c:formatCode>General</c:formatCode>
                <c:ptCount val="7"/>
                <c:pt idx="0">
                  <c:v>2018</c:v>
                </c:pt>
                <c:pt idx="1">
                  <c:v>2019</c:v>
                </c:pt>
                <c:pt idx="2">
                  <c:v>2020</c:v>
                </c:pt>
                <c:pt idx="3">
                  <c:v>2021</c:v>
                </c:pt>
                <c:pt idx="4">
                  <c:v>2022</c:v>
                </c:pt>
                <c:pt idx="5">
                  <c:v>2023</c:v>
                </c:pt>
                <c:pt idx="6">
                  <c:v>2024</c:v>
                </c:pt>
              </c:numCache>
            </c:numRef>
          </c:cat>
          <c:val>
            <c:numRef>
              <c:f>'Struktura CA i FA'!$F$11:$L$11</c:f>
              <c:numCache>
                <c:formatCode>0.0</c:formatCode>
                <c:ptCount val="7"/>
                <c:pt idx="0">
                  <c:v>2.3195078458208238</c:v>
                </c:pt>
                <c:pt idx="1">
                  <c:v>2.2009453418610074</c:v>
                </c:pt>
                <c:pt idx="2">
                  <c:v>2.2964066137017762</c:v>
                </c:pt>
                <c:pt idx="3">
                  <c:v>2.5754590235176522</c:v>
                </c:pt>
                <c:pt idx="4">
                  <c:v>2.612860414952221</c:v>
                </c:pt>
                <c:pt idx="5">
                  <c:v>2.7132388302563983</c:v>
                </c:pt>
                <c:pt idx="6">
                  <c:v>2.7415113913715214</c:v>
                </c:pt>
              </c:numCache>
            </c:numRef>
          </c:val>
          <c:extLst>
            <c:ext xmlns:c16="http://schemas.microsoft.com/office/drawing/2014/chart" uri="{C3380CC4-5D6E-409C-BE32-E72D297353CC}">
              <c16:uniqueId val="{00000001-2363-4AF7-83B0-724BD5FECD61}"/>
            </c:ext>
          </c:extLst>
        </c:ser>
        <c:ser>
          <c:idx val="2"/>
          <c:order val="3"/>
          <c:tx>
            <c:strRef>
              <c:f>'Struktura CA i FA'!$B$12</c:f>
              <c:strCache>
                <c:ptCount val="1"/>
                <c:pt idx="0">
                  <c:v>Салдо дохотка           </c:v>
                </c:pt>
              </c:strCache>
            </c:strRef>
          </c:tx>
          <c:spPr>
            <a:solidFill>
              <a:srgbClr val="2183C4"/>
            </a:solidFill>
            <a:ln>
              <a:noFill/>
            </a:ln>
            <a:effectLst/>
          </c:spPr>
          <c:invertIfNegative val="0"/>
          <c:cat>
            <c:numRef>
              <c:f>'Struktura CA i FA'!$F$8:$L$8</c:f>
              <c:numCache>
                <c:formatCode>General</c:formatCode>
                <c:ptCount val="7"/>
                <c:pt idx="0">
                  <c:v>2018</c:v>
                </c:pt>
                <c:pt idx="1">
                  <c:v>2019</c:v>
                </c:pt>
                <c:pt idx="2">
                  <c:v>2020</c:v>
                </c:pt>
                <c:pt idx="3">
                  <c:v>2021</c:v>
                </c:pt>
                <c:pt idx="4">
                  <c:v>2022</c:v>
                </c:pt>
                <c:pt idx="5">
                  <c:v>2023</c:v>
                </c:pt>
                <c:pt idx="6">
                  <c:v>2024</c:v>
                </c:pt>
              </c:numCache>
            </c:numRef>
          </c:cat>
          <c:val>
            <c:numRef>
              <c:f>'Struktura CA i FA'!$F$12:$L$12</c:f>
              <c:numCache>
                <c:formatCode>0.0</c:formatCode>
                <c:ptCount val="7"/>
                <c:pt idx="0">
                  <c:v>-5.0879454802975124</c:v>
                </c:pt>
                <c:pt idx="1">
                  <c:v>-5.3916071891109327</c:v>
                </c:pt>
                <c:pt idx="2">
                  <c:v>-2.9993674223725053</c:v>
                </c:pt>
                <c:pt idx="3">
                  <c:v>-3.433945364690203</c:v>
                </c:pt>
                <c:pt idx="4">
                  <c:v>-3.73265773564603</c:v>
                </c:pt>
                <c:pt idx="5">
                  <c:v>-3.9465292076456699</c:v>
                </c:pt>
                <c:pt idx="6">
                  <c:v>-3.9599608986477555</c:v>
                </c:pt>
              </c:numCache>
            </c:numRef>
          </c:val>
          <c:extLst>
            <c:ext xmlns:c16="http://schemas.microsoft.com/office/drawing/2014/chart" uri="{C3380CC4-5D6E-409C-BE32-E72D297353CC}">
              <c16:uniqueId val="{00000002-2363-4AF7-83B0-724BD5FECD61}"/>
            </c:ext>
          </c:extLst>
        </c:ser>
        <c:ser>
          <c:idx val="3"/>
          <c:order val="4"/>
          <c:tx>
            <c:strRef>
              <c:f>'Struktura CA i FA'!$B$13</c:f>
              <c:strCache>
                <c:ptCount val="1"/>
                <c:pt idx="0">
                  <c:v>Салдо текућих трансфера</c:v>
                </c:pt>
              </c:strCache>
            </c:strRef>
          </c:tx>
          <c:spPr>
            <a:solidFill>
              <a:srgbClr val="51BBE7"/>
            </a:solidFill>
            <a:ln>
              <a:noFill/>
            </a:ln>
            <a:effectLst/>
          </c:spPr>
          <c:invertIfNegative val="0"/>
          <c:cat>
            <c:numRef>
              <c:f>'Struktura CA i FA'!$F$8:$L$8</c:f>
              <c:numCache>
                <c:formatCode>General</c:formatCode>
                <c:ptCount val="7"/>
                <c:pt idx="0">
                  <c:v>2018</c:v>
                </c:pt>
                <c:pt idx="1">
                  <c:v>2019</c:v>
                </c:pt>
                <c:pt idx="2">
                  <c:v>2020</c:v>
                </c:pt>
                <c:pt idx="3">
                  <c:v>2021</c:v>
                </c:pt>
                <c:pt idx="4">
                  <c:v>2022</c:v>
                </c:pt>
                <c:pt idx="5">
                  <c:v>2023</c:v>
                </c:pt>
                <c:pt idx="6">
                  <c:v>2024</c:v>
                </c:pt>
              </c:numCache>
            </c:numRef>
          </c:cat>
          <c:val>
            <c:numRef>
              <c:f>'Struktura CA i FA'!$F$13:$L$13</c:f>
              <c:numCache>
                <c:formatCode>0.0</c:formatCode>
                <c:ptCount val="7"/>
                <c:pt idx="0">
                  <c:v>9.7844329701219959</c:v>
                </c:pt>
                <c:pt idx="1">
                  <c:v>8.5473967706053919</c:v>
                </c:pt>
                <c:pt idx="2">
                  <c:v>7.6329441957019393</c:v>
                </c:pt>
                <c:pt idx="3">
                  <c:v>7.5928347508150056</c:v>
                </c:pt>
                <c:pt idx="4">
                  <c:v>7.2164716222489922</c:v>
                </c:pt>
                <c:pt idx="5">
                  <c:v>6.7419873963946841</c:v>
                </c:pt>
                <c:pt idx="6">
                  <c:v>6.244553724790693</c:v>
                </c:pt>
              </c:numCache>
            </c:numRef>
          </c:val>
          <c:extLst>
            <c:ext xmlns:c16="http://schemas.microsoft.com/office/drawing/2014/chart" uri="{C3380CC4-5D6E-409C-BE32-E72D297353CC}">
              <c16:uniqueId val="{00000003-2363-4AF7-83B0-724BD5FECD61}"/>
            </c:ext>
          </c:extLst>
        </c:ser>
        <c:dLbls>
          <c:showLegendKey val="0"/>
          <c:showVal val="0"/>
          <c:showCatName val="0"/>
          <c:showSerName val="0"/>
          <c:showPercent val="0"/>
          <c:showBubbleSize val="0"/>
        </c:dLbls>
        <c:gapWidth val="50"/>
        <c:overlap val="100"/>
        <c:axId val="1763590384"/>
        <c:axId val="1763611056"/>
      </c:barChart>
      <c:lineChart>
        <c:grouping val="standard"/>
        <c:varyColors val="0"/>
        <c:ser>
          <c:idx val="4"/>
          <c:order val="0"/>
          <c:tx>
            <c:strRef>
              <c:f>'Struktura CA i FA'!$B$9</c:f>
              <c:strCache>
                <c:ptCount val="1"/>
                <c:pt idx="0">
                  <c:v>Дефицит текућег рачуна</c:v>
                </c:pt>
              </c:strCache>
            </c:strRef>
          </c:tx>
          <c:spPr>
            <a:ln w="28575" cap="rnd">
              <a:solidFill>
                <a:srgbClr val="FF0000"/>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750" b="1" i="0" u="none" strike="noStrike" kern="1200" baseline="0">
                    <a:solidFill>
                      <a:srgbClr val="FF0000"/>
                    </a:solidFill>
                    <a:latin typeface="+mn-lt"/>
                    <a:ea typeface="+mn-ea"/>
                    <a:cs typeface="+mn-cs"/>
                  </a:defRPr>
                </a:pPr>
                <a:endParaRPr lang="en-US"/>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'Struktura CA i FA'!$F$8:$L$8</c:f>
              <c:numCache>
                <c:formatCode>General</c:formatCode>
                <c:ptCount val="7"/>
                <c:pt idx="0">
                  <c:v>2018</c:v>
                </c:pt>
                <c:pt idx="1">
                  <c:v>2019</c:v>
                </c:pt>
                <c:pt idx="2">
                  <c:v>2020</c:v>
                </c:pt>
                <c:pt idx="3">
                  <c:v>2021</c:v>
                </c:pt>
                <c:pt idx="4">
                  <c:v>2022</c:v>
                </c:pt>
                <c:pt idx="5">
                  <c:v>2023</c:v>
                </c:pt>
                <c:pt idx="6">
                  <c:v>2024</c:v>
                </c:pt>
              </c:numCache>
            </c:numRef>
          </c:cat>
          <c:val>
            <c:numRef>
              <c:f>'Struktura CA i FA'!$F$9:$L$9</c:f>
              <c:numCache>
                <c:formatCode>0.0</c:formatCode>
                <c:ptCount val="7"/>
                <c:pt idx="0">
                  <c:v>-4.8403457796066034</c:v>
                </c:pt>
                <c:pt idx="1">
                  <c:v>-6.8759515109891467</c:v>
                </c:pt>
                <c:pt idx="2">
                  <c:v>-4.2342393272428209</c:v>
                </c:pt>
                <c:pt idx="3">
                  <c:v>-3.891804746648893</c:v>
                </c:pt>
                <c:pt idx="4">
                  <c:v>-4.1947963124403058</c:v>
                </c:pt>
                <c:pt idx="5">
                  <c:v>-4.0945240529323828</c:v>
                </c:pt>
                <c:pt idx="6">
                  <c:v>-3.8685771856020379</c:v>
                </c:pt>
              </c:numCache>
            </c:numRef>
          </c:val>
          <c:smooth val="0"/>
          <c:extLst>
            <c:ext xmlns:c16="http://schemas.microsoft.com/office/drawing/2014/chart" uri="{C3380CC4-5D6E-409C-BE32-E72D297353CC}">
              <c16:uniqueId val="{00000004-2363-4AF7-83B0-724BD5FECD61}"/>
            </c:ext>
          </c:extLst>
        </c:ser>
        <c:dLbls>
          <c:showLegendKey val="0"/>
          <c:showVal val="0"/>
          <c:showCatName val="0"/>
          <c:showSerName val="0"/>
          <c:showPercent val="0"/>
          <c:showBubbleSize val="0"/>
        </c:dLbls>
        <c:marker val="1"/>
        <c:smooth val="0"/>
        <c:axId val="1763590384"/>
        <c:axId val="1763611056"/>
      </c:lineChart>
      <c:catAx>
        <c:axId val="1763590384"/>
        <c:scaling>
          <c:orientation val="minMax"/>
        </c:scaling>
        <c:delete val="0"/>
        <c:axPos val="b"/>
        <c:numFmt formatCode="General" sourceLinked="1"/>
        <c:majorTickMark val="none"/>
        <c:minorTickMark val="none"/>
        <c:tickLblPos val="nextTo"/>
        <c:spPr>
          <a:noFill/>
          <a:ln w="6350" cap="flat" cmpd="sng" algn="ctr">
            <a:solidFill>
              <a:srgbClr val="898989"/>
            </a:solidFill>
            <a:round/>
          </a:ln>
          <a:effectLst/>
        </c:spPr>
        <c:txPr>
          <a:bodyPr rot="-60000000" spcFirstLastPara="1" vertOverflow="ellipsis" vert="horz" wrap="square" anchor="ctr" anchorCtr="1"/>
          <a:lstStyle/>
          <a:p>
            <a:pPr>
              <a:defRPr sz="750" b="0" i="0" u="none" strike="noStrike" kern="1200" baseline="0">
                <a:solidFill>
                  <a:schemeClr val="bg1"/>
                </a:solidFill>
                <a:latin typeface="+mn-lt"/>
                <a:ea typeface="+mn-ea"/>
                <a:cs typeface="+mn-cs"/>
              </a:defRPr>
            </a:pPr>
            <a:endParaRPr lang="en-US"/>
          </a:p>
        </c:txPr>
        <c:crossAx val="1763611056"/>
        <c:crosses val="autoZero"/>
        <c:auto val="1"/>
        <c:lblAlgn val="ctr"/>
        <c:lblOffset val="100"/>
        <c:noMultiLvlLbl val="0"/>
      </c:catAx>
      <c:valAx>
        <c:axId val="1763611056"/>
        <c:scaling>
          <c:orientation val="minMax"/>
          <c:max val="15"/>
          <c:min val="-20"/>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1763590384"/>
        <c:crosses val="autoZero"/>
        <c:crossBetween val="between"/>
        <c:majorUnit val="5"/>
      </c:valAx>
      <c:spPr>
        <a:noFill/>
        <a:ln>
          <a:noFill/>
        </a:ln>
        <a:effectLst/>
      </c:spPr>
    </c:plotArea>
    <c:legend>
      <c:legendPos val="b"/>
      <c:layout>
        <c:manualLayout>
          <c:xMode val="edge"/>
          <c:yMode val="edge"/>
          <c:x val="1.14209682123068E-3"/>
          <c:y val="0.85112691558716447"/>
          <c:w val="0.99885790317876932"/>
          <c:h val="0.1488730844128355"/>
        </c:manualLayout>
      </c:layout>
      <c:overlay val="0"/>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sz="750">
          <a:solidFill>
            <a:schemeClr val="tx2"/>
          </a:solidFill>
        </a:defRPr>
      </a:pPr>
      <a:endParaRPr lang="en-US"/>
    </a:p>
  </c:txPr>
  <c:externalData r:id="rId4">
    <c:autoUpdate val="0"/>
  </c:externalData>
  <c:userShapes r:id="rId5"/>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3.81381590421037E-2"/>
          <c:y val="0.11348336551369499"/>
          <c:w val="0.91418918918918923"/>
          <c:h val="0.73303303303303291"/>
        </c:manualLayout>
      </c:layout>
      <c:barChart>
        <c:barDir val="col"/>
        <c:grouping val="clustered"/>
        <c:varyColors val="0"/>
        <c:ser>
          <c:idx val="0"/>
          <c:order val="0"/>
          <c:tx>
            <c:strRef>
              <c:f>'Osn. makroekon. agregati'!$B$5</c:f>
              <c:strCache>
                <c:ptCount val="1"/>
                <c:pt idx="0">
                  <c:v>Реални раст БДП, %</c:v>
                </c:pt>
              </c:strCache>
            </c:strRef>
          </c:tx>
          <c:spPr>
            <a:solidFill>
              <a:schemeClr val="accent1"/>
            </a:solidFill>
            <a:ln>
              <a:noFill/>
            </a:ln>
            <a:effectLst/>
          </c:spPr>
          <c:invertIfNegative val="0"/>
          <c:dPt>
            <c:idx val="0"/>
            <c:invertIfNegative val="0"/>
            <c:bubble3D val="0"/>
            <c:spPr>
              <a:solidFill>
                <a:srgbClr val="29489A"/>
              </a:solidFill>
              <a:ln>
                <a:noFill/>
              </a:ln>
              <a:effectLst/>
            </c:spPr>
            <c:extLst>
              <c:ext xmlns:c16="http://schemas.microsoft.com/office/drawing/2014/chart" uri="{C3380CC4-5D6E-409C-BE32-E72D297353CC}">
                <c16:uniqueId val="{00000001-F840-443A-ACCC-C8DC15474744}"/>
              </c:ext>
            </c:extLst>
          </c:dPt>
          <c:dPt>
            <c:idx val="1"/>
            <c:invertIfNegative val="0"/>
            <c:bubble3D val="0"/>
            <c:spPr>
              <a:solidFill>
                <a:srgbClr val="ED1C24"/>
              </a:solidFill>
              <a:ln>
                <a:noFill/>
              </a:ln>
              <a:effectLst/>
            </c:spPr>
            <c:extLst>
              <c:ext xmlns:c16="http://schemas.microsoft.com/office/drawing/2014/chart" uri="{C3380CC4-5D6E-409C-BE32-E72D297353CC}">
                <c16:uniqueId val="{00000003-F840-443A-ACCC-C8DC15474744}"/>
              </c:ext>
            </c:extLst>
          </c:dPt>
          <c:dLbls>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rgbClr val="29489A"/>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840-443A-ACCC-C8DC15474744}"/>
                </c:ext>
              </c:extLst>
            </c:dLbl>
            <c:dLbl>
              <c:idx val="1"/>
              <c:layout>
                <c:manualLayout>
                  <c:x val="-8.7398890260461573E-17"/>
                  <c:y val="0"/>
                </c:manualLayout>
              </c:layout>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rgbClr val="ED1C24"/>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F840-443A-ACCC-C8DC15474744}"/>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('Osn. makroekon. agregati'!$E$5,'Osn. makroekon. agregati'!$F$5)</c:f>
              <c:numCache>
                <c:formatCode>0.0</c:formatCode>
                <c:ptCount val="2"/>
                <c:pt idx="0">
                  <c:v>4</c:v>
                </c:pt>
                <c:pt idx="1">
                  <c:v>4.5</c:v>
                </c:pt>
              </c:numCache>
            </c:numRef>
          </c:val>
          <c:extLst>
            <c:ext xmlns:c16="http://schemas.microsoft.com/office/drawing/2014/chart" uri="{C3380CC4-5D6E-409C-BE32-E72D297353CC}">
              <c16:uniqueId val="{00000004-F840-443A-ACCC-C8DC15474744}"/>
            </c:ext>
          </c:extLst>
        </c:ser>
        <c:dLbls>
          <c:showLegendKey val="0"/>
          <c:showVal val="0"/>
          <c:showCatName val="0"/>
          <c:showSerName val="0"/>
          <c:showPercent val="0"/>
          <c:showBubbleSize val="0"/>
        </c:dLbls>
        <c:gapWidth val="15"/>
        <c:axId val="1768831680"/>
        <c:axId val="1768853440"/>
      </c:barChart>
      <c:catAx>
        <c:axId val="1768831680"/>
        <c:scaling>
          <c:orientation val="minMax"/>
        </c:scaling>
        <c:delete val="0"/>
        <c:axPos val="b"/>
        <c:title>
          <c:tx>
            <c:rich>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r>
                  <a:rPr lang="en-GB" b="1"/>
                  <a:t>2022</a:t>
                </a:r>
              </a:p>
            </c:rich>
          </c:tx>
          <c:overlay val="0"/>
          <c:spPr>
            <a:noFill/>
            <a:ln>
              <a:noFill/>
            </a:ln>
            <a:effectLst/>
          </c:spPr>
          <c:txPr>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en-US"/>
            </a:p>
          </c:txPr>
        </c:title>
        <c:majorTickMark val="none"/>
        <c:minorTickMark val="none"/>
        <c:tickLblPos val="none"/>
        <c:spPr>
          <a:noFill/>
          <a:ln w="12700" cap="flat" cmpd="sng" algn="ctr">
            <a:solidFill>
              <a:srgbClr val="898989"/>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68853440"/>
        <c:crossesAt val="0"/>
        <c:auto val="1"/>
        <c:lblAlgn val="ctr"/>
        <c:lblOffset val="100"/>
        <c:noMultiLvlLbl val="0"/>
      </c:catAx>
      <c:valAx>
        <c:axId val="1768853440"/>
        <c:scaling>
          <c:orientation val="minMax"/>
          <c:max val="8"/>
          <c:min val="0"/>
        </c:scaling>
        <c:delete val="0"/>
        <c:axPos val="l"/>
        <c:numFmt formatCode="0.0" sourceLinked="1"/>
        <c:majorTickMark val="out"/>
        <c:minorTickMark val="none"/>
        <c:tickLblPos val="none"/>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68831680"/>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n-US"/>
    </a:p>
  </c:txPr>
  <c:externalData r:id="rId4">
    <c:autoUpdate val="0"/>
  </c:externalData>
  <c:userShapes r:id="rId5"/>
</c:chartSpace>
</file>

<file path=word/charts/chart5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4.7937445319335081E-2"/>
          <c:y val="5.0925925925925923E-2"/>
          <c:w val="0.92150699912510936"/>
          <c:h val="0.70304067460317465"/>
        </c:manualLayout>
      </c:layout>
      <c:barChart>
        <c:barDir val="col"/>
        <c:grouping val="clustered"/>
        <c:varyColors val="0"/>
        <c:ser>
          <c:idx val="0"/>
          <c:order val="0"/>
          <c:tx>
            <c:strRef>
              <c:f>'Def. tek. racuna i SDI'!$B$8</c:f>
              <c:strCache>
                <c:ptCount val="1"/>
                <c:pt idx="0">
                  <c:v>Дефицит текућег рачуна, % БДП</c:v>
                </c:pt>
              </c:strCache>
            </c:strRef>
          </c:tx>
          <c:spPr>
            <a:solidFill>
              <a:srgbClr val="29489A"/>
            </a:solidFill>
            <a:ln>
              <a:noFill/>
            </a:ln>
            <a:effectLst/>
          </c:spPr>
          <c:invertIfNegative val="0"/>
          <c:cat>
            <c:numRef>
              <c:f>'Def. tek. racuna i SDI'!$E$7:$L$7</c:f>
              <c:numCache>
                <c:formatCode>General</c:formatCode>
                <c:ptCount val="8"/>
                <c:pt idx="0">
                  <c:v>2017</c:v>
                </c:pt>
                <c:pt idx="1">
                  <c:v>2018</c:v>
                </c:pt>
                <c:pt idx="2">
                  <c:v>2019</c:v>
                </c:pt>
                <c:pt idx="3">
                  <c:v>2020</c:v>
                </c:pt>
                <c:pt idx="4">
                  <c:v>2021</c:v>
                </c:pt>
                <c:pt idx="5">
                  <c:v>2022</c:v>
                </c:pt>
                <c:pt idx="6">
                  <c:v>2023</c:v>
                </c:pt>
                <c:pt idx="7">
                  <c:v>2024</c:v>
                </c:pt>
              </c:numCache>
            </c:numRef>
          </c:cat>
          <c:val>
            <c:numRef>
              <c:f>'Def. tek. racuna i SDI'!$E$8:$L$8</c:f>
              <c:numCache>
                <c:formatCode>0.0</c:formatCode>
                <c:ptCount val="8"/>
                <c:pt idx="0">
                  <c:v>5.2269704404684463</c:v>
                </c:pt>
                <c:pt idx="1">
                  <c:v>4.8403457796066034</c:v>
                </c:pt>
                <c:pt idx="2">
                  <c:v>6.8759515109891467</c:v>
                </c:pt>
                <c:pt idx="3">
                  <c:v>4.2342393272428209</c:v>
                </c:pt>
                <c:pt idx="4">
                  <c:v>3.891804746648893</c:v>
                </c:pt>
                <c:pt idx="5">
                  <c:v>4.1947963124403058</c:v>
                </c:pt>
                <c:pt idx="6">
                  <c:v>4.0945240529323828</c:v>
                </c:pt>
                <c:pt idx="7">
                  <c:v>3.8685771856020379</c:v>
                </c:pt>
              </c:numCache>
            </c:numRef>
          </c:val>
          <c:extLst>
            <c:ext xmlns:c16="http://schemas.microsoft.com/office/drawing/2014/chart" uri="{C3380CC4-5D6E-409C-BE32-E72D297353CC}">
              <c16:uniqueId val="{00000000-A47A-4836-ADBB-81D5BA08AE51}"/>
            </c:ext>
          </c:extLst>
        </c:ser>
        <c:ser>
          <c:idx val="1"/>
          <c:order val="1"/>
          <c:tx>
            <c:strRef>
              <c:f>'Def. tek. racuna i SDI'!$B$9</c:f>
              <c:strCache>
                <c:ptCount val="1"/>
                <c:pt idx="0">
                  <c:v>Стране директне инвестиције, нето, % БДП</c:v>
                </c:pt>
              </c:strCache>
            </c:strRef>
          </c:tx>
          <c:spPr>
            <a:solidFill>
              <a:srgbClr val="51BBE7"/>
            </a:solidFill>
            <a:ln>
              <a:noFill/>
            </a:ln>
            <a:effectLst/>
          </c:spPr>
          <c:invertIfNegative val="0"/>
          <c:cat>
            <c:numRef>
              <c:f>'Def. tek. racuna i SDI'!$E$7:$L$7</c:f>
              <c:numCache>
                <c:formatCode>General</c:formatCode>
                <c:ptCount val="8"/>
                <c:pt idx="0">
                  <c:v>2017</c:v>
                </c:pt>
                <c:pt idx="1">
                  <c:v>2018</c:v>
                </c:pt>
                <c:pt idx="2">
                  <c:v>2019</c:v>
                </c:pt>
                <c:pt idx="3">
                  <c:v>2020</c:v>
                </c:pt>
                <c:pt idx="4">
                  <c:v>2021</c:v>
                </c:pt>
                <c:pt idx="5">
                  <c:v>2022</c:v>
                </c:pt>
                <c:pt idx="6">
                  <c:v>2023</c:v>
                </c:pt>
                <c:pt idx="7">
                  <c:v>2024</c:v>
                </c:pt>
              </c:numCache>
            </c:numRef>
          </c:cat>
          <c:val>
            <c:numRef>
              <c:f>'Def. tek. racuna i SDI'!$E$9:$L$9</c:f>
              <c:numCache>
                <c:formatCode>0.0</c:formatCode>
                <c:ptCount val="8"/>
                <c:pt idx="0">
                  <c:v>6.1631165965351746</c:v>
                </c:pt>
                <c:pt idx="1">
                  <c:v>7.3591834087842951</c:v>
                </c:pt>
                <c:pt idx="2">
                  <c:v>7.7247302461043192</c:v>
                </c:pt>
                <c:pt idx="3">
                  <c:v>6.201903556433586</c:v>
                </c:pt>
                <c:pt idx="4">
                  <c:v>6.8678907293804077</c:v>
                </c:pt>
                <c:pt idx="5">
                  <c:v>6.3988418325360525</c:v>
                </c:pt>
                <c:pt idx="6">
                  <c:v>6.0842325284537404</c:v>
                </c:pt>
                <c:pt idx="7">
                  <c:v>5.7876351595621038</c:v>
                </c:pt>
              </c:numCache>
            </c:numRef>
          </c:val>
          <c:extLst>
            <c:ext xmlns:c16="http://schemas.microsoft.com/office/drawing/2014/chart" uri="{C3380CC4-5D6E-409C-BE32-E72D297353CC}">
              <c16:uniqueId val="{00000001-A47A-4836-ADBB-81D5BA08AE51}"/>
            </c:ext>
          </c:extLst>
        </c:ser>
        <c:dLbls>
          <c:showLegendKey val="0"/>
          <c:showVal val="0"/>
          <c:showCatName val="0"/>
          <c:showSerName val="0"/>
          <c:showPercent val="0"/>
          <c:showBubbleSize val="0"/>
        </c:dLbls>
        <c:gapWidth val="80"/>
        <c:overlap val="-11"/>
        <c:axId val="1839176496"/>
        <c:axId val="1839185744"/>
      </c:barChart>
      <c:catAx>
        <c:axId val="1839176496"/>
        <c:scaling>
          <c:orientation val="minMax"/>
        </c:scaling>
        <c:delete val="0"/>
        <c:axPos val="b"/>
        <c:numFmt formatCode="General" sourceLinked="1"/>
        <c:majorTickMark val="none"/>
        <c:minorTickMark val="none"/>
        <c:tickLblPos val="nextTo"/>
        <c:spPr>
          <a:noFill/>
          <a:ln w="6350" cap="flat" cmpd="sng" algn="ctr">
            <a:solidFill>
              <a:srgbClr val="898989"/>
            </a:solidFill>
            <a:round/>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1839185744"/>
        <c:crosses val="autoZero"/>
        <c:auto val="1"/>
        <c:lblAlgn val="ctr"/>
        <c:lblOffset val="100"/>
        <c:noMultiLvlLbl val="0"/>
      </c:catAx>
      <c:valAx>
        <c:axId val="1839185744"/>
        <c:scaling>
          <c:orientation val="minMax"/>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1839176496"/>
        <c:crosses val="autoZero"/>
        <c:crossBetween val="between"/>
      </c:valAx>
      <c:spPr>
        <a:noFill/>
        <a:ln>
          <a:noFill/>
        </a:ln>
        <a:effectLst/>
      </c:spPr>
    </c:plotArea>
    <c:legend>
      <c:legendPos val="b"/>
      <c:layout>
        <c:manualLayout>
          <c:xMode val="edge"/>
          <c:yMode val="edge"/>
          <c:x val="1.0742927967337418E-2"/>
          <c:y val="0.86493849206349194"/>
          <c:w val="0.97274511918886852"/>
          <c:h val="0.12246209515072751"/>
        </c:manualLayout>
      </c:layout>
      <c:overlay val="0"/>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sz="750">
          <a:solidFill>
            <a:schemeClr val="tx2"/>
          </a:solidFill>
        </a:defRPr>
      </a:pPr>
      <a:endParaRPr lang="en-US"/>
    </a:p>
  </c:txPr>
  <c:externalData r:id="rId4">
    <c:autoUpdate val="0"/>
  </c:externalData>
  <c:userShapes r:id="rId5"/>
</c:chartSpace>
</file>

<file path=word/charts/chart5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4.4217259528330458E-2"/>
          <c:y val="6.7551982074010614E-2"/>
          <c:w val="0.91156548094333911"/>
          <c:h val="0.82429264255212753"/>
        </c:manualLayout>
      </c:layout>
      <c:areaChart>
        <c:grouping val="stacked"/>
        <c:varyColors val="0"/>
        <c:ser>
          <c:idx val="0"/>
          <c:order val="1"/>
          <c:tx>
            <c:strRef>
              <c:f>'fan chart srbija'!$G$4</c:f>
              <c:strCache>
                <c:ptCount val="1"/>
                <c:pt idx="0">
                  <c:v>dno</c:v>
                </c:pt>
              </c:strCache>
            </c:strRef>
          </c:tx>
          <c:spPr>
            <a:noFill/>
          </c:spPr>
          <c:cat>
            <c:strRef>
              <c:f>'fan chart srbija'!$E$7:$E$13</c:f>
              <c:strCache>
                <c:ptCount val="7"/>
                <c:pt idx="0">
                  <c:v>2018</c:v>
                </c:pt>
                <c:pt idx="1">
                  <c:v>2019</c:v>
                </c:pt>
                <c:pt idx="2">
                  <c:v>2020</c:v>
                </c:pt>
                <c:pt idx="3">
                  <c:v>2021</c:v>
                </c:pt>
                <c:pt idx="4">
                  <c:v>2022</c:v>
                </c:pt>
                <c:pt idx="5">
                  <c:v>2023</c:v>
                </c:pt>
                <c:pt idx="6">
                  <c:v>2024</c:v>
                </c:pt>
              </c:strCache>
            </c:strRef>
          </c:cat>
          <c:val>
            <c:numRef>
              <c:f>'fan chart srbija'!$G$7:$G$13</c:f>
              <c:numCache>
                <c:formatCode>0.0</c:formatCode>
                <c:ptCount val="7"/>
                <c:pt idx="0">
                  <c:v>4.5</c:v>
                </c:pt>
                <c:pt idx="1">
                  <c:v>4.3</c:v>
                </c:pt>
                <c:pt idx="2">
                  <c:v>-0.9</c:v>
                </c:pt>
                <c:pt idx="3">
                  <c:v>5.5</c:v>
                </c:pt>
                <c:pt idx="4">
                  <c:v>2.5</c:v>
                </c:pt>
                <c:pt idx="5">
                  <c:v>2.5</c:v>
                </c:pt>
                <c:pt idx="6">
                  <c:v>3</c:v>
                </c:pt>
              </c:numCache>
            </c:numRef>
          </c:val>
          <c:extLst>
            <c:ext xmlns:c16="http://schemas.microsoft.com/office/drawing/2014/chart" uri="{C3380CC4-5D6E-409C-BE32-E72D297353CC}">
              <c16:uniqueId val="{00000000-7780-4FA7-B815-FD604727D5A0}"/>
            </c:ext>
          </c:extLst>
        </c:ser>
        <c:ser>
          <c:idx val="2"/>
          <c:order val="2"/>
          <c:tx>
            <c:strRef>
              <c:f>'fan chart srbija'!$H$4</c:f>
              <c:strCache>
                <c:ptCount val="1"/>
                <c:pt idx="0">
                  <c:v>90</c:v>
                </c:pt>
              </c:strCache>
            </c:strRef>
          </c:tx>
          <c:spPr>
            <a:solidFill>
              <a:srgbClr val="FFF1F1"/>
            </a:solidFill>
            <a:ln w="25400">
              <a:noFill/>
            </a:ln>
          </c:spPr>
          <c:cat>
            <c:strRef>
              <c:f>'fan chart srbija'!$E$7:$E$13</c:f>
              <c:strCache>
                <c:ptCount val="7"/>
                <c:pt idx="0">
                  <c:v>2018</c:v>
                </c:pt>
                <c:pt idx="1">
                  <c:v>2019</c:v>
                </c:pt>
                <c:pt idx="2">
                  <c:v>2020</c:v>
                </c:pt>
                <c:pt idx="3">
                  <c:v>2021</c:v>
                </c:pt>
                <c:pt idx="4">
                  <c:v>2022</c:v>
                </c:pt>
                <c:pt idx="5">
                  <c:v>2023</c:v>
                </c:pt>
                <c:pt idx="6">
                  <c:v>2024</c:v>
                </c:pt>
              </c:strCache>
            </c:strRef>
          </c:cat>
          <c:val>
            <c:numRef>
              <c:f>'fan chart srbija'!$H$7:$H$13</c:f>
              <c:numCache>
                <c:formatCode>0.0</c:formatCode>
                <c:ptCount val="7"/>
                <c:pt idx="0">
                  <c:v>0</c:v>
                </c:pt>
                <c:pt idx="1">
                  <c:v>0</c:v>
                </c:pt>
                <c:pt idx="2">
                  <c:v>0</c:v>
                </c:pt>
                <c:pt idx="3">
                  <c:v>0.2</c:v>
                </c:pt>
                <c:pt idx="4">
                  <c:v>0.5</c:v>
                </c:pt>
                <c:pt idx="5">
                  <c:v>0.5</c:v>
                </c:pt>
                <c:pt idx="6">
                  <c:v>0.5</c:v>
                </c:pt>
              </c:numCache>
            </c:numRef>
          </c:val>
          <c:extLst>
            <c:ext xmlns:c16="http://schemas.microsoft.com/office/drawing/2014/chart" uri="{C3380CC4-5D6E-409C-BE32-E72D297353CC}">
              <c16:uniqueId val="{00000001-7780-4FA7-B815-FD604727D5A0}"/>
            </c:ext>
          </c:extLst>
        </c:ser>
        <c:ser>
          <c:idx val="3"/>
          <c:order val="3"/>
          <c:tx>
            <c:strRef>
              <c:f>'fan chart srbija'!$I$4</c:f>
              <c:strCache>
                <c:ptCount val="1"/>
                <c:pt idx="0">
                  <c:v>80</c:v>
                </c:pt>
              </c:strCache>
            </c:strRef>
          </c:tx>
          <c:spPr>
            <a:solidFill>
              <a:srgbClr val="FFD5D5"/>
            </a:solidFill>
            <a:ln w="25400">
              <a:noFill/>
            </a:ln>
          </c:spPr>
          <c:cat>
            <c:strRef>
              <c:f>'fan chart srbija'!$E$7:$E$13</c:f>
              <c:strCache>
                <c:ptCount val="7"/>
                <c:pt idx="0">
                  <c:v>2018</c:v>
                </c:pt>
                <c:pt idx="1">
                  <c:v>2019</c:v>
                </c:pt>
                <c:pt idx="2">
                  <c:v>2020</c:v>
                </c:pt>
                <c:pt idx="3">
                  <c:v>2021</c:v>
                </c:pt>
                <c:pt idx="4">
                  <c:v>2022</c:v>
                </c:pt>
                <c:pt idx="5">
                  <c:v>2023</c:v>
                </c:pt>
                <c:pt idx="6">
                  <c:v>2024</c:v>
                </c:pt>
              </c:strCache>
            </c:strRef>
          </c:cat>
          <c:val>
            <c:numRef>
              <c:f>'fan chart srbija'!$I$7:$I$13</c:f>
              <c:numCache>
                <c:formatCode>0.0</c:formatCode>
                <c:ptCount val="7"/>
                <c:pt idx="0">
                  <c:v>0</c:v>
                </c:pt>
                <c:pt idx="1">
                  <c:v>0</c:v>
                </c:pt>
                <c:pt idx="2">
                  <c:v>0</c:v>
                </c:pt>
                <c:pt idx="3">
                  <c:v>0.2</c:v>
                </c:pt>
                <c:pt idx="4">
                  <c:v>0.5</c:v>
                </c:pt>
                <c:pt idx="5">
                  <c:v>0.5</c:v>
                </c:pt>
                <c:pt idx="6">
                  <c:v>0.5</c:v>
                </c:pt>
              </c:numCache>
            </c:numRef>
          </c:val>
          <c:extLst>
            <c:ext xmlns:c16="http://schemas.microsoft.com/office/drawing/2014/chart" uri="{C3380CC4-5D6E-409C-BE32-E72D297353CC}">
              <c16:uniqueId val="{00000002-7780-4FA7-B815-FD604727D5A0}"/>
            </c:ext>
          </c:extLst>
        </c:ser>
        <c:ser>
          <c:idx val="4"/>
          <c:order val="4"/>
          <c:tx>
            <c:strRef>
              <c:f>'fan chart srbija'!$J$4</c:f>
              <c:strCache>
                <c:ptCount val="1"/>
                <c:pt idx="0">
                  <c:v>70</c:v>
                </c:pt>
              </c:strCache>
            </c:strRef>
          </c:tx>
          <c:spPr>
            <a:solidFill>
              <a:srgbClr val="FFAFAF"/>
            </a:solidFill>
            <a:ln w="25400">
              <a:noFill/>
            </a:ln>
          </c:spPr>
          <c:cat>
            <c:strRef>
              <c:f>'fan chart srbija'!$E$7:$E$13</c:f>
              <c:strCache>
                <c:ptCount val="7"/>
                <c:pt idx="0">
                  <c:v>2018</c:v>
                </c:pt>
                <c:pt idx="1">
                  <c:v>2019</c:v>
                </c:pt>
                <c:pt idx="2">
                  <c:v>2020</c:v>
                </c:pt>
                <c:pt idx="3">
                  <c:v>2021</c:v>
                </c:pt>
                <c:pt idx="4">
                  <c:v>2022</c:v>
                </c:pt>
                <c:pt idx="5">
                  <c:v>2023</c:v>
                </c:pt>
                <c:pt idx="6">
                  <c:v>2024</c:v>
                </c:pt>
              </c:strCache>
            </c:strRef>
          </c:cat>
          <c:val>
            <c:numRef>
              <c:f>'fan chart srbija'!$J$7:$J$13</c:f>
              <c:numCache>
                <c:formatCode>0.0</c:formatCode>
                <c:ptCount val="7"/>
                <c:pt idx="0">
                  <c:v>0</c:v>
                </c:pt>
                <c:pt idx="1">
                  <c:v>0</c:v>
                </c:pt>
                <c:pt idx="2">
                  <c:v>0</c:v>
                </c:pt>
                <c:pt idx="3">
                  <c:v>0.2</c:v>
                </c:pt>
                <c:pt idx="4">
                  <c:v>0.2</c:v>
                </c:pt>
                <c:pt idx="5">
                  <c:v>0.5</c:v>
                </c:pt>
                <c:pt idx="6">
                  <c:v>0.4</c:v>
                </c:pt>
              </c:numCache>
            </c:numRef>
          </c:val>
          <c:extLst>
            <c:ext xmlns:c16="http://schemas.microsoft.com/office/drawing/2014/chart" uri="{C3380CC4-5D6E-409C-BE32-E72D297353CC}">
              <c16:uniqueId val="{00000003-7780-4FA7-B815-FD604727D5A0}"/>
            </c:ext>
          </c:extLst>
        </c:ser>
        <c:ser>
          <c:idx val="5"/>
          <c:order val="5"/>
          <c:tx>
            <c:strRef>
              <c:f>'fan chart srbija'!$K$4</c:f>
              <c:strCache>
                <c:ptCount val="1"/>
                <c:pt idx="0">
                  <c:v>60</c:v>
                </c:pt>
              </c:strCache>
            </c:strRef>
          </c:tx>
          <c:spPr>
            <a:solidFill>
              <a:srgbClr val="FF7D7D"/>
            </a:solidFill>
            <a:ln w="25400">
              <a:noFill/>
            </a:ln>
          </c:spPr>
          <c:cat>
            <c:strRef>
              <c:f>'fan chart srbija'!$E$7:$E$13</c:f>
              <c:strCache>
                <c:ptCount val="7"/>
                <c:pt idx="0">
                  <c:v>2018</c:v>
                </c:pt>
                <c:pt idx="1">
                  <c:v>2019</c:v>
                </c:pt>
                <c:pt idx="2">
                  <c:v>2020</c:v>
                </c:pt>
                <c:pt idx="3">
                  <c:v>2021</c:v>
                </c:pt>
                <c:pt idx="4">
                  <c:v>2022</c:v>
                </c:pt>
                <c:pt idx="5">
                  <c:v>2023</c:v>
                </c:pt>
                <c:pt idx="6">
                  <c:v>2024</c:v>
                </c:pt>
              </c:strCache>
            </c:strRef>
          </c:cat>
          <c:val>
            <c:numRef>
              <c:f>'fan chart srbija'!$K$7:$K$13</c:f>
              <c:numCache>
                <c:formatCode>0.0</c:formatCode>
                <c:ptCount val="7"/>
                <c:pt idx="0">
                  <c:v>0</c:v>
                </c:pt>
                <c:pt idx="1">
                  <c:v>0</c:v>
                </c:pt>
                <c:pt idx="2">
                  <c:v>0</c:v>
                </c:pt>
                <c:pt idx="3">
                  <c:v>0.2</c:v>
                </c:pt>
                <c:pt idx="4">
                  <c:v>0.2</c:v>
                </c:pt>
                <c:pt idx="5">
                  <c:v>0.2</c:v>
                </c:pt>
                <c:pt idx="6">
                  <c:v>0.1</c:v>
                </c:pt>
              </c:numCache>
            </c:numRef>
          </c:val>
          <c:extLst>
            <c:ext xmlns:c16="http://schemas.microsoft.com/office/drawing/2014/chart" uri="{C3380CC4-5D6E-409C-BE32-E72D297353CC}">
              <c16:uniqueId val="{00000004-7780-4FA7-B815-FD604727D5A0}"/>
            </c:ext>
          </c:extLst>
        </c:ser>
        <c:ser>
          <c:idx val="6"/>
          <c:order val="6"/>
          <c:tx>
            <c:strRef>
              <c:f>'fan chart srbija'!$L$4</c:f>
              <c:strCache>
                <c:ptCount val="1"/>
                <c:pt idx="0">
                  <c:v>50</c:v>
                </c:pt>
              </c:strCache>
            </c:strRef>
          </c:tx>
          <c:spPr>
            <a:solidFill>
              <a:srgbClr val="FF4747"/>
            </a:solidFill>
            <a:ln w="25400">
              <a:noFill/>
            </a:ln>
          </c:spPr>
          <c:cat>
            <c:strRef>
              <c:f>'fan chart srbija'!$E$7:$E$13</c:f>
              <c:strCache>
                <c:ptCount val="7"/>
                <c:pt idx="0">
                  <c:v>2018</c:v>
                </c:pt>
                <c:pt idx="1">
                  <c:v>2019</c:v>
                </c:pt>
                <c:pt idx="2">
                  <c:v>2020</c:v>
                </c:pt>
                <c:pt idx="3">
                  <c:v>2021</c:v>
                </c:pt>
                <c:pt idx="4">
                  <c:v>2022</c:v>
                </c:pt>
                <c:pt idx="5">
                  <c:v>2023</c:v>
                </c:pt>
                <c:pt idx="6">
                  <c:v>2024</c:v>
                </c:pt>
              </c:strCache>
            </c:strRef>
          </c:cat>
          <c:val>
            <c:numRef>
              <c:f>'fan chart srbija'!$L$7:$L$13</c:f>
              <c:numCache>
                <c:formatCode>0.0</c:formatCode>
                <c:ptCount val="7"/>
                <c:pt idx="0">
                  <c:v>0</c:v>
                </c:pt>
                <c:pt idx="1">
                  <c:v>0</c:v>
                </c:pt>
                <c:pt idx="2">
                  <c:v>0</c:v>
                </c:pt>
                <c:pt idx="3">
                  <c:v>0.2</c:v>
                </c:pt>
                <c:pt idx="4">
                  <c:v>0.1</c:v>
                </c:pt>
                <c:pt idx="5">
                  <c:v>0.1</c:v>
                </c:pt>
                <c:pt idx="6">
                  <c:v>0.1</c:v>
                </c:pt>
              </c:numCache>
            </c:numRef>
          </c:val>
          <c:extLst>
            <c:ext xmlns:c16="http://schemas.microsoft.com/office/drawing/2014/chart" uri="{C3380CC4-5D6E-409C-BE32-E72D297353CC}">
              <c16:uniqueId val="{00000005-7780-4FA7-B815-FD604727D5A0}"/>
            </c:ext>
          </c:extLst>
        </c:ser>
        <c:ser>
          <c:idx val="7"/>
          <c:order val="7"/>
          <c:tx>
            <c:strRef>
              <c:f>'fan chart srbija'!$M$4</c:f>
              <c:strCache>
                <c:ptCount val="1"/>
                <c:pt idx="0">
                  <c:v>40</c:v>
                </c:pt>
              </c:strCache>
            </c:strRef>
          </c:tx>
          <c:spPr>
            <a:solidFill>
              <a:srgbClr val="C00000"/>
            </a:solidFill>
            <a:ln w="25400">
              <a:noFill/>
            </a:ln>
          </c:spPr>
          <c:cat>
            <c:strRef>
              <c:f>'fan chart srbija'!$E$7:$E$13</c:f>
              <c:strCache>
                <c:ptCount val="7"/>
                <c:pt idx="0">
                  <c:v>2018</c:v>
                </c:pt>
                <c:pt idx="1">
                  <c:v>2019</c:v>
                </c:pt>
                <c:pt idx="2">
                  <c:v>2020</c:v>
                </c:pt>
                <c:pt idx="3">
                  <c:v>2021</c:v>
                </c:pt>
                <c:pt idx="4">
                  <c:v>2022</c:v>
                </c:pt>
                <c:pt idx="5">
                  <c:v>2023</c:v>
                </c:pt>
                <c:pt idx="6">
                  <c:v>2024</c:v>
                </c:pt>
              </c:strCache>
            </c:strRef>
          </c:cat>
          <c:val>
            <c:numRef>
              <c:f>'fan chart srbija'!$M$7:$M$13</c:f>
              <c:numCache>
                <c:formatCode>0.0</c:formatCode>
                <c:ptCount val="7"/>
                <c:pt idx="0">
                  <c:v>0</c:v>
                </c:pt>
                <c:pt idx="1">
                  <c:v>0</c:v>
                </c:pt>
                <c:pt idx="2">
                  <c:v>0</c:v>
                </c:pt>
                <c:pt idx="3">
                  <c:v>0.2</c:v>
                </c:pt>
                <c:pt idx="4">
                  <c:v>0.1</c:v>
                </c:pt>
                <c:pt idx="5">
                  <c:v>0.1</c:v>
                </c:pt>
                <c:pt idx="6">
                  <c:v>0.1</c:v>
                </c:pt>
              </c:numCache>
            </c:numRef>
          </c:val>
          <c:extLst>
            <c:ext xmlns:c16="http://schemas.microsoft.com/office/drawing/2014/chart" uri="{C3380CC4-5D6E-409C-BE32-E72D297353CC}">
              <c16:uniqueId val="{00000006-7780-4FA7-B815-FD604727D5A0}"/>
            </c:ext>
          </c:extLst>
        </c:ser>
        <c:ser>
          <c:idx val="8"/>
          <c:order val="8"/>
          <c:tx>
            <c:strRef>
              <c:f>'fan chart srbija'!$N$4</c:f>
              <c:strCache>
                <c:ptCount val="1"/>
                <c:pt idx="0">
                  <c:v>30</c:v>
                </c:pt>
              </c:strCache>
            </c:strRef>
          </c:tx>
          <c:spPr>
            <a:solidFill>
              <a:srgbClr val="740000"/>
            </a:solidFill>
            <a:ln w="25400">
              <a:noFill/>
            </a:ln>
          </c:spPr>
          <c:cat>
            <c:strRef>
              <c:f>'fan chart srbija'!$E$7:$E$13</c:f>
              <c:strCache>
                <c:ptCount val="7"/>
                <c:pt idx="0">
                  <c:v>2018</c:v>
                </c:pt>
                <c:pt idx="1">
                  <c:v>2019</c:v>
                </c:pt>
                <c:pt idx="2">
                  <c:v>2020</c:v>
                </c:pt>
                <c:pt idx="3">
                  <c:v>2021</c:v>
                </c:pt>
                <c:pt idx="4">
                  <c:v>2022</c:v>
                </c:pt>
                <c:pt idx="5">
                  <c:v>2023</c:v>
                </c:pt>
                <c:pt idx="6">
                  <c:v>2024</c:v>
                </c:pt>
              </c:strCache>
            </c:strRef>
          </c:cat>
          <c:val>
            <c:numRef>
              <c:f>'fan chart srbija'!$N$7:$N$13</c:f>
              <c:numCache>
                <c:formatCode>0.0</c:formatCode>
                <c:ptCount val="7"/>
                <c:pt idx="0">
                  <c:v>0</c:v>
                </c:pt>
                <c:pt idx="1">
                  <c:v>0</c:v>
                </c:pt>
                <c:pt idx="2">
                  <c:v>0</c:v>
                </c:pt>
                <c:pt idx="3">
                  <c:v>0.1</c:v>
                </c:pt>
                <c:pt idx="4">
                  <c:v>0.14755070574747364</c:v>
                </c:pt>
                <c:pt idx="5">
                  <c:v>0.14755070574747364</c:v>
                </c:pt>
                <c:pt idx="6">
                  <c:v>0.1</c:v>
                </c:pt>
              </c:numCache>
            </c:numRef>
          </c:val>
          <c:extLst>
            <c:ext xmlns:c16="http://schemas.microsoft.com/office/drawing/2014/chart" uri="{C3380CC4-5D6E-409C-BE32-E72D297353CC}">
              <c16:uniqueId val="{00000007-7780-4FA7-B815-FD604727D5A0}"/>
            </c:ext>
          </c:extLst>
        </c:ser>
        <c:ser>
          <c:idx val="9"/>
          <c:order val="9"/>
          <c:tx>
            <c:strRef>
              <c:f>'fan chart srbija'!$O$4</c:f>
              <c:strCache>
                <c:ptCount val="1"/>
                <c:pt idx="0">
                  <c:v>20</c:v>
                </c:pt>
              </c:strCache>
            </c:strRef>
          </c:tx>
          <c:spPr>
            <a:solidFill>
              <a:srgbClr val="460000"/>
            </a:solidFill>
            <a:ln w="25400">
              <a:noFill/>
            </a:ln>
          </c:spPr>
          <c:cat>
            <c:strRef>
              <c:f>'fan chart srbija'!$E$7:$E$13</c:f>
              <c:strCache>
                <c:ptCount val="7"/>
                <c:pt idx="0">
                  <c:v>2018</c:v>
                </c:pt>
                <c:pt idx="1">
                  <c:v>2019</c:v>
                </c:pt>
                <c:pt idx="2">
                  <c:v>2020</c:v>
                </c:pt>
                <c:pt idx="3">
                  <c:v>2021</c:v>
                </c:pt>
                <c:pt idx="4">
                  <c:v>2022</c:v>
                </c:pt>
                <c:pt idx="5">
                  <c:v>2023</c:v>
                </c:pt>
                <c:pt idx="6">
                  <c:v>2024</c:v>
                </c:pt>
              </c:strCache>
            </c:strRef>
          </c:cat>
          <c:val>
            <c:numRef>
              <c:f>'fan chart srbija'!$O$7:$O$13</c:f>
              <c:numCache>
                <c:formatCode>0.0</c:formatCode>
                <c:ptCount val="7"/>
                <c:pt idx="0">
                  <c:v>0</c:v>
                </c:pt>
                <c:pt idx="1">
                  <c:v>0</c:v>
                </c:pt>
                <c:pt idx="2">
                  <c:v>0</c:v>
                </c:pt>
                <c:pt idx="3">
                  <c:v>0.1</c:v>
                </c:pt>
                <c:pt idx="4">
                  <c:v>0.14275701540108665</c:v>
                </c:pt>
                <c:pt idx="5">
                  <c:v>0.14275701540108665</c:v>
                </c:pt>
                <c:pt idx="6">
                  <c:v>0.1</c:v>
                </c:pt>
              </c:numCache>
            </c:numRef>
          </c:val>
          <c:extLst>
            <c:ext xmlns:c16="http://schemas.microsoft.com/office/drawing/2014/chart" uri="{C3380CC4-5D6E-409C-BE32-E72D297353CC}">
              <c16:uniqueId val="{00000008-7780-4FA7-B815-FD604727D5A0}"/>
            </c:ext>
          </c:extLst>
        </c:ser>
        <c:ser>
          <c:idx val="10"/>
          <c:order val="10"/>
          <c:tx>
            <c:strRef>
              <c:f>'fan chart srbija'!$P$4</c:f>
              <c:strCache>
                <c:ptCount val="1"/>
                <c:pt idx="0">
                  <c:v>10</c:v>
                </c:pt>
              </c:strCache>
            </c:strRef>
          </c:tx>
          <c:spPr>
            <a:solidFill>
              <a:srgbClr val="140000"/>
            </a:solidFill>
            <a:ln w="25400">
              <a:noFill/>
            </a:ln>
          </c:spPr>
          <c:cat>
            <c:strRef>
              <c:f>'fan chart srbija'!$E$7:$E$13</c:f>
              <c:strCache>
                <c:ptCount val="7"/>
                <c:pt idx="0">
                  <c:v>2018</c:v>
                </c:pt>
                <c:pt idx="1">
                  <c:v>2019</c:v>
                </c:pt>
                <c:pt idx="2">
                  <c:v>2020</c:v>
                </c:pt>
                <c:pt idx="3">
                  <c:v>2021</c:v>
                </c:pt>
                <c:pt idx="4">
                  <c:v>2022</c:v>
                </c:pt>
                <c:pt idx="5">
                  <c:v>2023</c:v>
                </c:pt>
                <c:pt idx="6">
                  <c:v>2024</c:v>
                </c:pt>
              </c:strCache>
            </c:strRef>
          </c:cat>
          <c:val>
            <c:numRef>
              <c:f>'fan chart srbija'!$P$7:$P$13</c:f>
              <c:numCache>
                <c:formatCode>0.0</c:formatCode>
                <c:ptCount val="7"/>
                <c:pt idx="0">
                  <c:v>0</c:v>
                </c:pt>
                <c:pt idx="1">
                  <c:v>0</c:v>
                </c:pt>
                <c:pt idx="2">
                  <c:v>0</c:v>
                </c:pt>
                <c:pt idx="3">
                  <c:v>0.1</c:v>
                </c:pt>
                <c:pt idx="4">
                  <c:v>0.14049365685606263</c:v>
                </c:pt>
                <c:pt idx="5">
                  <c:v>0.14049365685606263</c:v>
                </c:pt>
                <c:pt idx="6">
                  <c:v>0.1</c:v>
                </c:pt>
              </c:numCache>
            </c:numRef>
          </c:val>
          <c:extLst>
            <c:ext xmlns:c16="http://schemas.microsoft.com/office/drawing/2014/chart" uri="{C3380CC4-5D6E-409C-BE32-E72D297353CC}">
              <c16:uniqueId val="{00000009-7780-4FA7-B815-FD604727D5A0}"/>
            </c:ext>
          </c:extLst>
        </c:ser>
        <c:ser>
          <c:idx val="11"/>
          <c:order val="11"/>
          <c:tx>
            <c:strRef>
              <c:f>'fan chart srbija'!$Q$4</c:f>
              <c:strCache>
                <c:ptCount val="1"/>
                <c:pt idx="0">
                  <c:v>10</c:v>
                </c:pt>
              </c:strCache>
            </c:strRef>
          </c:tx>
          <c:spPr>
            <a:solidFill>
              <a:srgbClr val="140000"/>
            </a:solidFill>
            <a:ln w="25400">
              <a:noFill/>
            </a:ln>
          </c:spPr>
          <c:cat>
            <c:strRef>
              <c:f>'fan chart srbija'!$E$7:$E$13</c:f>
              <c:strCache>
                <c:ptCount val="7"/>
                <c:pt idx="0">
                  <c:v>2018</c:v>
                </c:pt>
                <c:pt idx="1">
                  <c:v>2019</c:v>
                </c:pt>
                <c:pt idx="2">
                  <c:v>2020</c:v>
                </c:pt>
                <c:pt idx="3">
                  <c:v>2021</c:v>
                </c:pt>
                <c:pt idx="4">
                  <c:v>2022</c:v>
                </c:pt>
                <c:pt idx="5">
                  <c:v>2023</c:v>
                </c:pt>
                <c:pt idx="6">
                  <c:v>2024</c:v>
                </c:pt>
              </c:strCache>
            </c:strRef>
          </c:cat>
          <c:val>
            <c:numRef>
              <c:f>'fan chart srbija'!$Q$7:$Q$13</c:f>
              <c:numCache>
                <c:formatCode>0.0</c:formatCode>
                <c:ptCount val="7"/>
                <c:pt idx="0">
                  <c:v>0</c:v>
                </c:pt>
                <c:pt idx="1">
                  <c:v>0</c:v>
                </c:pt>
                <c:pt idx="2">
                  <c:v>0</c:v>
                </c:pt>
                <c:pt idx="3">
                  <c:v>0</c:v>
                </c:pt>
                <c:pt idx="4">
                  <c:v>0.14049365685606263</c:v>
                </c:pt>
                <c:pt idx="5">
                  <c:v>0.1</c:v>
                </c:pt>
                <c:pt idx="6">
                  <c:v>0.1</c:v>
                </c:pt>
              </c:numCache>
            </c:numRef>
          </c:val>
          <c:extLst>
            <c:ext xmlns:c16="http://schemas.microsoft.com/office/drawing/2014/chart" uri="{C3380CC4-5D6E-409C-BE32-E72D297353CC}">
              <c16:uniqueId val="{0000000A-7780-4FA7-B815-FD604727D5A0}"/>
            </c:ext>
          </c:extLst>
        </c:ser>
        <c:ser>
          <c:idx val="12"/>
          <c:order val="12"/>
          <c:tx>
            <c:strRef>
              <c:f>'fan chart srbija'!$R$4</c:f>
              <c:strCache>
                <c:ptCount val="1"/>
                <c:pt idx="0">
                  <c:v>20</c:v>
                </c:pt>
              </c:strCache>
            </c:strRef>
          </c:tx>
          <c:spPr>
            <a:solidFill>
              <a:srgbClr val="460000"/>
            </a:solidFill>
            <a:ln w="25400">
              <a:noFill/>
            </a:ln>
          </c:spPr>
          <c:cat>
            <c:strRef>
              <c:f>'fan chart srbija'!$E$7:$E$13</c:f>
              <c:strCache>
                <c:ptCount val="7"/>
                <c:pt idx="0">
                  <c:v>2018</c:v>
                </c:pt>
                <c:pt idx="1">
                  <c:v>2019</c:v>
                </c:pt>
                <c:pt idx="2">
                  <c:v>2020</c:v>
                </c:pt>
                <c:pt idx="3">
                  <c:v>2021</c:v>
                </c:pt>
                <c:pt idx="4">
                  <c:v>2022</c:v>
                </c:pt>
                <c:pt idx="5">
                  <c:v>2023</c:v>
                </c:pt>
                <c:pt idx="6">
                  <c:v>2024</c:v>
                </c:pt>
              </c:strCache>
            </c:strRef>
          </c:cat>
          <c:val>
            <c:numRef>
              <c:f>'fan chart srbija'!$R$7:$R$13</c:f>
              <c:numCache>
                <c:formatCode>0.0</c:formatCode>
                <c:ptCount val="7"/>
                <c:pt idx="0">
                  <c:v>0</c:v>
                </c:pt>
                <c:pt idx="1">
                  <c:v>0</c:v>
                </c:pt>
                <c:pt idx="2">
                  <c:v>0</c:v>
                </c:pt>
                <c:pt idx="3">
                  <c:v>0</c:v>
                </c:pt>
                <c:pt idx="4">
                  <c:v>0.14049365685606263</c:v>
                </c:pt>
                <c:pt idx="5">
                  <c:v>0.1</c:v>
                </c:pt>
                <c:pt idx="6">
                  <c:v>0.1</c:v>
                </c:pt>
              </c:numCache>
            </c:numRef>
          </c:val>
          <c:extLst>
            <c:ext xmlns:c16="http://schemas.microsoft.com/office/drawing/2014/chart" uri="{C3380CC4-5D6E-409C-BE32-E72D297353CC}">
              <c16:uniqueId val="{0000000B-7780-4FA7-B815-FD604727D5A0}"/>
            </c:ext>
          </c:extLst>
        </c:ser>
        <c:ser>
          <c:idx val="13"/>
          <c:order val="13"/>
          <c:tx>
            <c:strRef>
              <c:f>'fan chart srbija'!$S$4</c:f>
              <c:strCache>
                <c:ptCount val="1"/>
                <c:pt idx="0">
                  <c:v>30</c:v>
                </c:pt>
              </c:strCache>
            </c:strRef>
          </c:tx>
          <c:spPr>
            <a:solidFill>
              <a:srgbClr val="740000"/>
            </a:solidFill>
            <a:ln w="25400">
              <a:noFill/>
            </a:ln>
          </c:spPr>
          <c:cat>
            <c:strRef>
              <c:f>'fan chart srbija'!$E$7:$E$13</c:f>
              <c:strCache>
                <c:ptCount val="7"/>
                <c:pt idx="0">
                  <c:v>2018</c:v>
                </c:pt>
                <c:pt idx="1">
                  <c:v>2019</c:v>
                </c:pt>
                <c:pt idx="2">
                  <c:v>2020</c:v>
                </c:pt>
                <c:pt idx="3">
                  <c:v>2021</c:v>
                </c:pt>
                <c:pt idx="4">
                  <c:v>2022</c:v>
                </c:pt>
                <c:pt idx="5">
                  <c:v>2023</c:v>
                </c:pt>
                <c:pt idx="6">
                  <c:v>2024</c:v>
                </c:pt>
              </c:strCache>
            </c:strRef>
          </c:cat>
          <c:val>
            <c:numRef>
              <c:f>'fan chart srbija'!$S$7:$S$13</c:f>
              <c:numCache>
                <c:formatCode>0.0</c:formatCode>
                <c:ptCount val="7"/>
                <c:pt idx="0">
                  <c:v>0</c:v>
                </c:pt>
                <c:pt idx="1">
                  <c:v>0</c:v>
                </c:pt>
                <c:pt idx="2">
                  <c:v>0</c:v>
                </c:pt>
                <c:pt idx="3">
                  <c:v>0</c:v>
                </c:pt>
                <c:pt idx="4">
                  <c:v>0.14049365685606263</c:v>
                </c:pt>
                <c:pt idx="5">
                  <c:v>0.1</c:v>
                </c:pt>
                <c:pt idx="6">
                  <c:v>0.1</c:v>
                </c:pt>
              </c:numCache>
            </c:numRef>
          </c:val>
          <c:extLst>
            <c:ext xmlns:c16="http://schemas.microsoft.com/office/drawing/2014/chart" uri="{C3380CC4-5D6E-409C-BE32-E72D297353CC}">
              <c16:uniqueId val="{0000000C-7780-4FA7-B815-FD604727D5A0}"/>
            </c:ext>
          </c:extLst>
        </c:ser>
        <c:ser>
          <c:idx val="14"/>
          <c:order val="14"/>
          <c:tx>
            <c:strRef>
              <c:f>'fan chart srbija'!$T$4</c:f>
              <c:strCache>
                <c:ptCount val="1"/>
                <c:pt idx="0">
                  <c:v>40</c:v>
                </c:pt>
              </c:strCache>
            </c:strRef>
          </c:tx>
          <c:spPr>
            <a:solidFill>
              <a:srgbClr val="C00000"/>
            </a:solidFill>
            <a:ln w="25400">
              <a:noFill/>
            </a:ln>
          </c:spPr>
          <c:cat>
            <c:strRef>
              <c:f>'fan chart srbija'!$E$7:$E$13</c:f>
              <c:strCache>
                <c:ptCount val="7"/>
                <c:pt idx="0">
                  <c:v>2018</c:v>
                </c:pt>
                <c:pt idx="1">
                  <c:v>2019</c:v>
                </c:pt>
                <c:pt idx="2">
                  <c:v>2020</c:v>
                </c:pt>
                <c:pt idx="3">
                  <c:v>2021</c:v>
                </c:pt>
                <c:pt idx="4">
                  <c:v>2022</c:v>
                </c:pt>
                <c:pt idx="5">
                  <c:v>2023</c:v>
                </c:pt>
                <c:pt idx="6">
                  <c:v>2024</c:v>
                </c:pt>
              </c:strCache>
            </c:strRef>
          </c:cat>
          <c:val>
            <c:numRef>
              <c:f>'fan chart srbija'!$T$7:$T$13</c:f>
              <c:numCache>
                <c:formatCode>0.0</c:formatCode>
                <c:ptCount val="7"/>
                <c:pt idx="0">
                  <c:v>0</c:v>
                </c:pt>
                <c:pt idx="1">
                  <c:v>0</c:v>
                </c:pt>
                <c:pt idx="2">
                  <c:v>0</c:v>
                </c:pt>
                <c:pt idx="3">
                  <c:v>0</c:v>
                </c:pt>
                <c:pt idx="4">
                  <c:v>0.1</c:v>
                </c:pt>
                <c:pt idx="5">
                  <c:v>0.1</c:v>
                </c:pt>
                <c:pt idx="6">
                  <c:v>0.1</c:v>
                </c:pt>
              </c:numCache>
            </c:numRef>
          </c:val>
          <c:extLst>
            <c:ext xmlns:c16="http://schemas.microsoft.com/office/drawing/2014/chart" uri="{C3380CC4-5D6E-409C-BE32-E72D297353CC}">
              <c16:uniqueId val="{0000000D-7780-4FA7-B815-FD604727D5A0}"/>
            </c:ext>
          </c:extLst>
        </c:ser>
        <c:ser>
          <c:idx val="15"/>
          <c:order val="15"/>
          <c:tx>
            <c:strRef>
              <c:f>'fan chart srbija'!$U$4</c:f>
              <c:strCache>
                <c:ptCount val="1"/>
                <c:pt idx="0">
                  <c:v>50</c:v>
                </c:pt>
              </c:strCache>
            </c:strRef>
          </c:tx>
          <c:spPr>
            <a:solidFill>
              <a:srgbClr val="FF4747"/>
            </a:solidFill>
            <a:ln w="25400">
              <a:noFill/>
            </a:ln>
          </c:spPr>
          <c:cat>
            <c:strRef>
              <c:f>'fan chart srbija'!$E$7:$E$13</c:f>
              <c:strCache>
                <c:ptCount val="7"/>
                <c:pt idx="0">
                  <c:v>2018</c:v>
                </c:pt>
                <c:pt idx="1">
                  <c:v>2019</c:v>
                </c:pt>
                <c:pt idx="2">
                  <c:v>2020</c:v>
                </c:pt>
                <c:pt idx="3">
                  <c:v>2021</c:v>
                </c:pt>
                <c:pt idx="4">
                  <c:v>2022</c:v>
                </c:pt>
                <c:pt idx="5">
                  <c:v>2023</c:v>
                </c:pt>
                <c:pt idx="6">
                  <c:v>2024</c:v>
                </c:pt>
              </c:strCache>
            </c:strRef>
          </c:cat>
          <c:val>
            <c:numRef>
              <c:f>'fan chart srbija'!$U$7:$U$13</c:f>
              <c:numCache>
                <c:formatCode>0.0</c:formatCode>
                <c:ptCount val="7"/>
                <c:pt idx="0">
                  <c:v>0</c:v>
                </c:pt>
                <c:pt idx="1">
                  <c:v>0</c:v>
                </c:pt>
                <c:pt idx="2">
                  <c:v>0</c:v>
                </c:pt>
                <c:pt idx="3">
                  <c:v>0.2</c:v>
                </c:pt>
                <c:pt idx="4">
                  <c:v>0.2</c:v>
                </c:pt>
                <c:pt idx="5">
                  <c:v>0.1</c:v>
                </c:pt>
                <c:pt idx="6">
                  <c:v>0.1</c:v>
                </c:pt>
              </c:numCache>
            </c:numRef>
          </c:val>
          <c:extLst>
            <c:ext xmlns:c16="http://schemas.microsoft.com/office/drawing/2014/chart" uri="{C3380CC4-5D6E-409C-BE32-E72D297353CC}">
              <c16:uniqueId val="{0000000E-7780-4FA7-B815-FD604727D5A0}"/>
            </c:ext>
          </c:extLst>
        </c:ser>
        <c:ser>
          <c:idx val="16"/>
          <c:order val="16"/>
          <c:tx>
            <c:strRef>
              <c:f>'fan chart srbija'!$V$4</c:f>
              <c:strCache>
                <c:ptCount val="1"/>
                <c:pt idx="0">
                  <c:v>60</c:v>
                </c:pt>
              </c:strCache>
            </c:strRef>
          </c:tx>
          <c:spPr>
            <a:solidFill>
              <a:srgbClr val="FF7D7D"/>
            </a:solidFill>
            <a:ln w="25400">
              <a:noFill/>
            </a:ln>
          </c:spPr>
          <c:cat>
            <c:strRef>
              <c:f>'fan chart srbija'!$E$7:$E$13</c:f>
              <c:strCache>
                <c:ptCount val="7"/>
                <c:pt idx="0">
                  <c:v>2018</c:v>
                </c:pt>
                <c:pt idx="1">
                  <c:v>2019</c:v>
                </c:pt>
                <c:pt idx="2">
                  <c:v>2020</c:v>
                </c:pt>
                <c:pt idx="3">
                  <c:v>2021</c:v>
                </c:pt>
                <c:pt idx="4">
                  <c:v>2022</c:v>
                </c:pt>
                <c:pt idx="5">
                  <c:v>2023</c:v>
                </c:pt>
                <c:pt idx="6">
                  <c:v>2024</c:v>
                </c:pt>
              </c:strCache>
            </c:strRef>
          </c:cat>
          <c:val>
            <c:numRef>
              <c:f>'fan chart srbija'!$V$7:$V$13</c:f>
              <c:numCache>
                <c:formatCode>0.0</c:formatCode>
                <c:ptCount val="7"/>
                <c:pt idx="0">
                  <c:v>0</c:v>
                </c:pt>
                <c:pt idx="1">
                  <c:v>0</c:v>
                </c:pt>
                <c:pt idx="2">
                  <c:v>0</c:v>
                </c:pt>
                <c:pt idx="3">
                  <c:v>0.2</c:v>
                </c:pt>
                <c:pt idx="4">
                  <c:v>0.2</c:v>
                </c:pt>
                <c:pt idx="5">
                  <c:v>0.1</c:v>
                </c:pt>
                <c:pt idx="6">
                  <c:v>0.1</c:v>
                </c:pt>
              </c:numCache>
            </c:numRef>
          </c:val>
          <c:extLst>
            <c:ext xmlns:c16="http://schemas.microsoft.com/office/drawing/2014/chart" uri="{C3380CC4-5D6E-409C-BE32-E72D297353CC}">
              <c16:uniqueId val="{0000000F-7780-4FA7-B815-FD604727D5A0}"/>
            </c:ext>
          </c:extLst>
        </c:ser>
        <c:ser>
          <c:idx val="17"/>
          <c:order val="17"/>
          <c:tx>
            <c:strRef>
              <c:f>'fan chart srbija'!$W$4</c:f>
              <c:strCache>
                <c:ptCount val="1"/>
                <c:pt idx="0">
                  <c:v>70</c:v>
                </c:pt>
              </c:strCache>
            </c:strRef>
          </c:tx>
          <c:spPr>
            <a:solidFill>
              <a:srgbClr val="FFAFAF"/>
            </a:solidFill>
            <a:ln w="25400">
              <a:noFill/>
            </a:ln>
          </c:spPr>
          <c:cat>
            <c:strRef>
              <c:f>'fan chart srbija'!$E$7:$E$13</c:f>
              <c:strCache>
                <c:ptCount val="7"/>
                <c:pt idx="0">
                  <c:v>2018</c:v>
                </c:pt>
                <c:pt idx="1">
                  <c:v>2019</c:v>
                </c:pt>
                <c:pt idx="2">
                  <c:v>2020</c:v>
                </c:pt>
                <c:pt idx="3">
                  <c:v>2021</c:v>
                </c:pt>
                <c:pt idx="4">
                  <c:v>2022</c:v>
                </c:pt>
                <c:pt idx="5">
                  <c:v>2023</c:v>
                </c:pt>
                <c:pt idx="6">
                  <c:v>2024</c:v>
                </c:pt>
              </c:strCache>
            </c:strRef>
          </c:cat>
          <c:val>
            <c:numRef>
              <c:f>'fan chart srbija'!$W$7:$W$13</c:f>
              <c:numCache>
                <c:formatCode>0.0</c:formatCode>
                <c:ptCount val="7"/>
                <c:pt idx="0">
                  <c:v>0</c:v>
                </c:pt>
                <c:pt idx="1">
                  <c:v>0</c:v>
                </c:pt>
                <c:pt idx="2">
                  <c:v>0</c:v>
                </c:pt>
                <c:pt idx="3">
                  <c:v>0.2</c:v>
                </c:pt>
                <c:pt idx="4">
                  <c:v>0.2</c:v>
                </c:pt>
                <c:pt idx="5">
                  <c:v>0.1</c:v>
                </c:pt>
                <c:pt idx="6">
                  <c:v>0.4</c:v>
                </c:pt>
              </c:numCache>
            </c:numRef>
          </c:val>
          <c:extLst>
            <c:ext xmlns:c16="http://schemas.microsoft.com/office/drawing/2014/chart" uri="{C3380CC4-5D6E-409C-BE32-E72D297353CC}">
              <c16:uniqueId val="{00000010-7780-4FA7-B815-FD604727D5A0}"/>
            </c:ext>
          </c:extLst>
        </c:ser>
        <c:ser>
          <c:idx val="18"/>
          <c:order val="18"/>
          <c:tx>
            <c:strRef>
              <c:f>'fan chart srbija'!$X$4</c:f>
              <c:strCache>
                <c:ptCount val="1"/>
                <c:pt idx="0">
                  <c:v>80</c:v>
                </c:pt>
              </c:strCache>
            </c:strRef>
          </c:tx>
          <c:spPr>
            <a:solidFill>
              <a:srgbClr val="FFD5D5"/>
            </a:solidFill>
            <a:ln w="25400">
              <a:noFill/>
            </a:ln>
          </c:spPr>
          <c:cat>
            <c:strRef>
              <c:f>'fan chart srbija'!$E$7:$E$13</c:f>
              <c:strCache>
                <c:ptCount val="7"/>
                <c:pt idx="0">
                  <c:v>2018</c:v>
                </c:pt>
                <c:pt idx="1">
                  <c:v>2019</c:v>
                </c:pt>
                <c:pt idx="2">
                  <c:v>2020</c:v>
                </c:pt>
                <c:pt idx="3">
                  <c:v>2021</c:v>
                </c:pt>
                <c:pt idx="4">
                  <c:v>2022</c:v>
                </c:pt>
                <c:pt idx="5">
                  <c:v>2023</c:v>
                </c:pt>
                <c:pt idx="6">
                  <c:v>2024</c:v>
                </c:pt>
              </c:strCache>
            </c:strRef>
          </c:cat>
          <c:val>
            <c:numRef>
              <c:f>'fan chart srbija'!$X$7:$X$13</c:f>
              <c:numCache>
                <c:formatCode>0.0</c:formatCode>
                <c:ptCount val="7"/>
                <c:pt idx="0">
                  <c:v>0</c:v>
                </c:pt>
                <c:pt idx="1">
                  <c:v>0</c:v>
                </c:pt>
                <c:pt idx="2">
                  <c:v>0</c:v>
                </c:pt>
                <c:pt idx="3">
                  <c:v>0.2</c:v>
                </c:pt>
                <c:pt idx="4">
                  <c:v>0.5</c:v>
                </c:pt>
                <c:pt idx="5">
                  <c:v>0.5</c:v>
                </c:pt>
                <c:pt idx="6">
                  <c:v>0.5</c:v>
                </c:pt>
              </c:numCache>
            </c:numRef>
          </c:val>
          <c:extLst>
            <c:ext xmlns:c16="http://schemas.microsoft.com/office/drawing/2014/chart" uri="{C3380CC4-5D6E-409C-BE32-E72D297353CC}">
              <c16:uniqueId val="{00000011-7780-4FA7-B815-FD604727D5A0}"/>
            </c:ext>
          </c:extLst>
        </c:ser>
        <c:ser>
          <c:idx val="19"/>
          <c:order val="19"/>
          <c:tx>
            <c:strRef>
              <c:f>'fan chart srbija'!$Y$4</c:f>
              <c:strCache>
                <c:ptCount val="1"/>
                <c:pt idx="0">
                  <c:v>90</c:v>
                </c:pt>
              </c:strCache>
            </c:strRef>
          </c:tx>
          <c:spPr>
            <a:solidFill>
              <a:srgbClr val="FFF1F1"/>
            </a:solidFill>
            <a:ln w="25400">
              <a:noFill/>
            </a:ln>
          </c:spPr>
          <c:cat>
            <c:strRef>
              <c:f>'fan chart srbija'!$E$7:$E$13</c:f>
              <c:strCache>
                <c:ptCount val="7"/>
                <c:pt idx="0">
                  <c:v>2018</c:v>
                </c:pt>
                <c:pt idx="1">
                  <c:v>2019</c:v>
                </c:pt>
                <c:pt idx="2">
                  <c:v>2020</c:v>
                </c:pt>
                <c:pt idx="3">
                  <c:v>2021</c:v>
                </c:pt>
                <c:pt idx="4">
                  <c:v>2022</c:v>
                </c:pt>
                <c:pt idx="5">
                  <c:v>2023</c:v>
                </c:pt>
                <c:pt idx="6">
                  <c:v>2024</c:v>
                </c:pt>
              </c:strCache>
            </c:strRef>
          </c:cat>
          <c:val>
            <c:numRef>
              <c:f>'fan chart srbija'!$Y$7:$Y$13</c:f>
              <c:numCache>
                <c:formatCode>0.0</c:formatCode>
                <c:ptCount val="7"/>
                <c:pt idx="0">
                  <c:v>0</c:v>
                </c:pt>
                <c:pt idx="1">
                  <c:v>0</c:v>
                </c:pt>
                <c:pt idx="2">
                  <c:v>0</c:v>
                </c:pt>
                <c:pt idx="3">
                  <c:v>0.2</c:v>
                </c:pt>
                <c:pt idx="4">
                  <c:v>0.5</c:v>
                </c:pt>
                <c:pt idx="5">
                  <c:v>0.5</c:v>
                </c:pt>
                <c:pt idx="6">
                  <c:v>0.5</c:v>
                </c:pt>
              </c:numCache>
            </c:numRef>
          </c:val>
          <c:extLst>
            <c:ext xmlns:c16="http://schemas.microsoft.com/office/drawing/2014/chart" uri="{C3380CC4-5D6E-409C-BE32-E72D297353CC}">
              <c16:uniqueId val="{00000012-7780-4FA7-B815-FD604727D5A0}"/>
            </c:ext>
          </c:extLst>
        </c:ser>
        <c:dLbls>
          <c:showLegendKey val="0"/>
          <c:showVal val="0"/>
          <c:showCatName val="0"/>
          <c:showSerName val="0"/>
          <c:showPercent val="0"/>
          <c:showBubbleSize val="0"/>
        </c:dLbls>
        <c:axId val="1761020848"/>
        <c:axId val="1761011056"/>
      </c:areaChart>
      <c:lineChart>
        <c:grouping val="standard"/>
        <c:varyColors val="0"/>
        <c:ser>
          <c:idx val="1"/>
          <c:order val="0"/>
          <c:tx>
            <c:strRef>
              <c:f>'fan chart srbija'!$F$4</c:f>
              <c:strCache>
                <c:ptCount val="1"/>
                <c:pt idx="0">
                  <c:v>srednja</c:v>
                </c:pt>
              </c:strCache>
            </c:strRef>
          </c:tx>
          <c:spPr>
            <a:ln w="19050">
              <a:solidFill>
                <a:sysClr val="windowText" lastClr="000000"/>
              </a:solidFill>
            </a:ln>
          </c:spPr>
          <c:marker>
            <c:symbol val="none"/>
          </c:marker>
          <c:cat>
            <c:strRef>
              <c:f>'fan chart srbija'!$E$7:$E$13</c:f>
              <c:strCache>
                <c:ptCount val="7"/>
                <c:pt idx="0">
                  <c:v>2018</c:v>
                </c:pt>
                <c:pt idx="1">
                  <c:v>2019</c:v>
                </c:pt>
                <c:pt idx="2">
                  <c:v>2020</c:v>
                </c:pt>
                <c:pt idx="3">
                  <c:v>2021</c:v>
                </c:pt>
                <c:pt idx="4">
                  <c:v>2022</c:v>
                </c:pt>
                <c:pt idx="5">
                  <c:v>2023</c:v>
                </c:pt>
                <c:pt idx="6">
                  <c:v>2024</c:v>
                </c:pt>
              </c:strCache>
            </c:strRef>
          </c:cat>
          <c:val>
            <c:numRef>
              <c:f>'fan chart srbija'!$F$7:$F$13</c:f>
              <c:numCache>
                <c:formatCode>0.0</c:formatCode>
                <c:ptCount val="7"/>
                <c:pt idx="0">
                  <c:v>4.5</c:v>
                </c:pt>
                <c:pt idx="1">
                  <c:v>4.3</c:v>
                </c:pt>
                <c:pt idx="2">
                  <c:v>-0.9</c:v>
                </c:pt>
                <c:pt idx="3">
                  <c:v>7</c:v>
                </c:pt>
                <c:pt idx="4">
                  <c:v>4.5</c:v>
                </c:pt>
                <c:pt idx="5">
                  <c:v>5</c:v>
                </c:pt>
                <c:pt idx="6">
                  <c:v>5</c:v>
                </c:pt>
              </c:numCache>
            </c:numRef>
          </c:val>
          <c:smooth val="0"/>
          <c:extLst>
            <c:ext xmlns:c16="http://schemas.microsoft.com/office/drawing/2014/chart" uri="{C3380CC4-5D6E-409C-BE32-E72D297353CC}">
              <c16:uniqueId val="{00000013-7780-4FA7-B815-FD604727D5A0}"/>
            </c:ext>
          </c:extLst>
        </c:ser>
        <c:dLbls>
          <c:showLegendKey val="0"/>
          <c:showVal val="0"/>
          <c:showCatName val="0"/>
          <c:showSerName val="0"/>
          <c:showPercent val="0"/>
          <c:showBubbleSize val="0"/>
        </c:dLbls>
        <c:marker val="1"/>
        <c:smooth val="0"/>
        <c:axId val="1761020848"/>
        <c:axId val="1761011056"/>
      </c:lineChart>
      <c:catAx>
        <c:axId val="1761020848"/>
        <c:scaling>
          <c:orientation val="minMax"/>
        </c:scaling>
        <c:delete val="0"/>
        <c:axPos val="b"/>
        <c:numFmt formatCode="General" sourceLinked="1"/>
        <c:majorTickMark val="none"/>
        <c:minorTickMark val="none"/>
        <c:tickLblPos val="low"/>
        <c:spPr>
          <a:ln w="6350">
            <a:solidFill>
              <a:srgbClr val="898989"/>
            </a:solidFill>
          </a:ln>
        </c:spPr>
        <c:txPr>
          <a:bodyPr rot="0" vert="horz"/>
          <a:lstStyle/>
          <a:p>
            <a:pPr>
              <a:defRPr/>
            </a:pPr>
            <a:endParaRPr lang="en-US"/>
          </a:p>
        </c:txPr>
        <c:crossAx val="1761011056"/>
        <c:crosses val="autoZero"/>
        <c:auto val="1"/>
        <c:lblAlgn val="ctr"/>
        <c:lblOffset val="100"/>
        <c:tickLblSkip val="1"/>
        <c:noMultiLvlLbl val="0"/>
      </c:catAx>
      <c:valAx>
        <c:axId val="1761011056"/>
        <c:scaling>
          <c:orientation val="minMax"/>
          <c:max val="9"/>
          <c:min val="-2"/>
        </c:scaling>
        <c:delete val="0"/>
        <c:axPos val="l"/>
        <c:numFmt formatCode="0" sourceLinked="0"/>
        <c:majorTickMark val="none"/>
        <c:minorTickMark val="none"/>
        <c:tickLblPos val="nextTo"/>
        <c:spPr>
          <a:ln w="12700">
            <a:noFill/>
          </a:ln>
        </c:spPr>
        <c:txPr>
          <a:bodyPr rot="0" vert="horz"/>
          <a:lstStyle/>
          <a:p>
            <a:pPr>
              <a:defRPr/>
            </a:pPr>
            <a:endParaRPr lang="en-US"/>
          </a:p>
        </c:txPr>
        <c:crossAx val="1761020848"/>
        <c:crosses val="autoZero"/>
        <c:crossBetween val="midCat"/>
        <c:majorUnit val="1"/>
      </c:valAx>
      <c:spPr>
        <a:noFill/>
        <a:ln>
          <a:noFill/>
        </a:ln>
      </c:spPr>
    </c:plotArea>
    <c:plotVisOnly val="1"/>
    <c:dispBlanksAs val="gap"/>
    <c:showDLblsOverMax val="0"/>
  </c:chart>
  <c:spPr>
    <a:noFill/>
    <a:ln w="9525">
      <a:noFill/>
    </a:ln>
  </c:spPr>
  <c:txPr>
    <a:bodyPr/>
    <a:lstStyle/>
    <a:p>
      <a:pPr>
        <a:defRPr sz="750" b="0" i="0" u="none" strike="noStrike" baseline="0">
          <a:solidFill>
            <a:schemeClr val="tx2"/>
          </a:solidFill>
          <a:latin typeface="+mn-lt"/>
          <a:ea typeface="Calibri"/>
          <a:cs typeface="Calibri"/>
        </a:defRPr>
      </a:pPr>
      <a:endParaRPr lang="en-US"/>
    </a:p>
  </c:txPr>
  <c:externalData r:id="rId2">
    <c:autoUpdate val="0"/>
  </c:externalData>
</c:chartSpace>
</file>

<file path=word/charts/chart5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0138435239489954"/>
          <c:y val="6.842061127661922E-2"/>
          <c:w val="0.858350771542297"/>
          <c:h val="0.89994549266247381"/>
        </c:manualLayout>
      </c:layout>
      <c:barChart>
        <c:barDir val="col"/>
        <c:grouping val="clustered"/>
        <c:varyColors val="0"/>
        <c:ser>
          <c:idx val="0"/>
          <c:order val="0"/>
          <c:tx>
            <c:v>Фискални резултат</c:v>
          </c:tx>
          <c:spPr>
            <a:solidFill>
              <a:schemeClr val="accent1">
                <a:shade val="76000"/>
              </a:schemeClr>
            </a:solidFill>
            <a:ln>
              <a:noFill/>
            </a:ln>
            <a:effectLst/>
          </c:spPr>
          <c:invertIfNegative val="0"/>
          <c:dLbls>
            <c:numFmt formatCode="#,##0.0" sourceLinked="0"/>
            <c:spPr>
              <a:noFill/>
              <a:ln>
                <a:noFill/>
              </a:ln>
              <a:effectLst/>
            </c:spPr>
            <c:txPr>
              <a:bodyPr rot="0" spcFirstLastPara="1" vertOverflow="ellipsis" vert="horz" wrap="square" anchor="ctr" anchorCtr="1"/>
              <a:lstStyle/>
              <a:p>
                <a:pPr>
                  <a:defRPr sz="700" b="1"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'Quaterly, Yearly'!$CE$7:$CK$8</c:f>
              <c:strCache>
                <c:ptCount val="7"/>
                <c:pt idx="0">
                  <c:v>2015</c:v>
                </c:pt>
                <c:pt idx="1">
                  <c:v>2016</c:v>
                </c:pt>
                <c:pt idx="2">
                  <c:v>2017</c:v>
                </c:pt>
                <c:pt idx="3">
                  <c:v>2018</c:v>
                </c:pt>
                <c:pt idx="4">
                  <c:v>2019</c:v>
                </c:pt>
                <c:pt idx="5">
                  <c:v>2020</c:v>
                </c:pt>
                <c:pt idx="6">
                  <c:v>2021</c:v>
                </c:pt>
              </c:strCache>
            </c:strRef>
          </c:cat>
          <c:val>
            <c:numRef>
              <c:f>'Quaterly, Yearly'!$CE$78:$CK$78</c:f>
              <c:numCache>
                <c:formatCode>#,##0.00</c:formatCode>
                <c:ptCount val="7"/>
                <c:pt idx="0">
                  <c:v>-3.4561672728767112</c:v>
                </c:pt>
                <c:pt idx="1">
                  <c:v>-1.1926941660681765</c:v>
                </c:pt>
                <c:pt idx="2">
                  <c:v>1.0986349345465762</c:v>
                </c:pt>
                <c:pt idx="3">
                  <c:v>0.63523655395945411</c:v>
                </c:pt>
                <c:pt idx="4">
                  <c:v>-0.20497664525511922</c:v>
                </c:pt>
                <c:pt idx="5">
                  <c:v>-8.0474018723524452</c:v>
                </c:pt>
                <c:pt idx="6">
                  <c:v>-4.9000000000000004</c:v>
                </c:pt>
              </c:numCache>
            </c:numRef>
          </c:val>
          <c:extLst>
            <c:ext xmlns:c16="http://schemas.microsoft.com/office/drawing/2014/chart" uri="{C3380CC4-5D6E-409C-BE32-E72D297353CC}">
              <c16:uniqueId val="{00000000-FB67-4BFC-A58A-C393C044200E}"/>
            </c:ext>
          </c:extLst>
        </c:ser>
        <c:ser>
          <c:idx val="1"/>
          <c:order val="1"/>
          <c:tx>
            <c:v>Примарни фискални резултат</c:v>
          </c:tx>
          <c:spPr>
            <a:solidFill>
              <a:schemeClr val="accent1">
                <a:tint val="77000"/>
              </a:schemeClr>
            </a:solidFill>
            <a:ln>
              <a:noFill/>
            </a:ln>
            <a:effectLst/>
          </c:spPr>
          <c:invertIfNegative val="0"/>
          <c:dLbls>
            <c:dLbl>
              <c:idx val="0"/>
              <c:layout>
                <c:manualLayout>
                  <c:x val="1.132097084431951E-2"/>
                  <c:y val="-2.723380778991493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B67-4BFC-A58A-C393C044200E}"/>
                </c:ext>
              </c:extLst>
            </c:dLbl>
            <c:dLbl>
              <c:idx val="1"/>
              <c:layout>
                <c:manualLayout>
                  <c:x val="-3.2073297015369011E-3"/>
                  <c:y val="-1.414249788072396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FB67-4BFC-A58A-C393C044200E}"/>
                </c:ext>
              </c:extLst>
            </c:dLbl>
            <c:dLbl>
              <c:idx val="2"/>
              <c:layout>
                <c:manualLayout>
                  <c:x val="-2.4176209155354405E-3"/>
                  <c:y val="-6.651520278435746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FB67-4BFC-A58A-C393C044200E}"/>
                </c:ext>
              </c:extLst>
            </c:dLbl>
            <c:dLbl>
              <c:idx val="3"/>
              <c:layout>
                <c:manualLayout>
                  <c:x val="2.6858041798127055E-3"/>
                  <c:y val="3.6294739125667468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FB67-4BFC-A58A-C393C044200E}"/>
                </c:ext>
              </c:extLst>
            </c:dLbl>
            <c:dLbl>
              <c:idx val="4"/>
              <c:layout>
                <c:manualLayout>
                  <c:x val="-3.9217883120591336E-3"/>
                  <c:y val="-1.089808964508168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FB67-4BFC-A58A-C393C044200E}"/>
                </c:ext>
              </c:extLst>
            </c:dLbl>
            <c:dLbl>
              <c:idx val="5"/>
              <c:layout>
                <c:manualLayout>
                  <c:x val="1.8183368791494724E-3"/>
                  <c:y val="-1.343484497407029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FB67-4BFC-A58A-C393C044200E}"/>
                </c:ext>
              </c:extLst>
            </c:dLbl>
            <c:dLbl>
              <c:idx val="6"/>
              <c:layout>
                <c:manualLayout>
                  <c:x val="1.3735038279346209E-2"/>
                  <c:y val="-1.311883482290632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FB67-4BFC-A58A-C393C044200E}"/>
                </c:ext>
              </c:extLst>
            </c:dLbl>
            <c:dLbl>
              <c:idx val="7"/>
              <c:layout>
                <c:manualLayout>
                  <c:x val="-2.9208525152033104E-2"/>
                  <c:y val="-1.971637882449106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FB67-4BFC-A58A-C393C044200E}"/>
                </c:ext>
              </c:extLst>
            </c:dLbl>
            <c:dLbl>
              <c:idx val="8"/>
              <c:layout>
                <c:manualLayout>
                  <c:x val="-4.0694720170973364E-2"/>
                  <c:y val="-3.995603520029594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FB67-4BFC-A58A-C393C044200E}"/>
                </c:ext>
              </c:extLst>
            </c:dLbl>
            <c:dLbl>
              <c:idx val="9"/>
              <c:layout>
                <c:manualLayout>
                  <c:x val="-4.7561598436538947E-2"/>
                  <c:y val="1.379986451696023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FB67-4BFC-A58A-C393C044200E}"/>
                </c:ext>
              </c:extLst>
            </c:dLbl>
            <c:dLbl>
              <c:idx val="10"/>
              <c:layout>
                <c:manualLayout>
                  <c:x val="-3.1357910371513177E-2"/>
                  <c:y val="-1.505806246606007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FB67-4BFC-A58A-C393C044200E}"/>
                </c:ext>
              </c:extLst>
            </c:dLbl>
            <c:dLbl>
              <c:idx val="11"/>
              <c:layout>
                <c:manualLayout>
                  <c:x val="-4.746385337205393E-2"/>
                  <c:y val="-2.5096770776766794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FB67-4BFC-A58A-C393C044200E}"/>
                </c:ext>
              </c:extLst>
            </c:dLbl>
            <c:numFmt formatCode="#,##0.0" sourceLinked="0"/>
            <c:spPr>
              <a:noFill/>
              <a:ln>
                <a:noFill/>
              </a:ln>
              <a:effectLst/>
            </c:spPr>
            <c:txPr>
              <a:bodyPr rot="0" spcFirstLastPara="1" vertOverflow="ellipsis" vert="horz" wrap="square" anchor="ctr" anchorCtr="1"/>
              <a:lstStyle/>
              <a:p>
                <a:pPr>
                  <a:defRPr sz="700" b="1"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'Quaterly, Yearly'!$CE$7:$CK$8</c:f>
              <c:strCache>
                <c:ptCount val="7"/>
                <c:pt idx="0">
                  <c:v>2015</c:v>
                </c:pt>
                <c:pt idx="1">
                  <c:v>2016</c:v>
                </c:pt>
                <c:pt idx="2">
                  <c:v>2017</c:v>
                </c:pt>
                <c:pt idx="3">
                  <c:v>2018</c:v>
                </c:pt>
                <c:pt idx="4">
                  <c:v>2019</c:v>
                </c:pt>
                <c:pt idx="5">
                  <c:v>2020</c:v>
                </c:pt>
                <c:pt idx="6">
                  <c:v>2021</c:v>
                </c:pt>
              </c:strCache>
            </c:strRef>
          </c:cat>
          <c:val>
            <c:numRef>
              <c:f>'Quaterly, Yearly'!$CE$79:$CK$79</c:f>
              <c:numCache>
                <c:formatCode>#,##0.00</c:formatCode>
                <c:ptCount val="7"/>
                <c:pt idx="0">
                  <c:v>-0.47061316203530046</c:v>
                </c:pt>
                <c:pt idx="1">
                  <c:v>1.7045650732845505</c:v>
                </c:pt>
                <c:pt idx="2">
                  <c:v>3.634771068549187</c:v>
                </c:pt>
                <c:pt idx="3">
                  <c:v>2.7475533250713307</c:v>
                </c:pt>
                <c:pt idx="4">
                  <c:v>1.7916206652556272</c:v>
                </c:pt>
                <c:pt idx="5">
                  <c:v>-6.0455708124153222</c:v>
                </c:pt>
                <c:pt idx="6">
                  <c:v>-3.1</c:v>
                </c:pt>
              </c:numCache>
            </c:numRef>
          </c:val>
          <c:extLst>
            <c:ext xmlns:c16="http://schemas.microsoft.com/office/drawing/2014/chart" uri="{C3380CC4-5D6E-409C-BE32-E72D297353CC}">
              <c16:uniqueId val="{0000000D-FB67-4BFC-A58A-C393C044200E}"/>
            </c:ext>
          </c:extLst>
        </c:ser>
        <c:dLbls>
          <c:showLegendKey val="0"/>
          <c:showVal val="0"/>
          <c:showCatName val="0"/>
          <c:showSerName val="0"/>
          <c:showPercent val="0"/>
          <c:showBubbleSize val="0"/>
        </c:dLbls>
        <c:gapWidth val="150"/>
        <c:axId val="522006368"/>
        <c:axId val="522006928"/>
      </c:barChart>
      <c:catAx>
        <c:axId val="522006368"/>
        <c:scaling>
          <c:orientation val="minMax"/>
        </c:scaling>
        <c:delete val="0"/>
        <c:axPos val="b"/>
        <c:numFmt formatCode="General" sourceLinked="1"/>
        <c:majorTickMark val="out"/>
        <c:minorTickMark val="none"/>
        <c:tickLblPos val="high"/>
        <c:spPr>
          <a:noFill/>
          <a:ln w="12700" cap="flat" cmpd="sng" algn="ctr">
            <a:solidFill>
              <a:schemeClr val="tx1">
                <a:lumMod val="50000"/>
                <a:lumOff val="50000"/>
              </a:schemeClr>
            </a:solidFill>
            <a:prstDash val="sysDash"/>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522006928"/>
        <c:crosses val="autoZero"/>
        <c:auto val="1"/>
        <c:lblAlgn val="ctr"/>
        <c:lblOffset val="100"/>
        <c:noMultiLvlLbl val="0"/>
      </c:catAx>
      <c:valAx>
        <c:axId val="522006928"/>
        <c:scaling>
          <c:orientation val="minMax"/>
          <c:max val="5"/>
          <c:min val="-10"/>
        </c:scaling>
        <c:delete val="0"/>
        <c:axPos val="l"/>
        <c:title>
          <c:tx>
            <c:rich>
              <a:bodyPr rot="-54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r>
                  <a:rPr lang="en-US" sz="800">
                    <a:latin typeface="+mn-lt"/>
                  </a:rPr>
                  <a:t>% </a:t>
                </a:r>
                <a:r>
                  <a:rPr lang="sr-Cyrl-RS" sz="800">
                    <a:latin typeface="+mn-lt"/>
                  </a:rPr>
                  <a:t>БДП</a:t>
                </a:r>
                <a:endParaRPr lang="en-US" sz="800">
                  <a:latin typeface="+mn-lt"/>
                </a:endParaRPr>
              </a:p>
            </c:rich>
          </c:tx>
          <c:layout>
            <c:manualLayout>
              <c:xMode val="edge"/>
              <c:yMode val="edge"/>
              <c:x val="9.780001458151065E-2"/>
              <c:y val="0.16039978513839989"/>
            </c:manualLayout>
          </c:layout>
          <c:overlay val="0"/>
          <c:spPr>
            <a:noFill/>
            <a:ln>
              <a:noFill/>
            </a:ln>
            <a:effectLst/>
          </c:spPr>
          <c:txPr>
            <a:bodyPr rot="-54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522006368"/>
        <c:crosses val="autoZero"/>
        <c:crossBetween val="between"/>
      </c:valAx>
      <c:spPr>
        <a:noFill/>
        <a:ln>
          <a:noFill/>
        </a:ln>
        <a:effectLst/>
      </c:spPr>
    </c:plotArea>
    <c:legend>
      <c:legendPos val="b"/>
      <c:layout>
        <c:manualLayout>
          <c:xMode val="edge"/>
          <c:yMode val="edge"/>
          <c:x val="0.17801056094407194"/>
          <c:y val="0.63125044253189277"/>
          <c:w val="0.51810891150797223"/>
          <c:h val="0.13095672343282672"/>
        </c:manualLayout>
      </c:layout>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noFill/>
    <a:ln w="9525" cap="flat" cmpd="sng" algn="ctr">
      <a:noFill/>
      <a:round/>
    </a:ln>
    <a:effectLst/>
  </c:spPr>
  <c:txPr>
    <a:bodyPr/>
    <a:lstStyle/>
    <a:p>
      <a:pPr>
        <a:defRPr>
          <a:latin typeface="Georgia" panose="02040502050405020303" pitchFamily="18" charset="0"/>
        </a:defRPr>
      </a:pPr>
      <a:endParaRPr lang="en-US"/>
    </a:p>
  </c:txPr>
  <c:externalData r:id="rId3">
    <c:autoUpdate val="0"/>
  </c:externalData>
</c:chartSpace>
</file>

<file path=word/charts/chart5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lgn="ctr" rtl="0">
              <a:defRPr sz="900" b="1" i="0" u="none" strike="noStrike" kern="1200" spc="0" baseline="0">
                <a:solidFill>
                  <a:srgbClr val="002060"/>
                </a:solidFill>
                <a:latin typeface="+mn-lt"/>
                <a:ea typeface="+mn-ea"/>
                <a:cs typeface="+mn-cs"/>
              </a:defRPr>
            </a:pPr>
            <a:r>
              <a:rPr lang="en-US" sz="900" b="1" i="0" u="none" strike="noStrike" kern="1200" spc="0" baseline="0">
                <a:solidFill>
                  <a:srgbClr val="002060"/>
                </a:solidFill>
                <a:latin typeface="+mn-lt"/>
                <a:ea typeface="+mn-ea"/>
                <a:cs typeface="+mn-cs"/>
              </a:rPr>
              <a:t>S0 </a:t>
            </a:r>
            <a:r>
              <a:rPr lang="sr-Cyrl-RS" sz="900" b="1" i="0" u="none" strike="noStrike" kern="1200" spc="0" baseline="0">
                <a:solidFill>
                  <a:srgbClr val="002060"/>
                </a:solidFill>
                <a:latin typeface="+mn-lt"/>
                <a:ea typeface="+mn-ea"/>
                <a:cs typeface="+mn-cs"/>
              </a:rPr>
              <a:t>индикатор са фискалним подиндексом и подиндексом финансијске конкурентности за Србију за период 2015–20</a:t>
            </a:r>
            <a:r>
              <a:rPr lang="sr-Latn-RS" sz="900" b="1" i="0" u="none" strike="noStrike" kern="1200" spc="0" baseline="0">
                <a:solidFill>
                  <a:srgbClr val="002060"/>
                </a:solidFill>
                <a:latin typeface="+mn-lt"/>
                <a:ea typeface="+mn-ea"/>
                <a:cs typeface="+mn-cs"/>
              </a:rPr>
              <a:t>20</a:t>
            </a:r>
            <a:r>
              <a:rPr lang="sr-Cyrl-RS" sz="900" b="1" i="0" u="none" strike="noStrike" kern="1200" spc="0" baseline="0">
                <a:solidFill>
                  <a:srgbClr val="002060"/>
                </a:solidFill>
                <a:latin typeface="+mn-lt"/>
                <a:ea typeface="+mn-ea"/>
                <a:cs typeface="+mn-cs"/>
              </a:rPr>
              <a:t>. године </a:t>
            </a:r>
            <a:endParaRPr lang="en-US" sz="900" b="1" i="0" u="none" strike="noStrike" kern="1200" spc="0" baseline="0">
              <a:solidFill>
                <a:srgbClr val="002060"/>
              </a:solidFill>
              <a:latin typeface="+mn-lt"/>
              <a:ea typeface="+mn-ea"/>
              <a:cs typeface="+mn-cs"/>
            </a:endParaRPr>
          </a:p>
        </c:rich>
      </c:tx>
      <c:layout>
        <c:manualLayout>
          <c:xMode val="edge"/>
          <c:yMode val="edge"/>
          <c:x val="0.12678927371840756"/>
          <c:y val="1.9783036258848846E-2"/>
        </c:manualLayout>
      </c:layout>
      <c:overlay val="0"/>
      <c:spPr>
        <a:noFill/>
        <a:ln>
          <a:noFill/>
        </a:ln>
        <a:effectLst/>
      </c:spPr>
      <c:txPr>
        <a:bodyPr rot="0" spcFirstLastPara="1" vertOverflow="ellipsis" vert="horz" wrap="square" anchor="ctr" anchorCtr="1"/>
        <a:lstStyle/>
        <a:p>
          <a:pPr algn="ctr" rtl="0">
            <a:defRPr sz="900" b="1" i="0" u="none" strike="noStrike" kern="1200" spc="0" baseline="0">
              <a:solidFill>
                <a:srgbClr val="002060"/>
              </a:solidFill>
              <a:latin typeface="+mn-lt"/>
              <a:ea typeface="+mn-ea"/>
              <a:cs typeface="+mn-cs"/>
            </a:defRPr>
          </a:pPr>
          <a:endParaRPr lang="en-US"/>
        </a:p>
      </c:txPr>
    </c:title>
    <c:autoTitleDeleted val="0"/>
    <c:plotArea>
      <c:layout>
        <c:manualLayout>
          <c:layoutTarget val="inner"/>
          <c:xMode val="edge"/>
          <c:yMode val="edge"/>
          <c:x val="7.0614647637256292E-2"/>
          <c:y val="8.0128205128205135E-2"/>
          <c:w val="0.89818784226795878"/>
          <c:h val="0.56116520290732885"/>
        </c:manualLayout>
      </c:layout>
      <c:barChart>
        <c:barDir val="col"/>
        <c:grouping val="clustered"/>
        <c:varyColors val="0"/>
        <c:ser>
          <c:idx val="0"/>
          <c:order val="0"/>
          <c:tx>
            <c:strRef>
              <c:f>'S0 EU Serbia'!$AC$39</c:f>
              <c:strCache>
                <c:ptCount val="1"/>
                <c:pt idx="0">
                  <c:v>Фискални подиндекс</c:v>
                </c:pt>
              </c:strCache>
            </c:strRef>
          </c:tx>
          <c:spPr>
            <a:solidFill>
              <a:srgbClr val="7030A0"/>
            </a:solidFill>
            <a:ln w="9525">
              <a:noFill/>
            </a:ln>
            <a:effectLst/>
          </c:spPr>
          <c:invertIfNegative val="0"/>
          <c:cat>
            <c:numRef>
              <c:f>'S0 EU Serbia'!$AB$43:$AB$48</c:f>
              <c:numCache>
                <c:formatCode>General</c:formatCode>
                <c:ptCount val="6"/>
                <c:pt idx="0">
                  <c:v>2015</c:v>
                </c:pt>
                <c:pt idx="1">
                  <c:v>2016</c:v>
                </c:pt>
                <c:pt idx="2">
                  <c:v>2017</c:v>
                </c:pt>
                <c:pt idx="3">
                  <c:v>2018</c:v>
                </c:pt>
                <c:pt idx="4">
                  <c:v>2019</c:v>
                </c:pt>
                <c:pt idx="5">
                  <c:v>2020</c:v>
                </c:pt>
              </c:numCache>
            </c:numRef>
          </c:cat>
          <c:val>
            <c:numRef>
              <c:f>'S0 EU Serbia'!$AC$43:$AC$48</c:f>
              <c:numCache>
                <c:formatCode>0.00</c:formatCode>
                <c:ptCount val="6"/>
                <c:pt idx="0">
                  <c:v>0.40718562874251496</c:v>
                </c:pt>
                <c:pt idx="1">
                  <c:v>0.19161676646706588</c:v>
                </c:pt>
                <c:pt idx="2">
                  <c:v>0</c:v>
                </c:pt>
                <c:pt idx="3">
                  <c:v>0</c:v>
                </c:pt>
                <c:pt idx="4">
                  <c:v>0</c:v>
                </c:pt>
                <c:pt idx="5">
                  <c:v>0.47904191616766456</c:v>
                </c:pt>
              </c:numCache>
            </c:numRef>
          </c:val>
          <c:extLst>
            <c:ext xmlns:c16="http://schemas.microsoft.com/office/drawing/2014/chart" uri="{C3380CC4-5D6E-409C-BE32-E72D297353CC}">
              <c16:uniqueId val="{00000000-DC78-4F3A-BCE1-C4468C93D069}"/>
            </c:ext>
          </c:extLst>
        </c:ser>
        <c:ser>
          <c:idx val="1"/>
          <c:order val="1"/>
          <c:tx>
            <c:strRef>
              <c:f>'S0 EU Serbia'!$AD$39</c:f>
              <c:strCache>
                <c:ptCount val="1"/>
                <c:pt idx="0">
                  <c:v>Подиндекс макро-финансијске конкурентности</c:v>
                </c:pt>
              </c:strCache>
            </c:strRef>
          </c:tx>
          <c:spPr>
            <a:solidFill>
              <a:srgbClr val="5297AC"/>
            </a:solidFill>
            <a:ln w="9525">
              <a:noFill/>
            </a:ln>
            <a:effectLst/>
          </c:spPr>
          <c:invertIfNegative val="0"/>
          <c:cat>
            <c:numRef>
              <c:f>'S0 EU Serbia'!$AB$43:$AB$48</c:f>
              <c:numCache>
                <c:formatCode>General</c:formatCode>
                <c:ptCount val="6"/>
                <c:pt idx="0">
                  <c:v>2015</c:v>
                </c:pt>
                <c:pt idx="1">
                  <c:v>2016</c:v>
                </c:pt>
                <c:pt idx="2">
                  <c:v>2017</c:v>
                </c:pt>
                <c:pt idx="3">
                  <c:v>2018</c:v>
                </c:pt>
                <c:pt idx="4">
                  <c:v>2019</c:v>
                </c:pt>
                <c:pt idx="5">
                  <c:v>2020</c:v>
                </c:pt>
              </c:numCache>
            </c:numRef>
          </c:cat>
          <c:val>
            <c:numRef>
              <c:f>'S0 EU Serbia'!$AD$43:$AD$48</c:f>
              <c:numCache>
                <c:formatCode>0.00</c:formatCode>
                <c:ptCount val="6"/>
                <c:pt idx="0">
                  <c:v>0.27243589743589747</c:v>
                </c:pt>
                <c:pt idx="1">
                  <c:v>0.27243589743589747</c:v>
                </c:pt>
                <c:pt idx="2">
                  <c:v>0.27243589743589747</c:v>
                </c:pt>
                <c:pt idx="3">
                  <c:v>0.27243589743589747</c:v>
                </c:pt>
                <c:pt idx="4">
                  <c:v>0.27243589743589747</c:v>
                </c:pt>
                <c:pt idx="5">
                  <c:v>0.42307692307692302</c:v>
                </c:pt>
              </c:numCache>
            </c:numRef>
          </c:val>
          <c:extLst>
            <c:ext xmlns:c16="http://schemas.microsoft.com/office/drawing/2014/chart" uri="{C3380CC4-5D6E-409C-BE32-E72D297353CC}">
              <c16:uniqueId val="{00000001-DC78-4F3A-BCE1-C4468C93D069}"/>
            </c:ext>
          </c:extLst>
        </c:ser>
        <c:dLbls>
          <c:showLegendKey val="0"/>
          <c:showVal val="0"/>
          <c:showCatName val="0"/>
          <c:showSerName val="0"/>
          <c:showPercent val="0"/>
          <c:showBubbleSize val="0"/>
        </c:dLbls>
        <c:gapWidth val="150"/>
        <c:axId val="-486944112"/>
        <c:axId val="-486944656"/>
      </c:barChart>
      <c:lineChart>
        <c:grouping val="standard"/>
        <c:varyColors val="0"/>
        <c:ser>
          <c:idx val="2"/>
          <c:order val="2"/>
          <c:tx>
            <c:strRef>
              <c:f>'S0 EU Serbia'!$AE$39</c:f>
              <c:strCache>
                <c:ptCount val="1"/>
                <c:pt idx="0">
                  <c:v>S0 индикатор</c:v>
                </c:pt>
              </c:strCache>
            </c:strRef>
          </c:tx>
          <c:spPr>
            <a:ln w="22225" cap="rnd">
              <a:noFill/>
              <a:prstDash val="solid"/>
              <a:round/>
            </a:ln>
            <a:effectLst/>
          </c:spPr>
          <c:marker>
            <c:symbol val="triangle"/>
            <c:size val="16"/>
            <c:spPr>
              <a:solidFill>
                <a:schemeClr val="tx1"/>
              </a:solidFill>
              <a:ln w="9525">
                <a:noFill/>
              </a:ln>
              <a:effectLst/>
            </c:spPr>
          </c:marker>
          <c:dPt>
            <c:idx val="0"/>
            <c:marker>
              <c:symbol val="triangle"/>
              <c:size val="16"/>
              <c:spPr>
                <a:solidFill>
                  <a:schemeClr val="tx1"/>
                </a:solidFill>
                <a:ln w="9525">
                  <a:noFill/>
                </a:ln>
                <a:effectLst/>
              </c:spPr>
            </c:marker>
            <c:bubble3D val="0"/>
            <c:spPr>
              <a:ln w="12700" cap="rnd">
                <a:noFill/>
                <a:prstDash val="solid"/>
                <a:round/>
              </a:ln>
              <a:effectLst/>
            </c:spPr>
            <c:extLst>
              <c:ext xmlns:c16="http://schemas.microsoft.com/office/drawing/2014/chart" uri="{C3380CC4-5D6E-409C-BE32-E72D297353CC}">
                <c16:uniqueId val="{00000003-DC78-4F3A-BCE1-C4468C93D069}"/>
              </c:ext>
            </c:extLst>
          </c:dPt>
          <c:dPt>
            <c:idx val="1"/>
            <c:marker>
              <c:symbol val="triangle"/>
              <c:size val="16"/>
              <c:spPr>
                <a:solidFill>
                  <a:schemeClr val="tx1"/>
                </a:solidFill>
                <a:ln w="9525">
                  <a:noFill/>
                </a:ln>
                <a:effectLst/>
              </c:spPr>
            </c:marker>
            <c:bubble3D val="0"/>
            <c:spPr>
              <a:ln w="12700" cap="rnd">
                <a:noFill/>
                <a:prstDash val="solid"/>
                <a:round/>
              </a:ln>
              <a:effectLst/>
            </c:spPr>
            <c:extLst>
              <c:ext xmlns:c16="http://schemas.microsoft.com/office/drawing/2014/chart" uri="{C3380CC4-5D6E-409C-BE32-E72D297353CC}">
                <c16:uniqueId val="{00000005-DC78-4F3A-BCE1-C4468C93D069}"/>
              </c:ext>
            </c:extLst>
          </c:dPt>
          <c:dPt>
            <c:idx val="2"/>
            <c:marker>
              <c:symbol val="triangle"/>
              <c:size val="16"/>
              <c:spPr>
                <a:solidFill>
                  <a:schemeClr val="tx1"/>
                </a:solidFill>
                <a:ln w="9525">
                  <a:noFill/>
                </a:ln>
                <a:effectLst/>
              </c:spPr>
            </c:marker>
            <c:bubble3D val="0"/>
            <c:spPr>
              <a:ln w="12700" cap="rnd">
                <a:noFill/>
                <a:prstDash val="solid"/>
                <a:round/>
              </a:ln>
              <a:effectLst/>
            </c:spPr>
            <c:extLst>
              <c:ext xmlns:c16="http://schemas.microsoft.com/office/drawing/2014/chart" uri="{C3380CC4-5D6E-409C-BE32-E72D297353CC}">
                <c16:uniqueId val="{00000007-DC78-4F3A-BCE1-C4468C93D069}"/>
              </c:ext>
            </c:extLst>
          </c:dPt>
          <c:cat>
            <c:numRef>
              <c:f>'S0 EU Serbia'!$AB$43:$AB$48</c:f>
              <c:numCache>
                <c:formatCode>General</c:formatCode>
                <c:ptCount val="6"/>
                <c:pt idx="0">
                  <c:v>2015</c:v>
                </c:pt>
                <c:pt idx="1">
                  <c:v>2016</c:v>
                </c:pt>
                <c:pt idx="2">
                  <c:v>2017</c:v>
                </c:pt>
                <c:pt idx="3">
                  <c:v>2018</c:v>
                </c:pt>
                <c:pt idx="4">
                  <c:v>2019</c:v>
                </c:pt>
                <c:pt idx="5">
                  <c:v>2020</c:v>
                </c:pt>
              </c:numCache>
            </c:numRef>
          </c:cat>
          <c:val>
            <c:numRef>
              <c:f>'S0 EU Serbia'!$AE$43:$AE$48</c:f>
              <c:numCache>
                <c:formatCode>0.00</c:formatCode>
                <c:ptCount val="6"/>
                <c:pt idx="0">
                  <c:v>0.31941544885177453</c:v>
                </c:pt>
                <c:pt idx="1">
                  <c:v>0.24425887265135704</c:v>
                </c:pt>
                <c:pt idx="2">
                  <c:v>0.17745302713987476</c:v>
                </c:pt>
                <c:pt idx="3">
                  <c:v>0.17745302713987476</c:v>
                </c:pt>
                <c:pt idx="4">
                  <c:v>0.17745302713987476</c:v>
                </c:pt>
                <c:pt idx="5">
                  <c:v>0.4425887265135699</c:v>
                </c:pt>
              </c:numCache>
            </c:numRef>
          </c:val>
          <c:smooth val="0"/>
          <c:extLst>
            <c:ext xmlns:c16="http://schemas.microsoft.com/office/drawing/2014/chart" uri="{C3380CC4-5D6E-409C-BE32-E72D297353CC}">
              <c16:uniqueId val="{00000008-DC78-4F3A-BCE1-C4468C93D069}"/>
            </c:ext>
          </c:extLst>
        </c:ser>
        <c:ser>
          <c:idx val="3"/>
          <c:order val="3"/>
          <c:tx>
            <c:strRef>
              <c:f>'S0 EU Serbia'!$AF$39</c:f>
              <c:strCache>
                <c:ptCount val="1"/>
                <c:pt idx="0">
                  <c:v>Праг фискалног подиндекса</c:v>
                </c:pt>
              </c:strCache>
            </c:strRef>
          </c:tx>
          <c:spPr>
            <a:ln w="22225" cap="rnd">
              <a:solidFill>
                <a:srgbClr val="7030A0"/>
              </a:solidFill>
              <a:prstDash val="dash"/>
              <a:round/>
            </a:ln>
            <a:effectLst/>
          </c:spPr>
          <c:marker>
            <c:symbol val="none"/>
          </c:marker>
          <c:cat>
            <c:numRef>
              <c:f>'S0 EU Serbia'!$AB$43:$AB$48</c:f>
              <c:numCache>
                <c:formatCode>General</c:formatCode>
                <c:ptCount val="6"/>
                <c:pt idx="0">
                  <c:v>2015</c:v>
                </c:pt>
                <c:pt idx="1">
                  <c:v>2016</c:v>
                </c:pt>
                <c:pt idx="2">
                  <c:v>2017</c:v>
                </c:pt>
                <c:pt idx="3">
                  <c:v>2018</c:v>
                </c:pt>
                <c:pt idx="4">
                  <c:v>2019</c:v>
                </c:pt>
                <c:pt idx="5">
                  <c:v>2020</c:v>
                </c:pt>
              </c:numCache>
            </c:numRef>
          </c:cat>
          <c:val>
            <c:numRef>
              <c:f>'S0 EU Serbia'!$AF$43:$AF$48</c:f>
              <c:numCache>
                <c:formatCode>General</c:formatCode>
                <c:ptCount val="6"/>
                <c:pt idx="0">
                  <c:v>0.36</c:v>
                </c:pt>
                <c:pt idx="1">
                  <c:v>0.36</c:v>
                </c:pt>
                <c:pt idx="2">
                  <c:v>0.36</c:v>
                </c:pt>
                <c:pt idx="3">
                  <c:v>0.36</c:v>
                </c:pt>
                <c:pt idx="4">
                  <c:v>0.36</c:v>
                </c:pt>
                <c:pt idx="5">
                  <c:v>0.36</c:v>
                </c:pt>
              </c:numCache>
            </c:numRef>
          </c:val>
          <c:smooth val="0"/>
          <c:extLst>
            <c:ext xmlns:c16="http://schemas.microsoft.com/office/drawing/2014/chart" uri="{C3380CC4-5D6E-409C-BE32-E72D297353CC}">
              <c16:uniqueId val="{00000009-DC78-4F3A-BCE1-C4468C93D069}"/>
            </c:ext>
          </c:extLst>
        </c:ser>
        <c:ser>
          <c:idx val="4"/>
          <c:order val="4"/>
          <c:tx>
            <c:strRef>
              <c:f>'S0 EU Serbia'!$AG$39</c:f>
              <c:strCache>
                <c:ptCount val="1"/>
                <c:pt idx="0">
                  <c:v>Праг финансијског подиндекса</c:v>
                </c:pt>
              </c:strCache>
            </c:strRef>
          </c:tx>
          <c:spPr>
            <a:ln w="22225" cap="rnd">
              <a:solidFill>
                <a:srgbClr val="5297AC"/>
              </a:solidFill>
              <a:prstDash val="dash"/>
              <a:round/>
            </a:ln>
            <a:effectLst/>
          </c:spPr>
          <c:marker>
            <c:symbol val="none"/>
          </c:marker>
          <c:cat>
            <c:numRef>
              <c:f>'S0 EU Serbia'!$AB$43:$AB$48</c:f>
              <c:numCache>
                <c:formatCode>General</c:formatCode>
                <c:ptCount val="6"/>
                <c:pt idx="0">
                  <c:v>2015</c:v>
                </c:pt>
                <c:pt idx="1">
                  <c:v>2016</c:v>
                </c:pt>
                <c:pt idx="2">
                  <c:v>2017</c:v>
                </c:pt>
                <c:pt idx="3">
                  <c:v>2018</c:v>
                </c:pt>
                <c:pt idx="4">
                  <c:v>2019</c:v>
                </c:pt>
                <c:pt idx="5">
                  <c:v>2020</c:v>
                </c:pt>
              </c:numCache>
            </c:numRef>
          </c:cat>
          <c:val>
            <c:numRef>
              <c:f>'S0 EU Serbia'!$AG$43:$AG$48</c:f>
              <c:numCache>
                <c:formatCode>General</c:formatCode>
                <c:ptCount val="6"/>
                <c:pt idx="0">
                  <c:v>0.49</c:v>
                </c:pt>
                <c:pt idx="1">
                  <c:v>0.49</c:v>
                </c:pt>
                <c:pt idx="2">
                  <c:v>0.49</c:v>
                </c:pt>
                <c:pt idx="3">
                  <c:v>0.49</c:v>
                </c:pt>
                <c:pt idx="4">
                  <c:v>0.49</c:v>
                </c:pt>
                <c:pt idx="5">
                  <c:v>0.49</c:v>
                </c:pt>
              </c:numCache>
            </c:numRef>
          </c:val>
          <c:smooth val="0"/>
          <c:extLst>
            <c:ext xmlns:c16="http://schemas.microsoft.com/office/drawing/2014/chart" uri="{C3380CC4-5D6E-409C-BE32-E72D297353CC}">
              <c16:uniqueId val="{0000000A-DC78-4F3A-BCE1-C4468C93D069}"/>
            </c:ext>
          </c:extLst>
        </c:ser>
        <c:ser>
          <c:idx val="5"/>
          <c:order val="5"/>
          <c:tx>
            <c:strRef>
              <c:f>'S0 EU Serbia'!$AH$39</c:f>
              <c:strCache>
                <c:ptCount val="1"/>
                <c:pt idx="0">
                  <c:v>S0 праг</c:v>
                </c:pt>
              </c:strCache>
            </c:strRef>
          </c:tx>
          <c:spPr>
            <a:ln w="22225" cap="rnd">
              <a:solidFill>
                <a:schemeClr val="tx1"/>
              </a:solidFill>
              <a:prstDash val="dash"/>
              <a:round/>
            </a:ln>
            <a:effectLst/>
          </c:spPr>
          <c:marker>
            <c:symbol val="none"/>
          </c:marker>
          <c:cat>
            <c:numRef>
              <c:f>'S0 EU Serbia'!$AB$43:$AB$48</c:f>
              <c:numCache>
                <c:formatCode>General</c:formatCode>
                <c:ptCount val="6"/>
                <c:pt idx="0">
                  <c:v>2015</c:v>
                </c:pt>
                <c:pt idx="1">
                  <c:v>2016</c:v>
                </c:pt>
                <c:pt idx="2">
                  <c:v>2017</c:v>
                </c:pt>
                <c:pt idx="3">
                  <c:v>2018</c:v>
                </c:pt>
                <c:pt idx="4">
                  <c:v>2019</c:v>
                </c:pt>
                <c:pt idx="5">
                  <c:v>2020</c:v>
                </c:pt>
              </c:numCache>
            </c:numRef>
          </c:cat>
          <c:val>
            <c:numRef>
              <c:f>'S0 EU Serbia'!$AH$43:$AH$48</c:f>
              <c:numCache>
                <c:formatCode>General</c:formatCode>
                <c:ptCount val="6"/>
                <c:pt idx="0">
                  <c:v>0.46</c:v>
                </c:pt>
                <c:pt idx="1">
                  <c:v>0.46</c:v>
                </c:pt>
                <c:pt idx="2">
                  <c:v>0.46</c:v>
                </c:pt>
                <c:pt idx="3">
                  <c:v>0.46</c:v>
                </c:pt>
                <c:pt idx="4">
                  <c:v>0.46</c:v>
                </c:pt>
                <c:pt idx="5">
                  <c:v>0.46</c:v>
                </c:pt>
              </c:numCache>
            </c:numRef>
          </c:val>
          <c:smooth val="0"/>
          <c:extLst>
            <c:ext xmlns:c16="http://schemas.microsoft.com/office/drawing/2014/chart" uri="{C3380CC4-5D6E-409C-BE32-E72D297353CC}">
              <c16:uniqueId val="{0000000B-DC78-4F3A-BCE1-C4468C93D069}"/>
            </c:ext>
          </c:extLst>
        </c:ser>
        <c:dLbls>
          <c:showLegendKey val="0"/>
          <c:showVal val="0"/>
          <c:showCatName val="0"/>
          <c:showSerName val="0"/>
          <c:showPercent val="0"/>
          <c:showBubbleSize val="0"/>
        </c:dLbls>
        <c:marker val="1"/>
        <c:smooth val="0"/>
        <c:axId val="-486944112"/>
        <c:axId val="-486944656"/>
      </c:lineChart>
      <c:catAx>
        <c:axId val="-486944112"/>
        <c:scaling>
          <c:orientation val="minMax"/>
        </c:scaling>
        <c:delete val="0"/>
        <c:axPos val="b"/>
        <c:numFmt formatCode="General" sourceLinked="1"/>
        <c:majorTickMark val="none"/>
        <c:minorTickMark val="none"/>
        <c:tickLblPos val="nextTo"/>
        <c:spPr>
          <a:noFill/>
          <a:ln w="6350" cap="flat" cmpd="sng" algn="ctr">
            <a:solidFill>
              <a:srgbClr val="44546A"/>
            </a:solidFill>
            <a:round/>
          </a:ln>
          <a:effectLst/>
        </c:spPr>
        <c:txPr>
          <a:bodyPr rot="-60000000" spcFirstLastPara="1" vertOverflow="ellipsis" vert="horz" wrap="square" anchor="ctr" anchorCtr="1"/>
          <a:lstStyle/>
          <a:p>
            <a:pPr>
              <a:defRPr sz="700" b="0" i="0" u="none" strike="noStrike" kern="1200" baseline="0">
                <a:solidFill>
                  <a:srgbClr val="44546A"/>
                </a:solidFill>
                <a:latin typeface="+mj-lt"/>
                <a:ea typeface="+mn-ea"/>
                <a:cs typeface="+mn-cs"/>
              </a:defRPr>
            </a:pPr>
            <a:endParaRPr lang="en-US"/>
          </a:p>
        </c:txPr>
        <c:crossAx val="-486944656"/>
        <c:crosses val="autoZero"/>
        <c:auto val="1"/>
        <c:lblAlgn val="ctr"/>
        <c:lblOffset val="100"/>
        <c:noMultiLvlLbl val="0"/>
      </c:catAx>
      <c:valAx>
        <c:axId val="-486944656"/>
        <c:scaling>
          <c:orientation val="minMax"/>
          <c:max val="0.70000000000000007"/>
        </c:scaling>
        <c:delete val="0"/>
        <c:axPos val="l"/>
        <c:numFmt formatCode="#,##0.00" sourceLinked="0"/>
        <c:majorTickMark val="out"/>
        <c:minorTickMark val="none"/>
        <c:tickLblPos val="nextTo"/>
        <c:spPr>
          <a:noFill/>
          <a:ln w="6350">
            <a:noFill/>
          </a:ln>
          <a:effectLst/>
        </c:spPr>
        <c:txPr>
          <a:bodyPr rot="-60000000" spcFirstLastPara="1" vertOverflow="ellipsis" vert="horz" wrap="square" anchor="ctr" anchorCtr="1"/>
          <a:lstStyle/>
          <a:p>
            <a:pPr>
              <a:defRPr sz="700" b="0" i="0" u="none" strike="noStrike" kern="1200" baseline="0">
                <a:solidFill>
                  <a:srgbClr val="44546A"/>
                </a:solidFill>
                <a:latin typeface="+mj-lt"/>
                <a:ea typeface="+mn-ea"/>
                <a:cs typeface="+mn-cs"/>
              </a:defRPr>
            </a:pPr>
            <a:endParaRPr lang="en-US"/>
          </a:p>
        </c:txPr>
        <c:crossAx val="-486944112"/>
        <c:crossesAt val="1"/>
        <c:crossBetween val="between"/>
      </c:valAx>
      <c:spPr>
        <a:noFill/>
        <a:ln>
          <a:noFill/>
        </a:ln>
        <a:effectLst/>
      </c:spPr>
    </c:plotArea>
    <c:legend>
      <c:legendPos val="b"/>
      <c:layout>
        <c:manualLayout>
          <c:xMode val="edge"/>
          <c:yMode val="edge"/>
          <c:x val="2.930789712720251E-4"/>
          <c:y val="0.70762012921461737"/>
          <c:w val="0.99970692102872794"/>
          <c:h val="0.26440616797900257"/>
        </c:manualLayout>
      </c:layout>
      <c:overlay val="0"/>
      <c:spPr>
        <a:noFill/>
        <a:ln>
          <a:noFill/>
        </a:ln>
        <a:effectLst/>
      </c:spPr>
      <c:txPr>
        <a:bodyPr rot="0" spcFirstLastPara="1" vertOverflow="ellipsis" vert="horz" wrap="square" anchor="ctr" anchorCtr="1"/>
        <a:lstStyle/>
        <a:p>
          <a:pPr>
            <a:defRPr sz="700" b="0" i="0" u="none" strike="noStrike" kern="1200" baseline="0">
              <a:solidFill>
                <a:srgbClr val="44546A"/>
              </a:solidFill>
              <a:latin typeface="+mj-lt"/>
              <a:ea typeface="+mn-ea"/>
              <a:cs typeface="+mn-cs"/>
            </a:defRPr>
          </a:pPr>
          <a:endParaRPr lang="en-US"/>
        </a:p>
      </c:txPr>
    </c:legend>
    <c:plotVisOnly val="1"/>
    <c:dispBlanksAs val="gap"/>
    <c:showDLblsOverMax val="0"/>
  </c:chart>
  <c:spPr>
    <a:noFill/>
    <a:ln w="9525" cap="flat" cmpd="sng" algn="ctr">
      <a:noFill/>
      <a:round/>
    </a:ln>
    <a:effectLst/>
  </c:spPr>
  <c:txPr>
    <a:bodyPr/>
    <a:lstStyle/>
    <a:p>
      <a:pPr>
        <a:defRPr/>
      </a:pPr>
      <a:endParaRPr lang="en-US"/>
    </a:p>
  </c:txPr>
  <c:externalData r:id="rId4">
    <c:autoUpdate val="0"/>
  </c:externalData>
</c:chartSpace>
</file>

<file path=word/charts/chart5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spc="0" baseline="0">
                <a:solidFill>
                  <a:srgbClr val="002060"/>
                </a:solidFill>
                <a:latin typeface="+mn-lt"/>
                <a:ea typeface="+mn-ea"/>
                <a:cs typeface="Calibri Light" panose="020F0302020204030204" pitchFamily="34" charset="0"/>
              </a:defRPr>
            </a:pPr>
            <a:r>
              <a:rPr lang="en-US" sz="1000" b="1" i="0">
                <a:solidFill>
                  <a:srgbClr val="002060"/>
                </a:solidFill>
                <a:latin typeface="+mn-lt"/>
                <a:cs typeface="Calibri Light" panose="020F0302020204030204" pitchFamily="34" charset="0"/>
              </a:rPr>
              <a:t>S0</a:t>
            </a:r>
            <a:r>
              <a:rPr lang="en-US" sz="1000" b="1" i="0" baseline="0">
                <a:solidFill>
                  <a:srgbClr val="002060"/>
                </a:solidFill>
                <a:latin typeface="+mn-lt"/>
                <a:cs typeface="Calibri Light" panose="020F0302020204030204" pitchFamily="34" charset="0"/>
              </a:rPr>
              <a:t> </a:t>
            </a:r>
            <a:r>
              <a:rPr lang="sr-Cyrl-RS" sz="1000" b="1" i="0" baseline="0">
                <a:solidFill>
                  <a:srgbClr val="002060"/>
                </a:solidFill>
                <a:latin typeface="+mn-lt"/>
                <a:cs typeface="Calibri Light" panose="020F0302020204030204" pitchFamily="34" charset="0"/>
              </a:rPr>
              <a:t>земље ЕУ и Србија</a:t>
            </a:r>
            <a:endParaRPr lang="sr-Cyrl-RS" sz="1000" b="1" i="0">
              <a:solidFill>
                <a:srgbClr val="002060"/>
              </a:solidFill>
              <a:latin typeface="+mn-lt"/>
              <a:cs typeface="Calibri Light" panose="020F0302020204030204" pitchFamily="34" charset="0"/>
            </a:endParaRPr>
          </a:p>
        </c:rich>
      </c:tx>
      <c:layout>
        <c:manualLayout>
          <c:xMode val="edge"/>
          <c:yMode val="edge"/>
          <c:x val="0.42591783671346856"/>
          <c:y val="0.04"/>
        </c:manualLayout>
      </c:layout>
      <c:overlay val="0"/>
      <c:spPr>
        <a:noFill/>
        <a:ln>
          <a:noFill/>
        </a:ln>
        <a:effectLst/>
      </c:spPr>
      <c:txPr>
        <a:bodyPr rot="0" spcFirstLastPara="1" vertOverflow="ellipsis" vert="horz" wrap="square" anchor="ctr" anchorCtr="1"/>
        <a:lstStyle/>
        <a:p>
          <a:pPr>
            <a:defRPr sz="1000" b="1" i="0" u="none" strike="noStrike" kern="1200" spc="0" baseline="0">
              <a:solidFill>
                <a:srgbClr val="002060"/>
              </a:solidFill>
              <a:latin typeface="+mn-lt"/>
              <a:ea typeface="+mn-ea"/>
              <a:cs typeface="Calibri Light" panose="020F0302020204030204" pitchFamily="34" charset="0"/>
            </a:defRPr>
          </a:pPr>
          <a:endParaRPr lang="en-US"/>
        </a:p>
      </c:txPr>
    </c:title>
    <c:autoTitleDeleted val="0"/>
    <c:plotArea>
      <c:layout>
        <c:manualLayout>
          <c:layoutTarget val="inner"/>
          <c:xMode val="edge"/>
          <c:yMode val="edge"/>
          <c:x val="7.0140553174856415E-2"/>
          <c:y val="0.13775301764159703"/>
          <c:w val="0.89795062064282105"/>
          <c:h val="0.4716665570007092"/>
        </c:manualLayout>
      </c:layout>
      <c:barChart>
        <c:barDir val="col"/>
        <c:grouping val="clustered"/>
        <c:varyColors val="0"/>
        <c:ser>
          <c:idx val="4"/>
          <c:order val="6"/>
          <c:tx>
            <c:strRef>
              <c:f>'S0 EU Serbia'!$U$2</c:f>
              <c:strCache>
                <c:ptCount val="1"/>
                <c:pt idx="0">
                  <c:v>S0 2019</c:v>
                </c:pt>
              </c:strCache>
            </c:strRef>
          </c:tx>
          <c:spPr>
            <a:solidFill>
              <a:schemeClr val="accent5"/>
            </a:solidFill>
            <a:ln>
              <a:noFill/>
            </a:ln>
            <a:effectLst/>
          </c:spPr>
          <c:invertIfNegative val="0"/>
          <c:val>
            <c:numRef>
              <c:f>'S0 EU Serbia'!$U$3:$U$29</c:f>
              <c:numCache>
                <c:formatCode>0.00</c:formatCode>
                <c:ptCount val="27"/>
                <c:pt idx="0">
                  <c:v>0.1</c:v>
                </c:pt>
                <c:pt idx="1">
                  <c:v>0.17</c:v>
                </c:pt>
                <c:pt idx="2">
                  <c:v>0.21</c:v>
                </c:pt>
                <c:pt idx="3">
                  <c:v>0.22</c:v>
                </c:pt>
                <c:pt idx="4">
                  <c:v>0.24</c:v>
                </c:pt>
                <c:pt idx="5">
                  <c:v>0.45</c:v>
                </c:pt>
                <c:pt idx="6">
                  <c:v>0.2</c:v>
                </c:pt>
                <c:pt idx="7">
                  <c:v>0.2</c:v>
                </c:pt>
                <c:pt idx="8">
                  <c:v>0.26</c:v>
                </c:pt>
                <c:pt idx="9">
                  <c:v>0.36</c:v>
                </c:pt>
                <c:pt idx="10">
                  <c:v>0.08</c:v>
                </c:pt>
                <c:pt idx="11">
                  <c:v>0.28999999999999998</c:v>
                </c:pt>
                <c:pt idx="12">
                  <c:v>0.14000000000000001</c:v>
                </c:pt>
                <c:pt idx="13">
                  <c:v>0.33</c:v>
                </c:pt>
                <c:pt idx="14">
                  <c:v>0.24</c:v>
                </c:pt>
                <c:pt idx="15">
                  <c:v>0.21</c:v>
                </c:pt>
                <c:pt idx="16">
                  <c:v>0.19</c:v>
                </c:pt>
                <c:pt idx="17">
                  <c:v>0.06</c:v>
                </c:pt>
                <c:pt idx="18">
                  <c:v>0.16</c:v>
                </c:pt>
                <c:pt idx="19">
                  <c:v>0.26</c:v>
                </c:pt>
                <c:pt idx="20">
                  <c:v>0.33</c:v>
                </c:pt>
                <c:pt idx="21">
                  <c:v>0.37</c:v>
                </c:pt>
                <c:pt idx="22">
                  <c:v>0.17745302713987476</c:v>
                </c:pt>
                <c:pt idx="23">
                  <c:v>0.27</c:v>
                </c:pt>
                <c:pt idx="24">
                  <c:v>0.05</c:v>
                </c:pt>
                <c:pt idx="25">
                  <c:v>0.37</c:v>
                </c:pt>
                <c:pt idx="26">
                  <c:v>0.24</c:v>
                </c:pt>
              </c:numCache>
            </c:numRef>
          </c:val>
          <c:extLst>
            <c:ext xmlns:c16="http://schemas.microsoft.com/office/drawing/2014/chart" uri="{C3380CC4-5D6E-409C-BE32-E72D297353CC}">
              <c16:uniqueId val="{00000000-C8BD-4412-B712-47FE3F6281FE}"/>
            </c:ext>
          </c:extLst>
        </c:ser>
        <c:ser>
          <c:idx val="5"/>
          <c:order val="7"/>
          <c:tx>
            <c:strRef>
              <c:f>'S0 EU Serbia'!$X$2</c:f>
              <c:strCache>
                <c:ptCount val="1"/>
                <c:pt idx="0">
                  <c:v>S0 2020</c:v>
                </c:pt>
              </c:strCache>
            </c:strRef>
          </c:tx>
          <c:spPr>
            <a:solidFill>
              <a:srgbClr val="7030A0"/>
            </a:solidFill>
            <a:ln>
              <a:noFill/>
            </a:ln>
            <a:effectLst/>
          </c:spPr>
          <c:invertIfNegative val="0"/>
          <c:val>
            <c:numRef>
              <c:f>'S0 EU Serbia'!$X$3:$X$29</c:f>
              <c:numCache>
                <c:formatCode>0.00</c:formatCode>
                <c:ptCount val="27"/>
                <c:pt idx="0">
                  <c:v>0.4</c:v>
                </c:pt>
                <c:pt idx="1">
                  <c:v>0.48</c:v>
                </c:pt>
                <c:pt idx="2">
                  <c:v>0.35</c:v>
                </c:pt>
                <c:pt idx="3">
                  <c:v>0.37</c:v>
                </c:pt>
                <c:pt idx="4">
                  <c:v>0.61</c:v>
                </c:pt>
                <c:pt idx="5">
                  <c:v>0.64</c:v>
                </c:pt>
                <c:pt idx="6">
                  <c:v>0.41</c:v>
                </c:pt>
                <c:pt idx="7">
                  <c:v>0.33</c:v>
                </c:pt>
                <c:pt idx="8">
                  <c:v>0.49</c:v>
                </c:pt>
                <c:pt idx="9">
                  <c:v>0.55000000000000004</c:v>
                </c:pt>
                <c:pt idx="10">
                  <c:v>0.37</c:v>
                </c:pt>
                <c:pt idx="11">
                  <c:v>0.46</c:v>
                </c:pt>
                <c:pt idx="12">
                  <c:v>0.42</c:v>
                </c:pt>
                <c:pt idx="13">
                  <c:v>0.48</c:v>
                </c:pt>
                <c:pt idx="14">
                  <c:v>0.48</c:v>
                </c:pt>
                <c:pt idx="15">
                  <c:v>0.37</c:v>
                </c:pt>
                <c:pt idx="16">
                  <c:v>0.3</c:v>
                </c:pt>
                <c:pt idx="17">
                  <c:v>0.28999999999999998</c:v>
                </c:pt>
                <c:pt idx="18">
                  <c:v>0.39</c:v>
                </c:pt>
                <c:pt idx="19">
                  <c:v>0.45</c:v>
                </c:pt>
                <c:pt idx="20">
                  <c:v>0.61</c:v>
                </c:pt>
                <c:pt idx="21">
                  <c:v>0.49</c:v>
                </c:pt>
                <c:pt idx="22">
                  <c:v>0.4425887265135699</c:v>
                </c:pt>
                <c:pt idx="23">
                  <c:v>0.54</c:v>
                </c:pt>
                <c:pt idx="24">
                  <c:v>0.43</c:v>
                </c:pt>
                <c:pt idx="25">
                  <c:v>0.5</c:v>
                </c:pt>
                <c:pt idx="26">
                  <c:v>0.32</c:v>
                </c:pt>
              </c:numCache>
            </c:numRef>
          </c:val>
          <c:extLst>
            <c:ext xmlns:c16="http://schemas.microsoft.com/office/drawing/2014/chart" uri="{C3380CC4-5D6E-409C-BE32-E72D297353CC}">
              <c16:uniqueId val="{00000001-C8BD-4412-B712-47FE3F6281FE}"/>
            </c:ext>
          </c:extLst>
        </c:ser>
        <c:dLbls>
          <c:showLegendKey val="0"/>
          <c:showVal val="0"/>
          <c:showCatName val="0"/>
          <c:showSerName val="0"/>
          <c:showPercent val="0"/>
          <c:showBubbleSize val="0"/>
        </c:dLbls>
        <c:gapWidth val="150"/>
        <c:axId val="-486950096"/>
        <c:axId val="-486949552"/>
        <c:extLst>
          <c:ext xmlns:c15="http://schemas.microsoft.com/office/drawing/2012/chart" uri="{02D57815-91ED-43cb-92C2-25804820EDAC}">
            <c15:filteredBarSeries>
              <c15:ser>
                <c:idx val="6"/>
                <c:order val="2"/>
                <c:tx>
                  <c:strRef>
                    <c:extLst>
                      <c:ext uri="{02D57815-91ED-43cb-92C2-25804820EDAC}">
                        <c15:formulaRef>
                          <c15:sqref>'S0 EU Serbia'!$I$2</c15:sqref>
                        </c15:formulaRef>
                      </c:ext>
                    </c:extLst>
                    <c:strCache>
                      <c:ptCount val="1"/>
                      <c:pt idx="0">
                        <c:v>S0
2015</c:v>
                      </c:pt>
                    </c:strCache>
                  </c:strRef>
                </c:tx>
                <c:spPr>
                  <a:solidFill>
                    <a:schemeClr val="accent2"/>
                  </a:solidFill>
                  <a:ln>
                    <a:noFill/>
                  </a:ln>
                  <a:effectLst/>
                </c:spPr>
                <c:invertIfNegative val="0"/>
                <c:cat>
                  <c:strRef>
                    <c:extLst>
                      <c:ext uri="{02D57815-91ED-43cb-92C2-25804820EDAC}">
                        <c15:formulaRef>
                          <c15:sqref>'S0 EU Serbia'!$A$3:$A$31</c15:sqref>
                        </c15:formulaRef>
                      </c:ext>
                    </c:extLst>
                    <c:strCache>
                      <c:ptCount val="28"/>
                      <c:pt idx="0">
                        <c:v>Аустрија</c:v>
                      </c:pt>
                      <c:pt idx="1">
                        <c:v>Белгија</c:v>
                      </c:pt>
                      <c:pt idx="2">
                        <c:v>Бугарска</c:v>
                      </c:pt>
                      <c:pt idx="3">
                        <c:v>Чешка</c:v>
                      </c:pt>
                      <c:pt idx="4">
                        <c:v>Хрватска</c:v>
                      </c:pt>
                      <c:pt idx="5">
                        <c:v>Кипар</c:v>
                      </c:pt>
                      <c:pt idx="6">
                        <c:v>Данска</c:v>
                      </c:pt>
                      <c:pt idx="7">
                        <c:v>Естонија</c:v>
                      </c:pt>
                      <c:pt idx="8">
                        <c:v>Финска</c:v>
                      </c:pt>
                      <c:pt idx="9">
                        <c:v>Француска</c:v>
                      </c:pt>
                      <c:pt idx="10">
                        <c:v>Немачка</c:v>
                      </c:pt>
                      <c:pt idx="11">
                        <c:v>Мађарска</c:v>
                      </c:pt>
                      <c:pt idx="12">
                        <c:v>Ирска</c:v>
                      </c:pt>
                      <c:pt idx="13">
                        <c:v>Италија</c:v>
                      </c:pt>
                      <c:pt idx="14">
                        <c:v>Летонија</c:v>
                      </c:pt>
                      <c:pt idx="15">
                        <c:v>Литванија</c:v>
                      </c:pt>
                      <c:pt idx="16">
                        <c:v>Луксембург</c:v>
                      </c:pt>
                      <c:pt idx="17">
                        <c:v>Малта</c:v>
                      </c:pt>
                      <c:pt idx="18">
                        <c:v>Холандија</c:v>
                      </c:pt>
                      <c:pt idx="19">
                        <c:v>Пољска</c:v>
                      </c:pt>
                      <c:pt idx="20">
                        <c:v>Португал</c:v>
                      </c:pt>
                      <c:pt idx="21">
                        <c:v>Румунија</c:v>
                      </c:pt>
                      <c:pt idx="22">
                        <c:v>Србија</c:v>
                      </c:pt>
                      <c:pt idx="23">
                        <c:v>Словачка</c:v>
                      </c:pt>
                      <c:pt idx="24">
                        <c:v>Словенија</c:v>
                      </c:pt>
                      <c:pt idx="25">
                        <c:v>Шпанија</c:v>
                      </c:pt>
                      <c:pt idx="26">
                        <c:v>Шведска</c:v>
                      </c:pt>
                      <c:pt idx="27">
                        <c:v>Уједињено Краљевство</c:v>
                      </c:pt>
                    </c:strCache>
                  </c:strRef>
                </c:cat>
                <c:val>
                  <c:numRef>
                    <c:extLst>
                      <c:ext uri="{02D57815-91ED-43cb-92C2-25804820EDAC}">
                        <c15:formulaRef>
                          <c15:sqref>'S0 EU Serbia'!$I$3:$I$31</c15:sqref>
                        </c15:formulaRef>
                      </c:ext>
                    </c:extLst>
                    <c:numCache>
                      <c:formatCode>0.00</c:formatCode>
                      <c:ptCount val="29"/>
                      <c:pt idx="0">
                        <c:v>7.0000000000000007E-2</c:v>
                      </c:pt>
                      <c:pt idx="1">
                        <c:v>0.1</c:v>
                      </c:pt>
                      <c:pt idx="2">
                        <c:v>0.21</c:v>
                      </c:pt>
                      <c:pt idx="3">
                        <c:v>0.11</c:v>
                      </c:pt>
                      <c:pt idx="4">
                        <c:v>0.26</c:v>
                      </c:pt>
                      <c:pt idx="6">
                        <c:v>0.25</c:v>
                      </c:pt>
                      <c:pt idx="7">
                        <c:v>0.19</c:v>
                      </c:pt>
                      <c:pt idx="8">
                        <c:v>0.22</c:v>
                      </c:pt>
                      <c:pt idx="9">
                        <c:v>0.17</c:v>
                      </c:pt>
                      <c:pt idx="10">
                        <c:v>0.02</c:v>
                      </c:pt>
                      <c:pt idx="11">
                        <c:v>0.16</c:v>
                      </c:pt>
                      <c:pt idx="12">
                        <c:v>0.38</c:v>
                      </c:pt>
                      <c:pt idx="13">
                        <c:v>0.21</c:v>
                      </c:pt>
                      <c:pt idx="14">
                        <c:v>0.34</c:v>
                      </c:pt>
                      <c:pt idx="15">
                        <c:v>0.18</c:v>
                      </c:pt>
                      <c:pt idx="16">
                        <c:v>0.09</c:v>
                      </c:pt>
                      <c:pt idx="17">
                        <c:v>0.13</c:v>
                      </c:pt>
                      <c:pt idx="18">
                        <c:v>0.19</c:v>
                      </c:pt>
                      <c:pt idx="19">
                        <c:v>0.27</c:v>
                      </c:pt>
                      <c:pt idx="20">
                        <c:v>0.24</c:v>
                      </c:pt>
                      <c:pt idx="21">
                        <c:v>0.14000000000000001</c:v>
                      </c:pt>
                      <c:pt idx="22">
                        <c:v>0.36</c:v>
                      </c:pt>
                      <c:pt idx="23">
                        <c:v>0.21</c:v>
                      </c:pt>
                      <c:pt idx="24">
                        <c:v>0.08</c:v>
                      </c:pt>
                      <c:pt idx="25">
                        <c:v>0.21</c:v>
                      </c:pt>
                      <c:pt idx="26">
                        <c:v>0.15</c:v>
                      </c:pt>
                      <c:pt idx="27">
                        <c:v>0.36</c:v>
                      </c:pt>
                    </c:numCache>
                  </c:numRef>
                </c:val>
                <c:extLst>
                  <c:ext xmlns:c16="http://schemas.microsoft.com/office/drawing/2014/chart" uri="{C3380CC4-5D6E-409C-BE32-E72D297353CC}">
                    <c16:uniqueId val="{00000005-C8BD-4412-B712-47FE3F6281FE}"/>
                  </c:ext>
                </c:extLst>
              </c15:ser>
            </c15:filteredBarSeries>
            <c15:filteredBarSeries>
              <c15:ser>
                <c:idx val="9"/>
                <c:order val="3"/>
                <c:tx>
                  <c:strRef>
                    <c:extLst xmlns:c15="http://schemas.microsoft.com/office/drawing/2012/chart">
                      <c:ext xmlns:c15="http://schemas.microsoft.com/office/drawing/2012/chart" uri="{02D57815-91ED-43cb-92C2-25804820EDAC}">
                        <c15:formulaRef>
                          <c15:sqref>'S0 EU Serbia'!$L$2</c15:sqref>
                        </c15:formulaRef>
                      </c:ext>
                    </c:extLst>
                    <c:strCache>
                      <c:ptCount val="1"/>
                      <c:pt idx="0">
                        <c:v>S0
 2016</c:v>
                      </c:pt>
                    </c:strCache>
                  </c:strRef>
                </c:tx>
                <c:spPr>
                  <a:solidFill>
                    <a:srgbClr val="7030A0"/>
                  </a:solidFill>
                  <a:ln>
                    <a:noFill/>
                  </a:ln>
                  <a:effectLst/>
                </c:spPr>
                <c:invertIfNegative val="0"/>
                <c:dPt>
                  <c:idx val="16"/>
                  <c:invertIfNegative val="0"/>
                  <c:bubble3D val="0"/>
                  <c:spPr>
                    <a:solidFill>
                      <a:srgbClr val="7F7F7F"/>
                    </a:solidFill>
                    <a:ln>
                      <a:noFill/>
                    </a:ln>
                    <a:effectLst/>
                  </c:spPr>
                  <c:extLst xmlns:c15="http://schemas.microsoft.com/office/drawing/2012/chart">
                    <c:ext xmlns:c16="http://schemas.microsoft.com/office/drawing/2014/chart" uri="{C3380CC4-5D6E-409C-BE32-E72D297353CC}">
                      <c16:uniqueId val="{00000007-C8BD-4412-B712-47FE3F6281FE}"/>
                    </c:ext>
                  </c:extLst>
                </c:dPt>
                <c:cat>
                  <c:strRef>
                    <c:extLst xmlns:c15="http://schemas.microsoft.com/office/drawing/2012/chart">
                      <c:ext xmlns:c15="http://schemas.microsoft.com/office/drawing/2012/chart" uri="{02D57815-91ED-43cb-92C2-25804820EDAC}">
                        <c15:formulaRef>
                          <c15:sqref>'S0 EU Serbia'!$A$3:$A$31</c15:sqref>
                        </c15:formulaRef>
                      </c:ext>
                    </c:extLst>
                    <c:strCache>
                      <c:ptCount val="28"/>
                      <c:pt idx="0">
                        <c:v>Аустрија</c:v>
                      </c:pt>
                      <c:pt idx="1">
                        <c:v>Белгија</c:v>
                      </c:pt>
                      <c:pt idx="2">
                        <c:v>Бугарска</c:v>
                      </c:pt>
                      <c:pt idx="3">
                        <c:v>Чешка</c:v>
                      </c:pt>
                      <c:pt idx="4">
                        <c:v>Хрватска</c:v>
                      </c:pt>
                      <c:pt idx="5">
                        <c:v>Кипар</c:v>
                      </c:pt>
                      <c:pt idx="6">
                        <c:v>Данска</c:v>
                      </c:pt>
                      <c:pt idx="7">
                        <c:v>Естонија</c:v>
                      </c:pt>
                      <c:pt idx="8">
                        <c:v>Финска</c:v>
                      </c:pt>
                      <c:pt idx="9">
                        <c:v>Француска</c:v>
                      </c:pt>
                      <c:pt idx="10">
                        <c:v>Немачка</c:v>
                      </c:pt>
                      <c:pt idx="11">
                        <c:v>Мађарска</c:v>
                      </c:pt>
                      <c:pt idx="12">
                        <c:v>Ирска</c:v>
                      </c:pt>
                      <c:pt idx="13">
                        <c:v>Италија</c:v>
                      </c:pt>
                      <c:pt idx="14">
                        <c:v>Летонија</c:v>
                      </c:pt>
                      <c:pt idx="15">
                        <c:v>Литванија</c:v>
                      </c:pt>
                      <c:pt idx="16">
                        <c:v>Луксембург</c:v>
                      </c:pt>
                      <c:pt idx="17">
                        <c:v>Малта</c:v>
                      </c:pt>
                      <c:pt idx="18">
                        <c:v>Холандија</c:v>
                      </c:pt>
                      <c:pt idx="19">
                        <c:v>Пољска</c:v>
                      </c:pt>
                      <c:pt idx="20">
                        <c:v>Португал</c:v>
                      </c:pt>
                      <c:pt idx="21">
                        <c:v>Румунија</c:v>
                      </c:pt>
                      <c:pt idx="22">
                        <c:v>Србија</c:v>
                      </c:pt>
                      <c:pt idx="23">
                        <c:v>Словачка</c:v>
                      </c:pt>
                      <c:pt idx="24">
                        <c:v>Словенија</c:v>
                      </c:pt>
                      <c:pt idx="25">
                        <c:v>Шпанија</c:v>
                      </c:pt>
                      <c:pt idx="26">
                        <c:v>Шведска</c:v>
                      </c:pt>
                      <c:pt idx="27">
                        <c:v>Уједињено Краљевство</c:v>
                      </c:pt>
                    </c:strCache>
                  </c:strRef>
                </c:cat>
                <c:val>
                  <c:numRef>
                    <c:extLst xmlns:c15="http://schemas.microsoft.com/office/drawing/2012/chart">
                      <c:ext xmlns:c15="http://schemas.microsoft.com/office/drawing/2012/chart" uri="{02D57815-91ED-43cb-92C2-25804820EDAC}">
                        <c15:formulaRef>
                          <c15:sqref>'S0 EU Serbia'!$L$3:$L$31</c15:sqref>
                        </c15:formulaRef>
                      </c:ext>
                    </c:extLst>
                    <c:numCache>
                      <c:formatCode>0.00</c:formatCode>
                      <c:ptCount val="29"/>
                      <c:pt idx="0">
                        <c:v>0.15</c:v>
                      </c:pt>
                      <c:pt idx="1">
                        <c:v>0.42</c:v>
                      </c:pt>
                      <c:pt idx="2">
                        <c:v>0.28000000000000003</c:v>
                      </c:pt>
                      <c:pt idx="3">
                        <c:v>0.19</c:v>
                      </c:pt>
                      <c:pt idx="4">
                        <c:v>0.18</c:v>
                      </c:pt>
                      <c:pt idx="5">
                        <c:v>0.41</c:v>
                      </c:pt>
                      <c:pt idx="6">
                        <c:v>0.19</c:v>
                      </c:pt>
                      <c:pt idx="7">
                        <c:v>0.25</c:v>
                      </c:pt>
                      <c:pt idx="8">
                        <c:v>0.22</c:v>
                      </c:pt>
                      <c:pt idx="9">
                        <c:v>0.31</c:v>
                      </c:pt>
                      <c:pt idx="10">
                        <c:v>0.08</c:v>
                      </c:pt>
                      <c:pt idx="11">
                        <c:v>0.31</c:v>
                      </c:pt>
                      <c:pt idx="12">
                        <c:v>0.28000000000000003</c:v>
                      </c:pt>
                      <c:pt idx="13">
                        <c:v>0.42</c:v>
                      </c:pt>
                      <c:pt idx="14">
                        <c:v>0.28999999999999998</c:v>
                      </c:pt>
                      <c:pt idx="15">
                        <c:v>0.21</c:v>
                      </c:pt>
                      <c:pt idx="16">
                        <c:v>0.28999999999999998</c:v>
                      </c:pt>
                      <c:pt idx="17">
                        <c:v>0.15</c:v>
                      </c:pt>
                      <c:pt idx="18">
                        <c:v>0.2</c:v>
                      </c:pt>
                      <c:pt idx="19">
                        <c:v>0.28999999999999998</c:v>
                      </c:pt>
                      <c:pt idx="20">
                        <c:v>0.41</c:v>
                      </c:pt>
                      <c:pt idx="21">
                        <c:v>0.26</c:v>
                      </c:pt>
                      <c:pt idx="22">
                        <c:v>0.19161676646706588</c:v>
                      </c:pt>
                      <c:pt idx="23">
                        <c:v>0.34</c:v>
                      </c:pt>
                      <c:pt idx="24">
                        <c:v>0.14000000000000001</c:v>
                      </c:pt>
                      <c:pt idx="25">
                        <c:v>0.37</c:v>
                      </c:pt>
                      <c:pt idx="26">
                        <c:v>0.12</c:v>
                      </c:pt>
                      <c:pt idx="27">
                        <c:v>0.41</c:v>
                      </c:pt>
                    </c:numCache>
                  </c:numRef>
                </c:val>
                <c:extLst xmlns:c15="http://schemas.microsoft.com/office/drawing/2012/chart">
                  <c:ext xmlns:c16="http://schemas.microsoft.com/office/drawing/2014/chart" uri="{C3380CC4-5D6E-409C-BE32-E72D297353CC}">
                    <c16:uniqueId val="{00000008-C8BD-4412-B712-47FE3F6281FE}"/>
                  </c:ext>
                </c:extLst>
              </c15:ser>
            </c15:filteredBarSeries>
            <c15:filteredBarSeries>
              <c15:ser>
                <c:idx val="0"/>
                <c:order val="4"/>
                <c:tx>
                  <c:strRef>
                    <c:extLst xmlns:c15="http://schemas.microsoft.com/office/drawing/2012/chart">
                      <c:ext xmlns:c15="http://schemas.microsoft.com/office/drawing/2012/chart" uri="{02D57815-91ED-43cb-92C2-25804820EDAC}">
                        <c15:formulaRef>
                          <c15:sqref>'S0 EU Serbia'!$O$2</c15:sqref>
                        </c15:formulaRef>
                      </c:ext>
                    </c:extLst>
                    <c:strCache>
                      <c:ptCount val="1"/>
                      <c:pt idx="0">
                        <c:v>S0 2017</c:v>
                      </c:pt>
                    </c:strCache>
                  </c:strRef>
                </c:tx>
                <c:spPr>
                  <a:solidFill>
                    <a:schemeClr val="accent1"/>
                  </a:solidFill>
                  <a:ln>
                    <a:noFill/>
                  </a:ln>
                  <a:effectLst/>
                </c:spPr>
                <c:invertIfNegative val="0"/>
                <c:cat>
                  <c:strRef>
                    <c:extLst xmlns:c15="http://schemas.microsoft.com/office/drawing/2012/chart">
                      <c:ext xmlns:c15="http://schemas.microsoft.com/office/drawing/2012/chart" uri="{02D57815-91ED-43cb-92C2-25804820EDAC}">
                        <c15:formulaRef>
                          <c15:sqref>'S0 EU Serbia'!$A$3:$A$30</c15:sqref>
                        </c15:formulaRef>
                      </c:ext>
                    </c:extLst>
                    <c:strCache>
                      <c:ptCount val="28"/>
                      <c:pt idx="0">
                        <c:v>Аустрија</c:v>
                      </c:pt>
                      <c:pt idx="1">
                        <c:v>Белгија</c:v>
                      </c:pt>
                      <c:pt idx="2">
                        <c:v>Бугарска</c:v>
                      </c:pt>
                      <c:pt idx="3">
                        <c:v>Чешка</c:v>
                      </c:pt>
                      <c:pt idx="4">
                        <c:v>Хрватска</c:v>
                      </c:pt>
                      <c:pt idx="5">
                        <c:v>Кипар</c:v>
                      </c:pt>
                      <c:pt idx="6">
                        <c:v>Данска</c:v>
                      </c:pt>
                      <c:pt idx="7">
                        <c:v>Естонија</c:v>
                      </c:pt>
                      <c:pt idx="8">
                        <c:v>Финска</c:v>
                      </c:pt>
                      <c:pt idx="9">
                        <c:v>Француска</c:v>
                      </c:pt>
                      <c:pt idx="10">
                        <c:v>Немачка</c:v>
                      </c:pt>
                      <c:pt idx="11">
                        <c:v>Мађарска</c:v>
                      </c:pt>
                      <c:pt idx="12">
                        <c:v>Ирска</c:v>
                      </c:pt>
                      <c:pt idx="13">
                        <c:v>Италија</c:v>
                      </c:pt>
                      <c:pt idx="14">
                        <c:v>Летонија</c:v>
                      </c:pt>
                      <c:pt idx="15">
                        <c:v>Литванија</c:v>
                      </c:pt>
                      <c:pt idx="16">
                        <c:v>Луксембург</c:v>
                      </c:pt>
                      <c:pt idx="17">
                        <c:v>Малта</c:v>
                      </c:pt>
                      <c:pt idx="18">
                        <c:v>Холандија</c:v>
                      </c:pt>
                      <c:pt idx="19">
                        <c:v>Пољска</c:v>
                      </c:pt>
                      <c:pt idx="20">
                        <c:v>Португал</c:v>
                      </c:pt>
                      <c:pt idx="21">
                        <c:v>Румунија</c:v>
                      </c:pt>
                      <c:pt idx="22">
                        <c:v>Србија</c:v>
                      </c:pt>
                      <c:pt idx="23">
                        <c:v>Словачка</c:v>
                      </c:pt>
                      <c:pt idx="24">
                        <c:v>Словенија</c:v>
                      </c:pt>
                      <c:pt idx="25">
                        <c:v>Шпанија</c:v>
                      </c:pt>
                      <c:pt idx="26">
                        <c:v>Шведска</c:v>
                      </c:pt>
                      <c:pt idx="27">
                        <c:v>Уједињено Краљевство</c:v>
                      </c:pt>
                    </c:strCache>
                  </c:strRef>
                </c:cat>
                <c:val>
                  <c:numRef>
                    <c:extLst xmlns:c15="http://schemas.microsoft.com/office/drawing/2012/chart">
                      <c:ext xmlns:c15="http://schemas.microsoft.com/office/drawing/2012/chart" uri="{02D57815-91ED-43cb-92C2-25804820EDAC}">
                        <c15:formulaRef>
                          <c15:sqref>'S0 EU Serbia'!$O$3:$O$30</c15:sqref>
                        </c15:formulaRef>
                      </c:ext>
                    </c:extLst>
                    <c:numCache>
                      <c:formatCode>0.00</c:formatCode>
                      <c:ptCount val="28"/>
                      <c:pt idx="0">
                        <c:v>7.0000000000000007E-2</c:v>
                      </c:pt>
                      <c:pt idx="1">
                        <c:v>0.35</c:v>
                      </c:pt>
                      <c:pt idx="2">
                        <c:v>0.25</c:v>
                      </c:pt>
                      <c:pt idx="3">
                        <c:v>0.19</c:v>
                      </c:pt>
                      <c:pt idx="4">
                        <c:v>0.2</c:v>
                      </c:pt>
                      <c:pt idx="5">
                        <c:v>0.44</c:v>
                      </c:pt>
                      <c:pt idx="6">
                        <c:v>0.3</c:v>
                      </c:pt>
                      <c:pt idx="7">
                        <c:v>0.2</c:v>
                      </c:pt>
                      <c:pt idx="8">
                        <c:v>0.1</c:v>
                      </c:pt>
                      <c:pt idx="9">
                        <c:v>0.24</c:v>
                      </c:pt>
                      <c:pt idx="10">
                        <c:v>0.08</c:v>
                      </c:pt>
                      <c:pt idx="11">
                        <c:v>0.39</c:v>
                      </c:pt>
                      <c:pt idx="12">
                        <c:v>0.28000000000000003</c:v>
                      </c:pt>
                      <c:pt idx="13">
                        <c:v>0.36</c:v>
                      </c:pt>
                      <c:pt idx="14">
                        <c:v>0.24</c:v>
                      </c:pt>
                      <c:pt idx="15">
                        <c:v>0.21</c:v>
                      </c:pt>
                      <c:pt idx="16">
                        <c:v>0.12</c:v>
                      </c:pt>
                      <c:pt idx="17">
                        <c:v>0.05</c:v>
                      </c:pt>
                      <c:pt idx="18">
                        <c:v>0.2</c:v>
                      </c:pt>
                      <c:pt idx="19">
                        <c:v>0.25</c:v>
                      </c:pt>
                      <c:pt idx="20">
                        <c:v>0.36</c:v>
                      </c:pt>
                      <c:pt idx="21">
                        <c:v>0.2</c:v>
                      </c:pt>
                      <c:pt idx="22">
                        <c:v>0.17745302713987476</c:v>
                      </c:pt>
                      <c:pt idx="23">
                        <c:v>0.3</c:v>
                      </c:pt>
                      <c:pt idx="24">
                        <c:v>0.13</c:v>
                      </c:pt>
                      <c:pt idx="25">
                        <c:v>0.37</c:v>
                      </c:pt>
                      <c:pt idx="26">
                        <c:v>0.12</c:v>
                      </c:pt>
                      <c:pt idx="27">
                        <c:v>0.42</c:v>
                      </c:pt>
                    </c:numCache>
                  </c:numRef>
                </c:val>
                <c:extLst xmlns:c15="http://schemas.microsoft.com/office/drawing/2012/chart">
                  <c:ext xmlns:c16="http://schemas.microsoft.com/office/drawing/2014/chart" uri="{C3380CC4-5D6E-409C-BE32-E72D297353CC}">
                    <c16:uniqueId val="{00000009-C8BD-4412-B712-47FE3F6281FE}"/>
                  </c:ext>
                </c:extLst>
              </c15:ser>
            </c15:filteredBarSeries>
            <c15:filteredBarSeries>
              <c15:ser>
                <c:idx val="1"/>
                <c:order val="5"/>
                <c:tx>
                  <c:strRef>
                    <c:extLst xmlns:c15="http://schemas.microsoft.com/office/drawing/2012/chart">
                      <c:ext xmlns:c15="http://schemas.microsoft.com/office/drawing/2012/chart" uri="{02D57815-91ED-43cb-92C2-25804820EDAC}">
                        <c15:formulaRef>
                          <c15:sqref>'S0 EU Serbia'!$R$2</c15:sqref>
                        </c15:formulaRef>
                      </c:ext>
                    </c:extLst>
                    <c:strCache>
                      <c:ptCount val="1"/>
                      <c:pt idx="0">
                        <c:v>S0 2018</c:v>
                      </c:pt>
                    </c:strCache>
                  </c:strRef>
                </c:tx>
                <c:spPr>
                  <a:solidFill>
                    <a:srgbClr val="7030A0"/>
                  </a:solidFill>
                  <a:ln>
                    <a:noFill/>
                  </a:ln>
                  <a:effectLst/>
                </c:spPr>
                <c:invertIfNegative val="0"/>
                <c:cat>
                  <c:strRef>
                    <c:extLst xmlns:c15="http://schemas.microsoft.com/office/drawing/2012/chart">
                      <c:ext xmlns:c15="http://schemas.microsoft.com/office/drawing/2012/chart" uri="{02D57815-91ED-43cb-92C2-25804820EDAC}">
                        <c15:formulaRef>
                          <c15:sqref>'S0 EU Serbia'!$A$3:$A$30</c15:sqref>
                        </c15:formulaRef>
                      </c:ext>
                    </c:extLst>
                    <c:strCache>
                      <c:ptCount val="28"/>
                      <c:pt idx="0">
                        <c:v>Аустрија</c:v>
                      </c:pt>
                      <c:pt idx="1">
                        <c:v>Белгија</c:v>
                      </c:pt>
                      <c:pt idx="2">
                        <c:v>Бугарска</c:v>
                      </c:pt>
                      <c:pt idx="3">
                        <c:v>Чешка</c:v>
                      </c:pt>
                      <c:pt idx="4">
                        <c:v>Хрватска</c:v>
                      </c:pt>
                      <c:pt idx="5">
                        <c:v>Кипар</c:v>
                      </c:pt>
                      <c:pt idx="6">
                        <c:v>Данска</c:v>
                      </c:pt>
                      <c:pt idx="7">
                        <c:v>Естонија</c:v>
                      </c:pt>
                      <c:pt idx="8">
                        <c:v>Финска</c:v>
                      </c:pt>
                      <c:pt idx="9">
                        <c:v>Француска</c:v>
                      </c:pt>
                      <c:pt idx="10">
                        <c:v>Немачка</c:v>
                      </c:pt>
                      <c:pt idx="11">
                        <c:v>Мађарска</c:v>
                      </c:pt>
                      <c:pt idx="12">
                        <c:v>Ирска</c:v>
                      </c:pt>
                      <c:pt idx="13">
                        <c:v>Италија</c:v>
                      </c:pt>
                      <c:pt idx="14">
                        <c:v>Летонија</c:v>
                      </c:pt>
                      <c:pt idx="15">
                        <c:v>Литванија</c:v>
                      </c:pt>
                      <c:pt idx="16">
                        <c:v>Луксембург</c:v>
                      </c:pt>
                      <c:pt idx="17">
                        <c:v>Малта</c:v>
                      </c:pt>
                      <c:pt idx="18">
                        <c:v>Холандија</c:v>
                      </c:pt>
                      <c:pt idx="19">
                        <c:v>Пољска</c:v>
                      </c:pt>
                      <c:pt idx="20">
                        <c:v>Португал</c:v>
                      </c:pt>
                      <c:pt idx="21">
                        <c:v>Румунија</c:v>
                      </c:pt>
                      <c:pt idx="22">
                        <c:v>Србија</c:v>
                      </c:pt>
                      <c:pt idx="23">
                        <c:v>Словачка</c:v>
                      </c:pt>
                      <c:pt idx="24">
                        <c:v>Словенија</c:v>
                      </c:pt>
                      <c:pt idx="25">
                        <c:v>Шпанија</c:v>
                      </c:pt>
                      <c:pt idx="26">
                        <c:v>Шведска</c:v>
                      </c:pt>
                      <c:pt idx="27">
                        <c:v>Уједињено Краљевство</c:v>
                      </c:pt>
                    </c:strCache>
                  </c:strRef>
                </c:cat>
                <c:val>
                  <c:numRef>
                    <c:extLst xmlns:c15="http://schemas.microsoft.com/office/drawing/2012/chart">
                      <c:ext xmlns:c15="http://schemas.microsoft.com/office/drawing/2012/chart" uri="{02D57815-91ED-43cb-92C2-25804820EDAC}">
                        <c15:formulaRef>
                          <c15:sqref>'S0 EU Serbia'!$R$3:$R$30</c15:sqref>
                        </c15:formulaRef>
                      </c:ext>
                    </c:extLst>
                    <c:numCache>
                      <c:formatCode>0.00</c:formatCode>
                      <c:ptCount val="28"/>
                      <c:pt idx="0">
                        <c:v>0.03</c:v>
                      </c:pt>
                      <c:pt idx="1">
                        <c:v>0.22</c:v>
                      </c:pt>
                      <c:pt idx="2">
                        <c:v>0.19</c:v>
                      </c:pt>
                      <c:pt idx="3">
                        <c:v>0.18</c:v>
                      </c:pt>
                      <c:pt idx="4">
                        <c:v>0.24</c:v>
                      </c:pt>
                      <c:pt idx="5">
                        <c:v>0.46</c:v>
                      </c:pt>
                      <c:pt idx="6">
                        <c:v>0.12</c:v>
                      </c:pt>
                      <c:pt idx="7">
                        <c:v>0.17</c:v>
                      </c:pt>
                      <c:pt idx="8">
                        <c:v>0.14000000000000001</c:v>
                      </c:pt>
                      <c:pt idx="9">
                        <c:v>0.28999999999999998</c:v>
                      </c:pt>
                      <c:pt idx="10">
                        <c:v>0</c:v>
                      </c:pt>
                      <c:pt idx="11">
                        <c:v>0.34</c:v>
                      </c:pt>
                      <c:pt idx="12">
                        <c:v>0.21</c:v>
                      </c:pt>
                      <c:pt idx="13">
                        <c:v>0.36</c:v>
                      </c:pt>
                      <c:pt idx="14">
                        <c:v>0.24</c:v>
                      </c:pt>
                      <c:pt idx="15">
                        <c:v>0.21</c:v>
                      </c:pt>
                      <c:pt idx="16">
                        <c:v>0.12</c:v>
                      </c:pt>
                      <c:pt idx="17">
                        <c:v>0.06</c:v>
                      </c:pt>
                      <c:pt idx="18">
                        <c:v>0.08</c:v>
                      </c:pt>
                      <c:pt idx="19">
                        <c:v>0.18</c:v>
                      </c:pt>
                      <c:pt idx="20">
                        <c:v>0.33</c:v>
                      </c:pt>
                      <c:pt idx="21">
                        <c:v>0.3</c:v>
                      </c:pt>
                      <c:pt idx="22">
                        <c:v>0.17745302713987476</c:v>
                      </c:pt>
                      <c:pt idx="23">
                        <c:v>0.27</c:v>
                      </c:pt>
                      <c:pt idx="24">
                        <c:v>0.13</c:v>
                      </c:pt>
                      <c:pt idx="25">
                        <c:v>0.37</c:v>
                      </c:pt>
                      <c:pt idx="26">
                        <c:v>0.2</c:v>
                      </c:pt>
                      <c:pt idx="27">
                        <c:v>0.42</c:v>
                      </c:pt>
                    </c:numCache>
                  </c:numRef>
                </c:val>
                <c:extLst xmlns:c15="http://schemas.microsoft.com/office/drawing/2012/chart">
                  <c:ext xmlns:c16="http://schemas.microsoft.com/office/drawing/2014/chart" uri="{C3380CC4-5D6E-409C-BE32-E72D297353CC}">
                    <c16:uniqueId val="{0000000A-C8BD-4412-B712-47FE3F6281FE}"/>
                  </c:ext>
                </c:extLst>
              </c15:ser>
            </c15:filteredBarSeries>
          </c:ext>
        </c:extLst>
      </c:barChart>
      <c:barChart>
        <c:barDir val="col"/>
        <c:grouping val="clustered"/>
        <c:varyColors val="0"/>
        <c:ser>
          <c:idx val="3"/>
          <c:order val="1"/>
          <c:tx>
            <c:strRef>
              <c:f>'S0 EU Serbia'!$F$2</c:f>
              <c:strCache>
                <c:ptCount val="1"/>
                <c:pt idx="0">
                  <c:v>S0
2014</c:v>
                </c:pt>
              </c:strCache>
            </c:strRef>
          </c:tx>
          <c:spPr>
            <a:solidFill>
              <a:schemeClr val="tx1"/>
            </a:solidFill>
            <a:ln w="6350">
              <a:solidFill>
                <a:schemeClr val="tx1"/>
              </a:solidFill>
            </a:ln>
            <a:effectLst/>
          </c:spPr>
          <c:invertIfNegative val="0"/>
          <c:cat>
            <c:strRef>
              <c:f>'S0 EU Serbia'!$A$3:$A$31</c:f>
              <c:strCache>
                <c:ptCount val="28"/>
                <c:pt idx="0">
                  <c:v>Аустрија</c:v>
                </c:pt>
                <c:pt idx="1">
                  <c:v>Белгија</c:v>
                </c:pt>
                <c:pt idx="2">
                  <c:v>Бугарска</c:v>
                </c:pt>
                <c:pt idx="3">
                  <c:v>Чешка</c:v>
                </c:pt>
                <c:pt idx="4">
                  <c:v>Хрватска</c:v>
                </c:pt>
                <c:pt idx="5">
                  <c:v>Кипар</c:v>
                </c:pt>
                <c:pt idx="6">
                  <c:v>Данска</c:v>
                </c:pt>
                <c:pt idx="7">
                  <c:v>Естонија</c:v>
                </c:pt>
                <c:pt idx="8">
                  <c:v>Финска</c:v>
                </c:pt>
                <c:pt idx="9">
                  <c:v>Француска</c:v>
                </c:pt>
                <c:pt idx="10">
                  <c:v>Немачка</c:v>
                </c:pt>
                <c:pt idx="11">
                  <c:v>Мађарска</c:v>
                </c:pt>
                <c:pt idx="12">
                  <c:v>Ирска</c:v>
                </c:pt>
                <c:pt idx="13">
                  <c:v>Италија</c:v>
                </c:pt>
                <c:pt idx="14">
                  <c:v>Летонија</c:v>
                </c:pt>
                <c:pt idx="15">
                  <c:v>Литванија</c:v>
                </c:pt>
                <c:pt idx="16">
                  <c:v>Луксембург</c:v>
                </c:pt>
                <c:pt idx="17">
                  <c:v>Малта</c:v>
                </c:pt>
                <c:pt idx="18">
                  <c:v>Холандија</c:v>
                </c:pt>
                <c:pt idx="19">
                  <c:v>Пољска</c:v>
                </c:pt>
                <c:pt idx="20">
                  <c:v>Португал</c:v>
                </c:pt>
                <c:pt idx="21">
                  <c:v>Румунија</c:v>
                </c:pt>
                <c:pt idx="22">
                  <c:v>Србија</c:v>
                </c:pt>
                <c:pt idx="23">
                  <c:v>Словачка</c:v>
                </c:pt>
                <c:pt idx="24">
                  <c:v>Словенија</c:v>
                </c:pt>
                <c:pt idx="25">
                  <c:v>Шпанија</c:v>
                </c:pt>
                <c:pt idx="26">
                  <c:v>Шведска</c:v>
                </c:pt>
                <c:pt idx="27">
                  <c:v>Уједињено Краљевство</c:v>
                </c:pt>
              </c:strCache>
            </c:strRef>
          </c:cat>
          <c:val>
            <c:numRef>
              <c:f>'S0 EU Serbia'!$F$3:$F$31</c:f>
            </c:numRef>
          </c:val>
          <c:extLst>
            <c:ext xmlns:c16="http://schemas.microsoft.com/office/drawing/2014/chart" uri="{C3380CC4-5D6E-409C-BE32-E72D297353CC}">
              <c16:uniqueId val="{00000002-C8BD-4412-B712-47FE3F6281FE}"/>
            </c:ext>
          </c:extLst>
        </c:ser>
        <c:dLbls>
          <c:showLegendKey val="0"/>
          <c:showVal val="0"/>
          <c:showCatName val="0"/>
          <c:showSerName val="0"/>
          <c:showPercent val="0"/>
          <c:showBubbleSize val="0"/>
        </c:dLbls>
        <c:gapWidth val="150"/>
        <c:axId val="-486950096"/>
        <c:axId val="-486949552"/>
      </c:barChart>
      <c:lineChart>
        <c:grouping val="standard"/>
        <c:varyColors val="0"/>
        <c:ser>
          <c:idx val="2"/>
          <c:order val="0"/>
          <c:tx>
            <c:strRef>
              <c:f>'S0 EU Serbia'!$E$1</c:f>
              <c:strCache>
                <c:ptCount val="1"/>
                <c:pt idx="0">
                  <c:v>S0 праг</c:v>
                </c:pt>
              </c:strCache>
            </c:strRef>
          </c:tx>
          <c:spPr>
            <a:ln w="22225" cap="rnd">
              <a:solidFill>
                <a:schemeClr val="tx1"/>
              </a:solidFill>
              <a:prstDash val="dash"/>
              <a:round/>
            </a:ln>
            <a:effectLst/>
          </c:spPr>
          <c:marker>
            <c:symbol val="none"/>
          </c:marker>
          <c:dLbls>
            <c:dLbl>
              <c:idx val="15"/>
              <c:layout>
                <c:manualLayout>
                  <c:x val="-2.5343339842620423E-3"/>
                  <c:y val="-9.656453110492108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8BD-4412-B712-47FE3F6281FE}"/>
                </c:ext>
              </c:extLst>
            </c:dLbl>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lumMod val="65000"/>
                        <a:lumOff val="3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15:showLeaderLines val="0"/>
              </c:ext>
            </c:extLst>
          </c:dLbls>
          <c:cat>
            <c:strRef>
              <c:f>'S0 EU Serbia'!$A$3:$A$29</c:f>
              <c:strCache>
                <c:ptCount val="27"/>
                <c:pt idx="0">
                  <c:v>Аустрија</c:v>
                </c:pt>
                <c:pt idx="1">
                  <c:v>Белгија</c:v>
                </c:pt>
                <c:pt idx="2">
                  <c:v>Бугарска</c:v>
                </c:pt>
                <c:pt idx="3">
                  <c:v>Чешка</c:v>
                </c:pt>
                <c:pt idx="4">
                  <c:v>Хрватска</c:v>
                </c:pt>
                <c:pt idx="5">
                  <c:v>Кипар</c:v>
                </c:pt>
                <c:pt idx="6">
                  <c:v>Данска</c:v>
                </c:pt>
                <c:pt idx="7">
                  <c:v>Естонија</c:v>
                </c:pt>
                <c:pt idx="8">
                  <c:v>Финска</c:v>
                </c:pt>
                <c:pt idx="9">
                  <c:v>Француска</c:v>
                </c:pt>
                <c:pt idx="10">
                  <c:v>Немачка</c:v>
                </c:pt>
                <c:pt idx="11">
                  <c:v>Мађарска</c:v>
                </c:pt>
                <c:pt idx="12">
                  <c:v>Ирска</c:v>
                </c:pt>
                <c:pt idx="13">
                  <c:v>Италија</c:v>
                </c:pt>
                <c:pt idx="14">
                  <c:v>Летонија</c:v>
                </c:pt>
                <c:pt idx="15">
                  <c:v>Литванија</c:v>
                </c:pt>
                <c:pt idx="16">
                  <c:v>Луксембург</c:v>
                </c:pt>
                <c:pt idx="17">
                  <c:v>Малта</c:v>
                </c:pt>
                <c:pt idx="18">
                  <c:v>Холандија</c:v>
                </c:pt>
                <c:pt idx="19">
                  <c:v>Пољска</c:v>
                </c:pt>
                <c:pt idx="20">
                  <c:v>Португал</c:v>
                </c:pt>
                <c:pt idx="21">
                  <c:v>Румунија</c:v>
                </c:pt>
                <c:pt idx="22">
                  <c:v>Србија</c:v>
                </c:pt>
                <c:pt idx="23">
                  <c:v>Словачка</c:v>
                </c:pt>
                <c:pt idx="24">
                  <c:v>Словенија</c:v>
                </c:pt>
                <c:pt idx="25">
                  <c:v>Шпанија</c:v>
                </c:pt>
                <c:pt idx="26">
                  <c:v>Шведска</c:v>
                </c:pt>
              </c:strCache>
            </c:strRef>
          </c:cat>
          <c:val>
            <c:numRef>
              <c:f>'S0 EU Serbia'!$E$3:$E$29</c:f>
              <c:numCache>
                <c:formatCode>0.00</c:formatCode>
                <c:ptCount val="27"/>
                <c:pt idx="0">
                  <c:v>0.46</c:v>
                </c:pt>
                <c:pt idx="1">
                  <c:v>0.46</c:v>
                </c:pt>
                <c:pt idx="2">
                  <c:v>0.46</c:v>
                </c:pt>
                <c:pt idx="3">
                  <c:v>0.46</c:v>
                </c:pt>
                <c:pt idx="4">
                  <c:v>0.46</c:v>
                </c:pt>
                <c:pt idx="5">
                  <c:v>0.46</c:v>
                </c:pt>
                <c:pt idx="6">
                  <c:v>0.46</c:v>
                </c:pt>
                <c:pt idx="7">
                  <c:v>0.46</c:v>
                </c:pt>
                <c:pt idx="8">
                  <c:v>0.46</c:v>
                </c:pt>
                <c:pt idx="9">
                  <c:v>0.46</c:v>
                </c:pt>
                <c:pt idx="10">
                  <c:v>0.46</c:v>
                </c:pt>
                <c:pt idx="11">
                  <c:v>0.46</c:v>
                </c:pt>
                <c:pt idx="12">
                  <c:v>0.46</c:v>
                </c:pt>
                <c:pt idx="13">
                  <c:v>0.46</c:v>
                </c:pt>
                <c:pt idx="14">
                  <c:v>0.46</c:v>
                </c:pt>
                <c:pt idx="15">
                  <c:v>0.46</c:v>
                </c:pt>
                <c:pt idx="16">
                  <c:v>0.46</c:v>
                </c:pt>
                <c:pt idx="17">
                  <c:v>0.46</c:v>
                </c:pt>
                <c:pt idx="18">
                  <c:v>0.46</c:v>
                </c:pt>
                <c:pt idx="19">
                  <c:v>0.46</c:v>
                </c:pt>
                <c:pt idx="20">
                  <c:v>0.46</c:v>
                </c:pt>
                <c:pt idx="21">
                  <c:v>0.46</c:v>
                </c:pt>
                <c:pt idx="22">
                  <c:v>0.46</c:v>
                </c:pt>
                <c:pt idx="23">
                  <c:v>0.46</c:v>
                </c:pt>
                <c:pt idx="24">
                  <c:v>0.46</c:v>
                </c:pt>
                <c:pt idx="25">
                  <c:v>0.46</c:v>
                </c:pt>
                <c:pt idx="26">
                  <c:v>0.46</c:v>
                </c:pt>
              </c:numCache>
            </c:numRef>
          </c:val>
          <c:smooth val="0"/>
          <c:extLst>
            <c:ext xmlns:c16="http://schemas.microsoft.com/office/drawing/2014/chart" uri="{C3380CC4-5D6E-409C-BE32-E72D297353CC}">
              <c16:uniqueId val="{00000004-C8BD-4412-B712-47FE3F6281FE}"/>
            </c:ext>
          </c:extLst>
        </c:ser>
        <c:dLbls>
          <c:showLegendKey val="0"/>
          <c:showVal val="0"/>
          <c:showCatName val="0"/>
          <c:showSerName val="0"/>
          <c:showPercent val="0"/>
          <c:showBubbleSize val="0"/>
        </c:dLbls>
        <c:marker val="1"/>
        <c:smooth val="0"/>
        <c:axId val="-486950096"/>
        <c:axId val="-486949552"/>
      </c:lineChart>
      <c:catAx>
        <c:axId val="-486950096"/>
        <c:scaling>
          <c:orientation val="minMax"/>
        </c:scaling>
        <c:delete val="0"/>
        <c:axPos val="b"/>
        <c:numFmt formatCode="General" sourceLinked="1"/>
        <c:majorTickMark val="none"/>
        <c:minorTickMark val="none"/>
        <c:tickLblPos val="nextTo"/>
        <c:spPr>
          <a:noFill/>
          <a:ln w="9525" cap="flat" cmpd="sng" algn="ctr">
            <a:solidFill>
              <a:srgbClr val="44546A"/>
            </a:solidFill>
            <a:round/>
          </a:ln>
          <a:effectLst/>
        </c:spPr>
        <c:txPr>
          <a:bodyPr rot="-60000000" spcFirstLastPara="1" vertOverflow="ellipsis" vert="horz" wrap="square" anchor="ctr" anchorCtr="1"/>
          <a:lstStyle/>
          <a:p>
            <a:pPr>
              <a:defRPr sz="700" b="0" i="0" u="none" strike="noStrike" kern="1200" baseline="0">
                <a:solidFill>
                  <a:srgbClr val="44546A"/>
                </a:solidFill>
                <a:latin typeface="+mn-lt"/>
                <a:ea typeface="+mn-ea"/>
                <a:cs typeface="+mn-cs"/>
              </a:defRPr>
            </a:pPr>
            <a:endParaRPr lang="en-US"/>
          </a:p>
        </c:txPr>
        <c:crossAx val="-486949552"/>
        <c:crosses val="autoZero"/>
        <c:auto val="1"/>
        <c:lblAlgn val="ctr"/>
        <c:lblOffset val="100"/>
        <c:noMultiLvlLbl val="0"/>
      </c:catAx>
      <c:valAx>
        <c:axId val="-486949552"/>
        <c:scaling>
          <c:orientation val="minMax"/>
          <c:max val="0.9"/>
        </c:scaling>
        <c:delete val="0"/>
        <c:axPos val="l"/>
        <c:numFmt formatCode="0.0" sourceLinked="0"/>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rgbClr val="44546A"/>
                </a:solidFill>
                <a:latin typeface="+mn-lt"/>
                <a:ea typeface="+mn-ea"/>
                <a:cs typeface="+mn-cs"/>
              </a:defRPr>
            </a:pPr>
            <a:endParaRPr lang="en-US"/>
          </a:p>
        </c:txPr>
        <c:crossAx val="-486950096"/>
        <c:crosses val="autoZero"/>
        <c:crossBetween val="between"/>
      </c:valAx>
      <c:spPr>
        <a:noFill/>
        <a:ln>
          <a:noFill/>
        </a:ln>
        <a:effectLst/>
      </c:spPr>
    </c:plotArea>
    <c:legend>
      <c:legendPos val="b"/>
      <c:layout>
        <c:manualLayout>
          <c:xMode val="edge"/>
          <c:yMode val="edge"/>
          <c:x val="0.30784559886332458"/>
          <c:y val="0.87985511811023609"/>
          <c:w val="0.42591030255383444"/>
          <c:h val="5.6819955245152098E-2"/>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noFill/>
    <a:ln w="9525" cap="flat" cmpd="sng" algn="ctr">
      <a:noFill/>
      <a:round/>
    </a:ln>
    <a:effectLst/>
  </c:spPr>
  <c:txPr>
    <a:bodyPr/>
    <a:lstStyle/>
    <a:p>
      <a:pPr>
        <a:defRPr/>
      </a:pPr>
      <a:endParaRPr lang="en-US"/>
    </a:p>
  </c:txPr>
  <c:externalData r:id="rId4">
    <c:autoUpdate val="0"/>
  </c:externalData>
  <c:userShapes r:id="rId5"/>
</c:chartSpace>
</file>

<file path=word/charts/chart5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900" b="1" i="0" u="none" strike="noStrike" kern="1200" spc="0" baseline="0">
                <a:solidFill>
                  <a:srgbClr val="002060"/>
                </a:solidFill>
                <a:latin typeface="+mn-lt"/>
                <a:ea typeface="+mn-ea"/>
                <a:cs typeface="+mn-cs"/>
              </a:defRPr>
            </a:pPr>
            <a:r>
              <a:rPr lang="sr-Cyrl-RS" sz="900" b="1">
                <a:solidFill>
                  <a:srgbClr val="002060"/>
                </a:solidFill>
              </a:rPr>
              <a:t>Фискални</a:t>
            </a:r>
            <a:r>
              <a:rPr lang="sr-Cyrl-RS" sz="900" b="1" baseline="0">
                <a:solidFill>
                  <a:srgbClr val="002060"/>
                </a:solidFill>
              </a:rPr>
              <a:t> подиндекс и подиндекс финансијске конкурентности за земље ЕУ и Србију у 2020. години. </a:t>
            </a:r>
            <a:endParaRPr lang="en-US" sz="900" b="1">
              <a:solidFill>
                <a:srgbClr val="002060"/>
              </a:solidFill>
            </a:endParaRPr>
          </a:p>
        </c:rich>
      </c:tx>
      <c:layout>
        <c:manualLayout>
          <c:xMode val="edge"/>
          <c:yMode val="edge"/>
          <c:x val="0.14815033537474481"/>
          <c:y val="2.2438670576014064E-2"/>
        </c:manualLayout>
      </c:layout>
      <c:overlay val="0"/>
      <c:spPr>
        <a:noFill/>
        <a:ln>
          <a:noFill/>
        </a:ln>
        <a:effectLst/>
      </c:spPr>
      <c:txPr>
        <a:bodyPr rot="0" spcFirstLastPara="1" vertOverflow="ellipsis" vert="horz" wrap="square" anchor="ctr" anchorCtr="1"/>
        <a:lstStyle/>
        <a:p>
          <a:pPr>
            <a:defRPr sz="900" b="1" i="0" u="none" strike="noStrike" kern="1200" spc="0" baseline="0">
              <a:solidFill>
                <a:srgbClr val="002060"/>
              </a:solidFill>
              <a:latin typeface="+mn-lt"/>
              <a:ea typeface="+mn-ea"/>
              <a:cs typeface="+mn-cs"/>
            </a:defRPr>
          </a:pPr>
          <a:endParaRPr lang="en-US"/>
        </a:p>
      </c:txPr>
    </c:title>
    <c:autoTitleDeleted val="0"/>
    <c:plotArea>
      <c:layout>
        <c:manualLayout>
          <c:layoutTarget val="inner"/>
          <c:xMode val="edge"/>
          <c:yMode val="edge"/>
          <c:x val="0.14501872265966753"/>
          <c:y val="0.1623257343401551"/>
          <c:w val="0.80682169728783881"/>
          <c:h val="0.68488559658972015"/>
        </c:manualLayout>
      </c:layout>
      <c:scatterChart>
        <c:scatterStyle val="lineMarker"/>
        <c:varyColors val="0"/>
        <c:ser>
          <c:idx val="0"/>
          <c:order val="0"/>
          <c:spPr>
            <a:ln w="28575" cap="rnd">
              <a:noFill/>
              <a:round/>
            </a:ln>
            <a:effectLst/>
          </c:spPr>
          <c:marker>
            <c:symbol val="circle"/>
            <c:size val="5"/>
            <c:spPr>
              <a:solidFill>
                <a:srgbClr val="5297AC"/>
              </a:solidFill>
              <a:ln w="9525">
                <a:noFill/>
              </a:ln>
              <a:effectLst/>
            </c:spPr>
          </c:marker>
          <c:dLbls>
            <c:dLbl>
              <c:idx val="0"/>
              <c:layout>
                <c:manualLayout>
                  <c:x val="-2.4500741755106699E-2"/>
                  <c:y val="9.6793975519414068E-3"/>
                </c:manualLayout>
              </c:layout>
              <c:tx>
                <c:rich>
                  <a:bodyPr/>
                  <a:lstStyle/>
                  <a:p>
                    <a:fld id="{1F5E0B5B-74A6-4B2E-ABF9-2E86F961479B}" type="CELLRANGE">
                      <a:rPr lang="sr-Cyrl-C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0-68F7-4BD3-BF85-F87FA386BCEE}"/>
                </c:ext>
              </c:extLst>
            </c:dLbl>
            <c:dLbl>
              <c:idx val="1"/>
              <c:layout>
                <c:manualLayout>
                  <c:x val="-1.0725941865962558E-2"/>
                  <c:y val="2.1851006941889274E-3"/>
                </c:manualLayout>
              </c:layout>
              <c:tx>
                <c:rich>
                  <a:bodyPr/>
                  <a:lstStyle/>
                  <a:p>
                    <a:fld id="{3617AF50-7B76-4CE0-A6FF-F677A0E5AFFC}" type="CELLRANGE">
                      <a:rPr lang="sr-Cyrl-C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1-68F7-4BD3-BF85-F87FA386BCEE}"/>
                </c:ext>
              </c:extLst>
            </c:dLbl>
            <c:dLbl>
              <c:idx val="2"/>
              <c:layout>
                <c:manualLayout>
                  <c:x val="-0.15526711334996168"/>
                  <c:y val="-6.9639659528540239E-3"/>
                </c:manualLayout>
              </c:layout>
              <c:tx>
                <c:rich>
                  <a:bodyPr/>
                  <a:lstStyle/>
                  <a:p>
                    <a:fld id="{4DAF0648-C776-44C9-9D48-278B6F4A90C4}" type="CELLRANGE">
                      <a:rPr lang="sr-Cyrl-C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2-68F7-4BD3-BF85-F87FA386BCEE}"/>
                </c:ext>
              </c:extLst>
            </c:dLbl>
            <c:dLbl>
              <c:idx val="3"/>
              <c:layout>
                <c:manualLayout>
                  <c:x val="1.2360737516506013E-2"/>
                  <c:y val="6.3210439816518263E-2"/>
                </c:manualLayout>
              </c:layout>
              <c:tx>
                <c:rich>
                  <a:bodyPr/>
                  <a:lstStyle/>
                  <a:p>
                    <a:fld id="{1D4C10D9-6BCD-4E6C-A188-FD7E9B172BE4}" type="CELLRANGE">
                      <a:rPr lang="sr-Cyrl-C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3-68F7-4BD3-BF85-F87FA386BCEE}"/>
                </c:ext>
              </c:extLst>
            </c:dLbl>
            <c:dLbl>
              <c:idx val="4"/>
              <c:layout>
                <c:manualLayout>
                  <c:x val="-7.1607244746580589E-2"/>
                  <c:y val="2.6745406824146983E-2"/>
                </c:manualLayout>
              </c:layout>
              <c:tx>
                <c:rich>
                  <a:bodyPr/>
                  <a:lstStyle/>
                  <a:p>
                    <a:fld id="{6D6B488D-B104-42D2-AB9C-D6B83BAB5AA5}" type="CELLRANGE">
                      <a:rPr lang="sr-Cyrl-C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4-68F7-4BD3-BF85-F87FA386BCEE}"/>
                </c:ext>
              </c:extLst>
            </c:dLbl>
            <c:dLbl>
              <c:idx val="5"/>
              <c:layout>
                <c:manualLayout>
                  <c:x val="-8.4263380120963901E-3"/>
                  <c:y val="8.7264208796329797E-3"/>
                </c:manualLayout>
              </c:layout>
              <c:tx>
                <c:rich>
                  <a:bodyPr/>
                  <a:lstStyle/>
                  <a:p>
                    <a:fld id="{31EA8145-0848-446C-9FC2-3FD8B7201295}" type="CELLRANGE">
                      <a:rPr lang="sr-Cyrl-C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5-68F7-4BD3-BF85-F87FA386BCEE}"/>
                </c:ext>
              </c:extLst>
            </c:dLbl>
            <c:dLbl>
              <c:idx val="6"/>
              <c:layout>
                <c:manualLayout>
                  <c:x val="-5.5137999054466091E-2"/>
                  <c:y val="2.5790467780312507E-2"/>
                </c:manualLayout>
              </c:layout>
              <c:tx>
                <c:rich>
                  <a:bodyPr/>
                  <a:lstStyle/>
                  <a:p>
                    <a:fld id="{3999B3D0-AF8F-4A67-8C4B-1BC542AE2D48}" type="CELLRANGE">
                      <a:rPr lang="sr-Cyrl-C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6-68F7-4BD3-BF85-F87FA386BCEE}"/>
                </c:ext>
              </c:extLst>
            </c:dLbl>
            <c:dLbl>
              <c:idx val="7"/>
              <c:layout>
                <c:manualLayout>
                  <c:x val="-4.1267015536101542E-2"/>
                  <c:y val="1.9249392891309204E-2"/>
                </c:manualLayout>
              </c:layout>
              <c:tx>
                <c:rich>
                  <a:bodyPr/>
                  <a:lstStyle/>
                  <a:p>
                    <a:fld id="{94DCC4E6-89A2-4191-93F9-93DE7A53326A}" type="CELLRANGE">
                      <a:rPr lang="sr-Cyrl-C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7-68F7-4BD3-BF85-F87FA386BCEE}"/>
                </c:ext>
              </c:extLst>
            </c:dLbl>
            <c:dLbl>
              <c:idx val="8"/>
              <c:layout>
                <c:manualLayout>
                  <c:x val="-9.5811610505208589E-2"/>
                  <c:y val="2.6949984055731409E-2"/>
                </c:manualLayout>
              </c:layout>
              <c:tx>
                <c:rich>
                  <a:bodyPr/>
                  <a:lstStyle/>
                  <a:p>
                    <a:fld id="{6ECBC604-D77B-4474-A932-88841649C33A}" type="CELLRANGE">
                      <a:rPr lang="sr-Cyrl-C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8-68F7-4BD3-BF85-F87FA386BCEE}"/>
                </c:ext>
              </c:extLst>
            </c:dLbl>
            <c:dLbl>
              <c:idx val="9"/>
              <c:layout>
                <c:manualLayout>
                  <c:x val="-7.4410263934399506E-2"/>
                  <c:y val="2.8987661589030343E-2"/>
                </c:manualLayout>
              </c:layout>
              <c:tx>
                <c:rich>
                  <a:bodyPr/>
                  <a:lstStyle/>
                  <a:p>
                    <a:fld id="{824A389A-ED05-4509-A89F-62E71C9803DF}" type="CELLRANGE">
                      <a:rPr lang="sr-Cyrl-C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9-68F7-4BD3-BF85-F87FA386BCEE}"/>
                </c:ext>
              </c:extLst>
            </c:dLbl>
            <c:dLbl>
              <c:idx val="10"/>
              <c:layout>
                <c:manualLayout>
                  <c:x val="-0.13059258896985707"/>
                  <c:y val="-1.925822356317667E-3"/>
                </c:manualLayout>
              </c:layout>
              <c:tx>
                <c:rich>
                  <a:bodyPr/>
                  <a:lstStyle/>
                  <a:p>
                    <a:fld id="{D6496DF6-6600-47D1-ACDE-A6F41307AE87}" type="CELLRANGE">
                      <a:rPr lang="sr-Cyrl-C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A-68F7-4BD3-BF85-F87FA386BCEE}"/>
                </c:ext>
              </c:extLst>
            </c:dLbl>
            <c:dLbl>
              <c:idx val="11"/>
              <c:layout>
                <c:manualLayout>
                  <c:x val="-8.8400906408438069E-3"/>
                  <c:y val="-5.9170407437389222E-3"/>
                </c:manualLayout>
              </c:layout>
              <c:tx>
                <c:rich>
                  <a:bodyPr/>
                  <a:lstStyle/>
                  <a:p>
                    <a:fld id="{82C570C5-B16F-4C2B-8CC0-569E510A2A85}" type="CELLRANGE">
                      <a:rPr lang="sr-Cyrl-C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B-68F7-4BD3-BF85-F87FA386BCEE}"/>
                </c:ext>
              </c:extLst>
            </c:dLbl>
            <c:dLbl>
              <c:idx val="12"/>
              <c:layout>
                <c:manualLayout>
                  <c:x val="-8.5145335093982893E-2"/>
                  <c:y val="3.9042853288198787E-2"/>
                </c:manualLayout>
              </c:layout>
              <c:tx>
                <c:rich>
                  <a:bodyPr/>
                  <a:lstStyle/>
                  <a:p>
                    <a:fld id="{F8F5181C-51C0-48CB-B26F-D1024FF73A30}" type="CELLRANGE">
                      <a:rPr lang="sr-Cyrl-C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C-68F7-4BD3-BF85-F87FA386BCEE}"/>
                </c:ext>
              </c:extLst>
            </c:dLbl>
            <c:dLbl>
              <c:idx val="13"/>
              <c:layout>
                <c:manualLayout>
                  <c:x val="-8.1957255343082111E-2"/>
                  <c:y val="2.4992273162116302E-2"/>
                </c:manualLayout>
              </c:layout>
              <c:tx>
                <c:rich>
                  <a:bodyPr/>
                  <a:lstStyle/>
                  <a:p>
                    <a:fld id="{DF3D7D1E-7966-4776-9B94-332565B89012}" type="CELLRANGE">
                      <a:rPr lang="sr-Cyrl-C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D-68F7-4BD3-BF85-F87FA386BCEE}"/>
                </c:ext>
              </c:extLst>
            </c:dLbl>
            <c:dLbl>
              <c:idx val="14"/>
              <c:layout>
                <c:manualLayout>
                  <c:x val="-3.2858284018845468E-2"/>
                  <c:y val="2.2553290651752642E-2"/>
                </c:manualLayout>
              </c:layout>
              <c:tx>
                <c:rich>
                  <a:bodyPr/>
                  <a:lstStyle/>
                  <a:p>
                    <a:fld id="{545B7CD6-DB07-4867-B633-A8C7F02EADF6}" type="CELLRANGE">
                      <a:rPr lang="sr-Cyrl-C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E-68F7-4BD3-BF85-F87FA386BCEE}"/>
                </c:ext>
              </c:extLst>
            </c:dLbl>
            <c:dLbl>
              <c:idx val="15"/>
              <c:layout>
                <c:manualLayout>
                  <c:x val="-0.13619830129929414"/>
                  <c:y val="2.0480290430985731E-2"/>
                </c:manualLayout>
              </c:layout>
              <c:tx>
                <c:rich>
                  <a:bodyPr/>
                  <a:lstStyle/>
                  <a:p>
                    <a:fld id="{B98BBD3D-BB94-47C1-90F4-977935F773DF}" type="CELLRANGE">
                      <a:rPr lang="sr-Cyrl-C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F-68F7-4BD3-BF85-F87FA386BCEE}"/>
                </c:ext>
              </c:extLst>
            </c:dLbl>
            <c:dLbl>
              <c:idx val="16"/>
              <c:layout>
                <c:manualLayout>
                  <c:x val="-3.9638518471275343E-2"/>
                  <c:y val="3.5186845340179025E-2"/>
                </c:manualLayout>
              </c:layout>
              <c:tx>
                <c:rich>
                  <a:bodyPr rot="0" spcFirstLastPara="1" vertOverflow="ellipsis" vert="horz" wrap="square" lIns="38100" tIns="19050" rIns="38100" bIns="19050" anchor="ctr" anchorCtr="1">
                    <a:noAutofit/>
                  </a:bodyPr>
                  <a:lstStyle/>
                  <a:p>
                    <a:pPr>
                      <a:defRPr sz="700" b="0" i="0" u="none" strike="noStrike" kern="1200" baseline="0">
                        <a:solidFill>
                          <a:srgbClr val="44546A"/>
                        </a:solidFill>
                        <a:latin typeface="+mn-lt"/>
                        <a:ea typeface="+mn-ea"/>
                        <a:cs typeface="+mn-cs"/>
                      </a:defRPr>
                    </a:pPr>
                    <a:fld id="{6D87C3AA-639B-40B9-AD83-A27C13AAECCC}" type="CELLRANGE">
                      <a:rPr lang="sr-Cyrl-CS"/>
                      <a:pPr>
                        <a:defRPr sz="700">
                          <a:solidFill>
                            <a:srgbClr val="44546A"/>
                          </a:solidFill>
                        </a:defRPr>
                      </a:pPr>
                      <a:t>[CELLRANGE]</a:t>
                    </a:fld>
                    <a:endParaRPr lang="en-US"/>
                  </a:p>
                </c:rich>
              </c:tx>
              <c:spPr>
                <a:noFill/>
                <a:ln>
                  <a:noFill/>
                </a:ln>
                <a:effectLst/>
              </c:spPr>
              <c:txPr>
                <a:bodyPr rot="0" spcFirstLastPara="1" vertOverflow="ellipsis" vert="horz" wrap="square" lIns="38100" tIns="19050" rIns="38100" bIns="19050" anchor="ctr" anchorCtr="1">
                  <a:noAutofit/>
                </a:bodyPr>
                <a:lstStyle/>
                <a:p>
                  <a:pPr>
                    <a:defRPr sz="700" b="0" i="0" u="none" strike="noStrike" kern="1200" baseline="0">
                      <a:solidFill>
                        <a:srgbClr val="44546A"/>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15:layout>
                    <c:manualLayout>
                      <c:w val="0.16661067366579174"/>
                      <c:h val="5.0214577391949004E-2"/>
                    </c:manualLayout>
                  </c15:layout>
                  <c15:dlblFieldTable/>
                  <c15:showDataLabelsRange val="1"/>
                </c:ext>
                <c:ext xmlns:c16="http://schemas.microsoft.com/office/drawing/2014/chart" uri="{C3380CC4-5D6E-409C-BE32-E72D297353CC}">
                  <c16:uniqueId val="{00000010-68F7-4BD3-BF85-F87FA386BCEE}"/>
                </c:ext>
              </c:extLst>
            </c:dLbl>
            <c:dLbl>
              <c:idx val="17"/>
              <c:layout>
                <c:manualLayout>
                  <c:x val="-6.2088325915782269E-2"/>
                  <c:y val="2.6622022714450414E-2"/>
                </c:manualLayout>
              </c:layout>
              <c:tx>
                <c:rich>
                  <a:bodyPr/>
                  <a:lstStyle/>
                  <a:p>
                    <a:fld id="{23D1DC99-7BB3-4C82-868C-29811236D366}" type="CELLRANGE">
                      <a:rPr lang="sr-Cyrl-C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1-68F7-4BD3-BF85-F87FA386BCEE}"/>
                </c:ext>
              </c:extLst>
            </c:dLbl>
            <c:dLbl>
              <c:idx val="18"/>
              <c:layout>
                <c:manualLayout>
                  <c:x val="-7.1952853719372031E-2"/>
                  <c:y val="2.1387396668874334E-2"/>
                </c:manualLayout>
              </c:layout>
              <c:tx>
                <c:rich>
                  <a:bodyPr/>
                  <a:lstStyle/>
                  <a:p>
                    <a:fld id="{269C3B48-6253-474D-9B19-6135D720A3F5}" type="CELLRANGE">
                      <a:rPr lang="sr-Cyrl-C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2-68F7-4BD3-BF85-F87FA386BCEE}"/>
                </c:ext>
              </c:extLst>
            </c:dLbl>
            <c:dLbl>
              <c:idx val="19"/>
              <c:layout>
                <c:manualLayout>
                  <c:x val="-8.0354086174010859E-3"/>
                  <c:y val="2.3720165820393375E-3"/>
                </c:manualLayout>
              </c:layout>
              <c:tx>
                <c:rich>
                  <a:bodyPr/>
                  <a:lstStyle/>
                  <a:p>
                    <a:fld id="{27ED9FCA-0044-4043-B1FB-724000AA48E9}" type="CELLRANGE">
                      <a:rPr lang="sr-Cyrl-C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3-68F7-4BD3-BF85-F87FA386BCEE}"/>
                </c:ext>
              </c:extLst>
            </c:dLbl>
            <c:dLbl>
              <c:idx val="20"/>
              <c:layout>
                <c:manualLayout>
                  <c:x val="-6.9417518462366115E-2"/>
                  <c:y val="1.7178600338509088E-2"/>
                </c:manualLayout>
              </c:layout>
              <c:tx>
                <c:rich>
                  <a:bodyPr/>
                  <a:lstStyle/>
                  <a:p>
                    <a:fld id="{CEF95D26-9892-442E-ADCA-77E49CD92756}" type="CELLRANGE">
                      <a:rPr lang="sr-Cyrl-C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4-68F7-4BD3-BF85-F87FA386BCEE}"/>
                </c:ext>
              </c:extLst>
            </c:dLbl>
            <c:dLbl>
              <c:idx val="21"/>
              <c:layout>
                <c:manualLayout>
                  <c:x val="-0.11997196002673578"/>
                  <c:y val="-1.6788088404837132E-2"/>
                </c:manualLayout>
              </c:layout>
              <c:tx>
                <c:rich>
                  <a:bodyPr/>
                  <a:lstStyle/>
                  <a:p>
                    <a:fld id="{60335592-AC91-4D93-80B1-D98243AE8D28}" type="CELLRANGE">
                      <a:rPr lang="sr-Cyrl-C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5-68F7-4BD3-BF85-F87FA386BCEE}"/>
                </c:ext>
              </c:extLst>
            </c:dLbl>
            <c:dLbl>
              <c:idx val="22"/>
              <c:layout>
                <c:manualLayout>
                  <c:x val="-1.2131200991180603E-2"/>
                  <c:y val="-3.6767483503814358E-3"/>
                </c:manualLayout>
              </c:layout>
              <c:tx>
                <c:rich>
                  <a:bodyPr/>
                  <a:lstStyle/>
                  <a:p>
                    <a:fld id="{F209EA8F-B7D8-406B-BBBE-82F798988597}" type="CELLRANGE">
                      <a:rPr lang="sr-Cyrl-CS">
                        <a:solidFill>
                          <a:schemeClr val="tx1">
                            <a:lumMod val="50000"/>
                            <a:lumOff val="50000"/>
                          </a:schemeClr>
                        </a:solidFill>
                      </a:rPr>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6-68F7-4BD3-BF85-F87FA386BCEE}"/>
                </c:ext>
              </c:extLst>
            </c:dLbl>
            <c:dLbl>
              <c:idx val="23"/>
              <c:layout>
                <c:manualLayout>
                  <c:x val="-0.10497481293099233"/>
                  <c:y val="2.7313022788039345E-2"/>
                </c:manualLayout>
              </c:layout>
              <c:tx>
                <c:rich>
                  <a:bodyPr/>
                  <a:lstStyle/>
                  <a:p>
                    <a:fld id="{ED7361C1-3C14-4AC2-8313-AFAC34841E80}" type="CELLRANGE">
                      <a:rPr lang="sr-Cyrl-CS">
                        <a:solidFill>
                          <a:schemeClr val="tx1">
                            <a:lumMod val="50000"/>
                            <a:lumOff val="50000"/>
                          </a:schemeClr>
                        </a:solidFill>
                      </a:rPr>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7-68F7-4BD3-BF85-F87FA386BCEE}"/>
                </c:ext>
              </c:extLst>
            </c:dLbl>
            <c:dLbl>
              <c:idx val="24"/>
              <c:layout>
                <c:manualLayout>
                  <c:x val="-0.12908592947620678"/>
                  <c:y val="-1.7120219785610912E-2"/>
                </c:manualLayout>
              </c:layout>
              <c:tx>
                <c:rich>
                  <a:bodyPr rot="0" spcFirstLastPara="1" vertOverflow="ellipsis" vert="horz" wrap="square" lIns="38100" tIns="19050" rIns="38100" bIns="19050" anchor="ctr" anchorCtr="1">
                    <a:noAutofit/>
                  </a:bodyPr>
                  <a:lstStyle/>
                  <a:p>
                    <a:pPr>
                      <a:defRPr sz="700" b="0" i="0" u="none" strike="noStrike" kern="1200" baseline="0">
                        <a:solidFill>
                          <a:srgbClr val="44546A"/>
                        </a:solidFill>
                        <a:latin typeface="+mn-lt"/>
                        <a:ea typeface="+mn-ea"/>
                        <a:cs typeface="+mn-cs"/>
                      </a:defRPr>
                    </a:pPr>
                    <a:r>
                      <a:rPr lang="sr-Cyrl-CS" sz="700">
                        <a:solidFill>
                          <a:srgbClr val="44546A"/>
                        </a:solidFill>
                      </a:rPr>
                      <a:t>Кипар</a:t>
                    </a:r>
                  </a:p>
                </c:rich>
              </c:tx>
              <c:spPr>
                <a:noFill/>
                <a:ln>
                  <a:noFill/>
                </a:ln>
                <a:effectLst/>
              </c:spPr>
              <c:txPr>
                <a:bodyPr rot="0" spcFirstLastPara="1" vertOverflow="ellipsis" vert="horz" wrap="square" lIns="38100" tIns="19050" rIns="38100" bIns="19050" anchor="ctr" anchorCtr="1">
                  <a:noAutofit/>
                </a:bodyPr>
                <a:lstStyle/>
                <a:p>
                  <a:pPr>
                    <a:defRPr sz="700" b="0" i="0" u="none" strike="noStrike" kern="1200" baseline="0">
                      <a:solidFill>
                        <a:srgbClr val="44546A"/>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15:layout>
                    <c:manualLayout>
                      <c:w val="0.19879702537182853"/>
                      <c:h val="3.9968128983877013E-2"/>
                    </c:manualLayout>
                  </c15:layout>
                  <c15:showDataLabelsRange val="0"/>
                </c:ext>
                <c:ext xmlns:c16="http://schemas.microsoft.com/office/drawing/2014/chart" uri="{C3380CC4-5D6E-409C-BE32-E72D297353CC}">
                  <c16:uniqueId val="{00000018-68F7-4BD3-BF85-F87FA386BCEE}"/>
                </c:ext>
              </c:extLst>
            </c:dLbl>
            <c:dLbl>
              <c:idx val="25"/>
              <c:layout>
                <c:manualLayout>
                  <c:x val="-7.532221515788802E-2"/>
                  <c:y val="2.963818774989575E-2"/>
                </c:manualLayout>
              </c:layout>
              <c:tx>
                <c:rich>
                  <a:bodyPr/>
                  <a:lstStyle/>
                  <a:p>
                    <a:r>
                      <a:rPr lang="sr-Cyrl-CS"/>
                      <a:t>Португал</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9-68F7-4BD3-BF85-F87FA386BCEE}"/>
                </c:ext>
              </c:extLst>
            </c:dLbl>
            <c:dLbl>
              <c:idx val="26"/>
              <c:layout>
                <c:manualLayout>
                  <c:x val="-0.10188976377952756"/>
                  <c:y val="2.4320160914465073E-2"/>
                </c:manualLayout>
              </c:layout>
              <c:tx>
                <c:rich>
                  <a:bodyPr/>
                  <a:lstStyle/>
                  <a:p>
                    <a:r>
                      <a:rPr lang="sr-Cyrl-CS">
                        <a:solidFill>
                          <a:srgbClr val="44546A"/>
                        </a:solidFill>
                      </a:rPr>
                      <a:t>Србија</a:t>
                    </a:r>
                    <a:r>
                      <a:rPr lang="sr-Cyrl-CS" baseline="0">
                        <a:solidFill>
                          <a:srgbClr val="44546A"/>
                        </a:solidFill>
                      </a:rPr>
                      <a:t> 2020</a:t>
                    </a:r>
                    <a:endParaRPr lang="sr-Cyrl-CS">
                      <a:solidFill>
                        <a:srgbClr val="44546A"/>
                      </a:solidFill>
                    </a:endParaRP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A-68F7-4BD3-BF85-F87FA386BCEE}"/>
                </c:ext>
              </c:extLst>
            </c:dLbl>
            <c:dLbl>
              <c:idx val="27"/>
              <c:delete val="1"/>
              <c:extLst>
                <c:ext xmlns:c15="http://schemas.microsoft.com/office/drawing/2012/chart" uri="{CE6537A1-D6FC-4f65-9D91-7224C49458BB}"/>
                <c:ext xmlns:c16="http://schemas.microsoft.com/office/drawing/2014/chart" uri="{C3380CC4-5D6E-409C-BE32-E72D297353CC}">
                  <c16:uniqueId val="{0000001B-68F7-4BD3-BF85-F87FA386BCEE}"/>
                </c:ext>
              </c:extLst>
            </c:dLbl>
            <c:dLbl>
              <c:idx val="28"/>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C-68F7-4BD3-BF85-F87FA386BCEE}"/>
                </c:ext>
              </c:extLst>
            </c:dLbl>
            <c:dLbl>
              <c:idx val="29"/>
              <c:layout>
                <c:manualLayout>
                  <c:x val="0.27121180204981443"/>
                  <c:y val="-0.10981647825182873"/>
                </c:manualLayout>
              </c:layout>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layout>
                    <c:manualLayout>
                      <c:w val="6.4583536111454121E-2"/>
                      <c:h val="3.6566409796610792E-2"/>
                    </c:manualLayout>
                  </c15:layout>
                  <c15:showDataLabelsRange val="0"/>
                </c:ext>
                <c:ext xmlns:c16="http://schemas.microsoft.com/office/drawing/2014/chart" uri="{C3380CC4-5D6E-409C-BE32-E72D297353CC}">
                  <c16:uniqueId val="{0000001D-68F7-4BD3-BF85-F87FA386BCEE}"/>
                </c:ext>
              </c:extLst>
            </c:dLbl>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rgbClr val="44546A"/>
                    </a:solidFill>
                    <a:latin typeface="+mn-lt"/>
                    <a:ea typeface="+mn-ea"/>
                    <a:cs typeface="+mn-cs"/>
                  </a:defRPr>
                </a:pPr>
                <a:endParaRPr lang="en-US"/>
              </a:p>
            </c:txPr>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1"/>
                <c15:leaderLines>
                  <c:spPr>
                    <a:ln w="9525" cap="flat" cmpd="sng" algn="ctr">
                      <a:solidFill>
                        <a:srgbClr val="44546A"/>
                      </a:solidFill>
                      <a:round/>
                    </a:ln>
                    <a:effectLst/>
                  </c:spPr>
                </c15:leaderLines>
              </c:ext>
            </c:extLst>
          </c:dLbls>
          <c:xVal>
            <c:numRef>
              <c:f>'2020'!$D$4:$D$30</c:f>
              <c:numCache>
                <c:formatCode>0.00</c:formatCode>
                <c:ptCount val="27"/>
                <c:pt idx="0">
                  <c:v>0.88</c:v>
                </c:pt>
                <c:pt idx="1">
                  <c:v>0.88</c:v>
                </c:pt>
                <c:pt idx="2">
                  <c:v>0.23</c:v>
                </c:pt>
                <c:pt idx="3">
                  <c:v>0.37</c:v>
                </c:pt>
                <c:pt idx="4">
                  <c:v>0.84</c:v>
                </c:pt>
                <c:pt idx="5">
                  <c:v>0.46</c:v>
                </c:pt>
                <c:pt idx="6">
                  <c:v>0.4</c:v>
                </c:pt>
                <c:pt idx="7">
                  <c:v>0.67</c:v>
                </c:pt>
                <c:pt idx="8">
                  <c:v>0.88</c:v>
                </c:pt>
                <c:pt idx="9">
                  <c:v>0.84</c:v>
                </c:pt>
                <c:pt idx="10">
                  <c:v>0.32</c:v>
                </c:pt>
                <c:pt idx="11">
                  <c:v>1</c:v>
                </c:pt>
                <c:pt idx="12">
                  <c:v>0.49</c:v>
                </c:pt>
                <c:pt idx="13">
                  <c:v>0.67</c:v>
                </c:pt>
                <c:pt idx="14">
                  <c:v>0.4</c:v>
                </c:pt>
                <c:pt idx="15">
                  <c:v>0.23</c:v>
                </c:pt>
                <c:pt idx="16">
                  <c:v>0.49</c:v>
                </c:pt>
                <c:pt idx="17">
                  <c:v>0.6</c:v>
                </c:pt>
                <c:pt idx="18">
                  <c:v>0.4</c:v>
                </c:pt>
                <c:pt idx="19">
                  <c:v>0.53</c:v>
                </c:pt>
                <c:pt idx="20">
                  <c:v>0.73</c:v>
                </c:pt>
                <c:pt idx="21">
                  <c:v>0.72</c:v>
                </c:pt>
                <c:pt idx="22">
                  <c:v>0.88</c:v>
                </c:pt>
                <c:pt idx="23">
                  <c:v>0.18</c:v>
                </c:pt>
                <c:pt idx="24">
                  <c:v>0.72</c:v>
                </c:pt>
                <c:pt idx="25">
                  <c:v>0.96</c:v>
                </c:pt>
                <c:pt idx="26">
                  <c:v>0.47904191616766456</c:v>
                </c:pt>
              </c:numCache>
            </c:numRef>
          </c:xVal>
          <c:yVal>
            <c:numRef>
              <c:f>'2020'!$E$4:$E$30</c:f>
              <c:numCache>
                <c:formatCode>0.00</c:formatCode>
                <c:ptCount val="27"/>
                <c:pt idx="0">
                  <c:v>0.15</c:v>
                </c:pt>
                <c:pt idx="1">
                  <c:v>0.27</c:v>
                </c:pt>
                <c:pt idx="2">
                  <c:v>0.42</c:v>
                </c:pt>
                <c:pt idx="3">
                  <c:v>0.37</c:v>
                </c:pt>
                <c:pt idx="4">
                  <c:v>0.49</c:v>
                </c:pt>
                <c:pt idx="5">
                  <c:v>0.38</c:v>
                </c:pt>
                <c:pt idx="6">
                  <c:v>0.28999999999999998</c:v>
                </c:pt>
                <c:pt idx="7">
                  <c:v>0.4</c:v>
                </c:pt>
                <c:pt idx="8">
                  <c:v>0.38</c:v>
                </c:pt>
                <c:pt idx="9">
                  <c:v>0.25</c:v>
                </c:pt>
                <c:pt idx="10">
                  <c:v>0.47</c:v>
                </c:pt>
                <c:pt idx="11">
                  <c:v>0.21</c:v>
                </c:pt>
                <c:pt idx="12">
                  <c:v>0.48</c:v>
                </c:pt>
                <c:pt idx="13">
                  <c:v>0.21</c:v>
                </c:pt>
                <c:pt idx="14">
                  <c:v>0.36</c:v>
                </c:pt>
                <c:pt idx="15">
                  <c:v>0.33</c:v>
                </c:pt>
                <c:pt idx="16">
                  <c:v>0.18</c:v>
                </c:pt>
                <c:pt idx="17">
                  <c:v>0.27</c:v>
                </c:pt>
                <c:pt idx="18">
                  <c:v>0.48</c:v>
                </c:pt>
                <c:pt idx="19">
                  <c:v>0.47</c:v>
                </c:pt>
                <c:pt idx="20">
                  <c:v>0.44</c:v>
                </c:pt>
                <c:pt idx="21">
                  <c:v>0.28000000000000003</c:v>
                </c:pt>
                <c:pt idx="22">
                  <c:v>0.3</c:v>
                </c:pt>
                <c:pt idx="23">
                  <c:v>0.4</c:v>
                </c:pt>
                <c:pt idx="24">
                  <c:v>0.6</c:v>
                </c:pt>
                <c:pt idx="25">
                  <c:v>0.42</c:v>
                </c:pt>
                <c:pt idx="26">
                  <c:v>0.42307692307692302</c:v>
                </c:pt>
              </c:numCache>
            </c:numRef>
          </c:yVal>
          <c:smooth val="0"/>
          <c:extLst>
            <c:ext xmlns:c15="http://schemas.microsoft.com/office/drawing/2012/chart" uri="{02D57815-91ED-43cb-92C2-25804820EDAC}">
              <c15:datalabelsRange>
                <c15:f>'2020'!$B$4:$B$31</c15:f>
                <c15:dlblRangeCache>
                  <c:ptCount val="28"/>
                  <c:pt idx="0">
                    <c:v>Аустрија</c:v>
                  </c:pt>
                  <c:pt idx="1">
                    <c:v>Белгија</c:v>
                  </c:pt>
                  <c:pt idx="2">
                    <c:v>Бугарска</c:v>
                  </c:pt>
                  <c:pt idx="3">
                    <c:v>Чешка</c:v>
                  </c:pt>
                  <c:pt idx="4">
                    <c:v>Хрватска</c:v>
                  </c:pt>
                  <c:pt idx="5">
                    <c:v>Данска</c:v>
                  </c:pt>
                  <c:pt idx="6">
                    <c:v>Естонија</c:v>
                  </c:pt>
                  <c:pt idx="7">
                    <c:v>Финска</c:v>
                  </c:pt>
                  <c:pt idx="8">
                    <c:v>Француска</c:v>
                  </c:pt>
                  <c:pt idx="9">
                    <c:v>Мађарска</c:v>
                  </c:pt>
                  <c:pt idx="10">
                    <c:v>Ирска</c:v>
                  </c:pt>
                  <c:pt idx="11">
                    <c:v>Италија</c:v>
                  </c:pt>
                  <c:pt idx="12">
                    <c:v>Летонија</c:v>
                  </c:pt>
                  <c:pt idx="13">
                    <c:v>Немачка</c:v>
                  </c:pt>
                  <c:pt idx="14">
                    <c:v>Литванија</c:v>
                  </c:pt>
                  <c:pt idx="15">
                    <c:v>Луксембург</c:v>
                  </c:pt>
                  <c:pt idx="16">
                    <c:v>Малта</c:v>
                  </c:pt>
                  <c:pt idx="17">
                    <c:v>Холандија</c:v>
                  </c:pt>
                  <c:pt idx="18">
                    <c:v>Пољска</c:v>
                  </c:pt>
                  <c:pt idx="19">
                    <c:v>Румунија</c:v>
                  </c:pt>
                  <c:pt idx="20">
                    <c:v>Словачка</c:v>
                  </c:pt>
                  <c:pt idx="21">
                    <c:v>Словенија</c:v>
                  </c:pt>
                  <c:pt idx="22">
                    <c:v>Шпанија</c:v>
                  </c:pt>
                  <c:pt idx="23">
                    <c:v>Шведска</c:v>
                  </c:pt>
                  <c:pt idx="24">
                    <c:v>Кипар</c:v>
                  </c:pt>
                  <c:pt idx="25">
                    <c:v>Португал</c:v>
                  </c:pt>
                  <c:pt idx="26">
                    <c:v>Србија 2020</c:v>
                  </c:pt>
                  <c:pt idx="27">
                    <c:v>Србија 2019,2018,2017</c:v>
                  </c:pt>
                </c15:dlblRangeCache>
              </c15:datalabelsRange>
            </c:ext>
            <c:ext xmlns:c16="http://schemas.microsoft.com/office/drawing/2014/chart" uri="{C3380CC4-5D6E-409C-BE32-E72D297353CC}">
              <c16:uniqueId val="{0000001E-68F7-4BD3-BF85-F87FA386BCEE}"/>
            </c:ext>
          </c:extLst>
        </c:ser>
        <c:dLbls>
          <c:showLegendKey val="0"/>
          <c:showVal val="0"/>
          <c:showCatName val="0"/>
          <c:showSerName val="0"/>
          <c:showPercent val="0"/>
          <c:showBubbleSize val="0"/>
        </c:dLbls>
        <c:axId val="-262788736"/>
        <c:axId val="-262793088"/>
      </c:scatterChart>
      <c:valAx>
        <c:axId val="-262788736"/>
        <c:scaling>
          <c:orientation val="minMax"/>
        </c:scaling>
        <c:delete val="0"/>
        <c:axPos val="b"/>
        <c:title>
          <c:tx>
            <c:rich>
              <a:bodyPr rot="0" spcFirstLastPara="1" vertOverflow="ellipsis" vert="horz" wrap="square" anchor="ctr" anchorCtr="1"/>
              <a:lstStyle/>
              <a:p>
                <a:pPr>
                  <a:defRPr sz="800" b="0" i="0" u="none" strike="noStrike" kern="1200" baseline="0">
                    <a:solidFill>
                      <a:srgbClr val="44546A"/>
                    </a:solidFill>
                    <a:latin typeface="+mj-lt"/>
                    <a:ea typeface="+mn-ea"/>
                    <a:cs typeface="+mn-cs"/>
                  </a:defRPr>
                </a:pPr>
                <a:r>
                  <a:rPr lang="sr-Cyrl-RS" sz="800">
                    <a:solidFill>
                      <a:srgbClr val="44546A"/>
                    </a:solidFill>
                    <a:latin typeface="+mj-lt"/>
                  </a:rPr>
                  <a:t>Фискални подиндекс</a:t>
                </a:r>
                <a:endParaRPr lang="en-US" sz="800">
                  <a:solidFill>
                    <a:srgbClr val="44546A"/>
                  </a:solidFill>
                  <a:latin typeface="+mj-lt"/>
                </a:endParaRPr>
              </a:p>
            </c:rich>
          </c:tx>
          <c:layout>
            <c:manualLayout>
              <c:xMode val="edge"/>
              <c:yMode val="edge"/>
              <c:x val="0.37949571303587054"/>
              <c:y val="0.89777865466133366"/>
            </c:manualLayout>
          </c:layout>
          <c:overlay val="0"/>
          <c:spPr>
            <a:noFill/>
            <a:ln>
              <a:noFill/>
            </a:ln>
            <a:effectLst/>
          </c:spPr>
          <c:txPr>
            <a:bodyPr rot="0" spcFirstLastPara="1" vertOverflow="ellipsis" vert="horz" wrap="square" anchor="ctr" anchorCtr="1"/>
            <a:lstStyle/>
            <a:p>
              <a:pPr>
                <a:defRPr sz="800" b="0" i="0" u="none" strike="noStrike" kern="1200" baseline="0">
                  <a:solidFill>
                    <a:srgbClr val="44546A"/>
                  </a:solidFill>
                  <a:latin typeface="+mj-lt"/>
                  <a:ea typeface="+mn-ea"/>
                  <a:cs typeface="+mn-cs"/>
                </a:defRPr>
              </a:pPr>
              <a:endParaRPr lang="en-US"/>
            </a:p>
          </c:txPr>
        </c:title>
        <c:numFmt formatCode="0.0" sourceLinked="0"/>
        <c:majorTickMark val="none"/>
        <c:minorTickMark val="none"/>
        <c:tickLblPos val="nextTo"/>
        <c:spPr>
          <a:noFill/>
          <a:ln w="6350" cap="flat" cmpd="sng" algn="ctr">
            <a:solidFill>
              <a:srgbClr val="44546A"/>
            </a:solidFill>
            <a:round/>
          </a:ln>
          <a:effectLst/>
        </c:spPr>
        <c:txPr>
          <a:bodyPr rot="-60000000" spcFirstLastPara="1" vertOverflow="ellipsis" vert="horz" wrap="square" anchor="ctr" anchorCtr="1"/>
          <a:lstStyle/>
          <a:p>
            <a:pPr>
              <a:defRPr sz="700" b="0" i="0" u="none" strike="noStrike" kern="1200" baseline="0">
                <a:solidFill>
                  <a:srgbClr val="44546A"/>
                </a:solidFill>
                <a:latin typeface="+mn-lt"/>
                <a:ea typeface="+mn-ea"/>
                <a:cs typeface="+mn-cs"/>
              </a:defRPr>
            </a:pPr>
            <a:endParaRPr lang="en-US"/>
          </a:p>
        </c:txPr>
        <c:crossAx val="-262793088"/>
        <c:crosses val="autoZero"/>
        <c:crossBetween val="midCat"/>
      </c:valAx>
      <c:valAx>
        <c:axId val="-262793088"/>
        <c:scaling>
          <c:orientation val="minMax"/>
        </c:scaling>
        <c:delete val="0"/>
        <c:axPos val="l"/>
        <c:title>
          <c:tx>
            <c:rich>
              <a:bodyPr rot="-5400000" spcFirstLastPara="1" vertOverflow="ellipsis" vert="horz" wrap="square" anchor="ctr" anchorCtr="1"/>
              <a:lstStyle/>
              <a:p>
                <a:pPr>
                  <a:defRPr sz="800" b="0" i="0" u="none" strike="noStrike" kern="1200" baseline="0">
                    <a:solidFill>
                      <a:srgbClr val="44546A"/>
                    </a:solidFill>
                    <a:latin typeface="+mj-lt"/>
                    <a:ea typeface="+mn-ea"/>
                    <a:cs typeface="+mn-cs"/>
                  </a:defRPr>
                </a:pPr>
                <a:r>
                  <a:rPr lang="sr-Cyrl-RS" sz="800">
                    <a:solidFill>
                      <a:srgbClr val="44546A"/>
                    </a:solidFill>
                    <a:latin typeface="+mj-lt"/>
                  </a:rPr>
                  <a:t>Подиндекс макро-финансијске конкурентности</a:t>
                </a:r>
                <a:endParaRPr lang="en-US" sz="800">
                  <a:solidFill>
                    <a:srgbClr val="44546A"/>
                  </a:solidFill>
                  <a:latin typeface="+mj-lt"/>
                </a:endParaRPr>
              </a:p>
            </c:rich>
          </c:tx>
          <c:layout>
            <c:manualLayout>
              <c:xMode val="edge"/>
              <c:yMode val="edge"/>
              <c:x val="1.0966563962113431E-2"/>
              <c:y val="0.20486643608801233"/>
            </c:manualLayout>
          </c:layout>
          <c:overlay val="0"/>
          <c:spPr>
            <a:noFill/>
            <a:ln>
              <a:noFill/>
            </a:ln>
            <a:effectLst/>
          </c:spPr>
          <c:txPr>
            <a:bodyPr rot="-5400000" spcFirstLastPara="1" vertOverflow="ellipsis" vert="horz" wrap="square" anchor="ctr" anchorCtr="1"/>
            <a:lstStyle/>
            <a:p>
              <a:pPr>
                <a:defRPr sz="800" b="0" i="0" u="none" strike="noStrike" kern="1200" baseline="0">
                  <a:solidFill>
                    <a:srgbClr val="44546A"/>
                  </a:solidFill>
                  <a:latin typeface="+mj-lt"/>
                  <a:ea typeface="+mn-ea"/>
                  <a:cs typeface="+mn-cs"/>
                </a:defRPr>
              </a:pPr>
              <a:endParaRPr lang="en-US"/>
            </a:p>
          </c:txPr>
        </c:title>
        <c:numFmt formatCode="0.0" sourceLinked="0"/>
        <c:majorTickMark val="none"/>
        <c:minorTickMark val="none"/>
        <c:tickLblPos val="nextTo"/>
        <c:spPr>
          <a:noFill/>
          <a:ln w="6350" cap="flat" cmpd="sng" algn="ctr">
            <a:solidFill>
              <a:srgbClr val="44546A"/>
            </a:solidFill>
            <a:round/>
          </a:ln>
          <a:effectLst/>
        </c:spPr>
        <c:txPr>
          <a:bodyPr rot="-60000000" spcFirstLastPara="1" vertOverflow="ellipsis" vert="horz" wrap="square" anchor="ctr" anchorCtr="1"/>
          <a:lstStyle/>
          <a:p>
            <a:pPr>
              <a:defRPr sz="700" b="0" i="0" u="none" strike="noStrike" kern="1200" baseline="0">
                <a:solidFill>
                  <a:srgbClr val="44546A"/>
                </a:solidFill>
                <a:latin typeface="+mn-lt"/>
                <a:ea typeface="+mn-ea"/>
                <a:cs typeface="+mn-cs"/>
              </a:defRPr>
            </a:pPr>
            <a:endParaRPr lang="en-US"/>
          </a:p>
        </c:txPr>
        <c:crossAx val="-262788736"/>
        <c:crosses val="autoZero"/>
        <c:crossBetween val="midCat"/>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userShapes r:id="rId4"/>
</c:chartSpace>
</file>

<file path=word/charts/chart5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35"/>
    </mc:Choice>
    <mc:Fallback>
      <c:style val="35"/>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9033714179804967E-2"/>
          <c:y val="0.10598834128245893"/>
          <c:w val="0.86085801063022016"/>
          <c:h val="0.68449560396878639"/>
        </c:manualLayout>
      </c:layout>
      <c:barChart>
        <c:barDir val="col"/>
        <c:grouping val="clustered"/>
        <c:varyColors val="0"/>
        <c:ser>
          <c:idx val="0"/>
          <c:order val="0"/>
          <c:tx>
            <c:strRef>
              <c:f>'мемо 2011-2016'!$D$50</c:f>
              <c:strCache>
                <c:ptCount val="1"/>
                <c:pt idx="0">
                  <c:v>дуг</c:v>
                </c:pt>
              </c:strCache>
            </c:strRef>
          </c:tx>
          <c:spPr>
            <a:solidFill>
              <a:schemeClr val="tx2"/>
            </a:solidFill>
          </c:spPr>
          <c:invertIfNegative val="0"/>
          <c:dLbls>
            <c:numFmt formatCode="#,##0.0" sourceLinked="0"/>
            <c:spPr>
              <a:noFill/>
              <a:ln>
                <a:noFill/>
              </a:ln>
              <a:effectLst/>
            </c:spPr>
            <c:txPr>
              <a:bodyPr/>
              <a:lstStyle/>
              <a:p>
                <a:pPr>
                  <a:defRPr sz="700" b="0" baseline="0">
                    <a:solidFill>
                      <a:schemeClr val="bg1"/>
                    </a:solidFill>
                    <a:latin typeface="Calibri" panose="020F0502020204030204" pitchFamily="34" charset="0"/>
                  </a:defRPr>
                </a:pPr>
                <a:endParaRPr lang="en-US"/>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'мемо 2011-2016'!$J$48:$S$48</c:f>
              <c:numCache>
                <c:formatCode>General</c:formatCode>
                <c:ptCount val="10"/>
                <c:pt idx="0">
                  <c:v>2015</c:v>
                </c:pt>
                <c:pt idx="1">
                  <c:v>2016</c:v>
                </c:pt>
                <c:pt idx="2">
                  <c:v>2017</c:v>
                </c:pt>
                <c:pt idx="3">
                  <c:v>2018</c:v>
                </c:pt>
                <c:pt idx="4">
                  <c:v>2019</c:v>
                </c:pt>
                <c:pt idx="5">
                  <c:v>2020</c:v>
                </c:pt>
                <c:pt idx="6">
                  <c:v>2021</c:v>
                </c:pt>
                <c:pt idx="7">
                  <c:v>2022</c:v>
                </c:pt>
                <c:pt idx="8">
                  <c:v>2023</c:v>
                </c:pt>
                <c:pt idx="9">
                  <c:v>2024</c:v>
                </c:pt>
              </c:numCache>
            </c:numRef>
          </c:cat>
          <c:val>
            <c:numRef>
              <c:f>'мемо 2011-2016'!$J$50:$S$50</c:f>
              <c:numCache>
                <c:formatCode>#,##0.0</c:formatCode>
                <c:ptCount val="10"/>
                <c:pt idx="0">
                  <c:v>71.199826125969352</c:v>
                </c:pt>
                <c:pt idx="1">
                  <c:v>68.8</c:v>
                </c:pt>
                <c:pt idx="2">
                  <c:v>58.7</c:v>
                </c:pt>
                <c:pt idx="3" formatCode="0.0">
                  <c:v>54.353090578805471</c:v>
                </c:pt>
                <c:pt idx="4" formatCode="General">
                  <c:v>52.8</c:v>
                </c:pt>
                <c:pt idx="5" formatCode="General">
                  <c:v>57.8</c:v>
                </c:pt>
                <c:pt idx="6" formatCode="General">
                  <c:v>58.2</c:v>
                </c:pt>
                <c:pt idx="7" formatCode="General">
                  <c:v>56.5</c:v>
                </c:pt>
                <c:pt idx="8" formatCode="General">
                  <c:v>55.3</c:v>
                </c:pt>
                <c:pt idx="9" formatCode="General">
                  <c:v>53.8</c:v>
                </c:pt>
              </c:numCache>
            </c:numRef>
          </c:val>
          <c:extLst>
            <c:ext xmlns:c16="http://schemas.microsoft.com/office/drawing/2014/chart" uri="{C3380CC4-5D6E-409C-BE32-E72D297353CC}">
              <c16:uniqueId val="{00000000-C800-42D0-8082-D63683270252}"/>
            </c:ext>
          </c:extLst>
        </c:ser>
        <c:dLbls>
          <c:showLegendKey val="0"/>
          <c:showVal val="0"/>
          <c:showCatName val="0"/>
          <c:showSerName val="0"/>
          <c:showPercent val="0"/>
          <c:showBubbleSize val="0"/>
        </c:dLbls>
        <c:gapWidth val="55"/>
        <c:overlap val="50"/>
        <c:axId val="484178104"/>
        <c:axId val="484178496"/>
      </c:barChart>
      <c:lineChart>
        <c:grouping val="standard"/>
        <c:varyColors val="0"/>
        <c:ser>
          <c:idx val="2"/>
          <c:order val="1"/>
          <c:tx>
            <c:strRef>
              <c:f>'мемо 2011-2016'!$D$49</c:f>
              <c:strCache>
                <c:ptCount val="1"/>
                <c:pt idx="0">
                  <c:v>резултат (десна скала)</c:v>
                </c:pt>
              </c:strCache>
            </c:strRef>
          </c:tx>
          <c:spPr>
            <a:ln>
              <a:solidFill>
                <a:srgbClr val="FF0000"/>
              </a:solidFill>
            </a:ln>
          </c:spPr>
          <c:marker>
            <c:symbol val="none"/>
          </c:marker>
          <c:dLbls>
            <c:dLbl>
              <c:idx val="0"/>
              <c:layout>
                <c:manualLayout>
                  <c:x val="-1.7292088095517792E-2"/>
                  <c:y val="-0.18287206286714161"/>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800-42D0-8082-D63683270252}"/>
                </c:ext>
              </c:extLst>
            </c:dLbl>
            <c:dLbl>
              <c:idx val="1"/>
              <c:layout>
                <c:manualLayout>
                  <c:x val="9.9363021839251227E-3"/>
                  <c:y val="1.58350848574207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800-42D0-8082-D63683270252}"/>
                </c:ext>
              </c:extLst>
            </c:dLbl>
            <c:dLbl>
              <c:idx val="2"/>
              <c:layout>
                <c:manualLayout>
                  <c:x val="-1.7054991121933039E-2"/>
                  <c:y val="3.830575865516812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800-42D0-8082-D63683270252}"/>
                </c:ext>
              </c:extLst>
            </c:dLbl>
            <c:dLbl>
              <c:idx val="3"/>
              <c:layout>
                <c:manualLayout>
                  <c:x val="7.1653768988248785E-3"/>
                  <c:y val="-1.992031872509963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C800-42D0-8082-D63683270252}"/>
                </c:ext>
              </c:extLst>
            </c:dLbl>
            <c:dLbl>
              <c:idx val="4"/>
              <c:layout>
                <c:manualLayout>
                  <c:x val="1.2897678417884782E-2"/>
                  <c:y val="3.984063745019920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C800-42D0-8082-D63683270252}"/>
                </c:ext>
              </c:extLst>
            </c:dLbl>
            <c:dLbl>
              <c:idx val="5"/>
              <c:layout>
                <c:manualLayout>
                  <c:x val="-2.2819738030908168E-2"/>
                  <c:y val="-0.2461274371953505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C800-42D0-8082-D63683270252}"/>
                </c:ext>
              </c:extLst>
            </c:dLbl>
            <c:dLbl>
              <c:idx val="6"/>
              <c:layout>
                <c:manualLayout>
                  <c:x val="6.6543935298123405E-3"/>
                  <c:y val="-1.611555400425020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C800-42D0-8082-D63683270252}"/>
                </c:ext>
              </c:extLst>
            </c:dLbl>
            <c:dLbl>
              <c:idx val="7"/>
              <c:layout>
                <c:manualLayout>
                  <c:x val="4.2992261392948219E-3"/>
                  <c:y val="1.992031872509954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C800-42D0-8082-D63683270252}"/>
                </c:ext>
              </c:extLst>
            </c:dLbl>
            <c:dLbl>
              <c:idx val="8"/>
              <c:layout>
                <c:manualLayout>
                  <c:x val="0"/>
                  <c:y val="1.98412698412698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C800-42D0-8082-D63683270252}"/>
                </c:ext>
              </c:extLst>
            </c:dLbl>
            <c:numFmt formatCode="#,##0.0" sourceLinked="0"/>
            <c:spPr>
              <a:noFill/>
              <a:ln>
                <a:noFill/>
              </a:ln>
              <a:effectLst/>
            </c:spPr>
            <c:txPr>
              <a:bodyPr wrap="square" lIns="38100" tIns="19050" rIns="38100" bIns="19050" anchor="ctr">
                <a:spAutoFit/>
              </a:bodyPr>
              <a:lstStyle/>
              <a:p>
                <a:pPr>
                  <a:defRPr sz="800" baseline="0">
                    <a:solidFill>
                      <a:sysClr val="windowText" lastClr="000000"/>
                    </a:solidFill>
                    <a:latin typeface="Calibri" panose="020F050202020403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'мемо 2011-2016'!$J$49:$S$49</c:f>
              <c:numCache>
                <c:formatCode>#,##0.0</c:formatCode>
                <c:ptCount val="10"/>
                <c:pt idx="0">
                  <c:v>-3.4574923786243579</c:v>
                </c:pt>
                <c:pt idx="1">
                  <c:v>-1.1977763417297731</c:v>
                </c:pt>
                <c:pt idx="2">
                  <c:v>1.099509271415023</c:v>
                </c:pt>
                <c:pt idx="3" formatCode="0.0">
                  <c:v>0.63691314414627054</c:v>
                </c:pt>
                <c:pt idx="4">
                  <c:v>-0.2</c:v>
                </c:pt>
                <c:pt idx="5">
                  <c:v>-8</c:v>
                </c:pt>
                <c:pt idx="6">
                  <c:v>-4.9000000000000004</c:v>
                </c:pt>
                <c:pt idx="7">
                  <c:v>-3</c:v>
                </c:pt>
                <c:pt idx="8" formatCode="General">
                  <c:v>-1.5</c:v>
                </c:pt>
                <c:pt idx="9" formatCode="General">
                  <c:v>-1</c:v>
                </c:pt>
              </c:numCache>
            </c:numRef>
          </c:val>
          <c:smooth val="1"/>
          <c:extLst>
            <c:ext xmlns:c16="http://schemas.microsoft.com/office/drawing/2014/chart" uri="{C3380CC4-5D6E-409C-BE32-E72D297353CC}">
              <c16:uniqueId val="{0000000A-C800-42D0-8082-D63683270252}"/>
            </c:ext>
          </c:extLst>
        </c:ser>
        <c:ser>
          <c:idx val="1"/>
          <c:order val="2"/>
          <c:tx>
            <c:strRef>
              <c:f>'мемо 2011-2016'!$D$51</c:f>
              <c:strCache>
                <c:ptCount val="1"/>
                <c:pt idx="0">
                  <c:v>баланс</c:v>
                </c:pt>
              </c:strCache>
            </c:strRef>
          </c:tx>
          <c:spPr>
            <a:ln w="22225">
              <a:solidFill>
                <a:schemeClr val="tx1"/>
              </a:solidFill>
            </a:ln>
          </c:spPr>
          <c:marker>
            <c:symbol val="none"/>
          </c:marker>
          <c:val>
            <c:numRef>
              <c:f>'мемо 2011-2016'!$J$51:$S$51</c:f>
              <c:numCache>
                <c:formatCode>#,##0.0</c:formatCode>
                <c:ptCount val="10"/>
                <c:pt idx="0">
                  <c:v>0</c:v>
                </c:pt>
                <c:pt idx="1">
                  <c:v>0</c:v>
                </c:pt>
                <c:pt idx="2">
                  <c:v>0</c:v>
                </c:pt>
                <c:pt idx="3">
                  <c:v>0</c:v>
                </c:pt>
                <c:pt idx="4">
                  <c:v>0</c:v>
                </c:pt>
                <c:pt idx="5">
                  <c:v>0</c:v>
                </c:pt>
                <c:pt idx="6">
                  <c:v>0</c:v>
                </c:pt>
                <c:pt idx="7">
                  <c:v>0</c:v>
                </c:pt>
                <c:pt idx="8" formatCode="General">
                  <c:v>0</c:v>
                </c:pt>
                <c:pt idx="9" formatCode="General">
                  <c:v>0</c:v>
                </c:pt>
              </c:numCache>
            </c:numRef>
          </c:val>
          <c:smooth val="0"/>
          <c:extLst>
            <c:ext xmlns:c16="http://schemas.microsoft.com/office/drawing/2014/chart" uri="{C3380CC4-5D6E-409C-BE32-E72D297353CC}">
              <c16:uniqueId val="{0000000B-C800-42D0-8082-D63683270252}"/>
            </c:ext>
          </c:extLst>
        </c:ser>
        <c:dLbls>
          <c:showLegendKey val="0"/>
          <c:showVal val="0"/>
          <c:showCatName val="0"/>
          <c:showSerName val="0"/>
          <c:showPercent val="0"/>
          <c:showBubbleSize val="0"/>
        </c:dLbls>
        <c:marker val="1"/>
        <c:smooth val="0"/>
        <c:axId val="484180064"/>
        <c:axId val="484179280"/>
      </c:lineChart>
      <c:catAx>
        <c:axId val="484178104"/>
        <c:scaling>
          <c:orientation val="minMax"/>
        </c:scaling>
        <c:delete val="0"/>
        <c:axPos val="b"/>
        <c:numFmt formatCode="General" sourceLinked="1"/>
        <c:majorTickMark val="out"/>
        <c:minorTickMark val="none"/>
        <c:tickLblPos val="nextTo"/>
        <c:spPr>
          <a:ln>
            <a:noFill/>
          </a:ln>
        </c:spPr>
        <c:txPr>
          <a:bodyPr/>
          <a:lstStyle/>
          <a:p>
            <a:pPr>
              <a:defRPr sz="700" baseline="0">
                <a:latin typeface="Calibri" panose="020F0502020204030204" pitchFamily="34" charset="0"/>
              </a:defRPr>
            </a:pPr>
            <a:endParaRPr lang="en-US"/>
          </a:p>
        </c:txPr>
        <c:crossAx val="484178496"/>
        <c:crossesAt val="0"/>
        <c:auto val="1"/>
        <c:lblAlgn val="ctr"/>
        <c:lblOffset val="100"/>
        <c:noMultiLvlLbl val="0"/>
      </c:catAx>
      <c:valAx>
        <c:axId val="484178496"/>
        <c:scaling>
          <c:orientation val="minMax"/>
          <c:max val="80"/>
          <c:min val="40"/>
        </c:scaling>
        <c:delete val="0"/>
        <c:axPos val="l"/>
        <c:majorGridlines>
          <c:spPr>
            <a:ln>
              <a:noFill/>
            </a:ln>
          </c:spPr>
        </c:majorGridlines>
        <c:numFmt formatCode="#,##0" sourceLinked="0"/>
        <c:majorTickMark val="out"/>
        <c:minorTickMark val="none"/>
        <c:tickLblPos val="nextTo"/>
        <c:spPr>
          <a:ln>
            <a:noFill/>
          </a:ln>
        </c:spPr>
        <c:txPr>
          <a:bodyPr/>
          <a:lstStyle/>
          <a:p>
            <a:pPr>
              <a:defRPr sz="800" baseline="0">
                <a:solidFill>
                  <a:sysClr val="windowText" lastClr="000000"/>
                </a:solidFill>
                <a:latin typeface="+mn-lt"/>
              </a:defRPr>
            </a:pPr>
            <a:endParaRPr lang="en-US"/>
          </a:p>
        </c:txPr>
        <c:crossAx val="484178104"/>
        <c:crosses val="autoZero"/>
        <c:crossBetween val="between"/>
        <c:majorUnit val="5"/>
      </c:valAx>
      <c:valAx>
        <c:axId val="484179280"/>
        <c:scaling>
          <c:orientation val="minMax"/>
        </c:scaling>
        <c:delete val="0"/>
        <c:axPos val="r"/>
        <c:numFmt formatCode="#,##0" sourceLinked="0"/>
        <c:majorTickMark val="out"/>
        <c:minorTickMark val="none"/>
        <c:tickLblPos val="nextTo"/>
        <c:spPr>
          <a:ln>
            <a:noFill/>
          </a:ln>
        </c:spPr>
        <c:txPr>
          <a:bodyPr/>
          <a:lstStyle/>
          <a:p>
            <a:pPr>
              <a:defRPr sz="800" baseline="0">
                <a:latin typeface="+mn-lt"/>
              </a:defRPr>
            </a:pPr>
            <a:endParaRPr lang="en-US"/>
          </a:p>
        </c:txPr>
        <c:crossAx val="484180064"/>
        <c:crosses val="max"/>
        <c:crossBetween val="between"/>
      </c:valAx>
      <c:catAx>
        <c:axId val="484180064"/>
        <c:scaling>
          <c:orientation val="minMax"/>
        </c:scaling>
        <c:delete val="1"/>
        <c:axPos val="b"/>
        <c:majorTickMark val="out"/>
        <c:minorTickMark val="none"/>
        <c:tickLblPos val="nextTo"/>
        <c:crossAx val="484179280"/>
        <c:crosses val="autoZero"/>
        <c:auto val="1"/>
        <c:lblAlgn val="ctr"/>
        <c:lblOffset val="100"/>
        <c:noMultiLvlLbl val="0"/>
      </c:catAx>
      <c:spPr>
        <a:noFill/>
        <a:ln>
          <a:noFill/>
        </a:ln>
      </c:spPr>
    </c:plotArea>
    <c:legend>
      <c:legendPos val="b"/>
      <c:overlay val="0"/>
      <c:txPr>
        <a:bodyPr/>
        <a:lstStyle/>
        <a:p>
          <a:pPr>
            <a:defRPr sz="800" baseline="0">
              <a:latin typeface="Calibri" panose="020F0502020204030204" pitchFamily="34" charset="0"/>
            </a:defRPr>
          </a:pPr>
          <a:endParaRPr lang="en-US"/>
        </a:p>
      </c:txPr>
    </c:legend>
    <c:plotVisOnly val="1"/>
    <c:dispBlanksAs val="gap"/>
    <c:showDLblsOverMax val="0"/>
  </c:chart>
  <c:spPr>
    <a:ln>
      <a:noFill/>
    </a:ln>
  </c:spPr>
  <c:txPr>
    <a:bodyPr/>
    <a:lstStyle/>
    <a:p>
      <a:pPr>
        <a:defRPr sz="900" baseline="0">
          <a:latin typeface="Cambria Math" pitchFamily="18" charset="0"/>
        </a:defRPr>
      </a:pPr>
      <a:endParaRPr lang="en-US"/>
    </a:p>
  </c:txPr>
  <c:externalData r:id="rId2">
    <c:autoUpdate val="0"/>
  </c:externalData>
  <c:userShapes r:id="rId3"/>
</c:chartSpace>
</file>

<file path=word/charts/chart5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0"/>
    <c:plotArea>
      <c:layout>
        <c:manualLayout>
          <c:layoutTarget val="inner"/>
          <c:xMode val="edge"/>
          <c:yMode val="edge"/>
          <c:x val="8.5694913857576771E-2"/>
          <c:y val="0.12195169524878018"/>
          <c:w val="0.89742630688838176"/>
          <c:h val="0.72252618511373012"/>
        </c:manualLayout>
      </c:layout>
      <c:areaChart>
        <c:grouping val="stacked"/>
        <c:varyColors val="0"/>
        <c:ser>
          <c:idx val="2"/>
          <c:order val="2"/>
          <c:tx>
            <c:strRef>
              <c:f>'Grafikoni, CAB, Karakter'!$G$10</c:f>
              <c:strCache>
                <c:ptCount val="1"/>
                <c:pt idx="0">
                  <c:v>Производни јаз </c:v>
                </c:pt>
              </c:strCache>
            </c:strRef>
          </c:tx>
          <c:spPr>
            <a:solidFill>
              <a:srgbClr val="29489A"/>
            </a:solidFill>
            <a:ln w="9525" cap="rnd" cmpd="sng" algn="ctr">
              <a:solidFill>
                <a:srgbClr val="29489A"/>
              </a:solidFill>
              <a:prstDash val="solid"/>
              <a:round/>
            </a:ln>
            <a:effectLst/>
          </c:spPr>
          <c:cat>
            <c:numRef>
              <c:f>'Grafikoni, CAB, Karakter'!$F$11:$F$23</c:f>
              <c:numCache>
                <c:formatCode>General</c:formatCode>
                <c:ptCount val="13"/>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numCache>
            </c:numRef>
          </c:cat>
          <c:val>
            <c:numRef>
              <c:f>('Grafikoni, CAB, Karakter'!$G$11:$G$29,'Grafikoni, CAB, Karakter'!$G$30)</c:f>
              <c:numCache>
                <c:formatCode>#,##0.0</c:formatCode>
                <c:ptCount val="20"/>
                <c:pt idx="0">
                  <c:v>3.4939700056136114E-2</c:v>
                </c:pt>
                <c:pt idx="1">
                  <c:v>-2.6691119954877238</c:v>
                </c:pt>
                <c:pt idx="2">
                  <c:v>0.76238577225363635</c:v>
                </c:pt>
                <c:pt idx="3">
                  <c:v>4.0468165152257942</c:v>
                </c:pt>
                <c:pt idx="4">
                  <c:v>-0.39138729729837957</c:v>
                </c:pt>
                <c:pt idx="5">
                  <c:v>-0.72479913568008913</c:v>
                </c:pt>
                <c:pt idx="6">
                  <c:v>0.50975763682390063</c:v>
                </c:pt>
                <c:pt idx="7">
                  <c:v>-0.85240798425823205</c:v>
                </c:pt>
                <c:pt idx="8">
                  <c:v>1.2292084183139753</c:v>
                </c:pt>
                <c:pt idx="9">
                  <c:v>-1.4047616586894149</c:v>
                </c:pt>
                <c:pt idx="10">
                  <c:v>-1.1245778807696636</c:v>
                </c:pt>
                <c:pt idx="11">
                  <c:v>8.1063151685040302E-2</c:v>
                </c:pt>
                <c:pt idx="12">
                  <c:v>-0.4159186341528765</c:v>
                </c:pt>
                <c:pt idx="13">
                  <c:v>1.0107659401915881</c:v>
                </c:pt>
                <c:pt idx="14">
                  <c:v>1.9175492019454687</c:v>
                </c:pt>
                <c:pt idx="15">
                  <c:v>-2.6273288332443103</c:v>
                </c:pt>
                <c:pt idx="16">
                  <c:v>4.947281816201466E-2</c:v>
                </c:pt>
                <c:pt idx="17">
                  <c:v>3.6535932479672371E-2</c:v>
                </c:pt>
                <c:pt idx="18">
                  <c:v>0.22828350202301279</c:v>
                </c:pt>
                <c:pt idx="19">
                  <c:v>0.31501471150738092</c:v>
                </c:pt>
              </c:numCache>
            </c:numRef>
          </c:val>
          <c:extLst>
            <c:ext xmlns:c16="http://schemas.microsoft.com/office/drawing/2014/chart" uri="{C3380CC4-5D6E-409C-BE32-E72D297353CC}">
              <c16:uniqueId val="{00000000-4B61-4B84-8DD3-1BF719571E22}"/>
            </c:ext>
          </c:extLst>
        </c:ser>
        <c:dLbls>
          <c:showLegendKey val="0"/>
          <c:showVal val="0"/>
          <c:showCatName val="0"/>
          <c:showSerName val="0"/>
          <c:showPercent val="0"/>
          <c:showBubbleSize val="0"/>
        </c:dLbls>
        <c:axId val="342946768"/>
        <c:axId val="410610880"/>
      </c:areaChart>
      <c:lineChart>
        <c:grouping val="standard"/>
        <c:varyColors val="0"/>
        <c:ser>
          <c:idx val="0"/>
          <c:order val="0"/>
          <c:tx>
            <c:strRef>
              <c:f>'Grafikoni, CAB, Karakter'!$H$10</c:f>
              <c:strCache>
                <c:ptCount val="1"/>
                <c:pt idx="0">
                  <c:v>Фискални 
биланс</c:v>
                </c:pt>
              </c:strCache>
            </c:strRef>
          </c:tx>
          <c:spPr>
            <a:ln w="22225" cap="rnd" cmpd="sng" algn="ctr">
              <a:solidFill>
                <a:schemeClr val="accent3">
                  <a:shade val="53000"/>
                  <a:shade val="95000"/>
                  <a:satMod val="105000"/>
                </a:schemeClr>
              </a:solidFill>
              <a:prstDash val="solid"/>
              <a:round/>
            </a:ln>
            <a:effectLst/>
          </c:spPr>
          <c:marker>
            <c:symbol val="none"/>
          </c:marker>
          <c:cat>
            <c:numRef>
              <c:f>('Grafikoni, CAB, Karakter'!$F$11:$F$29,'Grafikoni, CAB, Karakter'!$F$30)</c:f>
              <c:numCache>
                <c:formatCode>General</c:formatCode>
                <c:ptCount val="20"/>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pt idx="14">
                  <c:v>2019</c:v>
                </c:pt>
                <c:pt idx="15">
                  <c:v>2020</c:v>
                </c:pt>
                <c:pt idx="16">
                  <c:v>2021</c:v>
                </c:pt>
                <c:pt idx="17">
                  <c:v>2022</c:v>
                </c:pt>
                <c:pt idx="18">
                  <c:v>2023</c:v>
                </c:pt>
                <c:pt idx="19">
                  <c:v>2024</c:v>
                </c:pt>
              </c:numCache>
            </c:numRef>
          </c:cat>
          <c:val>
            <c:numRef>
              <c:f>('Grafikoni, CAB, Karakter'!$H$11:$H$29,'Grafikoni, CAB, Karakter'!$H$30)</c:f>
              <c:numCache>
                <c:formatCode>#,##0.0</c:formatCode>
                <c:ptCount val="20"/>
                <c:pt idx="0">
                  <c:v>1.1229513642911615</c:v>
                </c:pt>
                <c:pt idx="1">
                  <c:v>-1.4151456839897949</c:v>
                </c:pt>
                <c:pt idx="2">
                  <c:v>-1.7846058996685674</c:v>
                </c:pt>
                <c:pt idx="3">
                  <c:v>-2.4768975856092812</c:v>
                </c:pt>
                <c:pt idx="4">
                  <c:v>-4.1655024905891214</c:v>
                </c:pt>
                <c:pt idx="5">
                  <c:v>-4.3381740101726747</c:v>
                </c:pt>
                <c:pt idx="6">
                  <c:v>-4.5257988775356361</c:v>
                </c:pt>
                <c:pt idx="7">
                  <c:v>-6.4352841344073424</c:v>
                </c:pt>
                <c:pt idx="8">
                  <c:v>-5.1464767188637195</c:v>
                </c:pt>
                <c:pt idx="9">
                  <c:v>-6.2041437165115507</c:v>
                </c:pt>
                <c:pt idx="10">
                  <c:v>-3.4561672728767112</c:v>
                </c:pt>
                <c:pt idx="11">
                  <c:v>-1.1926941660681765</c:v>
                </c:pt>
                <c:pt idx="12">
                  <c:v>1.0986349345465762</c:v>
                </c:pt>
                <c:pt idx="13">
                  <c:v>0.63523655395945411</c:v>
                </c:pt>
                <c:pt idx="14">
                  <c:v>-0.20497664525511922</c:v>
                </c:pt>
                <c:pt idx="15">
                  <c:v>-8.0474018723524452</c:v>
                </c:pt>
                <c:pt idx="16">
                  <c:v>-4.9000000000000004</c:v>
                </c:pt>
                <c:pt idx="17">
                  <c:v>-3</c:v>
                </c:pt>
                <c:pt idx="18">
                  <c:v>-1.5</c:v>
                </c:pt>
                <c:pt idx="19">
                  <c:v>-1</c:v>
                </c:pt>
              </c:numCache>
            </c:numRef>
          </c:val>
          <c:smooth val="0"/>
          <c:extLst>
            <c:ext xmlns:c16="http://schemas.microsoft.com/office/drawing/2014/chart" uri="{C3380CC4-5D6E-409C-BE32-E72D297353CC}">
              <c16:uniqueId val="{00000001-4B61-4B84-8DD3-1BF719571E22}"/>
            </c:ext>
          </c:extLst>
        </c:ser>
        <c:ser>
          <c:idx val="1"/>
          <c:order val="1"/>
          <c:tx>
            <c:strRef>
              <c:f>'Grafikoni, CAB, Karakter'!$K$10</c:f>
              <c:strCache>
                <c:ptCount val="1"/>
                <c:pt idx="0">
                  <c:v>Циклично 
прилагођени  фискални биланс</c:v>
                </c:pt>
              </c:strCache>
            </c:strRef>
          </c:tx>
          <c:spPr>
            <a:ln w="22225" cap="rnd" cmpd="sng" algn="ctr">
              <a:solidFill>
                <a:schemeClr val="tx1"/>
              </a:solidFill>
              <a:prstDash val="solid"/>
              <a:round/>
            </a:ln>
            <a:effectLst/>
          </c:spPr>
          <c:marker>
            <c:symbol val="none"/>
          </c:marker>
          <c:cat>
            <c:numRef>
              <c:f>('Grafikoni, CAB, Karakter'!$F$11:$F$29,'Grafikoni, CAB, Karakter'!$F$30)</c:f>
              <c:numCache>
                <c:formatCode>General</c:formatCode>
                <c:ptCount val="20"/>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pt idx="14">
                  <c:v>2019</c:v>
                </c:pt>
                <c:pt idx="15">
                  <c:v>2020</c:v>
                </c:pt>
                <c:pt idx="16">
                  <c:v>2021</c:v>
                </c:pt>
                <c:pt idx="17">
                  <c:v>2022</c:v>
                </c:pt>
                <c:pt idx="18">
                  <c:v>2023</c:v>
                </c:pt>
                <c:pt idx="19">
                  <c:v>2024</c:v>
                </c:pt>
              </c:numCache>
            </c:numRef>
          </c:cat>
          <c:val>
            <c:numRef>
              <c:f>('Grafikoni, CAB, Karakter'!$K$11:$K$29,'Grafikoni, CAB, Karakter'!$K$30)</c:f>
              <c:numCache>
                <c:formatCode>#,##0.0</c:formatCode>
                <c:ptCount val="20"/>
                <c:pt idx="0">
                  <c:v>1.110553570451444</c:v>
                </c:pt>
                <c:pt idx="1">
                  <c:v>-0.4680539745015041</c:v>
                </c:pt>
                <c:pt idx="2">
                  <c:v>-2.0551262995445976</c:v>
                </c:pt>
                <c:pt idx="3">
                  <c:v>-3.9128457128778411</c:v>
                </c:pt>
                <c:pt idx="4">
                  <c:v>-4.0266249668670078</c:v>
                </c:pt>
                <c:pt idx="5">
                  <c:v>-4.0809906272320662</c:v>
                </c:pt>
                <c:pt idx="6">
                  <c:v>-4.7066782233631761</c:v>
                </c:pt>
                <c:pt idx="7">
                  <c:v>-6.1328207921581619</c:v>
                </c:pt>
                <c:pt idx="8">
                  <c:v>-5.5826416696737562</c:v>
                </c:pt>
                <c:pt idx="9">
                  <c:v>-5.7056865056485586</c:v>
                </c:pt>
                <c:pt idx="10">
                  <c:v>-3.057128795153996</c:v>
                </c:pt>
                <c:pt idx="11">
                  <c:v>-1.2214581291524098</c:v>
                </c:pt>
                <c:pt idx="12">
                  <c:v>1.2462170108677699</c:v>
                </c:pt>
                <c:pt idx="13">
                  <c:v>0.27658242336960359</c:v>
                </c:pt>
                <c:pt idx="14">
                  <c:v>-0.88538831579148014</c:v>
                </c:pt>
                <c:pt idx="15">
                  <c:v>-7.1151362498263504</c:v>
                </c:pt>
                <c:pt idx="16">
                  <c:v>-4.9175546383986424</c:v>
                </c:pt>
                <c:pt idx="17">
                  <c:v>-3.0129641913896532</c:v>
                </c:pt>
                <c:pt idx="18">
                  <c:v>-1.5810027501822537</c:v>
                </c:pt>
                <c:pt idx="19">
                  <c:v>-1.1117779329379431</c:v>
                </c:pt>
              </c:numCache>
            </c:numRef>
          </c:val>
          <c:smooth val="1"/>
          <c:extLst>
            <c:ext xmlns:c16="http://schemas.microsoft.com/office/drawing/2014/chart" uri="{C3380CC4-5D6E-409C-BE32-E72D297353CC}">
              <c16:uniqueId val="{00000002-4B61-4B84-8DD3-1BF719571E22}"/>
            </c:ext>
          </c:extLst>
        </c:ser>
        <c:ser>
          <c:idx val="4"/>
          <c:order val="3"/>
          <c:tx>
            <c:strRef>
              <c:f>'Grafikoni, CAB, Karakter'!$N$10</c:f>
              <c:strCache>
                <c:ptCount val="1"/>
                <c:pt idx="0">
                  <c:v>Структурни примарни фискални биланс</c:v>
                </c:pt>
              </c:strCache>
            </c:strRef>
          </c:tx>
          <c:spPr>
            <a:ln w="22225" cap="rnd" cmpd="sng" algn="ctr">
              <a:solidFill>
                <a:srgbClr val="FF0000"/>
              </a:solidFill>
              <a:prstDash val="solid"/>
              <a:round/>
            </a:ln>
            <a:effectLst/>
          </c:spPr>
          <c:marker>
            <c:symbol val="none"/>
          </c:marker>
          <c:cat>
            <c:numRef>
              <c:f>('Grafikoni, CAB, Karakter'!$F$11:$F$29,'Grafikoni, CAB, Karakter'!$F$30)</c:f>
              <c:numCache>
                <c:formatCode>General</c:formatCode>
                <c:ptCount val="20"/>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pt idx="14">
                  <c:v>2019</c:v>
                </c:pt>
                <c:pt idx="15">
                  <c:v>2020</c:v>
                </c:pt>
                <c:pt idx="16">
                  <c:v>2021</c:v>
                </c:pt>
                <c:pt idx="17">
                  <c:v>2022</c:v>
                </c:pt>
                <c:pt idx="18">
                  <c:v>2023</c:v>
                </c:pt>
                <c:pt idx="19">
                  <c:v>2024</c:v>
                </c:pt>
              </c:numCache>
            </c:numRef>
          </c:cat>
          <c:val>
            <c:numRef>
              <c:f>('Grafikoni, CAB, Karakter'!$N$11:$N$29,'Grafikoni, CAB, Karakter'!$N$30)</c:f>
              <c:numCache>
                <c:formatCode>#,##0.0</c:formatCode>
                <c:ptCount val="20"/>
                <c:pt idx="0">
                  <c:v>2.2311622467225694</c:v>
                </c:pt>
                <c:pt idx="1">
                  <c:v>1.4719640479783447</c:v>
                </c:pt>
                <c:pt idx="2">
                  <c:v>-1.172843461311895</c:v>
                </c:pt>
                <c:pt idx="3">
                  <c:v>-3.4319327828001871</c:v>
                </c:pt>
                <c:pt idx="4">
                  <c:v>-3.4911439503982833</c:v>
                </c:pt>
                <c:pt idx="5">
                  <c:v>-3.2413691837633936</c:v>
                </c:pt>
                <c:pt idx="6">
                  <c:v>-3.763166642648291</c:v>
                </c:pt>
                <c:pt idx="7">
                  <c:v>-4.3781450188314688</c:v>
                </c:pt>
                <c:pt idx="8">
                  <c:v>-3.1195871042578056</c:v>
                </c:pt>
                <c:pt idx="9">
                  <c:v>-2.1713357932966812</c:v>
                </c:pt>
                <c:pt idx="10">
                  <c:v>0.76272032789598065</c:v>
                </c:pt>
                <c:pt idx="11">
                  <c:v>1.753094654502148</c:v>
                </c:pt>
                <c:pt idx="12">
                  <c:v>3.6374160603258381</c:v>
                </c:pt>
                <c:pt idx="13">
                  <c:v>2.2410557058967191</c:v>
                </c:pt>
                <c:pt idx="14">
                  <c:v>0.92861452652012189</c:v>
                </c:pt>
                <c:pt idx="15">
                  <c:v>1.7184876732044794</c:v>
                </c:pt>
                <c:pt idx="16">
                  <c:v>1.0526514298191127</c:v>
                </c:pt>
                <c:pt idx="17">
                  <c:v>-1.2626215038152784</c:v>
                </c:pt>
                <c:pt idx="18">
                  <c:v>0.12748755476236254</c:v>
                </c:pt>
                <c:pt idx="19">
                  <c:v>0.58811407164518303</c:v>
                </c:pt>
              </c:numCache>
            </c:numRef>
          </c:val>
          <c:smooth val="0"/>
          <c:extLst>
            <c:ext xmlns:c16="http://schemas.microsoft.com/office/drawing/2014/chart" uri="{C3380CC4-5D6E-409C-BE32-E72D297353CC}">
              <c16:uniqueId val="{00000003-4B61-4B84-8DD3-1BF719571E22}"/>
            </c:ext>
          </c:extLst>
        </c:ser>
        <c:ser>
          <c:idx val="3"/>
          <c:order val="4"/>
          <c:tx>
            <c:strRef>
              <c:f>'Grafikoni, CAB, Karakter'!$M$10</c:f>
              <c:strCache>
                <c:ptCount val="1"/>
                <c:pt idx="0">
                  <c:v>Структурни  фискални биланс</c:v>
                </c:pt>
              </c:strCache>
            </c:strRef>
          </c:tx>
          <c:spPr>
            <a:ln w="22225" cap="rnd" cmpd="sng" algn="ctr">
              <a:solidFill>
                <a:schemeClr val="accent6"/>
              </a:solidFill>
              <a:prstDash val="solid"/>
              <a:round/>
            </a:ln>
            <a:effectLst/>
          </c:spPr>
          <c:marker>
            <c:symbol val="none"/>
          </c:marker>
          <c:cat>
            <c:numRef>
              <c:f>('Grafikoni, CAB, Karakter'!$F$11:$F$29,'Grafikoni, CAB, Karakter'!$F$30)</c:f>
              <c:numCache>
                <c:formatCode>General</c:formatCode>
                <c:ptCount val="20"/>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pt idx="14">
                  <c:v>2019</c:v>
                </c:pt>
                <c:pt idx="15">
                  <c:v>2020</c:v>
                </c:pt>
                <c:pt idx="16">
                  <c:v>2021</c:v>
                </c:pt>
                <c:pt idx="17">
                  <c:v>2022</c:v>
                </c:pt>
                <c:pt idx="18">
                  <c:v>2023</c:v>
                </c:pt>
                <c:pt idx="19">
                  <c:v>2024</c:v>
                </c:pt>
              </c:numCache>
            </c:numRef>
          </c:cat>
          <c:val>
            <c:numRef>
              <c:f>('Grafikoni, CAB, Karakter'!$M$11:$M$29,'Grafikoni, CAB, Karakter'!$M$30)</c:f>
              <c:numCache>
                <c:formatCode>#,##0.0</c:formatCode>
                <c:ptCount val="20"/>
                <c:pt idx="0">
                  <c:v>1.3271381895220509</c:v>
                </c:pt>
                <c:pt idx="1">
                  <c:v>0.20593807539355458</c:v>
                </c:pt>
                <c:pt idx="2">
                  <c:v>-1.7182919391538403</c:v>
                </c:pt>
                <c:pt idx="3">
                  <c:v>-3.9712961970330354</c:v>
                </c:pt>
                <c:pt idx="4">
                  <c:v>-4.098705646797244</c:v>
                </c:pt>
                <c:pt idx="5">
                  <c:v>-4.1978927936980854</c:v>
                </c:pt>
                <c:pt idx="6">
                  <c:v>-4.9170724400060255</c:v>
                </c:pt>
                <c:pt idx="7">
                  <c:v>-6.0855774159419669</c:v>
                </c:pt>
                <c:pt idx="8">
                  <c:v>-5.3133026521639675</c:v>
                </c:pt>
                <c:pt idx="9">
                  <c:v>-4.8356089108728506</c:v>
                </c:pt>
                <c:pt idx="10">
                  <c:v>-2.2228337829454299</c:v>
                </c:pt>
                <c:pt idx="11">
                  <c:v>-1.144164584850579</c:v>
                </c:pt>
                <c:pt idx="12">
                  <c:v>1.1012799263232274</c:v>
                </c:pt>
                <c:pt idx="13">
                  <c:v>0.12873893478484269</c:v>
                </c:pt>
                <c:pt idx="14">
                  <c:v>-1.0679827839906246</c:v>
                </c:pt>
                <c:pt idx="15">
                  <c:v>-0.28334338673264359</c:v>
                </c:pt>
                <c:pt idx="16">
                  <c:v>-0.74734857018088707</c:v>
                </c:pt>
                <c:pt idx="17">
                  <c:v>-3.0430905715544445</c:v>
                </c:pt>
                <c:pt idx="18">
                  <c:v>-1.6228092013636064</c:v>
                </c:pt>
                <c:pt idx="19">
                  <c:v>-1.1117779329379431</c:v>
                </c:pt>
              </c:numCache>
            </c:numRef>
          </c:val>
          <c:smooth val="0"/>
          <c:extLst>
            <c:ext xmlns:c16="http://schemas.microsoft.com/office/drawing/2014/chart" uri="{C3380CC4-5D6E-409C-BE32-E72D297353CC}">
              <c16:uniqueId val="{00000004-4B61-4B84-8DD3-1BF719571E22}"/>
            </c:ext>
          </c:extLst>
        </c:ser>
        <c:dLbls>
          <c:showLegendKey val="0"/>
          <c:showVal val="0"/>
          <c:showCatName val="0"/>
          <c:showSerName val="0"/>
          <c:showPercent val="0"/>
          <c:showBubbleSize val="0"/>
        </c:dLbls>
        <c:marker val="1"/>
        <c:smooth val="0"/>
        <c:axId val="342946768"/>
        <c:axId val="410610880"/>
      </c:lineChart>
      <c:catAx>
        <c:axId val="342946768"/>
        <c:scaling>
          <c:orientation val="minMax"/>
        </c:scaling>
        <c:delete val="0"/>
        <c:axPos val="b"/>
        <c:majorGridlines>
          <c:spPr>
            <a:ln w="9525" cap="flat" cmpd="sng" algn="ctr">
              <a:noFill/>
              <a:prstDash val="sysDot"/>
              <a:round/>
            </a:ln>
            <a:effectLst/>
          </c:spPr>
        </c:majorGridlines>
        <c:numFmt formatCode="General" sourceLinked="1"/>
        <c:majorTickMark val="out"/>
        <c:minorTickMark val="none"/>
        <c:tickLblPos val="nextTo"/>
        <c:spPr>
          <a:noFill/>
          <a:ln w="9525" cap="flat" cmpd="sng" algn="ctr">
            <a:solidFill>
              <a:schemeClr val="dk1">
                <a:tint val="75000"/>
                <a:shade val="95000"/>
                <a:satMod val="105000"/>
              </a:schemeClr>
            </a:solidFill>
            <a:prstDash val="solid"/>
            <a:round/>
          </a:ln>
          <a:effectLst/>
        </c:spPr>
        <c:txPr>
          <a:bodyPr rot="-60000000" spcFirstLastPara="1" vertOverflow="ellipsis" vert="horz" wrap="square" anchor="ctr" anchorCtr="1"/>
          <a:lstStyle/>
          <a:p>
            <a:pPr>
              <a:defRPr sz="600" b="0" i="0" u="none" strike="noStrike" kern="1200" baseline="0">
                <a:solidFill>
                  <a:srgbClr val="44546A"/>
                </a:solidFill>
                <a:latin typeface="+mn-lt"/>
                <a:ea typeface="+mn-ea"/>
                <a:cs typeface="+mn-cs"/>
              </a:defRPr>
            </a:pPr>
            <a:endParaRPr lang="en-US"/>
          </a:p>
        </c:txPr>
        <c:crossAx val="410610880"/>
        <c:crosses val="autoZero"/>
        <c:auto val="1"/>
        <c:lblAlgn val="ctr"/>
        <c:lblOffset val="100"/>
        <c:noMultiLvlLbl val="0"/>
      </c:catAx>
      <c:valAx>
        <c:axId val="410610880"/>
        <c:scaling>
          <c:orientation val="minMax"/>
          <c:max val="5"/>
          <c:min val="-9"/>
        </c:scaling>
        <c:delete val="0"/>
        <c:axPos val="l"/>
        <c:majorGridlines>
          <c:spPr>
            <a:ln w="9525" cap="flat" cmpd="sng" algn="ctr">
              <a:noFill/>
              <a:prstDash val="sysDot"/>
              <a:round/>
            </a:ln>
            <a:effectLst/>
          </c:spPr>
        </c:majorGridlines>
        <c:title>
          <c:tx>
            <c:rich>
              <a:bodyPr rot="-5400000" spcFirstLastPara="1" vertOverflow="ellipsis" vert="horz" wrap="square" anchor="ctr" anchorCtr="1"/>
              <a:lstStyle/>
              <a:p>
                <a:pPr>
                  <a:defRPr sz="800" b="0" i="0" u="none" strike="noStrike" kern="1200" baseline="0">
                    <a:solidFill>
                      <a:srgbClr val="44546A"/>
                    </a:solidFill>
                    <a:latin typeface="+mn-lt"/>
                    <a:ea typeface="+mn-ea"/>
                    <a:cs typeface="+mn-cs"/>
                  </a:defRPr>
                </a:pPr>
                <a:r>
                  <a:rPr lang="sr-Cyrl-CS" sz="800" b="0">
                    <a:solidFill>
                      <a:srgbClr val="44546A"/>
                    </a:solidFill>
                    <a:latin typeface="+mn-lt"/>
                  </a:rPr>
                  <a:t>% БДП</a:t>
                </a:r>
              </a:p>
            </c:rich>
          </c:tx>
          <c:layout>
            <c:manualLayout>
              <c:xMode val="edge"/>
              <c:yMode val="edge"/>
              <c:x val="0.13657564621138912"/>
              <c:y val="9.5795908247625419E-2"/>
            </c:manualLayout>
          </c:layout>
          <c:overlay val="0"/>
          <c:spPr>
            <a:noFill/>
            <a:ln>
              <a:noFill/>
            </a:ln>
            <a:effectLst/>
          </c:spPr>
          <c:txPr>
            <a:bodyPr rot="-5400000" spcFirstLastPara="1" vertOverflow="ellipsis" vert="horz" wrap="square" anchor="ctr" anchorCtr="1"/>
            <a:lstStyle/>
            <a:p>
              <a:pPr>
                <a:defRPr sz="800" b="0" i="0" u="none" strike="noStrike" kern="1200" baseline="0">
                  <a:solidFill>
                    <a:srgbClr val="44546A"/>
                  </a:solidFill>
                  <a:latin typeface="+mn-lt"/>
                  <a:ea typeface="+mn-ea"/>
                  <a:cs typeface="+mn-cs"/>
                </a:defRPr>
              </a:pPr>
              <a:endParaRPr lang="en-US"/>
            </a:p>
          </c:txPr>
        </c:title>
        <c:numFmt formatCode="#,##0" sourceLinked="0"/>
        <c:majorTickMark val="out"/>
        <c:minorTickMark val="none"/>
        <c:tickLblPos val="nextTo"/>
        <c:spPr>
          <a:noFill/>
          <a:ln w="9525" cap="flat" cmpd="sng" algn="ctr">
            <a:solidFill>
              <a:schemeClr val="dk1">
                <a:tint val="75000"/>
                <a:shade val="95000"/>
                <a:satMod val="105000"/>
              </a:schemeClr>
            </a:solidFill>
            <a:prstDash val="solid"/>
            <a:round/>
          </a:ln>
          <a:effectLst/>
        </c:spPr>
        <c:txPr>
          <a:bodyPr rot="-60000000" spcFirstLastPara="1" vertOverflow="ellipsis" vert="horz" wrap="square" anchor="ctr" anchorCtr="1"/>
          <a:lstStyle/>
          <a:p>
            <a:pPr>
              <a:defRPr sz="800" b="0" i="0" u="none" strike="noStrike" kern="1200" baseline="0">
                <a:solidFill>
                  <a:srgbClr val="44546A"/>
                </a:solidFill>
                <a:latin typeface="+mj-lt"/>
                <a:ea typeface="+mn-ea"/>
                <a:cs typeface="+mn-cs"/>
              </a:defRPr>
            </a:pPr>
            <a:endParaRPr lang="en-US"/>
          </a:p>
        </c:txPr>
        <c:crossAx val="342946768"/>
        <c:crosses val="autoZero"/>
        <c:crossBetween val="between"/>
      </c:valAx>
      <c:spPr>
        <a:noFill/>
        <a:ln>
          <a:noFill/>
        </a:ln>
        <a:effectLst/>
      </c:spPr>
    </c:plotArea>
    <c:legend>
      <c:legendPos val="r"/>
      <c:layout>
        <c:manualLayout>
          <c:xMode val="edge"/>
          <c:yMode val="edge"/>
          <c:x val="5.4192736614807793E-2"/>
          <c:y val="0.71706754896680258"/>
          <c:w val="0.7756422992223666"/>
          <c:h val="0.2785893457128934"/>
        </c:manualLayout>
      </c:layout>
      <c:overlay val="0"/>
      <c:spPr>
        <a:noFill/>
        <a:ln>
          <a:noFill/>
        </a:ln>
        <a:effectLst/>
      </c:spPr>
      <c:txPr>
        <a:bodyPr rot="0" spcFirstLastPara="1" vertOverflow="ellipsis" vert="horz" wrap="square" anchor="ctr" anchorCtr="1"/>
        <a:lstStyle/>
        <a:p>
          <a:pPr>
            <a:defRPr sz="600" b="1" i="0" u="none" strike="noStrike" kern="1200" baseline="0">
              <a:solidFill>
                <a:srgbClr val="44546A"/>
              </a:solidFill>
              <a:latin typeface="+mn-lt"/>
              <a:ea typeface="+mn-ea"/>
              <a:cs typeface="+mn-cs"/>
            </a:defRPr>
          </a:pPr>
          <a:endParaRPr lang="en-US"/>
        </a:p>
      </c:txPr>
    </c:legend>
    <c:plotVisOnly val="1"/>
    <c:dispBlanksAs val="gap"/>
    <c:showDLblsOverMax val="0"/>
  </c:chart>
  <c:spPr>
    <a:solidFill>
      <a:schemeClr val="lt1"/>
    </a:solidFill>
    <a:ln w="9525" cap="flat" cmpd="sng" algn="ctr">
      <a:noFill/>
      <a:prstDash val="solid"/>
      <a:round/>
    </a:ln>
    <a:effectLst/>
  </c:spPr>
  <c:txPr>
    <a:bodyPr/>
    <a:lstStyle/>
    <a:p>
      <a:pPr>
        <a:defRPr/>
      </a:pPr>
      <a:endParaRPr lang="en-US"/>
    </a:p>
  </c:txPr>
  <c:externalData r:id="rId3">
    <c:autoUpdate val="0"/>
  </c:externalData>
  <c:userShapes r:id="rId4"/>
</c:chartSpace>
</file>

<file path=word/charts/chart5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1"/>
    <c:plotArea>
      <c:layout>
        <c:manualLayout>
          <c:layoutTarget val="inner"/>
          <c:xMode val="edge"/>
          <c:yMode val="edge"/>
          <c:x val="7.3618440989179343E-2"/>
          <c:y val="5.7086964129483823E-2"/>
          <c:w val="0.91635877205946437"/>
          <c:h val="0.82967423338395085"/>
        </c:manualLayout>
      </c:layout>
      <c:barChart>
        <c:barDir val="col"/>
        <c:grouping val="clustered"/>
        <c:varyColors val="0"/>
        <c:ser>
          <c:idx val="0"/>
          <c:order val="0"/>
          <c:tx>
            <c:strRef>
              <c:f>'Grafikoni, CAB, Karakter'!$O$10</c:f>
              <c:strCache>
                <c:ptCount val="1"/>
                <c:pt idx="0">
                  <c:v>Fискални импулс</c:v>
                </c:pt>
              </c:strCache>
            </c:strRef>
          </c:tx>
          <c:spPr>
            <a:solidFill>
              <a:srgbClr val="29489A"/>
            </a:solidFill>
            <a:ln w="9525" cap="flat" cmpd="sng" algn="ctr">
              <a:solidFill>
                <a:schemeClr val="accent3">
                  <a:shade val="50000"/>
                  <a:shade val="95000"/>
                  <a:satMod val="105000"/>
                </a:schemeClr>
              </a:solidFill>
              <a:prstDash val="solid"/>
              <a:round/>
            </a:ln>
            <a:effectLst/>
          </c:spPr>
          <c:invertIfNegative val="0"/>
          <c:cat>
            <c:numRef>
              <c:f>('Grafikoni, CAB, Karakter'!$F$12:$F$29,'Grafikoni, CAB, Karakter'!$F$30)</c:f>
              <c:numCache>
                <c:formatCode>General</c:formatCode>
                <c:ptCount val="19"/>
                <c:pt idx="0">
                  <c:v>2006</c:v>
                </c:pt>
                <c:pt idx="1">
                  <c:v>2007</c:v>
                </c:pt>
                <c:pt idx="2">
                  <c:v>2008</c:v>
                </c:pt>
                <c:pt idx="3">
                  <c:v>2009</c:v>
                </c:pt>
                <c:pt idx="4">
                  <c:v>2010</c:v>
                </c:pt>
                <c:pt idx="5">
                  <c:v>2011</c:v>
                </c:pt>
                <c:pt idx="6">
                  <c:v>2012</c:v>
                </c:pt>
                <c:pt idx="7">
                  <c:v>2013</c:v>
                </c:pt>
                <c:pt idx="8">
                  <c:v>2014</c:v>
                </c:pt>
                <c:pt idx="9">
                  <c:v>2015</c:v>
                </c:pt>
                <c:pt idx="10">
                  <c:v>2016</c:v>
                </c:pt>
                <c:pt idx="11">
                  <c:v>2017</c:v>
                </c:pt>
                <c:pt idx="12">
                  <c:v>2018</c:v>
                </c:pt>
                <c:pt idx="13">
                  <c:v>2019</c:v>
                </c:pt>
                <c:pt idx="14">
                  <c:v>2020</c:v>
                </c:pt>
                <c:pt idx="15">
                  <c:v>2021</c:v>
                </c:pt>
                <c:pt idx="16">
                  <c:v>2022</c:v>
                </c:pt>
                <c:pt idx="17">
                  <c:v>2023</c:v>
                </c:pt>
                <c:pt idx="18">
                  <c:v>2024</c:v>
                </c:pt>
              </c:numCache>
            </c:numRef>
          </c:cat>
          <c:val>
            <c:numRef>
              <c:f>('Grafikoni, CAB, Karakter'!$O$12:$O$29,'Grafikoni, CAB, Karakter'!$O$30)</c:f>
              <c:numCache>
                <c:formatCode>#,##0.0</c:formatCode>
                <c:ptCount val="19"/>
                <c:pt idx="0">
                  <c:v>1.2166056295686765</c:v>
                </c:pt>
                <c:pt idx="1">
                  <c:v>2.3076498197859383</c:v>
                </c:pt>
                <c:pt idx="2">
                  <c:v>1.8638044769423405</c:v>
                </c:pt>
                <c:pt idx="3">
                  <c:v>4.5580971823054206E-2</c:v>
                </c:pt>
                <c:pt idx="4">
                  <c:v>-0.29459625317067317</c:v>
                </c:pt>
                <c:pt idx="5">
                  <c:v>0.42830540870806777</c:v>
                </c:pt>
                <c:pt idx="6">
                  <c:v>0.87261596904222216</c:v>
                </c:pt>
                <c:pt idx="7">
                  <c:v>-1.036462273280069</c:v>
                </c:pt>
                <c:pt idx="8">
                  <c:v>-0.34751273369520508</c:v>
                </c:pt>
                <c:pt idx="9">
                  <c:v>-2.9698387037598044</c:v>
                </c:pt>
                <c:pt idx="10">
                  <c:v>-1.7473757945129025</c:v>
                </c:pt>
                <c:pt idx="11">
                  <c:v>-2.1065520346700635</c:v>
                </c:pt>
                <c:pt idx="12">
                  <c:v>1.3934539503889005</c:v>
                </c:pt>
                <c:pt idx="13">
                  <c:v>1.2776901997622137</c:v>
                </c:pt>
                <c:pt idx="14">
                  <c:v>6.2245141846084939</c:v>
                </c:pt>
                <c:pt idx="15">
                  <c:v>-1.9957505514905849</c:v>
                </c:pt>
                <c:pt idx="16">
                  <c:v>-1.8850595147481555</c:v>
                </c:pt>
                <c:pt idx="17">
                  <c:v>-1.4017891295942024</c:v>
                </c:pt>
                <c:pt idx="18">
                  <c:v>-0.41882006570146774</c:v>
                </c:pt>
              </c:numCache>
            </c:numRef>
          </c:val>
          <c:extLst>
            <c:ext xmlns:c16="http://schemas.microsoft.com/office/drawing/2014/chart" uri="{C3380CC4-5D6E-409C-BE32-E72D297353CC}">
              <c16:uniqueId val="{00000000-40C9-4467-8614-B9D5036F3395}"/>
            </c:ext>
          </c:extLst>
        </c:ser>
        <c:dLbls>
          <c:showLegendKey val="0"/>
          <c:showVal val="0"/>
          <c:showCatName val="0"/>
          <c:showSerName val="0"/>
          <c:showPercent val="0"/>
          <c:showBubbleSize val="0"/>
        </c:dLbls>
        <c:gapWidth val="41"/>
        <c:overlap val="-12"/>
        <c:axId val="467546320"/>
        <c:axId val="467537360"/>
      </c:barChart>
      <c:lineChart>
        <c:grouping val="standard"/>
        <c:varyColors val="0"/>
        <c:ser>
          <c:idx val="1"/>
          <c:order val="1"/>
          <c:tx>
            <c:strRef>
              <c:f>'Grafikoni, CAB, Karakter'!$G$10</c:f>
              <c:strCache>
                <c:ptCount val="1"/>
                <c:pt idx="0">
                  <c:v>Производни јаз </c:v>
                </c:pt>
              </c:strCache>
            </c:strRef>
          </c:tx>
          <c:spPr>
            <a:ln w="22225" cap="rnd" cmpd="sng" algn="ctr">
              <a:solidFill>
                <a:srgbClr val="FF0000"/>
              </a:solidFill>
              <a:prstDash val="solid"/>
              <a:round/>
            </a:ln>
            <a:effectLst/>
          </c:spPr>
          <c:marker>
            <c:symbol val="none"/>
          </c:marker>
          <c:cat>
            <c:numRef>
              <c:f>('Grafikoni, CAB, Karakter'!$F$12:$F$29,'Grafikoni, CAB, Karakter'!$F$30)</c:f>
              <c:numCache>
                <c:formatCode>General</c:formatCode>
                <c:ptCount val="19"/>
                <c:pt idx="0">
                  <c:v>2006</c:v>
                </c:pt>
                <c:pt idx="1">
                  <c:v>2007</c:v>
                </c:pt>
                <c:pt idx="2">
                  <c:v>2008</c:v>
                </c:pt>
                <c:pt idx="3">
                  <c:v>2009</c:v>
                </c:pt>
                <c:pt idx="4">
                  <c:v>2010</c:v>
                </c:pt>
                <c:pt idx="5">
                  <c:v>2011</c:v>
                </c:pt>
                <c:pt idx="6">
                  <c:v>2012</c:v>
                </c:pt>
                <c:pt idx="7">
                  <c:v>2013</c:v>
                </c:pt>
                <c:pt idx="8">
                  <c:v>2014</c:v>
                </c:pt>
                <c:pt idx="9">
                  <c:v>2015</c:v>
                </c:pt>
                <c:pt idx="10">
                  <c:v>2016</c:v>
                </c:pt>
                <c:pt idx="11">
                  <c:v>2017</c:v>
                </c:pt>
                <c:pt idx="12">
                  <c:v>2018</c:v>
                </c:pt>
                <c:pt idx="13">
                  <c:v>2019</c:v>
                </c:pt>
                <c:pt idx="14">
                  <c:v>2020</c:v>
                </c:pt>
                <c:pt idx="15">
                  <c:v>2021</c:v>
                </c:pt>
                <c:pt idx="16">
                  <c:v>2022</c:v>
                </c:pt>
                <c:pt idx="17">
                  <c:v>2023</c:v>
                </c:pt>
                <c:pt idx="18">
                  <c:v>2024</c:v>
                </c:pt>
              </c:numCache>
            </c:numRef>
          </c:cat>
          <c:val>
            <c:numRef>
              <c:f>('Grafikoni, CAB, Karakter'!$G$12:$G$29,'Grafikoni, CAB, Karakter'!$G$30)</c:f>
              <c:numCache>
                <c:formatCode>#,##0.0</c:formatCode>
                <c:ptCount val="19"/>
                <c:pt idx="0">
                  <c:v>-2.6691119954877238</c:v>
                </c:pt>
                <c:pt idx="1">
                  <c:v>0.76238577225363635</c:v>
                </c:pt>
                <c:pt idx="2">
                  <c:v>4.0468165152257942</c:v>
                </c:pt>
                <c:pt idx="3">
                  <c:v>-0.39138729729837957</c:v>
                </c:pt>
                <c:pt idx="4">
                  <c:v>-0.72479913568008913</c:v>
                </c:pt>
                <c:pt idx="5">
                  <c:v>0.50975763682390063</c:v>
                </c:pt>
                <c:pt idx="6">
                  <c:v>-0.85240798425823205</c:v>
                </c:pt>
                <c:pt idx="7">
                  <c:v>1.2292084183139753</c:v>
                </c:pt>
                <c:pt idx="8">
                  <c:v>-1.4047616586894149</c:v>
                </c:pt>
                <c:pt idx="9">
                  <c:v>-1.1245778807696636</c:v>
                </c:pt>
                <c:pt idx="10">
                  <c:v>8.1063151685040302E-2</c:v>
                </c:pt>
                <c:pt idx="11">
                  <c:v>-0.4159186341528765</c:v>
                </c:pt>
                <c:pt idx="12">
                  <c:v>1.0107659401915881</c:v>
                </c:pt>
                <c:pt idx="13">
                  <c:v>1.9175492019454687</c:v>
                </c:pt>
                <c:pt idx="14">
                  <c:v>-2.6273288332443103</c:v>
                </c:pt>
                <c:pt idx="15">
                  <c:v>4.947281816201466E-2</c:v>
                </c:pt>
                <c:pt idx="16">
                  <c:v>3.6535932479672371E-2</c:v>
                </c:pt>
                <c:pt idx="17">
                  <c:v>0.22828350202301279</c:v>
                </c:pt>
                <c:pt idx="18">
                  <c:v>0.31501471150738092</c:v>
                </c:pt>
              </c:numCache>
            </c:numRef>
          </c:val>
          <c:smooth val="1"/>
          <c:extLst>
            <c:ext xmlns:c16="http://schemas.microsoft.com/office/drawing/2014/chart" uri="{C3380CC4-5D6E-409C-BE32-E72D297353CC}">
              <c16:uniqueId val="{00000001-40C9-4467-8614-B9D5036F3395}"/>
            </c:ext>
          </c:extLst>
        </c:ser>
        <c:dLbls>
          <c:showLegendKey val="0"/>
          <c:showVal val="0"/>
          <c:showCatName val="0"/>
          <c:showSerName val="0"/>
          <c:showPercent val="0"/>
          <c:showBubbleSize val="0"/>
        </c:dLbls>
        <c:marker val="1"/>
        <c:smooth val="0"/>
        <c:axId val="467546320"/>
        <c:axId val="467537360"/>
      </c:lineChart>
      <c:catAx>
        <c:axId val="467546320"/>
        <c:scaling>
          <c:orientation val="minMax"/>
        </c:scaling>
        <c:delete val="0"/>
        <c:axPos val="b"/>
        <c:majorGridlines>
          <c:spPr>
            <a:ln w="9525" cap="flat" cmpd="sng" algn="ctr">
              <a:noFill/>
              <a:prstDash val="solid"/>
              <a:round/>
            </a:ln>
            <a:effectLst/>
          </c:spPr>
        </c:majorGridlines>
        <c:numFmt formatCode="General" sourceLinked="1"/>
        <c:majorTickMark val="out"/>
        <c:minorTickMark val="none"/>
        <c:tickLblPos val="low"/>
        <c:spPr>
          <a:noFill/>
          <a:ln w="6350" cap="flat" cmpd="sng" algn="ctr">
            <a:solidFill>
              <a:srgbClr val="898989"/>
            </a:solidFill>
            <a:prstDash val="solid"/>
            <a:round/>
          </a:ln>
          <a:effectLst/>
        </c:spPr>
        <c:txPr>
          <a:bodyPr rot="-60000000" spcFirstLastPara="1" vertOverflow="ellipsis" vert="horz" wrap="square" anchor="ctr" anchorCtr="1"/>
          <a:lstStyle/>
          <a:p>
            <a:pPr>
              <a:defRPr sz="600" b="0" i="0" u="none" strike="noStrike" kern="1200" baseline="0">
                <a:solidFill>
                  <a:srgbClr val="44546A"/>
                </a:solidFill>
                <a:latin typeface="+mn-lt"/>
                <a:ea typeface="+mn-ea"/>
                <a:cs typeface="+mn-cs"/>
              </a:defRPr>
            </a:pPr>
            <a:endParaRPr lang="en-US"/>
          </a:p>
        </c:txPr>
        <c:crossAx val="467537360"/>
        <c:crosses val="autoZero"/>
        <c:auto val="1"/>
        <c:lblAlgn val="ctr"/>
        <c:lblOffset val="100"/>
        <c:noMultiLvlLbl val="0"/>
      </c:catAx>
      <c:valAx>
        <c:axId val="467537360"/>
        <c:scaling>
          <c:orientation val="minMax"/>
          <c:min val="-9"/>
        </c:scaling>
        <c:delete val="0"/>
        <c:axPos val="l"/>
        <c:majorGridlines>
          <c:spPr>
            <a:ln w="9525" cap="flat" cmpd="sng" algn="ctr">
              <a:noFill/>
              <a:prstDash val="solid"/>
              <a:round/>
            </a:ln>
            <a:effectLst/>
          </c:spPr>
        </c:majorGridlines>
        <c:title>
          <c:tx>
            <c:rich>
              <a:bodyPr rot="-5400000" spcFirstLastPara="1" vertOverflow="ellipsis" vert="horz" wrap="square" anchor="ctr" anchorCtr="1"/>
              <a:lstStyle/>
              <a:p>
                <a:pPr>
                  <a:defRPr sz="750" b="1" i="0" u="none" strike="noStrike" kern="1200" baseline="0">
                    <a:solidFill>
                      <a:srgbClr val="44546A"/>
                    </a:solidFill>
                    <a:latin typeface="+mn-lt"/>
                    <a:ea typeface="+mn-ea"/>
                    <a:cs typeface="+mn-cs"/>
                  </a:defRPr>
                </a:pPr>
                <a:r>
                  <a:rPr lang="sr-Cyrl-CS" sz="750">
                    <a:solidFill>
                      <a:srgbClr val="44546A"/>
                    </a:solidFill>
                    <a:latin typeface="+mn-lt"/>
                  </a:rPr>
                  <a:t>% БДП</a:t>
                </a:r>
                <a:endParaRPr lang="en-US" sz="750">
                  <a:solidFill>
                    <a:srgbClr val="44546A"/>
                  </a:solidFill>
                  <a:latin typeface="+mn-lt"/>
                </a:endParaRPr>
              </a:p>
            </c:rich>
          </c:tx>
          <c:layout>
            <c:manualLayout>
              <c:xMode val="edge"/>
              <c:yMode val="edge"/>
              <c:x val="1.2042453333568038E-2"/>
              <c:y val="0.42920445410660629"/>
            </c:manualLayout>
          </c:layout>
          <c:overlay val="0"/>
          <c:spPr>
            <a:noFill/>
            <a:ln>
              <a:noFill/>
            </a:ln>
            <a:effectLst/>
          </c:spPr>
          <c:txPr>
            <a:bodyPr rot="-5400000" spcFirstLastPara="1" vertOverflow="ellipsis" vert="horz" wrap="square" anchor="ctr" anchorCtr="1"/>
            <a:lstStyle/>
            <a:p>
              <a:pPr>
                <a:defRPr sz="750" b="1" i="0" u="none" strike="noStrike" kern="1200" baseline="0">
                  <a:solidFill>
                    <a:srgbClr val="44546A"/>
                  </a:solidFill>
                  <a:latin typeface="+mn-lt"/>
                  <a:ea typeface="+mn-ea"/>
                  <a:cs typeface="+mn-cs"/>
                </a:defRPr>
              </a:pPr>
              <a:endParaRPr lang="en-US"/>
            </a:p>
          </c:txPr>
        </c:title>
        <c:numFmt formatCode="0" sourceLinked="0"/>
        <c:majorTickMark val="out"/>
        <c:minorTickMark val="none"/>
        <c:tickLblPos val="nextTo"/>
        <c:spPr>
          <a:noFill/>
          <a:ln w="3175" cap="flat" cmpd="sng" algn="ctr">
            <a:noFill/>
            <a:prstDash val="solid"/>
            <a:round/>
          </a:ln>
          <a:effectLst/>
        </c:spPr>
        <c:txPr>
          <a:bodyPr rot="-60000000" spcFirstLastPara="1" vertOverflow="ellipsis" vert="horz" wrap="square" anchor="ctr" anchorCtr="1"/>
          <a:lstStyle/>
          <a:p>
            <a:pPr>
              <a:defRPr sz="750" b="0" i="0" u="none" strike="noStrike" kern="1200" baseline="0">
                <a:solidFill>
                  <a:srgbClr val="44546A"/>
                </a:solidFill>
                <a:latin typeface="Cambria" pitchFamily="18" charset="0"/>
                <a:ea typeface="+mn-ea"/>
                <a:cs typeface="+mn-cs"/>
              </a:defRPr>
            </a:pPr>
            <a:endParaRPr lang="en-US"/>
          </a:p>
        </c:txPr>
        <c:crossAx val="467546320"/>
        <c:crosses val="autoZero"/>
        <c:crossBetween val="between"/>
      </c:valAx>
      <c:spPr>
        <a:noFill/>
        <a:ln>
          <a:noFill/>
        </a:ln>
        <a:effectLst/>
      </c:spPr>
    </c:plotArea>
    <c:legend>
      <c:legendPos val="r"/>
      <c:layout>
        <c:manualLayout>
          <c:xMode val="edge"/>
          <c:yMode val="edge"/>
          <c:x val="0.10575935617028157"/>
          <c:y val="0.76592479511489631"/>
          <c:w val="0.795961068391148"/>
          <c:h val="0.11334900101772993"/>
        </c:manualLayout>
      </c:layout>
      <c:overlay val="0"/>
      <c:spPr>
        <a:noFill/>
        <a:ln>
          <a:noFill/>
        </a:ln>
        <a:effectLst/>
      </c:spPr>
      <c:txPr>
        <a:bodyPr rot="0" spcFirstLastPara="1" vertOverflow="ellipsis" vert="horz" wrap="square" anchor="ctr" anchorCtr="1"/>
        <a:lstStyle/>
        <a:p>
          <a:pPr>
            <a:defRPr sz="600" b="1" i="0" u="none" strike="noStrike" kern="1200" baseline="0">
              <a:solidFill>
                <a:srgbClr val="44546A"/>
              </a:solidFill>
              <a:latin typeface="+mn-lt"/>
              <a:ea typeface="+mn-ea"/>
              <a:cs typeface="+mn-cs"/>
            </a:defRPr>
          </a:pPr>
          <a:endParaRPr lang="en-US"/>
        </a:p>
      </c:txPr>
    </c:legend>
    <c:plotVisOnly val="1"/>
    <c:dispBlanksAs val="gap"/>
    <c:showDLblsOverMax val="0"/>
  </c:chart>
  <c:spPr>
    <a:solidFill>
      <a:schemeClr val="lt1"/>
    </a:solidFill>
    <a:ln w="9525" cap="flat" cmpd="sng" algn="ctr">
      <a:noFill/>
      <a:prstDash val="solid"/>
      <a:round/>
    </a:ln>
    <a:effectLst/>
  </c:spPr>
  <c:txPr>
    <a:bodyPr/>
    <a:lstStyle/>
    <a:p>
      <a:pPr>
        <a:defRPr sz="900" baseline="0">
          <a:latin typeface="Cambria" pitchFamily="18" charset="0"/>
        </a:defRPr>
      </a:pPr>
      <a:endParaRPr lang="en-US"/>
    </a:p>
  </c:txPr>
  <c:externalData r:id="rId3">
    <c:autoUpdate val="0"/>
  </c:externalData>
  <c:userShapes r:id="rId4"/>
</c:chartSpace>
</file>

<file path=word/charts/chart5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4.0616161716296222E-2"/>
          <c:y val="4.9007480657224968E-2"/>
          <c:w val="0.93476377952755907"/>
          <c:h val="0.9174795514193721"/>
        </c:manualLayout>
      </c:layout>
      <c:scatterChart>
        <c:scatterStyle val="smoothMarker"/>
        <c:varyColors val="0"/>
        <c:ser>
          <c:idx val="1"/>
          <c:order val="0"/>
          <c:spPr>
            <a:ln w="19050" cap="rnd">
              <a:solidFill>
                <a:srgbClr val="FF0000"/>
              </a:solidFill>
              <a:round/>
            </a:ln>
            <a:effectLst/>
          </c:spPr>
          <c:marker>
            <c:symbol val="circle"/>
            <c:size val="6"/>
            <c:spPr>
              <a:gradFill rotWithShape="1">
                <a:gsLst>
                  <a:gs pos="0">
                    <a:schemeClr val="accent4">
                      <a:shade val="51000"/>
                      <a:satMod val="130000"/>
                    </a:schemeClr>
                  </a:gs>
                  <a:gs pos="80000">
                    <a:schemeClr val="accent4">
                      <a:shade val="93000"/>
                      <a:satMod val="130000"/>
                    </a:schemeClr>
                  </a:gs>
                  <a:gs pos="100000">
                    <a:schemeClr val="accent4">
                      <a:shade val="94000"/>
                      <a:satMod val="135000"/>
                    </a:schemeClr>
                  </a:gs>
                </a:gsLst>
                <a:lin ang="16200000" scaled="0"/>
              </a:gradFill>
              <a:ln w="9525" cap="rnd">
                <a:solidFill>
                  <a:schemeClr val="accent4"/>
                </a:solidFill>
                <a:round/>
              </a:ln>
              <a:effectLst/>
              <a:scene3d>
                <a:camera prst="orthographicFront">
                  <a:rot lat="0" lon="0" rev="0"/>
                </a:camera>
                <a:lightRig rig="threePt" dir="t">
                  <a:rot lat="0" lon="0" rev="1200000"/>
                </a:lightRig>
              </a:scene3d>
              <a:sp3d>
                <a:bevelT w="63500" h="25400"/>
              </a:sp3d>
            </c:spPr>
          </c:marker>
          <c:dLbls>
            <c:dLbl>
              <c:idx val="0"/>
              <c:layout>
                <c:manualLayout>
                  <c:x val="-6.9381423218486976E-2"/>
                  <c:y val="-4.1527671341031656E-2"/>
                </c:manualLayout>
              </c:layout>
              <c:tx>
                <c:rich>
                  <a:bodyPr/>
                  <a:lstStyle/>
                  <a:p>
                    <a:r>
                      <a:rPr lang="en-US"/>
                      <a:t>2006</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D75E-41AC-9BA5-AB1C1713BBDB}"/>
                </c:ext>
              </c:extLst>
            </c:dLbl>
            <c:dLbl>
              <c:idx val="1"/>
              <c:layout>
                <c:manualLayout>
                  <c:x val="-2.4016646498707127E-2"/>
                  <c:y val="-3.3977185642662298E-2"/>
                </c:manualLayout>
              </c:layout>
              <c:tx>
                <c:rich>
                  <a:bodyPr/>
                  <a:lstStyle/>
                  <a:p>
                    <a:r>
                      <a:rPr lang="en-US"/>
                      <a:t>2007</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D75E-41AC-9BA5-AB1C1713BBDB}"/>
                </c:ext>
              </c:extLst>
            </c:dLbl>
            <c:dLbl>
              <c:idx val="2"/>
              <c:layout>
                <c:manualLayout>
                  <c:x val="-5.0701809275048172E-2"/>
                  <c:y val="-6.3495592658862496E-2"/>
                </c:manualLayout>
              </c:layout>
              <c:tx>
                <c:rich>
                  <a:bodyPr/>
                  <a:lstStyle/>
                  <a:p>
                    <a:r>
                      <a:rPr lang="en-US"/>
                      <a:t>2008</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2-D75E-41AC-9BA5-AB1C1713BBDB}"/>
                </c:ext>
              </c:extLst>
            </c:dLbl>
            <c:dLbl>
              <c:idx val="3"/>
              <c:layout>
                <c:manualLayout>
                  <c:x val="-0.12008323249353517"/>
                  <c:y val="-6.0403885586955142E-2"/>
                </c:manualLayout>
              </c:layout>
              <c:tx>
                <c:rich>
                  <a:bodyPr/>
                  <a:lstStyle/>
                  <a:p>
                    <a:r>
                      <a:rPr lang="en-US"/>
                      <a:t>2009</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D75E-41AC-9BA5-AB1C1713BBDB}"/>
                </c:ext>
              </c:extLst>
            </c:dLbl>
            <c:dLbl>
              <c:idx val="4"/>
              <c:layout>
                <c:manualLayout>
                  <c:x val="-0.11474619993826693"/>
                  <c:y val="4.8635741754395737E-2"/>
                </c:manualLayout>
              </c:layout>
              <c:tx>
                <c:rich>
                  <a:bodyPr/>
                  <a:lstStyle/>
                  <a:p>
                    <a:r>
                      <a:rPr lang="en-US"/>
                      <a:t>2010</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4-D75E-41AC-9BA5-AB1C1713BBDB}"/>
                </c:ext>
              </c:extLst>
            </c:dLbl>
            <c:dLbl>
              <c:idx val="5"/>
              <c:layout>
                <c:manualLayout>
                  <c:x val="8.0055488329023438E-3"/>
                  <c:y val="-3.0523469547407887E-2"/>
                </c:manualLayout>
              </c:layout>
              <c:tx>
                <c:rich>
                  <a:bodyPr/>
                  <a:lstStyle/>
                  <a:p>
                    <a:r>
                      <a:rPr lang="en-US"/>
                      <a:t>2011</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5-D75E-41AC-9BA5-AB1C1713BBDB}"/>
                </c:ext>
              </c:extLst>
            </c:dLbl>
            <c:dLbl>
              <c:idx val="6"/>
              <c:layout>
                <c:manualLayout>
                  <c:x val="-6.6712906940852856E-2"/>
                  <c:y val="-4.9078157039401084E-2"/>
                </c:manualLayout>
              </c:layout>
              <c:tx>
                <c:rich>
                  <a:bodyPr/>
                  <a:lstStyle/>
                  <a:p>
                    <a:r>
                      <a:rPr lang="en-US"/>
                      <a:t>2012</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6-D75E-41AC-9BA5-AB1C1713BBDB}"/>
                </c:ext>
              </c:extLst>
            </c:dLbl>
            <c:dLbl>
              <c:idx val="7"/>
              <c:layout>
                <c:manualLayout>
                  <c:x val="5.3370325552682292E-3"/>
                  <c:y val="2.6145244036002206E-2"/>
                </c:manualLayout>
              </c:layout>
              <c:tx>
                <c:rich>
                  <a:bodyPr/>
                  <a:lstStyle/>
                  <a:p>
                    <a:r>
                      <a:rPr lang="en-US"/>
                      <a:t>2013</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7-D75E-41AC-9BA5-AB1C1713BBDB}"/>
                </c:ext>
              </c:extLst>
            </c:dLbl>
            <c:dLbl>
              <c:idx val="8"/>
              <c:layout>
                <c:manualLayout>
                  <c:x val="-0.15205969965244101"/>
                  <c:y val="8.3879325844357033E-2"/>
                </c:manualLayout>
              </c:layout>
              <c:tx>
                <c:rich>
                  <a:bodyPr/>
                  <a:lstStyle/>
                  <a:p>
                    <a:r>
                      <a:rPr lang="en-US"/>
                      <a:t>2014</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8-D75E-41AC-9BA5-AB1C1713BBDB}"/>
                </c:ext>
              </c:extLst>
            </c:dLbl>
            <c:dLbl>
              <c:idx val="9"/>
              <c:layout>
                <c:manualLayout>
                  <c:x val="-9.2102233479161872E-3"/>
                  <c:y val="1.8767594619956324E-2"/>
                </c:manualLayout>
              </c:layout>
              <c:tx>
                <c:rich>
                  <a:bodyPr/>
                  <a:lstStyle/>
                  <a:p>
                    <a:r>
                      <a:rPr lang="en-US"/>
                      <a:t>2015</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9-D75E-41AC-9BA5-AB1C1713BBDB}"/>
                </c:ext>
              </c:extLst>
            </c:dLbl>
            <c:dLbl>
              <c:idx val="10"/>
              <c:layout>
                <c:manualLayout>
                  <c:x val="-2.1348125735417816E-2"/>
                  <c:y val="7.0193690025747005E-2"/>
                </c:manualLayout>
              </c:layout>
              <c:tx>
                <c:rich>
                  <a:bodyPr/>
                  <a:lstStyle/>
                  <a:p>
                    <a:r>
                      <a:rPr lang="en-US"/>
                      <a:t>2016</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A-D75E-41AC-9BA5-AB1C1713BBDB}"/>
                </c:ext>
              </c:extLst>
            </c:dLbl>
            <c:dLbl>
              <c:idx val="11"/>
              <c:layout>
                <c:manualLayout>
                  <c:x val="-0.10863168353092405"/>
                  <c:y val="-4.9077998812863434E-2"/>
                </c:manualLayout>
              </c:layout>
              <c:tx>
                <c:rich>
                  <a:bodyPr/>
                  <a:lstStyle/>
                  <a:p>
                    <a:r>
                      <a:rPr lang="en-US"/>
                      <a:t>2017</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B-D75E-41AC-9BA5-AB1C1713BBDB}"/>
                </c:ext>
              </c:extLst>
            </c:dLbl>
            <c:dLbl>
              <c:idx val="12"/>
              <c:layout>
                <c:manualLayout>
                  <c:x val="-8.5392520884291667E-2"/>
                  <c:y val="-2.2410209173716247E-2"/>
                </c:manualLayout>
              </c:layout>
              <c:tx>
                <c:rich>
                  <a:bodyPr/>
                  <a:lstStyle/>
                  <a:p>
                    <a:r>
                      <a:rPr lang="en-US"/>
                      <a:t>2018</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C-D75E-41AC-9BA5-AB1C1713BBDB}"/>
                </c:ext>
              </c:extLst>
            </c:dLbl>
            <c:dLbl>
              <c:idx val="13"/>
              <c:layout>
                <c:manualLayout>
                  <c:x val="-4.2696260442145785E-2"/>
                  <c:y val="-7.0965662383434602E-2"/>
                </c:manualLayout>
              </c:layout>
              <c:tx>
                <c:rich>
                  <a:bodyPr/>
                  <a:lstStyle/>
                  <a:p>
                    <a:r>
                      <a:rPr lang="en-US"/>
                      <a:t>2019</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D-D75E-41AC-9BA5-AB1C1713BBDB}"/>
                </c:ext>
              </c:extLst>
            </c:dLbl>
            <c:dLbl>
              <c:idx val="14"/>
              <c:tx>
                <c:rich>
                  <a:bodyPr/>
                  <a:lstStyle/>
                  <a:p>
                    <a:r>
                      <a:rPr lang="en-US"/>
                      <a:t>2020</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E-D75E-41AC-9BA5-AB1C1713BBDB}"/>
                </c:ext>
              </c:extLst>
            </c:dLbl>
            <c:dLbl>
              <c:idx val="15"/>
              <c:layout>
                <c:manualLayout>
                  <c:x val="1.0674062867708761E-2"/>
                  <c:y val="-3.2622739847777804E-2"/>
                </c:manualLayout>
              </c:layout>
              <c:tx>
                <c:rich>
                  <a:bodyPr/>
                  <a:lstStyle/>
                  <a:p>
                    <a:r>
                      <a:rPr lang="en-US"/>
                      <a:t>2021</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F-D75E-41AC-9BA5-AB1C1713BBDB}"/>
                </c:ext>
              </c:extLst>
            </c:dLbl>
            <c:spPr>
              <a:noFill/>
              <a:ln>
                <a:noFill/>
              </a:ln>
              <a:effectLst/>
            </c:spPr>
            <c:txPr>
              <a:bodyPr rot="0" spcFirstLastPara="1" vertOverflow="ellipsis" vert="horz" wrap="square" lIns="38100" tIns="19050" rIns="38100" bIns="19050" anchor="ctr" anchorCtr="1">
                <a:spAutoFit/>
              </a:bodyPr>
              <a:lstStyle/>
              <a:p>
                <a:pPr>
                  <a:defRPr sz="600" b="1" i="0" u="none" strike="noStrike" kern="1200" baseline="0">
                    <a:solidFill>
                      <a:srgbClr val="44546A"/>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xVal>
            <c:numRef>
              <c:f>'Grafikoni, CAB, Karakter'!$Z$12:$Z$27</c:f>
              <c:numCache>
                <c:formatCode>#,##0.0</c:formatCode>
                <c:ptCount val="16"/>
                <c:pt idx="0">
                  <c:v>-2.6691119954877238</c:v>
                </c:pt>
                <c:pt idx="1">
                  <c:v>0.76238577225363635</c:v>
                </c:pt>
                <c:pt idx="2">
                  <c:v>4.0468165152257942</c:v>
                </c:pt>
                <c:pt idx="3">
                  <c:v>-0.39138729729837957</c:v>
                </c:pt>
                <c:pt idx="4">
                  <c:v>-0.72479913568008913</c:v>
                </c:pt>
                <c:pt idx="5">
                  <c:v>0.50975763682390063</c:v>
                </c:pt>
                <c:pt idx="6">
                  <c:v>-0.85240798425823205</c:v>
                </c:pt>
                <c:pt idx="7">
                  <c:v>1.2292084183139753</c:v>
                </c:pt>
                <c:pt idx="8">
                  <c:v>-1.4047616586894149</c:v>
                </c:pt>
                <c:pt idx="9">
                  <c:v>-1.1245778807696636</c:v>
                </c:pt>
                <c:pt idx="10">
                  <c:v>8.1063151685040302E-2</c:v>
                </c:pt>
                <c:pt idx="11">
                  <c:v>-0.4159186341528765</c:v>
                </c:pt>
                <c:pt idx="12">
                  <c:v>1.0107659401915881</c:v>
                </c:pt>
                <c:pt idx="13">
                  <c:v>1.9175492019454687</c:v>
                </c:pt>
                <c:pt idx="14">
                  <c:v>-2.6273288332443103</c:v>
                </c:pt>
                <c:pt idx="15">
                  <c:v>4.947281816201466E-2</c:v>
                </c:pt>
              </c:numCache>
            </c:numRef>
          </c:xVal>
          <c:yVal>
            <c:numRef>
              <c:f>'Grafikoni, CAB, Karakter'!$AA$12:$AA$27</c:f>
              <c:numCache>
                <c:formatCode>#,##0.0</c:formatCode>
                <c:ptCount val="16"/>
                <c:pt idx="0">
                  <c:v>1.2166056295686765</c:v>
                </c:pt>
                <c:pt idx="1">
                  <c:v>2.3076498197859383</c:v>
                </c:pt>
                <c:pt idx="2">
                  <c:v>1.8638044769423405</c:v>
                </c:pt>
                <c:pt idx="3">
                  <c:v>4.5580971823054206E-2</c:v>
                </c:pt>
                <c:pt idx="4">
                  <c:v>-0.29459625317067317</c:v>
                </c:pt>
                <c:pt idx="5">
                  <c:v>0.42830540870806777</c:v>
                </c:pt>
                <c:pt idx="6">
                  <c:v>0.87261596904222216</c:v>
                </c:pt>
                <c:pt idx="7">
                  <c:v>-1.036462273280069</c:v>
                </c:pt>
                <c:pt idx="8">
                  <c:v>-0.34751273369520508</c:v>
                </c:pt>
                <c:pt idx="9">
                  <c:v>-2.9698387037598044</c:v>
                </c:pt>
                <c:pt idx="10">
                  <c:v>-1.7473757945129025</c:v>
                </c:pt>
                <c:pt idx="11">
                  <c:v>-2.1065520346700635</c:v>
                </c:pt>
                <c:pt idx="12">
                  <c:v>1.3934539503889005</c:v>
                </c:pt>
                <c:pt idx="13">
                  <c:v>1.2776901997622137</c:v>
                </c:pt>
                <c:pt idx="14">
                  <c:v>6.2245141846084939</c:v>
                </c:pt>
                <c:pt idx="15">
                  <c:v>-1.9957505514905849</c:v>
                </c:pt>
              </c:numCache>
            </c:numRef>
          </c:yVal>
          <c:smooth val="1"/>
          <c:extLst>
            <c:ext xmlns:c16="http://schemas.microsoft.com/office/drawing/2014/chart" uri="{C3380CC4-5D6E-409C-BE32-E72D297353CC}">
              <c16:uniqueId val="{00000010-D75E-41AC-9BA5-AB1C1713BBDB}"/>
            </c:ext>
          </c:extLst>
        </c:ser>
        <c:ser>
          <c:idx val="0"/>
          <c:order val="1"/>
          <c:spPr>
            <a:ln w="22225" cap="rnd">
              <a:solidFill>
                <a:srgbClr val="D9D9D9"/>
              </a:solidFill>
              <a:round/>
            </a:ln>
            <a:effectLst>
              <a:outerShdw blurRad="40000" dist="23000" dir="5400000" rotWithShape="0">
                <a:srgbClr val="000000">
                  <a:alpha val="35000"/>
                </a:srgbClr>
              </a:outerShdw>
            </a:effectLst>
          </c:spPr>
          <c:marker>
            <c:symbol val="circle"/>
            <c:size val="6"/>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w="12700" cap="rnd">
                <a:solidFill>
                  <a:schemeClr val="accent2"/>
                </a:solidFill>
                <a:round/>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marker>
          <c:xVal>
            <c:numRef>
              <c:f>'Grafikoni, CAB, Karakter'!$W$12:$W$22</c:f>
              <c:numCache>
                <c:formatCode>0.000</c:formatCode>
                <c:ptCount val="11"/>
                <c:pt idx="0">
                  <c:v>-0.67399204989505868</c:v>
                </c:pt>
                <c:pt idx="1">
                  <c:v>-0.33683436039075737</c:v>
                </c:pt>
                <c:pt idx="2">
                  <c:v>5.8450484155194229E-2</c:v>
                </c:pt>
                <c:pt idx="3">
                  <c:v>7.2080679930236258E-2</c:v>
                </c:pt>
                <c:pt idx="4">
                  <c:v>0.11690216646601964</c:v>
                </c:pt>
                <c:pt idx="5">
                  <c:v>0.21039421664284941</c:v>
                </c:pt>
                <c:pt idx="6">
                  <c:v>-4.724337621619535E-2</c:v>
                </c:pt>
                <c:pt idx="7">
                  <c:v>-0.26933901750978917</c:v>
                </c:pt>
                <c:pt idx="8">
                  <c:v>-0.87007759477570834</c:v>
                </c:pt>
                <c:pt idx="9">
                  <c:v>-0.83429501220856594</c:v>
                </c:pt>
                <c:pt idx="10">
                  <c:v>-7.7293544301830788E-2</c:v>
                </c:pt>
              </c:numCache>
            </c:numRef>
          </c:xVal>
          <c:yVal>
            <c:numRef>
              <c:f>'Grafikoni, CAB, Karakter'!$X$12:$X$22</c:f>
              <c:numCache>
                <c:formatCode>General</c:formatCode>
                <c:ptCount val="11"/>
                <c:pt idx="10" formatCode="#,##0.0">
                  <c:v>0.67355802891595395</c:v>
                </c:pt>
              </c:numCache>
            </c:numRef>
          </c:yVal>
          <c:smooth val="1"/>
          <c:extLst>
            <c:ext xmlns:c16="http://schemas.microsoft.com/office/drawing/2014/chart" uri="{C3380CC4-5D6E-409C-BE32-E72D297353CC}">
              <c16:uniqueId val="{00000011-D75E-41AC-9BA5-AB1C1713BBDB}"/>
            </c:ext>
          </c:extLst>
        </c:ser>
        <c:dLbls>
          <c:showLegendKey val="0"/>
          <c:showVal val="0"/>
          <c:showCatName val="0"/>
          <c:showSerName val="0"/>
          <c:showPercent val="0"/>
          <c:showBubbleSize val="0"/>
        </c:dLbls>
        <c:axId val="220401872"/>
        <c:axId val="343751600"/>
      </c:scatterChart>
      <c:valAx>
        <c:axId val="220401872"/>
        <c:scaling>
          <c:orientation val="minMax"/>
          <c:min val="-4"/>
        </c:scaling>
        <c:delete val="0"/>
        <c:axPos val="b"/>
        <c:majorGridlines>
          <c:spPr>
            <a:ln w="12700" cap="flat" cmpd="sng" algn="ctr">
              <a:noFill/>
              <a:round/>
            </a:ln>
            <a:effectLst/>
          </c:spPr>
        </c:majorGridlines>
        <c:title>
          <c:tx>
            <c:rich>
              <a:bodyPr rot="0" spcFirstLastPara="1" vertOverflow="ellipsis" vert="horz" wrap="square" anchor="ctr" anchorCtr="1"/>
              <a:lstStyle/>
              <a:p>
                <a:pPr>
                  <a:defRPr sz="700" b="0" i="0" u="none" strike="noStrike" kern="1200" baseline="0">
                    <a:solidFill>
                      <a:srgbClr val="44546A"/>
                    </a:solidFill>
                    <a:latin typeface="+mn-lt"/>
                    <a:ea typeface="+mn-ea"/>
                    <a:cs typeface="+mn-cs"/>
                  </a:defRPr>
                </a:pPr>
                <a:r>
                  <a:rPr lang="sr-Cyrl-CS" sz="700" b="1">
                    <a:solidFill>
                      <a:srgbClr val="44546A"/>
                    </a:solidFill>
                    <a:latin typeface="+mn-lt"/>
                  </a:rPr>
                  <a:t>Производни јаз</a:t>
                </a:r>
              </a:p>
            </c:rich>
          </c:tx>
          <c:layout>
            <c:manualLayout>
              <c:xMode val="edge"/>
              <c:yMode val="edge"/>
              <c:x val="0.81662355366943062"/>
              <c:y val="0.60760870716032656"/>
            </c:manualLayout>
          </c:layout>
          <c:overlay val="0"/>
          <c:spPr>
            <a:noFill/>
            <a:ln>
              <a:noFill/>
            </a:ln>
            <a:effectLst/>
          </c:spPr>
          <c:txPr>
            <a:bodyPr rot="0" spcFirstLastPara="1" vertOverflow="ellipsis" vert="horz" wrap="square" anchor="ctr" anchorCtr="1"/>
            <a:lstStyle/>
            <a:p>
              <a:pPr>
                <a:defRPr sz="700" b="0" i="0" u="none" strike="noStrike" kern="1200" baseline="0">
                  <a:solidFill>
                    <a:srgbClr val="44546A"/>
                  </a:solidFill>
                  <a:latin typeface="+mn-lt"/>
                  <a:ea typeface="+mn-ea"/>
                  <a:cs typeface="+mn-cs"/>
                </a:defRPr>
              </a:pPr>
              <a:endParaRPr lang="en-US"/>
            </a:p>
          </c:txPr>
        </c:title>
        <c:numFmt formatCode="#,##0" sourceLinked="0"/>
        <c:majorTickMark val="none"/>
        <c:minorTickMark val="none"/>
        <c:tickLblPos val="nextTo"/>
        <c:spPr>
          <a:noFill/>
          <a:ln w="9525" cap="flat" cmpd="sng" algn="ctr">
            <a:solidFill>
              <a:srgbClr val="D9D9D9"/>
            </a:solidFill>
            <a:round/>
          </a:ln>
          <a:effectLst/>
        </c:spPr>
        <c:txPr>
          <a:bodyPr rot="-60000000" spcFirstLastPara="1" vertOverflow="ellipsis" vert="horz" wrap="square" anchor="ctr" anchorCtr="1"/>
          <a:lstStyle/>
          <a:p>
            <a:pPr>
              <a:defRPr sz="800" b="0" i="0" u="none" strike="noStrike" kern="1200" baseline="0">
                <a:solidFill>
                  <a:srgbClr val="44546A"/>
                </a:solidFill>
                <a:latin typeface="Cambria" panose="02040503050406030204" pitchFamily="18" charset="0"/>
                <a:ea typeface="+mn-ea"/>
                <a:cs typeface="+mn-cs"/>
              </a:defRPr>
            </a:pPr>
            <a:endParaRPr lang="en-US"/>
          </a:p>
        </c:txPr>
        <c:crossAx val="343751600"/>
        <c:crosses val="autoZero"/>
        <c:crossBetween val="midCat"/>
      </c:valAx>
      <c:valAx>
        <c:axId val="343751600"/>
        <c:scaling>
          <c:orientation val="minMax"/>
          <c:max val="7.5"/>
          <c:min val="-4"/>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700" b="1" i="0" u="none" strike="noStrike" kern="1200" baseline="0">
                    <a:solidFill>
                      <a:srgbClr val="44546A"/>
                    </a:solidFill>
                    <a:latin typeface="+mn-lt"/>
                    <a:ea typeface="+mn-ea"/>
                    <a:cs typeface="+mn-cs"/>
                  </a:defRPr>
                </a:pPr>
                <a:r>
                  <a:rPr lang="sr-Cyrl-CS" sz="700" b="1">
                    <a:solidFill>
                      <a:srgbClr val="44546A"/>
                    </a:solidFill>
                    <a:latin typeface="+mn-lt"/>
                  </a:rPr>
                  <a:t>Фискални импулс</a:t>
                </a:r>
                <a:endParaRPr lang="en-GB" sz="700" b="1">
                  <a:solidFill>
                    <a:srgbClr val="44546A"/>
                  </a:solidFill>
                  <a:latin typeface="+mn-lt"/>
                </a:endParaRPr>
              </a:p>
            </c:rich>
          </c:tx>
          <c:layout>
            <c:manualLayout>
              <c:xMode val="edge"/>
              <c:yMode val="edge"/>
              <c:x val="2.4161628879145417E-3"/>
              <c:y val="0.44769774803866563"/>
            </c:manualLayout>
          </c:layout>
          <c:overlay val="0"/>
          <c:spPr>
            <a:noFill/>
            <a:ln>
              <a:noFill/>
            </a:ln>
            <a:effectLst/>
          </c:spPr>
          <c:txPr>
            <a:bodyPr rot="-5400000" spcFirstLastPara="1" vertOverflow="ellipsis" vert="horz" wrap="square" anchor="ctr" anchorCtr="1"/>
            <a:lstStyle/>
            <a:p>
              <a:pPr>
                <a:defRPr sz="700" b="1" i="0" u="none" strike="noStrike" kern="1200" baseline="0">
                  <a:solidFill>
                    <a:srgbClr val="44546A"/>
                  </a:solidFill>
                  <a:latin typeface="+mn-lt"/>
                  <a:ea typeface="+mn-ea"/>
                  <a:cs typeface="+mn-cs"/>
                </a:defRPr>
              </a:pPr>
              <a:endParaRPr lang="en-US"/>
            </a:p>
          </c:txPr>
        </c:title>
        <c:numFmt formatCode="#,##0" sourceLinked="0"/>
        <c:majorTickMark val="none"/>
        <c:minorTickMark val="none"/>
        <c:tickLblPos val="nextTo"/>
        <c:spPr>
          <a:noFill/>
          <a:ln w="9525">
            <a:solidFill>
              <a:srgbClr val="D9D9D9"/>
            </a:solid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Cambria" panose="02040503050406030204" pitchFamily="18" charset="0"/>
                <a:ea typeface="+mn-ea"/>
                <a:cs typeface="+mn-cs"/>
              </a:defRPr>
            </a:pPr>
            <a:endParaRPr lang="en-US"/>
          </a:p>
        </c:txPr>
        <c:crossAx val="220401872"/>
        <c:crosses val="autoZero"/>
        <c:crossBetween val="midCat"/>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baseline="0">
          <a:latin typeface="Cambria" panose="02040503050406030204" pitchFamily="18" charset="0"/>
        </a:defRPr>
      </a:pPr>
      <a:endParaRPr lang="en-US"/>
    </a:p>
  </c:txPr>
  <c:externalData r:id="rId4">
    <c:autoUpdate val="0"/>
  </c:externalData>
  <c:userShapes r:id="rId5"/>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3.8138138138138135E-2"/>
          <c:y val="0.17162162162162162"/>
          <c:w val="0.91418918918918923"/>
          <c:h val="0.72349849849849845"/>
        </c:manualLayout>
      </c:layout>
      <c:barChart>
        <c:barDir val="col"/>
        <c:grouping val="clustered"/>
        <c:varyColors val="0"/>
        <c:ser>
          <c:idx val="0"/>
          <c:order val="0"/>
          <c:tx>
            <c:strRef>
              <c:f>'Osn. makroekon. agregati'!$B$6</c:f>
              <c:strCache>
                <c:ptCount val="1"/>
                <c:pt idx="0">
                  <c:v>Дефицит текућег рачуна, % БДП</c:v>
                </c:pt>
              </c:strCache>
            </c:strRef>
          </c:tx>
          <c:spPr>
            <a:solidFill>
              <a:schemeClr val="accent1"/>
            </a:solidFill>
            <a:ln>
              <a:noFill/>
            </a:ln>
            <a:effectLst/>
          </c:spPr>
          <c:invertIfNegative val="0"/>
          <c:dPt>
            <c:idx val="0"/>
            <c:invertIfNegative val="0"/>
            <c:bubble3D val="0"/>
            <c:spPr>
              <a:solidFill>
                <a:srgbClr val="29489A"/>
              </a:solidFill>
              <a:ln>
                <a:noFill/>
              </a:ln>
              <a:effectLst/>
            </c:spPr>
            <c:extLst>
              <c:ext xmlns:c16="http://schemas.microsoft.com/office/drawing/2014/chart" uri="{C3380CC4-5D6E-409C-BE32-E72D297353CC}">
                <c16:uniqueId val="{00000001-21CD-4B87-A108-640C12E60130}"/>
              </c:ext>
            </c:extLst>
          </c:dPt>
          <c:dPt>
            <c:idx val="1"/>
            <c:invertIfNegative val="0"/>
            <c:bubble3D val="0"/>
            <c:spPr>
              <a:solidFill>
                <a:srgbClr val="ED1C24"/>
              </a:solidFill>
              <a:ln>
                <a:noFill/>
              </a:ln>
              <a:effectLst/>
            </c:spPr>
            <c:extLst>
              <c:ext xmlns:c16="http://schemas.microsoft.com/office/drawing/2014/chart" uri="{C3380CC4-5D6E-409C-BE32-E72D297353CC}">
                <c16:uniqueId val="{00000003-21CD-4B87-A108-640C12E60130}"/>
              </c:ext>
            </c:extLst>
          </c:dPt>
          <c:dLbls>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rgbClr val="29489A"/>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1CD-4B87-A108-640C12E60130}"/>
                </c:ext>
              </c:extLst>
            </c:dLbl>
            <c:dLbl>
              <c:idx val="1"/>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rgbClr val="ED1C24"/>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21CD-4B87-A108-640C12E6013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('Osn. makroekon. agregati'!$C$6,'Osn. makroekon. agregati'!$D$6)</c:f>
              <c:numCache>
                <c:formatCode>0.0</c:formatCode>
                <c:ptCount val="2"/>
                <c:pt idx="0">
                  <c:v>-5.6</c:v>
                </c:pt>
                <c:pt idx="1">
                  <c:v>-3.9</c:v>
                </c:pt>
              </c:numCache>
            </c:numRef>
          </c:val>
          <c:extLst>
            <c:ext xmlns:c16="http://schemas.microsoft.com/office/drawing/2014/chart" uri="{C3380CC4-5D6E-409C-BE32-E72D297353CC}">
              <c16:uniqueId val="{00000004-21CD-4B87-A108-640C12E60130}"/>
            </c:ext>
          </c:extLst>
        </c:ser>
        <c:dLbls>
          <c:showLegendKey val="0"/>
          <c:showVal val="0"/>
          <c:showCatName val="0"/>
          <c:showSerName val="0"/>
          <c:showPercent val="0"/>
          <c:showBubbleSize val="0"/>
        </c:dLbls>
        <c:gapWidth val="15"/>
        <c:axId val="1768831680"/>
        <c:axId val="1768853440"/>
      </c:barChart>
      <c:catAx>
        <c:axId val="1768831680"/>
        <c:scaling>
          <c:orientation val="minMax"/>
        </c:scaling>
        <c:delete val="0"/>
        <c:axPos val="b"/>
        <c:title>
          <c:tx>
            <c:rich>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r>
                  <a:rPr lang="en-US" b="1"/>
                  <a:t>2021</a:t>
                </a:r>
              </a:p>
            </c:rich>
          </c:tx>
          <c:layout>
            <c:manualLayout>
              <c:xMode val="edge"/>
              <c:yMode val="edge"/>
              <c:x val="0.37948348348348349"/>
              <c:y val="7.3190476190476209E-3"/>
            </c:manualLayout>
          </c:layout>
          <c:overlay val="0"/>
          <c:spPr>
            <a:noFill/>
            <a:ln>
              <a:noFill/>
            </a:ln>
            <a:effectLst/>
          </c:spPr>
          <c:txPr>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en-US"/>
            </a:p>
          </c:txPr>
        </c:title>
        <c:majorTickMark val="none"/>
        <c:minorTickMark val="none"/>
        <c:tickLblPos val="none"/>
        <c:spPr>
          <a:noFill/>
          <a:ln w="12700" cap="flat" cmpd="sng" algn="ctr">
            <a:solidFill>
              <a:srgbClr val="898989"/>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68853440"/>
        <c:crossesAt val="0"/>
        <c:auto val="1"/>
        <c:lblAlgn val="ctr"/>
        <c:lblOffset val="100"/>
        <c:noMultiLvlLbl val="0"/>
      </c:catAx>
      <c:valAx>
        <c:axId val="1768853440"/>
        <c:scaling>
          <c:orientation val="minMax"/>
          <c:max val="0"/>
          <c:min val="-8"/>
        </c:scaling>
        <c:delete val="0"/>
        <c:axPos val="l"/>
        <c:numFmt formatCode="0.0" sourceLinked="1"/>
        <c:majorTickMark val="out"/>
        <c:minorTickMark val="none"/>
        <c:tickLblPos val="none"/>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68831680"/>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n-US"/>
    </a:p>
  </c:txPr>
  <c:externalData r:id="rId4">
    <c:autoUpdate val="0"/>
  </c:externalData>
  <c:userShapes r:id="rId5"/>
</c:chartSpace>
</file>

<file path=word/charts/chart6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039609399504315"/>
          <c:y val="4.2508416483893662E-2"/>
          <c:w val="0.83904808353019888"/>
          <c:h val="0.76893699684907069"/>
        </c:manualLayout>
      </c:layout>
      <c:barChart>
        <c:barDir val="col"/>
        <c:grouping val="clustered"/>
        <c:varyColors val="0"/>
        <c:ser>
          <c:idx val="0"/>
          <c:order val="0"/>
          <c:spPr>
            <a:solidFill>
              <a:schemeClr val="accent1"/>
            </a:solidFill>
            <a:ln w="25400">
              <a:solidFill>
                <a:schemeClr val="accent1"/>
              </a:solidFill>
            </a:ln>
            <a:effectLst/>
          </c:spPr>
          <c:invertIfNegative val="0"/>
          <c:dLbls>
            <c:dLbl>
              <c:idx val="13"/>
              <c:layout>
                <c:manualLayout>
                  <c:x val="1.381533502187428E-2"/>
                  <c:y val="-5.1773233238415735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7A4-43B3-9159-C1A9B338569B}"/>
                </c:ext>
              </c:extLst>
            </c:dLbl>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2"/>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'Сценарио 1'!$C$79:$C$92</c:f>
              <c:strCache>
                <c:ptCount val="14"/>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pt idx="13">
                  <c:v>2021**</c:v>
                </c:pt>
              </c:strCache>
            </c:strRef>
          </c:cat>
          <c:val>
            <c:numRef>
              <c:f>'Сценарио 1'!$D$79:$D$92</c:f>
              <c:numCache>
                <c:formatCode>0.0</c:formatCode>
                <c:ptCount val="14"/>
                <c:pt idx="0">
                  <c:v>28.7</c:v>
                </c:pt>
                <c:pt idx="1">
                  <c:v>32.799999999999997</c:v>
                </c:pt>
                <c:pt idx="2">
                  <c:v>41.4</c:v>
                </c:pt>
                <c:pt idx="3">
                  <c:v>44.687403264025434</c:v>
                </c:pt>
                <c:pt idx="4">
                  <c:v>54.584451229535397</c:v>
                </c:pt>
                <c:pt idx="5">
                  <c:v>57.483723765998221</c:v>
                </c:pt>
                <c:pt idx="6">
                  <c:v>67.495119111541086</c:v>
                </c:pt>
                <c:pt idx="7">
                  <c:v>71.199826072534094</c:v>
                </c:pt>
                <c:pt idx="8">
                  <c:v>68.7</c:v>
                </c:pt>
                <c:pt idx="9">
                  <c:v>58.6</c:v>
                </c:pt>
                <c:pt idx="10">
                  <c:v>54.4</c:v>
                </c:pt>
                <c:pt idx="11">
                  <c:v>52.8</c:v>
                </c:pt>
                <c:pt idx="12" formatCode="General">
                  <c:v>57.8</c:v>
                </c:pt>
                <c:pt idx="13" formatCode="General">
                  <c:v>58.2</c:v>
                </c:pt>
              </c:numCache>
            </c:numRef>
          </c:val>
          <c:extLst>
            <c:ext xmlns:c16="http://schemas.microsoft.com/office/drawing/2014/chart" uri="{C3380CC4-5D6E-409C-BE32-E72D297353CC}">
              <c16:uniqueId val="{00000000-B269-4C5C-8D81-9518C2D617DE}"/>
            </c:ext>
          </c:extLst>
        </c:ser>
        <c:dLbls>
          <c:showLegendKey val="0"/>
          <c:showVal val="0"/>
          <c:showCatName val="0"/>
          <c:showSerName val="0"/>
          <c:showPercent val="0"/>
          <c:showBubbleSize val="0"/>
        </c:dLbls>
        <c:gapWidth val="57"/>
        <c:axId val="582077168"/>
        <c:axId val="582077584"/>
      </c:barChart>
      <c:catAx>
        <c:axId val="58207716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chemeClr val="tx2"/>
                </a:solidFill>
                <a:latin typeface="+mn-lt"/>
                <a:ea typeface="+mn-ea"/>
                <a:cs typeface="+mn-cs"/>
              </a:defRPr>
            </a:pPr>
            <a:endParaRPr lang="en-US"/>
          </a:p>
        </c:txPr>
        <c:crossAx val="582077584"/>
        <c:crosses val="autoZero"/>
        <c:auto val="1"/>
        <c:lblAlgn val="ctr"/>
        <c:lblOffset val="100"/>
        <c:noMultiLvlLbl val="0"/>
      </c:catAx>
      <c:valAx>
        <c:axId val="582077584"/>
        <c:scaling>
          <c:orientation val="minMax"/>
          <c:min val="2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700" b="0" i="0" u="none" strike="noStrike" kern="1200" baseline="0">
                    <a:solidFill>
                      <a:schemeClr val="tx2"/>
                    </a:solidFill>
                    <a:latin typeface="+mn-lt"/>
                    <a:ea typeface="+mn-ea"/>
                    <a:cs typeface="+mn-cs"/>
                  </a:defRPr>
                </a:pPr>
                <a:r>
                  <a:rPr lang="sr-Cyrl-RS" sz="700">
                    <a:solidFill>
                      <a:schemeClr val="tx2"/>
                    </a:solidFill>
                  </a:rPr>
                  <a:t>% БДП</a:t>
                </a:r>
              </a:p>
            </c:rich>
          </c:tx>
          <c:layout>
            <c:manualLayout>
              <c:xMode val="edge"/>
              <c:yMode val="edge"/>
              <c:x val="1.2442504092928975E-2"/>
              <c:y val="0.39504729912902747"/>
            </c:manualLayout>
          </c:layout>
          <c:overlay val="0"/>
          <c:spPr>
            <a:noFill/>
            <a:ln>
              <a:noFill/>
            </a:ln>
            <a:effectLst/>
          </c:spPr>
          <c:txPr>
            <a:bodyPr rot="-5400000" spcFirstLastPara="1" vertOverflow="ellipsis" vert="horz" wrap="square" anchor="ctr" anchorCtr="1"/>
            <a:lstStyle/>
            <a:p>
              <a:pPr>
                <a:defRPr sz="700" b="0" i="0" u="none" strike="noStrike" kern="1200" baseline="0">
                  <a:solidFill>
                    <a:schemeClr val="tx2"/>
                  </a:solidFill>
                  <a:latin typeface="+mn-lt"/>
                  <a:ea typeface="+mn-ea"/>
                  <a:cs typeface="+mn-cs"/>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chemeClr val="tx2"/>
                </a:solidFill>
                <a:latin typeface="+mn-lt"/>
                <a:ea typeface="+mn-ea"/>
                <a:cs typeface="+mn-cs"/>
              </a:defRPr>
            </a:pPr>
            <a:endParaRPr lang="en-US"/>
          </a:p>
        </c:txPr>
        <c:crossAx val="582077168"/>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6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248329740500145"/>
          <c:y val="5.0621986652026364E-2"/>
          <c:w val="0.86958577564403572"/>
          <c:h val="0.90664979271278157"/>
        </c:manualLayout>
      </c:layout>
      <c:lineChart>
        <c:grouping val="standard"/>
        <c:varyColors val="0"/>
        <c:ser>
          <c:idx val="0"/>
          <c:order val="0"/>
          <c:tx>
            <c:strRef>
              <c:f>'Quaterly, Yearly'!$CI$5</c:f>
              <c:strCache>
                <c:ptCount val="1"/>
                <c:pt idx="0">
                  <c:v>Примарни резултат који стабилизује учешће дуга у БДП</c:v>
                </c:pt>
              </c:strCache>
            </c:strRef>
          </c:tx>
          <c:spPr>
            <a:ln w="22225" cap="rnd">
              <a:solidFill>
                <a:schemeClr val="accent1"/>
              </a:solidFill>
              <a:round/>
            </a:ln>
            <a:effectLst/>
          </c:spPr>
          <c:marker>
            <c:symbol val="none"/>
          </c:marker>
          <c:cat>
            <c:strRef>
              <c:f>('Quaterly, Yearly'!$CW$7:$DE$8,'Quaterly, Yearly'!$DF$7:$DF$8)</c:f>
              <c:strCache>
                <c:ptCount val="10"/>
                <c:pt idx="0">
                  <c:v>2015</c:v>
                </c:pt>
                <c:pt idx="1">
                  <c:v>2016</c:v>
                </c:pt>
                <c:pt idx="2">
                  <c:v>2017</c:v>
                </c:pt>
                <c:pt idx="3">
                  <c:v>2018</c:v>
                </c:pt>
                <c:pt idx="4">
                  <c:v>2019</c:v>
                </c:pt>
                <c:pt idx="5">
                  <c:v>2020</c:v>
                </c:pt>
                <c:pt idx="6">
                  <c:v>2021</c:v>
                </c:pt>
                <c:pt idx="7">
                  <c:v>2022</c:v>
                </c:pt>
                <c:pt idx="8">
                  <c:v>2023</c:v>
                </c:pt>
                <c:pt idx="9">
                  <c:v>2024</c:v>
                </c:pt>
              </c:strCache>
            </c:strRef>
          </c:cat>
          <c:val>
            <c:numRef>
              <c:f>'Quaterly, Yearly'!$CW$5:$DF$5</c:f>
              <c:numCache>
                <c:formatCode>#,##0.00</c:formatCode>
                <c:ptCount val="10"/>
                <c:pt idx="0">
                  <c:v>0.37612175868662545</c:v>
                </c:pt>
                <c:pt idx="1">
                  <c:v>-0.43060820661954891</c:v>
                </c:pt>
                <c:pt idx="2">
                  <c:v>-0.46873639226908759</c:v>
                </c:pt>
                <c:pt idx="3">
                  <c:v>-1.3914764276850735</c:v>
                </c:pt>
                <c:pt idx="4">
                  <c:v>-1.5090710354850059</c:v>
                </c:pt>
                <c:pt idx="5">
                  <c:v>1.0400661301861216</c:v>
                </c:pt>
                <c:pt idx="6">
                  <c:v>-4.4725007932480754</c:v>
                </c:pt>
                <c:pt idx="7">
                  <c:v>-2.4924224064884606</c:v>
                </c:pt>
                <c:pt idx="8">
                  <c:v>-2.6501696000635353</c:v>
                </c:pt>
                <c:pt idx="9">
                  <c:v>-2.5860743154643098</c:v>
                </c:pt>
              </c:numCache>
            </c:numRef>
          </c:val>
          <c:smooth val="0"/>
          <c:extLst>
            <c:ext xmlns:c16="http://schemas.microsoft.com/office/drawing/2014/chart" uri="{C3380CC4-5D6E-409C-BE32-E72D297353CC}">
              <c16:uniqueId val="{00000000-1963-4AE4-9491-6FA615DBD803}"/>
            </c:ext>
          </c:extLst>
        </c:ser>
        <c:ser>
          <c:idx val="1"/>
          <c:order val="1"/>
          <c:tx>
            <c:v>Остварени (пројектовани) примарни фискални резултат</c:v>
          </c:tx>
          <c:spPr>
            <a:ln w="22225" cap="rnd">
              <a:solidFill>
                <a:schemeClr val="accent2"/>
              </a:solidFill>
              <a:prstDash val="sysDash"/>
              <a:round/>
            </a:ln>
            <a:effectLst/>
          </c:spPr>
          <c:marker>
            <c:symbol val="none"/>
          </c:marker>
          <c:cat>
            <c:strRef>
              <c:f>('Quaterly, Yearly'!$CW$7:$DE$8,'Quaterly, Yearly'!$DF$7:$DF$8)</c:f>
              <c:strCache>
                <c:ptCount val="10"/>
                <c:pt idx="0">
                  <c:v>2015</c:v>
                </c:pt>
                <c:pt idx="1">
                  <c:v>2016</c:v>
                </c:pt>
                <c:pt idx="2">
                  <c:v>2017</c:v>
                </c:pt>
                <c:pt idx="3">
                  <c:v>2018</c:v>
                </c:pt>
                <c:pt idx="4">
                  <c:v>2019</c:v>
                </c:pt>
                <c:pt idx="5">
                  <c:v>2020</c:v>
                </c:pt>
                <c:pt idx="6">
                  <c:v>2021</c:v>
                </c:pt>
                <c:pt idx="7">
                  <c:v>2022</c:v>
                </c:pt>
                <c:pt idx="8">
                  <c:v>2023</c:v>
                </c:pt>
                <c:pt idx="9">
                  <c:v>2024</c:v>
                </c:pt>
              </c:strCache>
            </c:strRef>
          </c:cat>
          <c:val>
            <c:numRef>
              <c:f>'Quaterly, Yearly'!$CW$61:$DF$61</c:f>
              <c:numCache>
                <c:formatCode>#,##0.0</c:formatCode>
                <c:ptCount val="10"/>
                <c:pt idx="0">
                  <c:v>-0.47061316203530046</c:v>
                </c:pt>
                <c:pt idx="1">
                  <c:v>1.7045650732845505</c:v>
                </c:pt>
                <c:pt idx="2">
                  <c:v>3.634771068549187</c:v>
                </c:pt>
                <c:pt idx="3">
                  <c:v>2.7475533250713307</c:v>
                </c:pt>
                <c:pt idx="4">
                  <c:v>1.7916206652556272</c:v>
                </c:pt>
                <c:pt idx="5">
                  <c:v>-6.0455708124153222</c:v>
                </c:pt>
                <c:pt idx="6">
                  <c:v>-3.1</c:v>
                </c:pt>
                <c:pt idx="7" formatCode="General">
                  <c:v>-1.2</c:v>
                </c:pt>
                <c:pt idx="8" formatCode="General">
                  <c:v>0.1</c:v>
                </c:pt>
                <c:pt idx="9" formatCode="General">
                  <c:v>0.6</c:v>
                </c:pt>
              </c:numCache>
            </c:numRef>
          </c:val>
          <c:smooth val="0"/>
          <c:extLst>
            <c:ext xmlns:c16="http://schemas.microsoft.com/office/drawing/2014/chart" uri="{C3380CC4-5D6E-409C-BE32-E72D297353CC}">
              <c16:uniqueId val="{00000001-1963-4AE4-9491-6FA615DBD803}"/>
            </c:ext>
          </c:extLst>
        </c:ser>
        <c:dLbls>
          <c:showLegendKey val="0"/>
          <c:showVal val="0"/>
          <c:showCatName val="0"/>
          <c:showSerName val="0"/>
          <c:showPercent val="0"/>
          <c:showBubbleSize val="0"/>
        </c:dLbls>
        <c:smooth val="0"/>
        <c:axId val="519226144"/>
        <c:axId val="519226704"/>
      </c:lineChart>
      <c:catAx>
        <c:axId val="519226144"/>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chemeClr val="tx2"/>
                </a:solidFill>
                <a:latin typeface="+mn-lt"/>
                <a:ea typeface="+mn-ea"/>
                <a:cs typeface="+mn-cs"/>
              </a:defRPr>
            </a:pPr>
            <a:endParaRPr lang="en-US"/>
          </a:p>
        </c:txPr>
        <c:crossAx val="519226704"/>
        <c:crosses val="autoZero"/>
        <c:auto val="1"/>
        <c:lblAlgn val="ctr"/>
        <c:lblOffset val="100"/>
        <c:noMultiLvlLbl val="0"/>
      </c:catAx>
      <c:valAx>
        <c:axId val="519226704"/>
        <c:scaling>
          <c:orientation val="minMax"/>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600" b="0" i="0" u="none" strike="noStrike" kern="1200" baseline="0">
                    <a:solidFill>
                      <a:schemeClr val="tx2"/>
                    </a:solidFill>
                    <a:latin typeface="+mn-lt"/>
                    <a:ea typeface="+mn-ea"/>
                    <a:cs typeface="+mn-cs"/>
                  </a:defRPr>
                </a:pPr>
                <a:r>
                  <a:rPr lang="sr-Cyrl-RS" sz="600">
                    <a:solidFill>
                      <a:schemeClr val="tx2"/>
                    </a:solidFill>
                    <a:latin typeface="+mn-lt"/>
                  </a:rPr>
                  <a:t>% БДП</a:t>
                </a:r>
                <a:endParaRPr lang="en-US" sz="600">
                  <a:solidFill>
                    <a:schemeClr val="tx2"/>
                  </a:solidFill>
                  <a:latin typeface="+mn-lt"/>
                </a:endParaRPr>
              </a:p>
            </c:rich>
          </c:tx>
          <c:overlay val="0"/>
          <c:spPr>
            <a:noFill/>
            <a:ln>
              <a:noFill/>
            </a:ln>
            <a:effectLst/>
          </c:spPr>
          <c:txPr>
            <a:bodyPr rot="-5400000" spcFirstLastPara="1" vertOverflow="ellipsis" vert="horz" wrap="square" anchor="ctr" anchorCtr="1"/>
            <a:lstStyle/>
            <a:p>
              <a:pPr>
                <a:defRPr sz="600" b="0" i="0" u="none" strike="noStrike" kern="1200" baseline="0">
                  <a:solidFill>
                    <a:schemeClr val="tx2"/>
                  </a:solidFill>
                  <a:latin typeface="+mn-lt"/>
                  <a:ea typeface="+mn-ea"/>
                  <a:cs typeface="+mn-cs"/>
                </a:defRPr>
              </a:pPr>
              <a:endParaRPr lang="en-US"/>
            </a:p>
          </c:txPr>
        </c:title>
        <c:numFmt formatCode="#,##0" sourceLinked="0"/>
        <c:majorTickMark val="out"/>
        <c:minorTickMark val="none"/>
        <c:tickLblPos val="nextTo"/>
        <c:spPr>
          <a:noFill/>
          <a:ln>
            <a:noFill/>
          </a:ln>
          <a:effectLst/>
        </c:spPr>
        <c:txPr>
          <a:bodyPr rot="-60000000" spcFirstLastPara="1" vertOverflow="ellipsis" vert="horz" wrap="square" anchor="ctr" anchorCtr="1"/>
          <a:lstStyle/>
          <a:p>
            <a:pPr>
              <a:defRPr sz="600" b="0" i="0" u="none" strike="noStrike" kern="1200" baseline="0">
                <a:solidFill>
                  <a:schemeClr val="tx2"/>
                </a:solidFill>
                <a:latin typeface="+mn-lt"/>
                <a:ea typeface="+mn-ea"/>
                <a:cs typeface="+mn-cs"/>
              </a:defRPr>
            </a:pPr>
            <a:endParaRPr lang="en-US"/>
          </a:p>
        </c:txPr>
        <c:crossAx val="519226144"/>
        <c:crosses val="autoZero"/>
        <c:crossBetween val="between"/>
      </c:valAx>
      <c:spPr>
        <a:noFill/>
        <a:ln>
          <a:noFill/>
        </a:ln>
        <a:effectLst/>
      </c:spPr>
    </c:plotArea>
    <c:legend>
      <c:legendPos val="r"/>
      <c:layout>
        <c:manualLayout>
          <c:xMode val="edge"/>
          <c:yMode val="edge"/>
          <c:x val="0.43440888677770906"/>
          <c:y val="4.4762640649801927E-2"/>
          <c:w val="0.5619947748299825"/>
          <c:h val="0.27184257503840148"/>
        </c:manualLayout>
      </c:layout>
      <c:overlay val="0"/>
      <c:spPr>
        <a:noFill/>
        <a:ln>
          <a:noFill/>
        </a:ln>
        <a:effectLst/>
      </c:spPr>
      <c:txPr>
        <a:bodyPr rot="0" spcFirstLastPara="1" vertOverflow="ellipsis" vert="horz" wrap="square" anchor="ctr" anchorCtr="1"/>
        <a:lstStyle/>
        <a:p>
          <a:pPr>
            <a:defRPr sz="600" b="0" i="0" u="none" strike="noStrike" kern="1200" baseline="0">
              <a:solidFill>
                <a:schemeClr val="tx2"/>
              </a:solidFill>
              <a:latin typeface="+mn-lt"/>
              <a:ea typeface="+mn-ea"/>
              <a:cs typeface="+mn-cs"/>
            </a:defRPr>
          </a:pPr>
          <a:endParaRPr lang="en-US"/>
        </a:p>
      </c:txPr>
    </c:legend>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6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3127110413107205E-2"/>
          <c:y val="2.9912556166267597E-2"/>
          <c:w val="0.90596905708591458"/>
          <c:h val="0.82400334800669606"/>
        </c:manualLayout>
      </c:layout>
      <c:lineChart>
        <c:grouping val="standard"/>
        <c:varyColors val="0"/>
        <c:ser>
          <c:idx val="3"/>
          <c:order val="0"/>
          <c:tx>
            <c:strRef>
              <c:f>'manje prilg + manji rast'!$B$33</c:f>
              <c:strCache>
                <c:ptCount val="1"/>
                <c:pt idx="0">
                  <c:v>Успорен раст након 2024, фискална експанзија</c:v>
                </c:pt>
              </c:strCache>
            </c:strRef>
          </c:tx>
          <c:spPr>
            <a:ln w="22225" cap="rnd">
              <a:solidFill>
                <a:srgbClr val="FF0000"/>
              </a:solidFill>
              <a:round/>
            </a:ln>
            <a:effectLst/>
          </c:spPr>
          <c:marker>
            <c:symbol val="none"/>
          </c:marker>
          <c:dLbls>
            <c:dLbl>
              <c:idx val="0"/>
              <c:delete val="1"/>
              <c:extLst>
                <c:ext xmlns:c15="http://schemas.microsoft.com/office/drawing/2012/chart" uri="{CE6537A1-D6FC-4f65-9D91-7224C49458BB}"/>
                <c:ext xmlns:c16="http://schemas.microsoft.com/office/drawing/2014/chart" uri="{C3380CC4-5D6E-409C-BE32-E72D297353CC}">
                  <c16:uniqueId val="{00000000-4C19-4286-BD5D-01214D3A299A}"/>
                </c:ext>
              </c:extLst>
            </c:dLbl>
            <c:dLbl>
              <c:idx val="1"/>
              <c:delete val="1"/>
              <c:extLst>
                <c:ext xmlns:c15="http://schemas.microsoft.com/office/drawing/2012/chart" uri="{CE6537A1-D6FC-4f65-9D91-7224C49458BB}"/>
                <c:ext xmlns:c16="http://schemas.microsoft.com/office/drawing/2014/chart" uri="{C3380CC4-5D6E-409C-BE32-E72D297353CC}">
                  <c16:uniqueId val="{00000001-4C19-4286-BD5D-01214D3A299A}"/>
                </c:ext>
              </c:extLst>
            </c:dLbl>
            <c:dLbl>
              <c:idx val="2"/>
              <c:delete val="1"/>
              <c:extLst>
                <c:ext xmlns:c15="http://schemas.microsoft.com/office/drawing/2012/chart" uri="{CE6537A1-D6FC-4f65-9D91-7224C49458BB}"/>
                <c:ext xmlns:c16="http://schemas.microsoft.com/office/drawing/2014/chart" uri="{C3380CC4-5D6E-409C-BE32-E72D297353CC}">
                  <c16:uniqueId val="{00000002-4C19-4286-BD5D-01214D3A299A}"/>
                </c:ext>
              </c:extLst>
            </c:dLbl>
            <c:dLbl>
              <c:idx val="3"/>
              <c:delete val="1"/>
              <c:extLst>
                <c:ext xmlns:c15="http://schemas.microsoft.com/office/drawing/2012/chart" uri="{CE6537A1-D6FC-4f65-9D91-7224C49458BB}"/>
                <c:ext xmlns:c16="http://schemas.microsoft.com/office/drawing/2014/chart" uri="{C3380CC4-5D6E-409C-BE32-E72D297353CC}">
                  <c16:uniqueId val="{00000003-4C19-4286-BD5D-01214D3A299A}"/>
                </c:ext>
              </c:extLst>
            </c:dLbl>
            <c:dLbl>
              <c:idx val="4"/>
              <c:delete val="1"/>
              <c:extLst>
                <c:ext xmlns:c15="http://schemas.microsoft.com/office/drawing/2012/chart" uri="{CE6537A1-D6FC-4f65-9D91-7224C49458BB}"/>
                <c:ext xmlns:c16="http://schemas.microsoft.com/office/drawing/2014/chart" uri="{C3380CC4-5D6E-409C-BE32-E72D297353CC}">
                  <c16:uniqueId val="{00000004-4C19-4286-BD5D-01214D3A299A}"/>
                </c:ext>
              </c:extLst>
            </c:dLbl>
            <c:dLbl>
              <c:idx val="5"/>
              <c:delete val="1"/>
              <c:extLst>
                <c:ext xmlns:c15="http://schemas.microsoft.com/office/drawing/2012/chart" uri="{CE6537A1-D6FC-4f65-9D91-7224C49458BB}"/>
                <c:ext xmlns:c16="http://schemas.microsoft.com/office/drawing/2014/chart" uri="{C3380CC4-5D6E-409C-BE32-E72D297353CC}">
                  <c16:uniqueId val="{00000005-4C19-4286-BD5D-01214D3A299A}"/>
                </c:ext>
              </c:extLst>
            </c:dLbl>
            <c:dLbl>
              <c:idx val="6"/>
              <c:delete val="1"/>
              <c:extLst>
                <c:ext xmlns:c15="http://schemas.microsoft.com/office/drawing/2012/chart" uri="{CE6537A1-D6FC-4f65-9D91-7224C49458BB}"/>
                <c:ext xmlns:c16="http://schemas.microsoft.com/office/drawing/2014/chart" uri="{C3380CC4-5D6E-409C-BE32-E72D297353CC}">
                  <c16:uniqueId val="{00000006-4C19-4286-BD5D-01214D3A299A}"/>
                </c:ext>
              </c:extLst>
            </c:dLbl>
            <c:dLbl>
              <c:idx val="7"/>
              <c:delete val="1"/>
              <c:extLst>
                <c:ext xmlns:c15="http://schemas.microsoft.com/office/drawing/2012/chart" uri="{CE6537A1-D6FC-4f65-9D91-7224C49458BB}"/>
                <c:ext xmlns:c16="http://schemas.microsoft.com/office/drawing/2014/chart" uri="{C3380CC4-5D6E-409C-BE32-E72D297353CC}">
                  <c16:uniqueId val="{00000007-4C19-4286-BD5D-01214D3A299A}"/>
                </c:ext>
              </c:extLst>
            </c:dLbl>
            <c:dLbl>
              <c:idx val="8"/>
              <c:layout>
                <c:manualLayout>
                  <c:x val="-1.9170136047587712E-2"/>
                  <c:y val="-3.320712091884602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4C19-4286-BD5D-01214D3A299A}"/>
                </c:ext>
              </c:extLst>
            </c:dLbl>
            <c:dLbl>
              <c:idx val="10"/>
              <c:delete val="1"/>
              <c:extLst>
                <c:ext xmlns:c15="http://schemas.microsoft.com/office/drawing/2012/chart" uri="{CE6537A1-D6FC-4f65-9D91-7224C49458BB}"/>
                <c:ext xmlns:c16="http://schemas.microsoft.com/office/drawing/2014/chart" uri="{C3380CC4-5D6E-409C-BE32-E72D297353CC}">
                  <c16:uniqueId val="{00000009-4C19-4286-BD5D-01214D3A299A}"/>
                </c:ext>
              </c:extLst>
            </c:dLbl>
            <c:dLbl>
              <c:idx val="11"/>
              <c:delete val="1"/>
              <c:extLst>
                <c:ext xmlns:c15="http://schemas.microsoft.com/office/drawing/2012/chart" uri="{CE6537A1-D6FC-4f65-9D91-7224C49458BB}"/>
                <c:ext xmlns:c16="http://schemas.microsoft.com/office/drawing/2014/chart" uri="{C3380CC4-5D6E-409C-BE32-E72D297353CC}">
                  <c16:uniqueId val="{0000000A-4C19-4286-BD5D-01214D3A299A}"/>
                </c:ext>
              </c:extLst>
            </c:dLbl>
            <c:dLbl>
              <c:idx val="12"/>
              <c:delete val="1"/>
              <c:extLst>
                <c:ext xmlns:c15="http://schemas.microsoft.com/office/drawing/2012/chart" uri="{CE6537A1-D6FC-4f65-9D91-7224C49458BB}"/>
                <c:ext xmlns:c16="http://schemas.microsoft.com/office/drawing/2014/chart" uri="{C3380CC4-5D6E-409C-BE32-E72D297353CC}">
                  <c16:uniqueId val="{0000000B-4C19-4286-BD5D-01214D3A299A}"/>
                </c:ext>
              </c:extLst>
            </c:dLbl>
            <c:dLbl>
              <c:idx val="13"/>
              <c:layout>
                <c:manualLayout>
                  <c:x val="-7.4257428637148227E-3"/>
                  <c:y val="-5.7416246311176233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4C19-4286-BD5D-01214D3A299A}"/>
                </c:ext>
              </c:extLst>
            </c:dLbl>
            <c:dLbl>
              <c:idx val="14"/>
              <c:layout>
                <c:manualLayout>
                  <c:x val="-1.6042785477262247E-2"/>
                  <c:y val="-3.609927015045152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4C19-4286-BD5D-01214D3A299A}"/>
                </c:ext>
              </c:extLst>
            </c:dLbl>
            <c:dLbl>
              <c:idx val="15"/>
              <c:delete val="1"/>
              <c:extLst>
                <c:ext xmlns:c15="http://schemas.microsoft.com/office/drawing/2012/chart" uri="{CE6537A1-D6FC-4f65-9D91-7224C49458BB}"/>
                <c:ext xmlns:c16="http://schemas.microsoft.com/office/drawing/2014/chart" uri="{C3380CC4-5D6E-409C-BE32-E72D297353CC}">
                  <c16:uniqueId val="{0000000E-4C19-4286-BD5D-01214D3A299A}"/>
                </c:ext>
              </c:extLst>
            </c:dLbl>
            <c:dLbl>
              <c:idx val="16"/>
              <c:delete val="1"/>
              <c:extLst>
                <c:ext xmlns:c15="http://schemas.microsoft.com/office/drawing/2012/chart" uri="{CE6537A1-D6FC-4f65-9D91-7224C49458BB}"/>
                <c:ext xmlns:c16="http://schemas.microsoft.com/office/drawing/2014/chart" uri="{C3380CC4-5D6E-409C-BE32-E72D297353CC}">
                  <c16:uniqueId val="{0000000F-4C19-4286-BD5D-01214D3A299A}"/>
                </c:ext>
              </c:extLst>
            </c:dLbl>
            <c:dLbl>
              <c:idx val="17"/>
              <c:layout>
                <c:manualLayout>
                  <c:x val="-2.4170619721703136E-2"/>
                  <c:y val="-3.910754266298915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4C19-4286-BD5D-01214D3A299A}"/>
                </c:ext>
              </c:extLst>
            </c:dLbl>
            <c:spPr>
              <a:noFill/>
              <a:ln>
                <a:noFill/>
              </a:ln>
              <a:effectLst/>
            </c:spPr>
            <c:txPr>
              <a:bodyPr rot="0" spcFirstLastPara="1" vertOverflow="ellipsis" vert="horz" wrap="square" anchor="ctr" anchorCtr="1"/>
              <a:lstStyle/>
              <a:p>
                <a:pPr>
                  <a:defRPr sz="700" b="0" i="0" u="none" strike="noStrike" kern="1200" baseline="0">
                    <a:solidFill>
                      <a:schemeClr val="tx2"/>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'Сценарио 1'!$C$33:$K$33</c:f>
              <c:numCache>
                <c:formatCode>General</c:formatCode>
                <c:ptCount val="9"/>
                <c:pt idx="0">
                  <c:v>2020</c:v>
                </c:pt>
                <c:pt idx="1">
                  <c:v>2021</c:v>
                </c:pt>
                <c:pt idx="2">
                  <c:v>2022</c:v>
                </c:pt>
                <c:pt idx="3">
                  <c:v>2023</c:v>
                </c:pt>
                <c:pt idx="4">
                  <c:v>2024</c:v>
                </c:pt>
                <c:pt idx="5">
                  <c:v>2025</c:v>
                </c:pt>
                <c:pt idx="6">
                  <c:v>2026</c:v>
                </c:pt>
                <c:pt idx="7">
                  <c:v>2027</c:v>
                </c:pt>
                <c:pt idx="8">
                  <c:v>2028</c:v>
                </c:pt>
              </c:numCache>
            </c:numRef>
          </c:cat>
          <c:val>
            <c:numRef>
              <c:f>'manje prilg + manji rast'!$C$39:$K$39</c:f>
              <c:numCache>
                <c:formatCode>#,##0.0</c:formatCode>
                <c:ptCount val="9"/>
                <c:pt idx="0">
                  <c:v>57.8</c:v>
                </c:pt>
                <c:pt idx="1">
                  <c:v>58.2</c:v>
                </c:pt>
                <c:pt idx="2">
                  <c:v>56.5</c:v>
                </c:pt>
                <c:pt idx="3">
                  <c:v>55.3</c:v>
                </c:pt>
                <c:pt idx="4">
                  <c:v>53.8</c:v>
                </c:pt>
                <c:pt idx="5">
                  <c:v>54.569141442984964</c:v>
                </c:pt>
                <c:pt idx="6">
                  <c:v>56.336444313397202</c:v>
                </c:pt>
                <c:pt idx="7">
                  <c:v>58.200459252559469</c:v>
                </c:pt>
                <c:pt idx="8">
                  <c:v>60.168745561515209</c:v>
                </c:pt>
              </c:numCache>
            </c:numRef>
          </c:val>
          <c:smooth val="1"/>
          <c:extLst>
            <c:ext xmlns:c16="http://schemas.microsoft.com/office/drawing/2014/chart" uri="{C3380CC4-5D6E-409C-BE32-E72D297353CC}">
              <c16:uniqueId val="{00000011-4C19-4286-BD5D-01214D3A299A}"/>
            </c:ext>
          </c:extLst>
        </c:ser>
        <c:ser>
          <c:idx val="2"/>
          <c:order val="1"/>
          <c:tx>
            <c:strRef>
              <c:f>'manji rast'!$B$33</c:f>
              <c:strCache>
                <c:ptCount val="1"/>
                <c:pt idx="0">
                  <c:v>Успорен раст након 2024</c:v>
                </c:pt>
              </c:strCache>
            </c:strRef>
          </c:tx>
          <c:spPr>
            <a:ln w="22225" cap="rnd">
              <a:solidFill>
                <a:schemeClr val="accent3"/>
              </a:solidFill>
              <a:round/>
            </a:ln>
            <a:effectLst/>
          </c:spPr>
          <c:marker>
            <c:symbol val="none"/>
          </c:marker>
          <c:dLbls>
            <c:dLbl>
              <c:idx val="0"/>
              <c:delete val="1"/>
              <c:extLst>
                <c:ext xmlns:c15="http://schemas.microsoft.com/office/drawing/2012/chart" uri="{CE6537A1-D6FC-4f65-9D91-7224C49458BB}"/>
                <c:ext xmlns:c16="http://schemas.microsoft.com/office/drawing/2014/chart" uri="{C3380CC4-5D6E-409C-BE32-E72D297353CC}">
                  <c16:uniqueId val="{00000012-4C19-4286-BD5D-01214D3A299A}"/>
                </c:ext>
              </c:extLst>
            </c:dLbl>
            <c:dLbl>
              <c:idx val="1"/>
              <c:delete val="1"/>
              <c:extLst>
                <c:ext xmlns:c15="http://schemas.microsoft.com/office/drawing/2012/chart" uri="{CE6537A1-D6FC-4f65-9D91-7224C49458BB}"/>
                <c:ext xmlns:c16="http://schemas.microsoft.com/office/drawing/2014/chart" uri="{C3380CC4-5D6E-409C-BE32-E72D297353CC}">
                  <c16:uniqueId val="{00000013-4C19-4286-BD5D-01214D3A299A}"/>
                </c:ext>
              </c:extLst>
            </c:dLbl>
            <c:dLbl>
              <c:idx val="2"/>
              <c:delete val="1"/>
              <c:extLst>
                <c:ext xmlns:c15="http://schemas.microsoft.com/office/drawing/2012/chart" uri="{CE6537A1-D6FC-4f65-9D91-7224C49458BB}"/>
                <c:ext xmlns:c16="http://schemas.microsoft.com/office/drawing/2014/chart" uri="{C3380CC4-5D6E-409C-BE32-E72D297353CC}">
                  <c16:uniqueId val="{00000014-4C19-4286-BD5D-01214D3A299A}"/>
                </c:ext>
              </c:extLst>
            </c:dLbl>
            <c:dLbl>
              <c:idx val="3"/>
              <c:delete val="1"/>
              <c:extLst>
                <c:ext xmlns:c15="http://schemas.microsoft.com/office/drawing/2012/chart" uri="{CE6537A1-D6FC-4f65-9D91-7224C49458BB}"/>
                <c:ext xmlns:c16="http://schemas.microsoft.com/office/drawing/2014/chart" uri="{C3380CC4-5D6E-409C-BE32-E72D297353CC}">
                  <c16:uniqueId val="{00000015-4C19-4286-BD5D-01214D3A299A}"/>
                </c:ext>
              </c:extLst>
            </c:dLbl>
            <c:dLbl>
              <c:idx val="4"/>
              <c:delete val="1"/>
              <c:extLst>
                <c:ext xmlns:c15="http://schemas.microsoft.com/office/drawing/2012/chart" uri="{CE6537A1-D6FC-4f65-9D91-7224C49458BB}"/>
                <c:ext xmlns:c16="http://schemas.microsoft.com/office/drawing/2014/chart" uri="{C3380CC4-5D6E-409C-BE32-E72D297353CC}">
                  <c16:uniqueId val="{00000016-4C19-4286-BD5D-01214D3A299A}"/>
                </c:ext>
              </c:extLst>
            </c:dLbl>
            <c:dLbl>
              <c:idx val="5"/>
              <c:delete val="1"/>
              <c:extLst>
                <c:ext xmlns:c15="http://schemas.microsoft.com/office/drawing/2012/chart" uri="{CE6537A1-D6FC-4f65-9D91-7224C49458BB}"/>
                <c:ext xmlns:c16="http://schemas.microsoft.com/office/drawing/2014/chart" uri="{C3380CC4-5D6E-409C-BE32-E72D297353CC}">
                  <c16:uniqueId val="{00000017-4C19-4286-BD5D-01214D3A299A}"/>
                </c:ext>
              </c:extLst>
            </c:dLbl>
            <c:dLbl>
              <c:idx val="6"/>
              <c:delete val="1"/>
              <c:extLst>
                <c:ext xmlns:c15="http://schemas.microsoft.com/office/drawing/2012/chart" uri="{CE6537A1-D6FC-4f65-9D91-7224C49458BB}"/>
                <c:ext xmlns:c16="http://schemas.microsoft.com/office/drawing/2014/chart" uri="{C3380CC4-5D6E-409C-BE32-E72D297353CC}">
                  <c16:uniqueId val="{00000018-4C19-4286-BD5D-01214D3A299A}"/>
                </c:ext>
              </c:extLst>
            </c:dLbl>
            <c:dLbl>
              <c:idx val="7"/>
              <c:delete val="1"/>
              <c:extLst>
                <c:ext xmlns:c15="http://schemas.microsoft.com/office/drawing/2012/chart" uri="{CE6537A1-D6FC-4f65-9D91-7224C49458BB}"/>
                <c:ext xmlns:c16="http://schemas.microsoft.com/office/drawing/2014/chart" uri="{C3380CC4-5D6E-409C-BE32-E72D297353CC}">
                  <c16:uniqueId val="{00000019-4C19-4286-BD5D-01214D3A299A}"/>
                </c:ext>
              </c:extLst>
            </c:dLbl>
            <c:dLbl>
              <c:idx val="8"/>
              <c:layout>
                <c:manualLayout>
                  <c:x val="-6.3900453491960085E-3"/>
                  <c:y val="-5.5344562186304932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4C19-4286-BD5D-01214D3A299A}"/>
                </c:ext>
              </c:extLst>
            </c:dLbl>
            <c:dLbl>
              <c:idx val="9"/>
              <c:layout>
                <c:manualLayout>
                  <c:x val="-4.6379919466930384E-3"/>
                  <c:y val="2.71694625699648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B-4C19-4286-BD5D-01214D3A299A}"/>
                </c:ext>
              </c:extLst>
            </c:dLbl>
            <c:dLbl>
              <c:idx val="10"/>
              <c:delete val="1"/>
              <c:extLst>
                <c:ext xmlns:c15="http://schemas.microsoft.com/office/drawing/2012/chart" uri="{CE6537A1-D6FC-4f65-9D91-7224C49458BB}"/>
                <c:ext xmlns:c16="http://schemas.microsoft.com/office/drawing/2014/chart" uri="{C3380CC4-5D6E-409C-BE32-E72D297353CC}">
                  <c16:uniqueId val="{0000001C-4C19-4286-BD5D-01214D3A299A}"/>
                </c:ext>
              </c:extLst>
            </c:dLbl>
            <c:dLbl>
              <c:idx val="11"/>
              <c:delete val="1"/>
              <c:extLst>
                <c:ext xmlns:c15="http://schemas.microsoft.com/office/drawing/2012/chart" uri="{CE6537A1-D6FC-4f65-9D91-7224C49458BB}"/>
                <c:ext xmlns:c16="http://schemas.microsoft.com/office/drawing/2014/chart" uri="{C3380CC4-5D6E-409C-BE32-E72D297353CC}">
                  <c16:uniqueId val="{0000001D-4C19-4286-BD5D-01214D3A299A}"/>
                </c:ext>
              </c:extLst>
            </c:dLbl>
            <c:dLbl>
              <c:idx val="12"/>
              <c:delete val="1"/>
              <c:extLst>
                <c:ext xmlns:c15="http://schemas.microsoft.com/office/drawing/2012/chart" uri="{CE6537A1-D6FC-4f65-9D91-7224C49458BB}"/>
                <c:ext xmlns:c16="http://schemas.microsoft.com/office/drawing/2014/chart" uri="{C3380CC4-5D6E-409C-BE32-E72D297353CC}">
                  <c16:uniqueId val="{0000001E-4C19-4286-BD5D-01214D3A299A}"/>
                </c:ext>
              </c:extLst>
            </c:dLbl>
            <c:dLbl>
              <c:idx val="13"/>
              <c:layout>
                <c:manualLayout>
                  <c:x val="-7.4257428637148227E-3"/>
                  <c:y val="-8.6124369466763565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F-4C19-4286-BD5D-01214D3A299A}"/>
                </c:ext>
              </c:extLst>
            </c:dLbl>
            <c:dLbl>
              <c:idx val="14"/>
              <c:layout>
                <c:manualLayout>
                  <c:x val="-1.7647064024988345E-2"/>
                  <c:y val="-4.813236020060203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0-4C19-4286-BD5D-01214D3A299A}"/>
                </c:ext>
              </c:extLst>
            </c:dLbl>
            <c:dLbl>
              <c:idx val="15"/>
              <c:delete val="1"/>
              <c:extLst>
                <c:ext xmlns:c15="http://schemas.microsoft.com/office/drawing/2012/chart" uri="{CE6537A1-D6FC-4f65-9D91-7224C49458BB}"/>
                <c:ext xmlns:c16="http://schemas.microsoft.com/office/drawing/2014/chart" uri="{C3380CC4-5D6E-409C-BE32-E72D297353CC}">
                  <c16:uniqueId val="{00000021-4C19-4286-BD5D-01214D3A299A}"/>
                </c:ext>
              </c:extLst>
            </c:dLbl>
            <c:dLbl>
              <c:idx val="16"/>
              <c:delete val="1"/>
              <c:extLst>
                <c:ext xmlns:c15="http://schemas.microsoft.com/office/drawing/2012/chart" uri="{CE6537A1-D6FC-4f65-9D91-7224C49458BB}"/>
                <c:ext xmlns:c16="http://schemas.microsoft.com/office/drawing/2014/chart" uri="{C3380CC4-5D6E-409C-BE32-E72D297353CC}">
                  <c16:uniqueId val="{00000022-4C19-4286-BD5D-01214D3A299A}"/>
                </c:ext>
              </c:extLst>
            </c:dLbl>
            <c:dLbl>
              <c:idx val="17"/>
              <c:layout>
                <c:manualLayout>
                  <c:x val="-2.2748818561602949E-2"/>
                  <c:y val="-4.211581517552678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3-4C19-4286-BD5D-01214D3A299A}"/>
                </c:ext>
              </c:extLst>
            </c:dLbl>
            <c:spPr>
              <a:noFill/>
              <a:ln>
                <a:noFill/>
              </a:ln>
              <a:effectLst/>
            </c:spPr>
            <c:txPr>
              <a:bodyPr rot="0" spcFirstLastPara="1" vertOverflow="ellipsis" vert="horz" wrap="square" anchor="ctr" anchorCtr="1"/>
              <a:lstStyle/>
              <a:p>
                <a:pPr>
                  <a:defRPr sz="700" b="0" i="0" u="none" strike="noStrike" kern="1200" baseline="0">
                    <a:solidFill>
                      <a:schemeClr val="tx2"/>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'Сценарио 1'!$C$33:$K$33</c:f>
              <c:numCache>
                <c:formatCode>General</c:formatCode>
                <c:ptCount val="9"/>
                <c:pt idx="0">
                  <c:v>2020</c:v>
                </c:pt>
                <c:pt idx="1">
                  <c:v>2021</c:v>
                </c:pt>
                <c:pt idx="2">
                  <c:v>2022</c:v>
                </c:pt>
                <c:pt idx="3">
                  <c:v>2023</c:v>
                </c:pt>
                <c:pt idx="4">
                  <c:v>2024</c:v>
                </c:pt>
                <c:pt idx="5">
                  <c:v>2025</c:v>
                </c:pt>
                <c:pt idx="6">
                  <c:v>2026</c:v>
                </c:pt>
                <c:pt idx="7">
                  <c:v>2027</c:v>
                </c:pt>
                <c:pt idx="8">
                  <c:v>2028</c:v>
                </c:pt>
              </c:numCache>
            </c:numRef>
          </c:cat>
          <c:val>
            <c:numRef>
              <c:f>'manji rast'!$C$39:$K$39</c:f>
              <c:numCache>
                <c:formatCode>#,##0.0</c:formatCode>
                <c:ptCount val="9"/>
                <c:pt idx="0">
                  <c:v>57.8</c:v>
                </c:pt>
                <c:pt idx="1">
                  <c:v>58.2</c:v>
                </c:pt>
                <c:pt idx="2">
                  <c:v>56.5</c:v>
                </c:pt>
                <c:pt idx="3">
                  <c:v>55.3</c:v>
                </c:pt>
                <c:pt idx="4">
                  <c:v>53.8</c:v>
                </c:pt>
                <c:pt idx="5">
                  <c:v>52.397079763944411</c:v>
                </c:pt>
                <c:pt idx="6">
                  <c:v>51.544214664973396</c:v>
                </c:pt>
                <c:pt idx="7">
                  <c:v>50.837969028471548</c:v>
                </c:pt>
                <c:pt idx="8">
                  <c:v>50.271754173032122</c:v>
                </c:pt>
              </c:numCache>
            </c:numRef>
          </c:val>
          <c:smooth val="1"/>
          <c:extLst>
            <c:ext xmlns:c16="http://schemas.microsoft.com/office/drawing/2014/chart" uri="{C3380CC4-5D6E-409C-BE32-E72D297353CC}">
              <c16:uniqueId val="{00000024-4C19-4286-BD5D-01214D3A299A}"/>
            </c:ext>
          </c:extLst>
        </c:ser>
        <c:ser>
          <c:idx val="4"/>
          <c:order val="2"/>
          <c:tx>
            <c:strRef>
              <c:f>'manje prilagodjavanje'!$B$33</c:f>
              <c:strCache>
                <c:ptCount val="1"/>
                <c:pt idx="0">
                  <c:v>Фискална експанзија након 2024</c:v>
                </c:pt>
              </c:strCache>
            </c:strRef>
          </c:tx>
          <c:spPr>
            <a:ln w="22225" cap="rnd">
              <a:solidFill>
                <a:srgbClr val="FFC000"/>
              </a:solidFill>
              <a:round/>
            </a:ln>
            <a:effectLst/>
          </c:spPr>
          <c:marker>
            <c:symbol val="none"/>
          </c:marker>
          <c:dLbls>
            <c:dLbl>
              <c:idx val="0"/>
              <c:delete val="1"/>
              <c:extLst>
                <c:ext xmlns:c15="http://schemas.microsoft.com/office/drawing/2012/chart" uri="{CE6537A1-D6FC-4f65-9D91-7224C49458BB}"/>
                <c:ext xmlns:c16="http://schemas.microsoft.com/office/drawing/2014/chart" uri="{C3380CC4-5D6E-409C-BE32-E72D297353CC}">
                  <c16:uniqueId val="{00000025-4C19-4286-BD5D-01214D3A299A}"/>
                </c:ext>
              </c:extLst>
            </c:dLbl>
            <c:dLbl>
              <c:idx val="1"/>
              <c:delete val="1"/>
              <c:extLst>
                <c:ext xmlns:c15="http://schemas.microsoft.com/office/drawing/2012/chart" uri="{CE6537A1-D6FC-4f65-9D91-7224C49458BB}"/>
                <c:ext xmlns:c16="http://schemas.microsoft.com/office/drawing/2014/chart" uri="{C3380CC4-5D6E-409C-BE32-E72D297353CC}">
                  <c16:uniqueId val="{00000026-4C19-4286-BD5D-01214D3A299A}"/>
                </c:ext>
              </c:extLst>
            </c:dLbl>
            <c:dLbl>
              <c:idx val="2"/>
              <c:delete val="1"/>
              <c:extLst>
                <c:ext xmlns:c15="http://schemas.microsoft.com/office/drawing/2012/chart" uri="{CE6537A1-D6FC-4f65-9D91-7224C49458BB}"/>
                <c:ext xmlns:c16="http://schemas.microsoft.com/office/drawing/2014/chart" uri="{C3380CC4-5D6E-409C-BE32-E72D297353CC}">
                  <c16:uniqueId val="{00000027-4C19-4286-BD5D-01214D3A299A}"/>
                </c:ext>
              </c:extLst>
            </c:dLbl>
            <c:dLbl>
              <c:idx val="3"/>
              <c:delete val="1"/>
              <c:extLst>
                <c:ext xmlns:c15="http://schemas.microsoft.com/office/drawing/2012/chart" uri="{CE6537A1-D6FC-4f65-9D91-7224C49458BB}"/>
                <c:ext xmlns:c16="http://schemas.microsoft.com/office/drawing/2014/chart" uri="{C3380CC4-5D6E-409C-BE32-E72D297353CC}">
                  <c16:uniqueId val="{00000028-4C19-4286-BD5D-01214D3A299A}"/>
                </c:ext>
              </c:extLst>
            </c:dLbl>
            <c:dLbl>
              <c:idx val="4"/>
              <c:delete val="1"/>
              <c:extLst>
                <c:ext xmlns:c15="http://schemas.microsoft.com/office/drawing/2012/chart" uri="{CE6537A1-D6FC-4f65-9D91-7224C49458BB}"/>
                <c:ext xmlns:c16="http://schemas.microsoft.com/office/drawing/2014/chart" uri="{C3380CC4-5D6E-409C-BE32-E72D297353CC}">
                  <c16:uniqueId val="{00000029-4C19-4286-BD5D-01214D3A299A}"/>
                </c:ext>
              </c:extLst>
            </c:dLbl>
            <c:dLbl>
              <c:idx val="5"/>
              <c:delete val="1"/>
              <c:extLst>
                <c:ext xmlns:c15="http://schemas.microsoft.com/office/drawing/2012/chart" uri="{CE6537A1-D6FC-4f65-9D91-7224C49458BB}"/>
                <c:ext xmlns:c16="http://schemas.microsoft.com/office/drawing/2014/chart" uri="{C3380CC4-5D6E-409C-BE32-E72D297353CC}">
                  <c16:uniqueId val="{0000002A-4C19-4286-BD5D-01214D3A299A}"/>
                </c:ext>
              </c:extLst>
            </c:dLbl>
            <c:dLbl>
              <c:idx val="6"/>
              <c:delete val="1"/>
              <c:extLst>
                <c:ext xmlns:c15="http://schemas.microsoft.com/office/drawing/2012/chart" uri="{CE6537A1-D6FC-4f65-9D91-7224C49458BB}"/>
                <c:ext xmlns:c16="http://schemas.microsoft.com/office/drawing/2014/chart" uri="{C3380CC4-5D6E-409C-BE32-E72D297353CC}">
                  <c16:uniqueId val="{0000002B-4C19-4286-BD5D-01214D3A299A}"/>
                </c:ext>
              </c:extLst>
            </c:dLbl>
            <c:dLbl>
              <c:idx val="7"/>
              <c:delete val="1"/>
              <c:extLst>
                <c:ext xmlns:c15="http://schemas.microsoft.com/office/drawing/2012/chart" uri="{CE6537A1-D6FC-4f65-9D91-7224C49458BB}"/>
                <c:ext xmlns:c16="http://schemas.microsoft.com/office/drawing/2014/chart" uri="{C3380CC4-5D6E-409C-BE32-E72D297353CC}">
                  <c16:uniqueId val="{0000002C-4C19-4286-BD5D-01214D3A299A}"/>
                </c:ext>
              </c:extLst>
            </c:dLbl>
            <c:dLbl>
              <c:idx val="8"/>
              <c:layout>
                <c:manualLayout>
                  <c:x val="-6.3900453491960085E-3"/>
                  <c:y val="-6.0376583488811232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D-4C19-4286-BD5D-01214D3A299A}"/>
                </c:ext>
              </c:extLst>
            </c:dLbl>
            <c:dLbl>
              <c:idx val="9"/>
              <c:layout>
                <c:manualLayout>
                  <c:x val="-9.0700068881669951E-3"/>
                  <c:y val="-3.320712091884602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E-4C19-4286-BD5D-01214D3A299A}"/>
                </c:ext>
              </c:extLst>
            </c:dLbl>
            <c:dLbl>
              <c:idx val="10"/>
              <c:delete val="1"/>
              <c:extLst>
                <c:ext xmlns:c15="http://schemas.microsoft.com/office/drawing/2012/chart" uri="{CE6537A1-D6FC-4f65-9D91-7224C49458BB}"/>
                <c:ext xmlns:c16="http://schemas.microsoft.com/office/drawing/2014/chart" uri="{C3380CC4-5D6E-409C-BE32-E72D297353CC}">
                  <c16:uniqueId val="{0000002F-4C19-4286-BD5D-01214D3A299A}"/>
                </c:ext>
              </c:extLst>
            </c:dLbl>
            <c:dLbl>
              <c:idx val="11"/>
              <c:delete val="1"/>
              <c:extLst>
                <c:ext xmlns:c15="http://schemas.microsoft.com/office/drawing/2012/chart" uri="{CE6537A1-D6FC-4f65-9D91-7224C49458BB}"/>
                <c:ext xmlns:c16="http://schemas.microsoft.com/office/drawing/2014/chart" uri="{C3380CC4-5D6E-409C-BE32-E72D297353CC}">
                  <c16:uniqueId val="{00000030-4C19-4286-BD5D-01214D3A299A}"/>
                </c:ext>
              </c:extLst>
            </c:dLbl>
            <c:dLbl>
              <c:idx val="12"/>
              <c:delete val="1"/>
              <c:extLst>
                <c:ext xmlns:c15="http://schemas.microsoft.com/office/drawing/2012/chart" uri="{CE6537A1-D6FC-4f65-9D91-7224C49458BB}"/>
                <c:ext xmlns:c16="http://schemas.microsoft.com/office/drawing/2014/chart" uri="{C3380CC4-5D6E-409C-BE32-E72D297353CC}">
                  <c16:uniqueId val="{00000031-4C19-4286-BD5D-01214D3A299A}"/>
                </c:ext>
              </c:extLst>
            </c:dLbl>
            <c:dLbl>
              <c:idx val="13"/>
              <c:layout>
                <c:manualLayout>
                  <c:x val="-8.9108914364579191E-3"/>
                  <c:y val="-1.435406157779403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2-4C19-4286-BD5D-01214D3A299A}"/>
                </c:ext>
              </c:extLst>
            </c:dLbl>
            <c:dLbl>
              <c:idx val="14"/>
              <c:layout>
                <c:manualLayout>
                  <c:x val="-1.6042785477262012E-2"/>
                  <c:y val="-4.211581517552683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3-4C19-4286-BD5D-01214D3A299A}"/>
                </c:ext>
              </c:extLst>
            </c:dLbl>
            <c:dLbl>
              <c:idx val="15"/>
              <c:delete val="1"/>
              <c:extLst>
                <c:ext xmlns:c15="http://schemas.microsoft.com/office/drawing/2012/chart" uri="{CE6537A1-D6FC-4f65-9D91-7224C49458BB}"/>
                <c:ext xmlns:c16="http://schemas.microsoft.com/office/drawing/2014/chart" uri="{C3380CC4-5D6E-409C-BE32-E72D297353CC}">
                  <c16:uniqueId val="{00000034-4C19-4286-BD5D-01214D3A299A}"/>
                </c:ext>
              </c:extLst>
            </c:dLbl>
            <c:dLbl>
              <c:idx val="16"/>
              <c:delete val="1"/>
              <c:extLst>
                <c:ext xmlns:c15="http://schemas.microsoft.com/office/drawing/2012/chart" uri="{CE6537A1-D6FC-4f65-9D91-7224C49458BB}"/>
                <c:ext xmlns:c16="http://schemas.microsoft.com/office/drawing/2014/chart" uri="{C3380CC4-5D6E-409C-BE32-E72D297353CC}">
                  <c16:uniqueId val="{00000035-4C19-4286-BD5D-01214D3A299A}"/>
                </c:ext>
              </c:extLst>
            </c:dLbl>
            <c:dLbl>
              <c:idx val="17"/>
              <c:layout>
                <c:manualLayout>
                  <c:x val="-2.4170619721703136E-2"/>
                  <c:y val="4.211581517552678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6-4C19-4286-BD5D-01214D3A299A}"/>
                </c:ext>
              </c:extLst>
            </c:dLbl>
            <c:spPr>
              <a:noFill/>
              <a:ln>
                <a:noFill/>
              </a:ln>
              <a:effectLst/>
            </c:spPr>
            <c:txPr>
              <a:bodyPr rot="0" spcFirstLastPara="1" vertOverflow="ellipsis" vert="horz" wrap="square" anchor="ctr" anchorCtr="1"/>
              <a:lstStyle/>
              <a:p>
                <a:pPr>
                  <a:defRPr sz="700" b="0" i="0" u="none" strike="noStrike" kern="1200" baseline="0">
                    <a:solidFill>
                      <a:schemeClr val="tx2"/>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'Сценарио 1'!$C$33:$K$33</c:f>
              <c:numCache>
                <c:formatCode>General</c:formatCode>
                <c:ptCount val="9"/>
                <c:pt idx="0">
                  <c:v>2020</c:v>
                </c:pt>
                <c:pt idx="1">
                  <c:v>2021</c:v>
                </c:pt>
                <c:pt idx="2">
                  <c:v>2022</c:v>
                </c:pt>
                <c:pt idx="3">
                  <c:v>2023</c:v>
                </c:pt>
                <c:pt idx="4">
                  <c:v>2024</c:v>
                </c:pt>
                <c:pt idx="5">
                  <c:v>2025</c:v>
                </c:pt>
                <c:pt idx="6">
                  <c:v>2026</c:v>
                </c:pt>
                <c:pt idx="7">
                  <c:v>2027</c:v>
                </c:pt>
                <c:pt idx="8">
                  <c:v>2028</c:v>
                </c:pt>
              </c:numCache>
            </c:numRef>
          </c:cat>
          <c:val>
            <c:numRef>
              <c:f>'manje prilagodjavanje'!$C$39:$K$39</c:f>
              <c:numCache>
                <c:formatCode>#,##0.0</c:formatCode>
                <c:ptCount val="9"/>
                <c:pt idx="0">
                  <c:v>57.8</c:v>
                </c:pt>
                <c:pt idx="1">
                  <c:v>58.2</c:v>
                </c:pt>
                <c:pt idx="2">
                  <c:v>56.5</c:v>
                </c:pt>
                <c:pt idx="3">
                  <c:v>55.3</c:v>
                </c:pt>
                <c:pt idx="4">
                  <c:v>53.8</c:v>
                </c:pt>
                <c:pt idx="5">
                  <c:v>53.399058999253164</c:v>
                </c:pt>
                <c:pt idx="6">
                  <c:v>53.519737072631735</c:v>
                </c:pt>
                <c:pt idx="7">
                  <c:v>53.633908083353155</c:v>
                </c:pt>
                <c:pt idx="8">
                  <c:v>53.741922897678691</c:v>
                </c:pt>
              </c:numCache>
            </c:numRef>
          </c:val>
          <c:smooth val="1"/>
          <c:extLst>
            <c:ext xmlns:c16="http://schemas.microsoft.com/office/drawing/2014/chart" uri="{C3380CC4-5D6E-409C-BE32-E72D297353CC}">
              <c16:uniqueId val="{00000037-4C19-4286-BD5D-01214D3A299A}"/>
            </c:ext>
          </c:extLst>
        </c:ser>
        <c:ser>
          <c:idx val="0"/>
          <c:order val="3"/>
          <c:tx>
            <c:strRef>
              <c:f>'Сценарио 1'!$B$33</c:f>
              <c:strCache>
                <c:ptCount val="1"/>
                <c:pt idx="0">
                  <c:v>Основни сценарио</c:v>
                </c:pt>
              </c:strCache>
            </c:strRef>
          </c:tx>
          <c:spPr>
            <a:ln w="28575" cap="rnd">
              <a:solidFill>
                <a:schemeClr val="accent1"/>
              </a:solidFill>
              <a:round/>
            </a:ln>
            <a:effectLst/>
          </c:spPr>
          <c:marker>
            <c:symbol val="none"/>
          </c:marker>
          <c:dLbls>
            <c:dLbl>
              <c:idx val="0"/>
              <c:layout>
                <c:manualLayout>
                  <c:x val="-8.5200604655944895E-3"/>
                  <c:y val="1.50941458722027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8-4C19-4286-BD5D-01214D3A299A}"/>
                </c:ext>
              </c:extLst>
            </c:dLbl>
            <c:dLbl>
              <c:idx val="1"/>
              <c:layout>
                <c:manualLayout>
                  <c:x val="-9.4697620873745621E-3"/>
                  <c:y val="5.4286036203606003E-2"/>
                </c:manualLayout>
              </c:layout>
              <c:showLegendKey val="0"/>
              <c:showVal val="1"/>
              <c:showCatName val="0"/>
              <c:showSerName val="0"/>
              <c:showPercent val="0"/>
              <c:showBubbleSize val="0"/>
              <c:extLst>
                <c:ext xmlns:c15="http://schemas.microsoft.com/office/drawing/2012/chart" uri="{CE6537A1-D6FC-4f65-9D91-7224C49458BB}">
                  <c15:layout>
                    <c:manualLayout>
                      <c:w val="4.6700497568176826E-2"/>
                      <c:h val="4.2218444856093357E-2"/>
                    </c:manualLayout>
                  </c15:layout>
                </c:ext>
                <c:ext xmlns:c16="http://schemas.microsoft.com/office/drawing/2014/chart" uri="{C3380CC4-5D6E-409C-BE32-E72D297353CC}">
                  <c16:uniqueId val="{00000039-4C19-4286-BD5D-01214D3A299A}"/>
                </c:ext>
              </c:extLst>
            </c:dLbl>
            <c:dLbl>
              <c:idx val="2"/>
              <c:layout>
                <c:manualLayout>
                  <c:x val="-1.5837267033541045E-3"/>
                  <c:y val="4.799734324531491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A-4C19-4286-BD5D-01214D3A299A}"/>
                </c:ext>
              </c:extLst>
            </c:dLbl>
            <c:dLbl>
              <c:idx val="3"/>
              <c:layout>
                <c:manualLayout>
                  <c:x val="-1.1708710893877721E-2"/>
                  <c:y val="8.406653067064105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B-4C19-4286-BD5D-01214D3A299A}"/>
                </c:ext>
              </c:extLst>
            </c:dLbl>
            <c:dLbl>
              <c:idx val="4"/>
              <c:layout>
                <c:manualLayout>
                  <c:x val="-2.1608647542540962E-2"/>
                  <c:y val="6.016545025075253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C-4C19-4286-BD5D-01214D3A299A}"/>
                </c:ext>
              </c:extLst>
            </c:dLbl>
            <c:dLbl>
              <c:idx val="5"/>
              <c:delete val="1"/>
              <c:extLst>
                <c:ext xmlns:c15="http://schemas.microsoft.com/office/drawing/2012/chart" uri="{CE6537A1-D6FC-4f65-9D91-7224C49458BB}"/>
                <c:ext xmlns:c16="http://schemas.microsoft.com/office/drawing/2014/chart" uri="{C3380CC4-5D6E-409C-BE32-E72D297353CC}">
                  <c16:uniqueId val="{0000003D-4C19-4286-BD5D-01214D3A299A}"/>
                </c:ext>
              </c:extLst>
            </c:dLbl>
            <c:dLbl>
              <c:idx val="6"/>
              <c:delete val="1"/>
              <c:extLst>
                <c:ext xmlns:c15="http://schemas.microsoft.com/office/drawing/2012/chart" uri="{CE6537A1-D6FC-4f65-9D91-7224C49458BB}"/>
                <c:ext xmlns:c16="http://schemas.microsoft.com/office/drawing/2014/chart" uri="{C3380CC4-5D6E-409C-BE32-E72D297353CC}">
                  <c16:uniqueId val="{0000003E-4C19-4286-BD5D-01214D3A299A}"/>
                </c:ext>
              </c:extLst>
            </c:dLbl>
            <c:dLbl>
              <c:idx val="7"/>
              <c:delete val="1"/>
              <c:extLst>
                <c:ext xmlns:c15="http://schemas.microsoft.com/office/drawing/2012/chart" uri="{CE6537A1-D6FC-4f65-9D91-7224C49458BB}"/>
                <c:ext xmlns:c16="http://schemas.microsoft.com/office/drawing/2014/chart" uri="{C3380CC4-5D6E-409C-BE32-E72D297353CC}">
                  <c16:uniqueId val="{0000003F-4C19-4286-BD5D-01214D3A299A}"/>
                </c:ext>
              </c:extLst>
            </c:dLbl>
            <c:dLbl>
              <c:idx val="8"/>
              <c:layout>
                <c:manualLayout>
                  <c:x val="-1.2780090698391705E-2"/>
                  <c:y val="2.41506333955243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0-4C19-4286-BD5D-01214D3A299A}"/>
                </c:ext>
              </c:extLst>
            </c:dLbl>
            <c:dLbl>
              <c:idx val="10"/>
              <c:delete val="1"/>
              <c:extLst>
                <c:ext xmlns:c15="http://schemas.microsoft.com/office/drawing/2012/chart" uri="{CE6537A1-D6FC-4f65-9D91-7224C49458BB}"/>
                <c:ext xmlns:c16="http://schemas.microsoft.com/office/drawing/2014/chart" uri="{C3380CC4-5D6E-409C-BE32-E72D297353CC}">
                  <c16:uniqueId val="{00000041-4C19-4286-BD5D-01214D3A299A}"/>
                </c:ext>
              </c:extLst>
            </c:dLbl>
            <c:dLbl>
              <c:idx val="11"/>
              <c:delete val="1"/>
              <c:extLst>
                <c:ext xmlns:c15="http://schemas.microsoft.com/office/drawing/2012/chart" uri="{CE6537A1-D6FC-4f65-9D91-7224C49458BB}"/>
                <c:ext xmlns:c16="http://schemas.microsoft.com/office/drawing/2014/chart" uri="{C3380CC4-5D6E-409C-BE32-E72D297353CC}">
                  <c16:uniqueId val="{00000042-4C19-4286-BD5D-01214D3A299A}"/>
                </c:ext>
              </c:extLst>
            </c:dLbl>
            <c:dLbl>
              <c:idx val="12"/>
              <c:delete val="1"/>
              <c:extLst>
                <c:ext xmlns:c15="http://schemas.microsoft.com/office/drawing/2012/chart" uri="{CE6537A1-D6FC-4f65-9D91-7224C49458BB}"/>
                <c:ext xmlns:c16="http://schemas.microsoft.com/office/drawing/2014/chart" uri="{C3380CC4-5D6E-409C-BE32-E72D297353CC}">
                  <c16:uniqueId val="{00000043-4C19-4286-BD5D-01214D3A299A}"/>
                </c:ext>
              </c:extLst>
            </c:dLbl>
            <c:dLbl>
              <c:idx val="13"/>
              <c:layout>
                <c:manualLayout>
                  <c:x val="-1.1881188581944001E-2"/>
                  <c:y val="-2.296649852447028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4-4C19-4286-BD5D-01214D3A299A}"/>
                </c:ext>
              </c:extLst>
            </c:dLbl>
            <c:dLbl>
              <c:idx val="14"/>
              <c:layout>
                <c:manualLayout>
                  <c:x val="-2.2459899668166864E-2"/>
                  <c:y val="3.910754266298904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5-4C19-4286-BD5D-01214D3A299A}"/>
                </c:ext>
              </c:extLst>
            </c:dLbl>
            <c:dLbl>
              <c:idx val="15"/>
              <c:delete val="1"/>
              <c:extLst>
                <c:ext xmlns:c15="http://schemas.microsoft.com/office/drawing/2012/chart" uri="{CE6537A1-D6FC-4f65-9D91-7224C49458BB}"/>
                <c:ext xmlns:c16="http://schemas.microsoft.com/office/drawing/2014/chart" uri="{C3380CC4-5D6E-409C-BE32-E72D297353CC}">
                  <c16:uniqueId val="{00000046-4C19-4286-BD5D-01214D3A299A}"/>
                </c:ext>
              </c:extLst>
            </c:dLbl>
            <c:dLbl>
              <c:idx val="16"/>
              <c:delete val="1"/>
              <c:extLst>
                <c:ext xmlns:c15="http://schemas.microsoft.com/office/drawing/2012/chart" uri="{CE6537A1-D6FC-4f65-9D91-7224C49458BB}"/>
                <c:ext xmlns:c16="http://schemas.microsoft.com/office/drawing/2014/chart" uri="{C3380CC4-5D6E-409C-BE32-E72D297353CC}">
                  <c16:uniqueId val="{00000047-4C19-4286-BD5D-01214D3A299A}"/>
                </c:ext>
              </c:extLst>
            </c:dLbl>
            <c:dLbl>
              <c:idx val="17"/>
              <c:layout>
                <c:manualLayout>
                  <c:x val="-2.1327017401502765E-2"/>
                  <c:y val="-4.211581517552678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8-4C19-4286-BD5D-01214D3A299A}"/>
                </c:ext>
              </c:extLst>
            </c:dLbl>
            <c:numFmt formatCode="#,##0.0" sourceLinked="0"/>
            <c:spPr>
              <a:noFill/>
              <a:ln>
                <a:noFill/>
              </a:ln>
              <a:effectLst/>
            </c:spPr>
            <c:txPr>
              <a:bodyPr rot="0" spcFirstLastPara="1" vertOverflow="ellipsis" vert="horz" wrap="square" anchor="ctr" anchorCtr="1"/>
              <a:lstStyle/>
              <a:p>
                <a:pPr>
                  <a:defRPr sz="800" b="0" i="0" u="none" strike="noStrike" kern="1200" baseline="0">
                    <a:solidFill>
                      <a:schemeClr val="tx2"/>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'Сценарио 1'!$C$33:$K$33</c:f>
              <c:numCache>
                <c:formatCode>General</c:formatCode>
                <c:ptCount val="9"/>
                <c:pt idx="0">
                  <c:v>2020</c:v>
                </c:pt>
                <c:pt idx="1">
                  <c:v>2021</c:v>
                </c:pt>
                <c:pt idx="2">
                  <c:v>2022</c:v>
                </c:pt>
                <c:pt idx="3">
                  <c:v>2023</c:v>
                </c:pt>
                <c:pt idx="4">
                  <c:v>2024</c:v>
                </c:pt>
                <c:pt idx="5">
                  <c:v>2025</c:v>
                </c:pt>
                <c:pt idx="6">
                  <c:v>2026</c:v>
                </c:pt>
                <c:pt idx="7">
                  <c:v>2027</c:v>
                </c:pt>
                <c:pt idx="8">
                  <c:v>2028</c:v>
                </c:pt>
              </c:numCache>
            </c:numRef>
          </c:cat>
          <c:val>
            <c:numRef>
              <c:f>'Сценарио 1'!$C$39:$K$39</c:f>
              <c:numCache>
                <c:formatCode>#,##0.0</c:formatCode>
                <c:ptCount val="9"/>
                <c:pt idx="0">
                  <c:v>57.8</c:v>
                </c:pt>
                <c:pt idx="1">
                  <c:v>58.2</c:v>
                </c:pt>
                <c:pt idx="2">
                  <c:v>56.5</c:v>
                </c:pt>
                <c:pt idx="3">
                  <c:v>55.3</c:v>
                </c:pt>
                <c:pt idx="4">
                  <c:v>53.8</c:v>
                </c:pt>
                <c:pt idx="5">
                  <c:v>51.35084391336818</c:v>
                </c:pt>
                <c:pt idx="6">
                  <c:v>49.035943283613712</c:v>
                </c:pt>
                <c:pt idx="7">
                  <c:v>46.847938625647132</c:v>
                </c:pt>
                <c:pt idx="8">
                  <c:v>44.779873879476483</c:v>
                </c:pt>
              </c:numCache>
            </c:numRef>
          </c:val>
          <c:smooth val="1"/>
          <c:extLst>
            <c:ext xmlns:c16="http://schemas.microsoft.com/office/drawing/2014/chart" uri="{C3380CC4-5D6E-409C-BE32-E72D297353CC}">
              <c16:uniqueId val="{00000049-4C19-4286-BD5D-01214D3A299A}"/>
            </c:ext>
          </c:extLst>
        </c:ser>
        <c:dLbls>
          <c:showLegendKey val="0"/>
          <c:showVal val="0"/>
          <c:showCatName val="0"/>
          <c:showSerName val="0"/>
          <c:showPercent val="0"/>
          <c:showBubbleSize val="0"/>
        </c:dLbls>
        <c:smooth val="0"/>
        <c:axId val="248069424"/>
        <c:axId val="248068304"/>
      </c:lineChart>
      <c:catAx>
        <c:axId val="248069424"/>
        <c:scaling>
          <c:orientation val="minMax"/>
        </c:scaling>
        <c:delete val="0"/>
        <c:axPos val="b"/>
        <c:majorGridlines>
          <c:spPr>
            <a:ln w="9525" cap="flat" cmpd="sng" algn="ctr">
              <a:noFill/>
              <a:round/>
            </a:ln>
            <a:effectLst/>
          </c:spPr>
        </c:majorGridlines>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chemeClr val="tx2"/>
                </a:solidFill>
                <a:latin typeface="+mn-lt"/>
                <a:ea typeface="+mn-ea"/>
                <a:cs typeface="+mn-cs"/>
              </a:defRPr>
            </a:pPr>
            <a:endParaRPr lang="en-US"/>
          </a:p>
        </c:txPr>
        <c:crossAx val="248068304"/>
        <c:crosses val="autoZero"/>
        <c:auto val="1"/>
        <c:lblAlgn val="ctr"/>
        <c:lblOffset val="100"/>
        <c:noMultiLvlLbl val="0"/>
      </c:catAx>
      <c:valAx>
        <c:axId val="248068304"/>
        <c:scaling>
          <c:orientation val="minMax"/>
          <c:max val="65"/>
          <c:min val="30"/>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700" b="0" i="0" u="none" strike="noStrike" kern="1200" baseline="0">
                    <a:solidFill>
                      <a:schemeClr val="tx2"/>
                    </a:solidFill>
                    <a:latin typeface="+mn-lt"/>
                    <a:ea typeface="+mn-ea"/>
                    <a:cs typeface="+mn-cs"/>
                  </a:defRPr>
                </a:pPr>
                <a:r>
                  <a:rPr lang="sr-Cyrl-RS" sz="700">
                    <a:solidFill>
                      <a:schemeClr val="tx2"/>
                    </a:solidFill>
                    <a:latin typeface="+mn-lt"/>
                  </a:rPr>
                  <a:t>% </a:t>
                </a:r>
                <a:r>
                  <a:rPr lang="en-US" sz="700">
                    <a:solidFill>
                      <a:schemeClr val="tx2"/>
                    </a:solidFill>
                    <a:latin typeface="+mn-lt"/>
                  </a:rPr>
                  <a:t> </a:t>
                </a:r>
                <a:r>
                  <a:rPr lang="sr-Cyrl-RS" sz="700">
                    <a:solidFill>
                      <a:schemeClr val="tx2"/>
                    </a:solidFill>
                    <a:latin typeface="+mn-lt"/>
                  </a:rPr>
                  <a:t>БДП </a:t>
                </a:r>
                <a:endParaRPr lang="en-US" sz="700">
                  <a:solidFill>
                    <a:schemeClr val="tx2"/>
                  </a:solidFill>
                  <a:latin typeface="+mn-lt"/>
                </a:endParaRPr>
              </a:p>
            </c:rich>
          </c:tx>
          <c:layout>
            <c:manualLayout>
              <c:xMode val="edge"/>
              <c:yMode val="edge"/>
              <c:x val="7.0927748614756481E-2"/>
              <c:y val="0.2344091800811588"/>
            </c:manualLayout>
          </c:layout>
          <c:overlay val="0"/>
          <c:spPr>
            <a:noFill/>
            <a:ln>
              <a:noFill/>
            </a:ln>
            <a:effectLst/>
          </c:spPr>
          <c:txPr>
            <a:bodyPr rot="-5400000" spcFirstLastPara="1" vertOverflow="ellipsis" vert="horz" wrap="square" anchor="ctr" anchorCtr="1"/>
            <a:lstStyle/>
            <a:p>
              <a:pPr>
                <a:defRPr sz="700" b="0" i="0" u="none" strike="noStrike" kern="1200" baseline="0">
                  <a:solidFill>
                    <a:schemeClr val="tx2"/>
                  </a:solidFill>
                  <a:latin typeface="+mn-lt"/>
                  <a:ea typeface="+mn-ea"/>
                  <a:cs typeface="+mn-cs"/>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chemeClr val="tx2"/>
                </a:solidFill>
                <a:latin typeface="+mn-lt"/>
                <a:ea typeface="+mn-ea"/>
                <a:cs typeface="+mn-cs"/>
              </a:defRPr>
            </a:pPr>
            <a:endParaRPr lang="en-US"/>
          </a:p>
        </c:txPr>
        <c:crossAx val="248069424"/>
        <c:crosses val="autoZero"/>
        <c:crossBetween val="between"/>
        <c:majorUnit val="5"/>
      </c:valAx>
      <c:spPr>
        <a:noFill/>
        <a:ln>
          <a:noFill/>
        </a:ln>
        <a:effectLst/>
      </c:spPr>
    </c:plotArea>
    <c:legend>
      <c:legendPos val="b"/>
      <c:layout>
        <c:manualLayout>
          <c:xMode val="edge"/>
          <c:yMode val="edge"/>
          <c:x val="7.3545129775444751E-2"/>
          <c:y val="0.5527863344768511"/>
          <c:w val="0.89992266535667942"/>
          <c:h val="0.26429556945932314"/>
        </c:manualLayout>
      </c:layout>
      <c:overlay val="0"/>
      <c:spPr>
        <a:noFill/>
        <a:ln>
          <a:noFill/>
        </a:ln>
        <a:effectLst/>
      </c:spPr>
      <c:txPr>
        <a:bodyPr rot="0" spcFirstLastPara="1" vertOverflow="ellipsis" vert="horz" wrap="square" anchor="ctr" anchorCtr="1"/>
        <a:lstStyle/>
        <a:p>
          <a:pPr>
            <a:defRPr sz="700" b="0" i="0" u="none" strike="noStrike" kern="1200" baseline="0">
              <a:solidFill>
                <a:schemeClr val="tx2"/>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sz="800">
          <a:latin typeface="+mj-lt"/>
        </a:defRPr>
      </a:pPr>
      <a:endParaRPr lang="en-US"/>
    </a:p>
  </c:txPr>
  <c:externalData r:id="rId3">
    <c:autoUpdate val="0"/>
  </c:externalData>
  <c:userShapes r:id="rId4"/>
</c:chartSpace>
</file>

<file path=word/charts/chart6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5.8252053796081997E-2"/>
          <c:y val="0"/>
          <c:w val="0.90916365972175073"/>
          <c:h val="0.72302156709708654"/>
        </c:manualLayout>
      </c:layout>
      <c:barChart>
        <c:barDir val="col"/>
        <c:grouping val="stacked"/>
        <c:varyColors val="0"/>
        <c:ser>
          <c:idx val="0"/>
          <c:order val="0"/>
          <c:tx>
            <c:strRef>
              <c:f>ucesce!$A$5</c:f>
              <c:strCache>
                <c:ptCount val="1"/>
                <c:pt idx="0">
                  <c:v>Директне обавезе</c:v>
                </c:pt>
              </c:strCache>
            </c:strRef>
          </c:tx>
          <c:spPr>
            <a:solidFill>
              <a:srgbClr val="10103C"/>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750" b="1" i="0" u="none" strike="noStrike" kern="1200" baseline="0">
                    <a:solidFill>
                      <a:schemeClr val="lt1"/>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ucesce!$B$4:$E$4</c:f>
              <c:strCache>
                <c:ptCount val="4"/>
                <c:pt idx="0">
                  <c:v>2018</c:v>
                </c:pt>
                <c:pt idx="1">
                  <c:v>2019</c:v>
                </c:pt>
                <c:pt idx="2">
                  <c:v>2020</c:v>
                </c:pt>
                <c:pt idx="3">
                  <c:v>2021/VIII</c:v>
                </c:pt>
              </c:strCache>
            </c:strRef>
          </c:cat>
          <c:val>
            <c:numRef>
              <c:f>ucesce!$B$5:$E$5</c:f>
              <c:numCache>
                <c:formatCode>0.0%</c:formatCode>
                <c:ptCount val="4"/>
                <c:pt idx="0">
                  <c:v>0.500709569920195</c:v>
                </c:pt>
                <c:pt idx="1">
                  <c:v>0.48703631728674002</c:v>
                </c:pt>
                <c:pt idx="2">
                  <c:v>0.53950089745388596</c:v>
                </c:pt>
                <c:pt idx="3">
                  <c:v>0.51665004277968596</c:v>
                </c:pt>
              </c:numCache>
            </c:numRef>
          </c:val>
          <c:extLst>
            <c:ext xmlns:c16="http://schemas.microsoft.com/office/drawing/2014/chart" uri="{C3380CC4-5D6E-409C-BE32-E72D297353CC}">
              <c16:uniqueId val="{00000000-F18C-4C8B-A003-5788A9FA361B}"/>
            </c:ext>
          </c:extLst>
        </c:ser>
        <c:ser>
          <c:idx val="1"/>
          <c:order val="1"/>
          <c:tx>
            <c:strRef>
              <c:f>ucesce!$A$6</c:f>
              <c:strCache>
                <c:ptCount val="1"/>
                <c:pt idx="0">
                  <c:v>Индиректне обавезе</c:v>
                </c:pt>
              </c:strCache>
            </c:strRef>
          </c:tx>
          <c:spPr>
            <a:solidFill>
              <a:srgbClr val="2F3E9A"/>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lt1"/>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ucesce!$B$4:$E$4</c:f>
              <c:strCache>
                <c:ptCount val="4"/>
                <c:pt idx="0">
                  <c:v>2018</c:v>
                </c:pt>
                <c:pt idx="1">
                  <c:v>2019</c:v>
                </c:pt>
                <c:pt idx="2">
                  <c:v>2020</c:v>
                </c:pt>
                <c:pt idx="3">
                  <c:v>2021/VIII</c:v>
                </c:pt>
              </c:strCache>
            </c:strRef>
          </c:cat>
          <c:val>
            <c:numRef>
              <c:f>ucesce!$B$6:$E$6</c:f>
              <c:numCache>
                <c:formatCode>0.0%</c:formatCode>
                <c:ptCount val="4"/>
                <c:pt idx="0">
                  <c:v>3.5509255380483502E-2</c:v>
                </c:pt>
                <c:pt idx="1">
                  <c:v>3.2277635808694902E-2</c:v>
                </c:pt>
                <c:pt idx="2">
                  <c:v>3.0412233763241901E-2</c:v>
                </c:pt>
                <c:pt idx="3">
                  <c:v>2.6596677025242699E-2</c:v>
                </c:pt>
              </c:numCache>
            </c:numRef>
          </c:val>
          <c:extLst>
            <c:ext xmlns:c16="http://schemas.microsoft.com/office/drawing/2014/chart" uri="{C3380CC4-5D6E-409C-BE32-E72D297353CC}">
              <c16:uniqueId val="{00000001-F18C-4C8B-A003-5788A9FA361B}"/>
            </c:ext>
          </c:extLst>
        </c:ser>
        <c:ser>
          <c:idx val="2"/>
          <c:order val="2"/>
          <c:tx>
            <c:strRef>
              <c:f>ucesce!$A$7</c:f>
              <c:strCache>
                <c:ptCount val="1"/>
                <c:pt idx="0">
                  <c:v>Негарантовани дуг јединица локалне самоуправе, ЈП Путеви Србије и Коридори Србије д.о.о.</c:v>
                </c:pt>
              </c:strCache>
            </c:strRef>
          </c:tx>
          <c:spPr>
            <a:solidFill>
              <a:srgbClr val="51BBE7">
                <a:alpha val="50000"/>
              </a:srgbClr>
            </a:solidFill>
            <a:ln>
              <a:noFill/>
            </a:ln>
            <a:effectLst/>
          </c:spPr>
          <c:invertIfNegative val="0"/>
          <c:dLbls>
            <c:dLbl>
              <c:idx val="0"/>
              <c:layout>
                <c:manualLayout>
                  <c:x val="-2.8032302694319029E-17"/>
                  <c:y val="-2.8301893800300564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F18C-4C8B-A003-5788A9FA361B}"/>
                </c:ext>
              </c:extLst>
            </c:dLbl>
            <c:dLbl>
              <c:idx val="1"/>
              <c:layout>
                <c:manualLayout>
                  <c:x val="-3.0581047119132925E-3"/>
                  <c:y val="-3.7735858400400731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F18C-4C8B-A003-5788A9FA361B}"/>
                </c:ext>
              </c:extLst>
            </c:dLbl>
            <c:dLbl>
              <c:idx val="2"/>
              <c:layout>
                <c:manualLayout>
                  <c:x val="0"/>
                  <c:y val="-3.1446548667000612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F18C-4C8B-A003-5788A9FA361B}"/>
                </c:ext>
              </c:extLst>
            </c:dLbl>
            <c:dLbl>
              <c:idx val="3"/>
              <c:layout>
                <c:manualLayout>
                  <c:x val="0"/>
                  <c:y val="-2.8301893800300577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F18C-4C8B-A003-5788A9FA361B}"/>
                </c:ext>
              </c:extLst>
            </c:dLbl>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2"/>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ucesce!$B$4:$E$4</c:f>
              <c:strCache>
                <c:ptCount val="4"/>
                <c:pt idx="0">
                  <c:v>2018</c:v>
                </c:pt>
                <c:pt idx="1">
                  <c:v>2019</c:v>
                </c:pt>
                <c:pt idx="2">
                  <c:v>2020</c:v>
                </c:pt>
                <c:pt idx="3">
                  <c:v>2021/VIII</c:v>
                </c:pt>
              </c:strCache>
            </c:strRef>
          </c:cat>
          <c:val>
            <c:numRef>
              <c:f>ucesce!$B$7:$E$7</c:f>
              <c:numCache>
                <c:formatCode>0.0%</c:formatCode>
                <c:ptCount val="4"/>
                <c:pt idx="0">
                  <c:v>7.3120804873760903E-3</c:v>
                </c:pt>
                <c:pt idx="1">
                  <c:v>8.9106896628719096E-3</c:v>
                </c:pt>
                <c:pt idx="2">
                  <c:v>8.2586611523361702E-3</c:v>
                </c:pt>
                <c:pt idx="3">
                  <c:v>6.6967128822413699E-3</c:v>
                </c:pt>
              </c:numCache>
            </c:numRef>
          </c:val>
          <c:extLst>
            <c:ext xmlns:c16="http://schemas.microsoft.com/office/drawing/2014/chart" uri="{C3380CC4-5D6E-409C-BE32-E72D297353CC}">
              <c16:uniqueId val="{00000006-F18C-4C8B-A003-5788A9FA361B}"/>
            </c:ext>
          </c:extLst>
        </c:ser>
        <c:dLbls>
          <c:dLblPos val="ctr"/>
          <c:showLegendKey val="0"/>
          <c:showVal val="1"/>
          <c:showCatName val="0"/>
          <c:showSerName val="0"/>
          <c:showPercent val="0"/>
          <c:showBubbleSize val="0"/>
        </c:dLbls>
        <c:gapWidth val="79"/>
        <c:overlap val="100"/>
        <c:axId val="244077856"/>
        <c:axId val="244088736"/>
      </c:barChart>
      <c:catAx>
        <c:axId val="244077856"/>
        <c:scaling>
          <c:orientation val="minMax"/>
        </c:scaling>
        <c:delete val="0"/>
        <c:axPos val="b"/>
        <c:numFmt formatCode="General" sourceLinked="1"/>
        <c:majorTickMark val="none"/>
        <c:minorTickMark val="none"/>
        <c:tickLblPos val="nextTo"/>
        <c:spPr>
          <a:noFill/>
          <a:ln w="9525" cap="flat" cmpd="sng" algn="ctr">
            <a:noFill/>
            <a:round/>
          </a:ln>
          <a:effectLst/>
        </c:spPr>
        <c:txPr>
          <a:bodyPr rot="-60000000" spcFirstLastPara="1" vertOverflow="ellipsis" vert="horz" wrap="square" anchor="ctr" anchorCtr="1"/>
          <a:lstStyle/>
          <a:p>
            <a:pPr>
              <a:defRPr sz="750" b="0" i="0" u="none" strike="noStrike" kern="1200" cap="all" spc="120" normalizeH="0" baseline="0">
                <a:solidFill>
                  <a:srgbClr val="44546A"/>
                </a:solidFill>
                <a:latin typeface="+mn-lt"/>
                <a:ea typeface="+mn-ea"/>
                <a:cs typeface="+mn-cs"/>
              </a:defRPr>
            </a:pPr>
            <a:endParaRPr lang="en-US"/>
          </a:p>
        </c:txPr>
        <c:crossAx val="244088736"/>
        <c:crosses val="autoZero"/>
        <c:auto val="1"/>
        <c:lblAlgn val="ctr"/>
        <c:lblOffset val="100"/>
        <c:noMultiLvlLbl val="0"/>
      </c:catAx>
      <c:valAx>
        <c:axId val="244088736"/>
        <c:scaling>
          <c:orientation val="minMax"/>
          <c:max val="0.75000000000000011"/>
          <c:min val="0"/>
        </c:scaling>
        <c:delete val="1"/>
        <c:axPos val="l"/>
        <c:numFmt formatCode="0%" sourceLinked="0"/>
        <c:majorTickMark val="none"/>
        <c:minorTickMark val="none"/>
        <c:tickLblPos val="nextTo"/>
        <c:crossAx val="244077856"/>
        <c:crosses val="autoZero"/>
        <c:crossBetween val="between"/>
      </c:valAx>
      <c:spPr>
        <a:noFill/>
        <a:ln>
          <a:noFill/>
        </a:ln>
        <a:effectLst/>
      </c:spPr>
    </c:plotArea>
    <c:legend>
      <c:legendPos val="t"/>
      <c:layout>
        <c:manualLayout>
          <c:xMode val="edge"/>
          <c:yMode val="edge"/>
          <c:x val="0"/>
          <c:y val="0.79516925336101485"/>
          <c:w val="0.98266107645635203"/>
          <c:h val="0.20324201838114284"/>
        </c:manualLayout>
      </c:layout>
      <c:overlay val="0"/>
      <c:spPr>
        <a:noFill/>
        <a:ln>
          <a:noFill/>
        </a:ln>
        <a:effectLst/>
      </c:spPr>
      <c:txPr>
        <a:bodyPr rot="0" spcFirstLastPara="1" vertOverflow="ellipsis" vert="horz" wrap="square" anchor="ctr" anchorCtr="1"/>
        <a:lstStyle/>
        <a:p>
          <a:pPr>
            <a:defRPr sz="600" b="0" i="0" u="none" strike="noStrike" kern="1200" baseline="0">
              <a:solidFill>
                <a:schemeClr val="tx2"/>
              </a:solidFill>
              <a:latin typeface="+mn-lt"/>
              <a:ea typeface="+mn-ea"/>
              <a:cs typeface="+mn-cs"/>
            </a:defRPr>
          </a:pPr>
          <a:endParaRPr lang="en-US"/>
        </a:p>
      </c:txPr>
    </c:legend>
    <c:plotVisOnly val="1"/>
    <c:dispBlanksAs val="gap"/>
    <c:showDLblsOverMax val="0"/>
  </c:chart>
  <c:spPr>
    <a:solidFill>
      <a:schemeClr val="lt1"/>
    </a:solidFill>
    <a:ln w="9525" cap="flat" cmpd="sng" algn="ctr">
      <a:noFill/>
      <a:round/>
    </a:ln>
    <a:effectLst/>
  </c:spPr>
  <c:txPr>
    <a:bodyPr/>
    <a:lstStyle/>
    <a:p>
      <a:pPr>
        <a:defRPr/>
      </a:pPr>
      <a:endParaRPr lang="en-US"/>
    </a:p>
  </c:txPr>
  <c:externalData r:id="rId2">
    <c:autoUpdate val="0"/>
  </c:externalData>
</c:chartSpace>
</file>

<file path=word/charts/chart6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5.7289336635108885E-2"/>
          <c:y val="7.4689633864290325E-2"/>
          <c:w val="0.91606508156755739"/>
          <c:h val="0.79312142700502786"/>
        </c:manualLayout>
      </c:layout>
      <c:barChart>
        <c:barDir val="col"/>
        <c:grouping val="stacked"/>
        <c:varyColors val="0"/>
        <c:ser>
          <c:idx val="0"/>
          <c:order val="0"/>
          <c:tx>
            <c:strRef>
              <c:f>valutna!$A$5</c:f>
              <c:strCache>
                <c:ptCount val="1"/>
                <c:pt idx="0">
                  <c:v>EUR</c:v>
                </c:pt>
              </c:strCache>
            </c:strRef>
          </c:tx>
          <c:spPr>
            <a:solidFill>
              <a:srgbClr val="10103C"/>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750" b="1" i="0" u="none" strike="noStrike" kern="1200" baseline="0">
                    <a:solidFill>
                      <a:schemeClr val="lt1"/>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valutna!$B$4:$E$4</c:f>
              <c:strCache>
                <c:ptCount val="4"/>
                <c:pt idx="0">
                  <c:v>2018</c:v>
                </c:pt>
                <c:pt idx="1">
                  <c:v>2019</c:v>
                </c:pt>
                <c:pt idx="2">
                  <c:v>2020</c:v>
                </c:pt>
                <c:pt idx="3">
                  <c:v>2021/VIII</c:v>
                </c:pt>
              </c:strCache>
            </c:strRef>
          </c:cat>
          <c:val>
            <c:numRef>
              <c:f>valutna!$B$5:$E$5</c:f>
              <c:numCache>
                <c:formatCode>0.0%</c:formatCode>
                <c:ptCount val="4"/>
                <c:pt idx="0">
                  <c:v>0.40641595607242059</c:v>
                </c:pt>
                <c:pt idx="1">
                  <c:v>0.44833301051551283</c:v>
                </c:pt>
                <c:pt idx="2">
                  <c:v>0.5</c:v>
                </c:pt>
                <c:pt idx="3">
                  <c:v>0.51232140916352653</c:v>
                </c:pt>
              </c:numCache>
            </c:numRef>
          </c:val>
          <c:extLst>
            <c:ext xmlns:c16="http://schemas.microsoft.com/office/drawing/2014/chart" uri="{C3380CC4-5D6E-409C-BE32-E72D297353CC}">
              <c16:uniqueId val="{00000000-3037-49A6-9DA7-80A528B1245B}"/>
            </c:ext>
          </c:extLst>
        </c:ser>
        <c:ser>
          <c:idx val="1"/>
          <c:order val="1"/>
          <c:tx>
            <c:strRef>
              <c:f>valutna!$A$6</c:f>
              <c:strCache>
                <c:ptCount val="1"/>
                <c:pt idx="0">
                  <c:v>USD</c:v>
                </c:pt>
              </c:strCache>
            </c:strRef>
          </c:tx>
          <c:spPr>
            <a:solidFill>
              <a:srgbClr val="00206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750" b="1" i="0" u="none" strike="noStrike" kern="1200" baseline="0">
                    <a:solidFill>
                      <a:schemeClr val="lt1"/>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valutna!$B$4:$E$4</c:f>
              <c:strCache>
                <c:ptCount val="4"/>
                <c:pt idx="0">
                  <c:v>2018</c:v>
                </c:pt>
                <c:pt idx="1">
                  <c:v>2019</c:v>
                </c:pt>
                <c:pt idx="2">
                  <c:v>2020</c:v>
                </c:pt>
                <c:pt idx="3">
                  <c:v>2021/VIII</c:v>
                </c:pt>
              </c:strCache>
            </c:strRef>
          </c:cat>
          <c:val>
            <c:numRef>
              <c:f>valutna!$B$6:$E$6</c:f>
              <c:numCache>
                <c:formatCode>0.0%</c:formatCode>
                <c:ptCount val="4"/>
                <c:pt idx="0">
                  <c:v>0.26123751938392553</c:v>
                </c:pt>
                <c:pt idx="1">
                  <c:v>0.19781774415122602</c:v>
                </c:pt>
                <c:pt idx="2">
                  <c:v>0.13</c:v>
                </c:pt>
                <c:pt idx="3">
                  <c:v>0.12103480019505658</c:v>
                </c:pt>
              </c:numCache>
            </c:numRef>
          </c:val>
          <c:extLst>
            <c:ext xmlns:c16="http://schemas.microsoft.com/office/drawing/2014/chart" uri="{C3380CC4-5D6E-409C-BE32-E72D297353CC}">
              <c16:uniqueId val="{00000001-3037-49A6-9DA7-80A528B1245B}"/>
            </c:ext>
          </c:extLst>
        </c:ser>
        <c:ser>
          <c:idx val="2"/>
          <c:order val="2"/>
          <c:tx>
            <c:strRef>
              <c:f>valutna!$A$7</c:f>
              <c:strCache>
                <c:ptCount val="1"/>
                <c:pt idx="0">
                  <c:v>RSD</c:v>
                </c:pt>
              </c:strCache>
            </c:strRef>
          </c:tx>
          <c:spPr>
            <a:solidFill>
              <a:srgbClr val="2F3E9A"/>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750" b="1" i="0" u="none" strike="noStrike" kern="1200" baseline="0">
                    <a:solidFill>
                      <a:schemeClr val="lt1"/>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valutna!$B$4:$E$4</c:f>
              <c:strCache>
                <c:ptCount val="4"/>
                <c:pt idx="0">
                  <c:v>2018</c:v>
                </c:pt>
                <c:pt idx="1">
                  <c:v>2019</c:v>
                </c:pt>
                <c:pt idx="2">
                  <c:v>2020</c:v>
                </c:pt>
                <c:pt idx="3">
                  <c:v>2021/VIII</c:v>
                </c:pt>
              </c:strCache>
            </c:strRef>
          </c:cat>
          <c:val>
            <c:numRef>
              <c:f>valutna!$B$7:$E$7</c:f>
              <c:numCache>
                <c:formatCode>0.0%</c:formatCode>
                <c:ptCount val="4"/>
                <c:pt idx="0">
                  <c:v>0.25890412889768505</c:v>
                </c:pt>
                <c:pt idx="1">
                  <c:v>0.27573155342039779</c:v>
                </c:pt>
                <c:pt idx="2">
                  <c:v>0.30399999999999999</c:v>
                </c:pt>
                <c:pt idx="3">
                  <c:v>0.30671264239860324</c:v>
                </c:pt>
              </c:numCache>
            </c:numRef>
          </c:val>
          <c:extLst>
            <c:ext xmlns:c16="http://schemas.microsoft.com/office/drawing/2014/chart" uri="{C3380CC4-5D6E-409C-BE32-E72D297353CC}">
              <c16:uniqueId val="{00000002-3037-49A6-9DA7-80A528B1245B}"/>
            </c:ext>
          </c:extLst>
        </c:ser>
        <c:ser>
          <c:idx val="3"/>
          <c:order val="3"/>
          <c:tx>
            <c:strRef>
              <c:f>valutna!$A$8</c:f>
              <c:strCache>
                <c:ptCount val="1"/>
                <c:pt idx="0">
                  <c:v>SDR</c:v>
                </c:pt>
              </c:strCache>
            </c:strRef>
          </c:tx>
          <c:spPr>
            <a:solidFill>
              <a:srgbClr val="51BBE7"/>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750" b="1" i="0" u="none" strike="noStrike" kern="1200" baseline="0">
                    <a:solidFill>
                      <a:schemeClr val="lt1"/>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valutna!$B$4:$E$4</c:f>
              <c:strCache>
                <c:ptCount val="4"/>
                <c:pt idx="0">
                  <c:v>2018</c:v>
                </c:pt>
                <c:pt idx="1">
                  <c:v>2019</c:v>
                </c:pt>
                <c:pt idx="2">
                  <c:v>2020</c:v>
                </c:pt>
                <c:pt idx="3">
                  <c:v>2021/VIII</c:v>
                </c:pt>
              </c:strCache>
            </c:strRef>
          </c:cat>
          <c:val>
            <c:numRef>
              <c:f>valutna!$B$8:$E$8</c:f>
              <c:numCache>
                <c:formatCode>0.0%</c:formatCode>
                <c:ptCount val="4"/>
                <c:pt idx="0">
                  <c:v>3.2232383859172806E-2</c:v>
                </c:pt>
                <c:pt idx="1">
                  <c:v>2.8895120057216048E-2</c:v>
                </c:pt>
                <c:pt idx="2">
                  <c:v>2.3E-2</c:v>
                </c:pt>
                <c:pt idx="3">
                  <c:v>2.0192489845389287E-2</c:v>
                </c:pt>
              </c:numCache>
            </c:numRef>
          </c:val>
          <c:extLst>
            <c:ext xmlns:c16="http://schemas.microsoft.com/office/drawing/2014/chart" uri="{C3380CC4-5D6E-409C-BE32-E72D297353CC}">
              <c16:uniqueId val="{00000003-3037-49A6-9DA7-80A528B1245B}"/>
            </c:ext>
          </c:extLst>
        </c:ser>
        <c:ser>
          <c:idx val="4"/>
          <c:order val="4"/>
          <c:tx>
            <c:strRef>
              <c:f>valutna!$A$9</c:f>
              <c:strCache>
                <c:ptCount val="1"/>
                <c:pt idx="0">
                  <c:v>Остале валуте</c:v>
                </c:pt>
              </c:strCache>
            </c:strRef>
          </c:tx>
          <c:spPr>
            <a:solidFill>
              <a:srgbClr val="C9E4EB"/>
            </a:solidFill>
            <a:ln>
              <a:noFill/>
            </a:ln>
            <a:effectLst/>
          </c:spPr>
          <c:invertIfNegative val="0"/>
          <c:dLbls>
            <c:dLbl>
              <c:idx val="0"/>
              <c:spPr>
                <a:noFill/>
                <a:ln>
                  <a:noFill/>
                </a:ln>
                <a:effectLst/>
              </c:spPr>
              <c:txPr>
                <a:bodyPr rot="0" spcFirstLastPara="1" vertOverflow="ellipsis" horzOverflow="clip" vert="horz" wrap="square" lIns="38100" tIns="19050" rIns="38100" bIns="19050" anchor="ctr" anchorCtr="1">
                  <a:noAutofit/>
                </a:bodyPr>
                <a:lstStyle/>
                <a:p>
                  <a:pPr>
                    <a:defRPr sz="750" b="1" i="0" u="none" strike="noStrike" kern="1200" baseline="0">
                      <a:solidFill>
                        <a:schemeClr val="tx2"/>
                      </a:solidFill>
                      <a:latin typeface="+mn-lt"/>
                      <a:ea typeface="+mn-ea"/>
                      <a:cs typeface="+mn-cs"/>
                    </a:defRPr>
                  </a:pPr>
                  <a:endParaRPr lang="en-US"/>
                </a:p>
              </c:txPr>
              <c:dLblPos val="inBase"/>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4-3037-49A6-9DA7-80A528B1245B}"/>
                </c:ext>
              </c:extLst>
            </c:dLbl>
            <c:dLbl>
              <c:idx val="1"/>
              <c:layout>
                <c:manualLayout>
                  <c:x val="4.6296296296295869E-3"/>
                  <c:y val="-1.9099929581972985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3037-49A6-9DA7-80A528B1245B}"/>
                </c:ext>
              </c:extLst>
            </c:dLbl>
            <c:dLbl>
              <c:idx val="2"/>
              <c:layout>
                <c:manualLayout>
                  <c:x val="0"/>
                  <c:y val="-1.668215863260995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3037-49A6-9DA7-80A528B1245B}"/>
                </c:ext>
              </c:extLst>
            </c:dLbl>
            <c:dLbl>
              <c:idx val="3"/>
              <c:layout>
                <c:manualLayout>
                  <c:x val="0"/>
                  <c:y val="-2.2736060431470455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3037-49A6-9DA7-80A528B1245B}"/>
                </c:ext>
              </c:extLst>
            </c:dLbl>
            <c:spPr>
              <a:noFill/>
              <a:ln>
                <a:noFill/>
              </a:ln>
              <a:effectLst/>
            </c:spPr>
            <c:txPr>
              <a:bodyPr rot="0" spcFirstLastPara="1" vertOverflow="ellipsis" vert="horz" wrap="square" lIns="38100" tIns="19050" rIns="38100" bIns="19050" anchor="ctr" anchorCtr="1">
                <a:spAutoFit/>
              </a:bodyPr>
              <a:lstStyle/>
              <a:p>
                <a:pPr>
                  <a:defRPr sz="750" b="1" i="0" u="none" strike="noStrike" kern="1200" baseline="0">
                    <a:solidFill>
                      <a:schemeClr val="tx2"/>
                    </a:solidFill>
                    <a:latin typeface="+mn-lt"/>
                    <a:ea typeface="+mn-ea"/>
                    <a:cs typeface="+mn-cs"/>
                  </a:defRPr>
                </a:pPr>
                <a:endParaRPr lang="en-US"/>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valutna!$B$4:$E$4</c:f>
              <c:strCache>
                <c:ptCount val="4"/>
                <c:pt idx="0">
                  <c:v>2018</c:v>
                </c:pt>
                <c:pt idx="1">
                  <c:v>2019</c:v>
                </c:pt>
                <c:pt idx="2">
                  <c:v>2020</c:v>
                </c:pt>
                <c:pt idx="3">
                  <c:v>2021/VIII</c:v>
                </c:pt>
              </c:strCache>
            </c:strRef>
          </c:cat>
          <c:val>
            <c:numRef>
              <c:f>valutna!$B$9:$E$9</c:f>
              <c:numCache>
                <c:formatCode>0.0%</c:formatCode>
                <c:ptCount val="4"/>
                <c:pt idx="0">
                  <c:v>4.121001178679598E-2</c:v>
                </c:pt>
                <c:pt idx="1">
                  <c:v>4.9222571855647254E-2</c:v>
                </c:pt>
                <c:pt idx="2">
                  <c:v>4.2999999999999997E-2</c:v>
                </c:pt>
                <c:pt idx="3">
                  <c:v>3.9738658397424416E-2</c:v>
                </c:pt>
              </c:numCache>
            </c:numRef>
          </c:val>
          <c:extLst>
            <c:ext xmlns:c16="http://schemas.microsoft.com/office/drawing/2014/chart" uri="{C3380CC4-5D6E-409C-BE32-E72D297353CC}">
              <c16:uniqueId val="{00000008-3037-49A6-9DA7-80A528B1245B}"/>
            </c:ext>
          </c:extLst>
        </c:ser>
        <c:dLbls>
          <c:dLblPos val="ctr"/>
          <c:showLegendKey val="0"/>
          <c:showVal val="1"/>
          <c:showCatName val="0"/>
          <c:showSerName val="0"/>
          <c:showPercent val="0"/>
          <c:showBubbleSize val="0"/>
        </c:dLbls>
        <c:gapWidth val="79"/>
        <c:overlap val="100"/>
        <c:axId val="244059360"/>
        <c:axId val="244059904"/>
      </c:barChart>
      <c:catAx>
        <c:axId val="244059360"/>
        <c:scaling>
          <c:orientation val="minMax"/>
        </c:scaling>
        <c:delete val="0"/>
        <c:axPos val="b"/>
        <c:numFmt formatCode="General" sourceLinked="1"/>
        <c:majorTickMark val="none"/>
        <c:minorTickMark val="none"/>
        <c:tickLblPos val="nextTo"/>
        <c:spPr>
          <a:noFill/>
          <a:ln w="9525" cap="flat" cmpd="sng" algn="ctr">
            <a:noFill/>
            <a:round/>
          </a:ln>
          <a:effectLst/>
        </c:spPr>
        <c:txPr>
          <a:bodyPr rot="-60000000" spcFirstLastPara="1" vertOverflow="ellipsis" vert="horz" wrap="square" anchor="ctr" anchorCtr="1"/>
          <a:lstStyle/>
          <a:p>
            <a:pPr>
              <a:defRPr sz="750" b="0" i="0" u="none" strike="noStrike" kern="1200" cap="all" spc="120" normalizeH="0" baseline="0">
                <a:solidFill>
                  <a:schemeClr val="tx2"/>
                </a:solidFill>
                <a:latin typeface="+mn-lt"/>
                <a:ea typeface="+mn-ea"/>
                <a:cs typeface="+mn-cs"/>
              </a:defRPr>
            </a:pPr>
            <a:endParaRPr lang="en-US"/>
          </a:p>
        </c:txPr>
        <c:crossAx val="244059904"/>
        <c:crosses val="autoZero"/>
        <c:auto val="1"/>
        <c:lblAlgn val="ctr"/>
        <c:lblOffset val="100"/>
        <c:noMultiLvlLbl val="0"/>
      </c:catAx>
      <c:valAx>
        <c:axId val="244059904"/>
        <c:scaling>
          <c:orientation val="minMax"/>
          <c:max val="1"/>
          <c:min val="0"/>
        </c:scaling>
        <c:delete val="1"/>
        <c:axPos val="l"/>
        <c:numFmt formatCode="0%" sourceLinked="0"/>
        <c:majorTickMark val="none"/>
        <c:minorTickMark val="none"/>
        <c:tickLblPos val="nextTo"/>
        <c:crossAx val="244059360"/>
        <c:crosses val="autoZero"/>
        <c:crossBetween val="between"/>
      </c:valAx>
      <c:spPr>
        <a:noFill/>
        <a:ln>
          <a:noFill/>
        </a:ln>
        <a:effectLst/>
      </c:spPr>
    </c:plotArea>
    <c:legend>
      <c:legendPos val="t"/>
      <c:layout>
        <c:manualLayout>
          <c:xMode val="edge"/>
          <c:yMode val="edge"/>
          <c:x val="0.20461082645912174"/>
          <c:y val="0.95145864866243768"/>
          <c:w val="0.69327573636628759"/>
          <c:h val="4.4164415256261261E-2"/>
        </c:manualLayout>
      </c:layout>
      <c:overlay val="0"/>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legend>
    <c:plotVisOnly val="1"/>
    <c:dispBlanksAs val="gap"/>
    <c:showDLblsOverMax val="0"/>
  </c:chart>
  <c:spPr>
    <a:solidFill>
      <a:schemeClr val="lt1"/>
    </a:solidFill>
    <a:ln w="9525" cap="flat" cmpd="sng" algn="ctr">
      <a:noFill/>
      <a:round/>
    </a:ln>
    <a:effectLst/>
  </c:spPr>
  <c:txPr>
    <a:bodyPr/>
    <a:lstStyle/>
    <a:p>
      <a:pPr>
        <a:defRPr/>
      </a:pPr>
      <a:endParaRPr lang="en-US"/>
    </a:p>
  </c:txPr>
  <c:externalData r:id="rId2">
    <c:autoUpdate val="0"/>
  </c:externalData>
</c:chartSpace>
</file>

<file path=word/charts/chart6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5.4313099041539137E-2"/>
          <c:y val="0.11697286155107009"/>
          <c:w val="0.92201738463599303"/>
          <c:h val="0.69105764014135107"/>
        </c:manualLayout>
      </c:layout>
      <c:barChart>
        <c:barDir val="col"/>
        <c:grouping val="stacked"/>
        <c:varyColors val="0"/>
        <c:ser>
          <c:idx val="0"/>
          <c:order val="0"/>
          <c:tx>
            <c:strRef>
              <c:f>kamatna!$A$5</c:f>
              <c:strCache>
                <c:ptCount val="1"/>
                <c:pt idx="0">
                  <c:v>Фиксне каматне стопе</c:v>
                </c:pt>
              </c:strCache>
            </c:strRef>
          </c:tx>
          <c:spPr>
            <a:solidFill>
              <a:srgbClr val="00206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750" b="1" i="0" u="none" strike="noStrike" kern="1200" baseline="0">
                    <a:solidFill>
                      <a:schemeClr val="lt1"/>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kamatna!$B$4:$E$4</c:f>
              <c:strCache>
                <c:ptCount val="4"/>
                <c:pt idx="0">
                  <c:v>2018</c:v>
                </c:pt>
                <c:pt idx="1">
                  <c:v>2019</c:v>
                </c:pt>
                <c:pt idx="2">
                  <c:v>2020</c:v>
                </c:pt>
                <c:pt idx="3">
                  <c:v>2021/VIII</c:v>
                </c:pt>
              </c:strCache>
            </c:strRef>
          </c:cat>
          <c:val>
            <c:numRef>
              <c:f>kamatna!$B$5:$E$5</c:f>
              <c:numCache>
                <c:formatCode>0.0%</c:formatCode>
                <c:ptCount val="4"/>
                <c:pt idx="0">
                  <c:v>0.80328692085923303</c:v>
                </c:pt>
                <c:pt idx="1">
                  <c:v>0.83150687493433895</c:v>
                </c:pt>
                <c:pt idx="2">
                  <c:v>0.85479439479257957</c:v>
                </c:pt>
                <c:pt idx="3">
                  <c:v>0.86420209140140158</c:v>
                </c:pt>
              </c:numCache>
            </c:numRef>
          </c:val>
          <c:extLst>
            <c:ext xmlns:c16="http://schemas.microsoft.com/office/drawing/2014/chart" uri="{C3380CC4-5D6E-409C-BE32-E72D297353CC}">
              <c16:uniqueId val="{00000000-D966-4F78-8402-C0FCD04799F7}"/>
            </c:ext>
          </c:extLst>
        </c:ser>
        <c:ser>
          <c:idx val="1"/>
          <c:order val="1"/>
          <c:tx>
            <c:strRef>
              <c:f>kamatna!$A$6</c:f>
              <c:strCache>
                <c:ptCount val="1"/>
                <c:pt idx="0">
                  <c:v>Варијабилне каматне стопе</c:v>
                </c:pt>
              </c:strCache>
            </c:strRef>
          </c:tx>
          <c:spPr>
            <a:solidFill>
              <a:srgbClr val="2F3E9A"/>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750" b="1" i="0" u="none" strike="noStrike" kern="1200" baseline="0">
                    <a:solidFill>
                      <a:schemeClr val="lt1"/>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kamatna!$B$4:$E$4</c:f>
              <c:strCache>
                <c:ptCount val="4"/>
                <c:pt idx="0">
                  <c:v>2018</c:v>
                </c:pt>
                <c:pt idx="1">
                  <c:v>2019</c:v>
                </c:pt>
                <c:pt idx="2">
                  <c:v>2020</c:v>
                </c:pt>
                <c:pt idx="3">
                  <c:v>2021/VIII</c:v>
                </c:pt>
              </c:strCache>
            </c:strRef>
          </c:cat>
          <c:val>
            <c:numRef>
              <c:f>kamatna!$B$6:$E$6</c:f>
              <c:numCache>
                <c:formatCode>0.0%</c:formatCode>
                <c:ptCount val="4"/>
                <c:pt idx="0">
                  <c:v>0.19671307914076705</c:v>
                </c:pt>
                <c:pt idx="1">
                  <c:v>0.16849312506566114</c:v>
                </c:pt>
                <c:pt idx="2">
                  <c:v>0.14520560520742037</c:v>
                </c:pt>
                <c:pt idx="3">
                  <c:v>0.13579790859859836</c:v>
                </c:pt>
              </c:numCache>
            </c:numRef>
          </c:val>
          <c:extLst>
            <c:ext xmlns:c16="http://schemas.microsoft.com/office/drawing/2014/chart" uri="{C3380CC4-5D6E-409C-BE32-E72D297353CC}">
              <c16:uniqueId val="{00000001-D966-4F78-8402-C0FCD04799F7}"/>
            </c:ext>
          </c:extLst>
        </c:ser>
        <c:dLbls>
          <c:dLblPos val="ctr"/>
          <c:showLegendKey val="0"/>
          <c:showVal val="1"/>
          <c:showCatName val="0"/>
          <c:showSerName val="0"/>
          <c:showPercent val="0"/>
          <c:showBubbleSize val="0"/>
        </c:dLbls>
        <c:gapWidth val="79"/>
        <c:overlap val="100"/>
        <c:axId val="244061536"/>
        <c:axId val="244062080"/>
      </c:barChart>
      <c:catAx>
        <c:axId val="244061536"/>
        <c:scaling>
          <c:orientation val="minMax"/>
        </c:scaling>
        <c:delete val="0"/>
        <c:axPos val="b"/>
        <c:numFmt formatCode="General" sourceLinked="1"/>
        <c:majorTickMark val="none"/>
        <c:minorTickMark val="none"/>
        <c:tickLblPos val="nextTo"/>
        <c:spPr>
          <a:noFill/>
          <a:ln w="9525" cap="flat" cmpd="sng" algn="ctr">
            <a:noFill/>
            <a:round/>
          </a:ln>
          <a:effectLst/>
        </c:spPr>
        <c:txPr>
          <a:bodyPr rot="-60000000" spcFirstLastPara="1" vertOverflow="ellipsis" vert="horz" wrap="square" anchor="ctr" anchorCtr="1"/>
          <a:lstStyle/>
          <a:p>
            <a:pPr>
              <a:defRPr sz="800" b="0" i="0" u="none" strike="noStrike" kern="1200" cap="all" spc="120" normalizeH="0" baseline="0">
                <a:solidFill>
                  <a:schemeClr val="tx2"/>
                </a:solidFill>
                <a:latin typeface="+mn-lt"/>
                <a:ea typeface="+mn-ea"/>
                <a:cs typeface="+mn-cs"/>
              </a:defRPr>
            </a:pPr>
            <a:endParaRPr lang="en-US"/>
          </a:p>
        </c:txPr>
        <c:crossAx val="244062080"/>
        <c:crosses val="autoZero"/>
        <c:auto val="1"/>
        <c:lblAlgn val="ctr"/>
        <c:lblOffset val="100"/>
        <c:noMultiLvlLbl val="0"/>
      </c:catAx>
      <c:valAx>
        <c:axId val="244062080"/>
        <c:scaling>
          <c:orientation val="minMax"/>
          <c:max val="1"/>
          <c:min val="0"/>
        </c:scaling>
        <c:delete val="1"/>
        <c:axPos val="l"/>
        <c:numFmt formatCode="0%" sourceLinked="0"/>
        <c:majorTickMark val="none"/>
        <c:minorTickMark val="none"/>
        <c:tickLblPos val="nextTo"/>
        <c:crossAx val="244061536"/>
        <c:crosses val="autoZero"/>
        <c:crossBetween val="between"/>
      </c:valAx>
      <c:spPr>
        <a:noFill/>
        <a:ln w="25400">
          <a:noFill/>
        </a:ln>
        <a:effectLst/>
      </c:spPr>
    </c:plotArea>
    <c:legend>
      <c:legendPos val="t"/>
      <c:layout>
        <c:manualLayout>
          <c:xMode val="edge"/>
          <c:yMode val="edge"/>
          <c:x val="7.915879265091863E-2"/>
          <c:y val="0.93890499194846999"/>
          <c:w val="0.8083490813648293"/>
          <c:h val="6.0789430306718906E-2"/>
        </c:manualLayout>
      </c:layout>
      <c:overlay val="0"/>
      <c:spPr>
        <a:noFill/>
        <a:ln>
          <a:noFill/>
        </a:ln>
        <a:effectLst/>
      </c:spPr>
      <c:txPr>
        <a:bodyPr rot="0" spcFirstLastPara="1" vertOverflow="ellipsis" vert="horz" wrap="square" anchor="ctr" anchorCtr="1"/>
        <a:lstStyle/>
        <a:p>
          <a:pPr>
            <a:defRPr sz="600" b="0" i="0" u="none" strike="noStrike" kern="1200" baseline="0">
              <a:solidFill>
                <a:schemeClr val="tx2"/>
              </a:solidFill>
              <a:latin typeface="+mn-lt"/>
              <a:ea typeface="+mn-ea"/>
              <a:cs typeface="+mn-cs"/>
            </a:defRPr>
          </a:pPr>
          <a:endParaRPr lang="en-US"/>
        </a:p>
      </c:txPr>
    </c:legend>
    <c:plotVisOnly val="1"/>
    <c:dispBlanksAs val="gap"/>
    <c:showDLblsOverMax val="0"/>
  </c:chart>
  <c:spPr>
    <a:solidFill>
      <a:schemeClr val="lt1"/>
    </a:solidFill>
    <a:ln w="9525" cap="flat" cmpd="sng" algn="ctr">
      <a:noFill/>
      <a:round/>
    </a:ln>
    <a:effectLst/>
  </c:spPr>
  <c:txPr>
    <a:bodyPr/>
    <a:lstStyle/>
    <a:p>
      <a:pPr>
        <a:defRPr/>
      </a:pPr>
      <a:endParaRPr lang="en-US"/>
    </a:p>
  </c:txPr>
  <c:externalData r:id="rId2">
    <c:autoUpdate val="0"/>
  </c:externalData>
</c:chartSpace>
</file>

<file path=word/charts/chart6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7452814666823364E-2"/>
          <c:y val="7.0889635299084111E-2"/>
          <c:w val="0.86607090531594"/>
          <c:h val="0.72164344841510186"/>
        </c:manualLayout>
      </c:layout>
      <c:lineChart>
        <c:grouping val="standard"/>
        <c:varyColors val="0"/>
        <c:ser>
          <c:idx val="3"/>
          <c:order val="3"/>
          <c:tx>
            <c:strRef>
              <c:f>'PP izvrsne stope RSD'!$G$3</c:f>
              <c:strCache>
                <c:ptCount val="1"/>
                <c:pt idx="0">
                  <c:v>2014</c:v>
                </c:pt>
              </c:strCache>
            </c:strRef>
          </c:tx>
          <c:marker>
            <c:symbol val="square"/>
            <c:size val="3"/>
          </c:marker>
          <c:dLbls>
            <c:dLbl>
              <c:idx val="0"/>
              <c:layout>
                <c:manualLayout>
                  <c:x val="-1.6537467700258397E-2"/>
                  <c:y val="2.371876007180188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98B5-4BAA-B97D-B570DE34867C}"/>
                </c:ext>
              </c:extLst>
            </c:dLbl>
            <c:dLbl>
              <c:idx val="2"/>
              <c:layout>
                <c:manualLayout>
                  <c:x val="-8.2687338501291983E-3"/>
                  <c:y val="1.016518288791511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8B5-4BAA-B97D-B570DE34867C}"/>
                </c:ext>
              </c:extLst>
            </c:dLbl>
            <c:dLbl>
              <c:idx val="3"/>
              <c:layout>
                <c:manualLayout>
                  <c:x val="-1.8604651162790697E-2"/>
                  <c:y val="1.355357718388688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98B5-4BAA-B97D-B570DE34867C}"/>
                </c:ext>
              </c:extLst>
            </c:dLbl>
            <c:dLbl>
              <c:idx val="4"/>
              <c:layout>
                <c:manualLayout>
                  <c:x val="2.6736020027185999E-2"/>
                  <c:y val="-5.2401771927106065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98B5-4BAA-B97D-B570DE34867C}"/>
                </c:ext>
              </c:extLst>
            </c:dLbl>
            <c:dLbl>
              <c:idx val="5"/>
              <c:delete val="1"/>
              <c:extLst>
                <c:ext xmlns:c15="http://schemas.microsoft.com/office/drawing/2012/chart" uri="{CE6537A1-D6FC-4f65-9D91-7224C49458BB}"/>
                <c:ext xmlns:c16="http://schemas.microsoft.com/office/drawing/2014/chart" uri="{C3380CC4-5D6E-409C-BE32-E72D297353CC}">
                  <c16:uniqueId val="{00000004-98B5-4BAA-B97D-B570DE34867C}"/>
                </c:ext>
              </c:extLst>
            </c:dLbl>
            <c:dLbl>
              <c:idx val="6"/>
              <c:layout>
                <c:manualLayout>
                  <c:x val="0"/>
                  <c:y val="-1.355357718388688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98B5-4BAA-B97D-B570DE34867C}"/>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'PP izvrsne stope RSD'!$C$4:$C$12</c:f>
              <c:strCache>
                <c:ptCount val="9"/>
                <c:pt idx="0">
                  <c:v>3M</c:v>
                </c:pt>
                <c:pt idx="1">
                  <c:v>6M</c:v>
                </c:pt>
                <c:pt idx="2">
                  <c:v>53Н</c:v>
                </c:pt>
                <c:pt idx="3">
                  <c:v>2Г</c:v>
                </c:pt>
                <c:pt idx="4">
                  <c:v>3Г</c:v>
                </c:pt>
                <c:pt idx="5">
                  <c:v>5Г</c:v>
                </c:pt>
                <c:pt idx="6">
                  <c:v>7Г</c:v>
                </c:pt>
                <c:pt idx="7">
                  <c:v>10Г</c:v>
                </c:pt>
                <c:pt idx="8">
                  <c:v>12Г</c:v>
                </c:pt>
              </c:strCache>
            </c:strRef>
          </c:cat>
          <c:val>
            <c:numRef>
              <c:f>'PP izvrsne stope RSD'!$G$4:$G$12</c:f>
              <c:numCache>
                <c:formatCode>0.00%</c:formatCode>
                <c:ptCount val="9"/>
                <c:pt idx="0">
                  <c:v>7.3468533707053724E-2</c:v>
                </c:pt>
                <c:pt idx="1">
                  <c:v>7.5380391763085336E-2</c:v>
                </c:pt>
                <c:pt idx="2">
                  <c:v>8.4879368443006004E-2</c:v>
                </c:pt>
                <c:pt idx="3">
                  <c:v>9.2075564136107582E-2</c:v>
                </c:pt>
                <c:pt idx="4">
                  <c:v>0.10155991831303504</c:v>
                </c:pt>
                <c:pt idx="5">
                  <c:v>0.10931231263607823</c:v>
                </c:pt>
                <c:pt idx="6">
                  <c:v>0.11987205744538962</c:v>
                </c:pt>
                <c:pt idx="7">
                  <c:v>0.12989999999999999</c:v>
                </c:pt>
              </c:numCache>
            </c:numRef>
          </c:val>
          <c:smooth val="0"/>
          <c:extLst>
            <c:ext xmlns:c16="http://schemas.microsoft.com/office/drawing/2014/chart" uri="{C3380CC4-5D6E-409C-BE32-E72D297353CC}">
              <c16:uniqueId val="{00000006-98B5-4BAA-B97D-B570DE34867C}"/>
            </c:ext>
          </c:extLst>
        </c:ser>
        <c:ser>
          <c:idx val="4"/>
          <c:order val="4"/>
          <c:tx>
            <c:strRef>
              <c:f>'PP izvrsne stope RSD'!$H$3</c:f>
              <c:strCache>
                <c:ptCount val="1"/>
                <c:pt idx="0">
                  <c:v>2015</c:v>
                </c:pt>
              </c:strCache>
            </c:strRef>
          </c:tx>
          <c:marker>
            <c:symbol val="square"/>
            <c:size val="3"/>
          </c:marker>
          <c:dLbls>
            <c:dLbl>
              <c:idx val="0"/>
              <c:layout>
                <c:manualLayout>
                  <c:x val="-3.7209302325581395E-2"/>
                  <c:y val="2.710715436777352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98B5-4BAA-B97D-B570DE34867C}"/>
                </c:ext>
              </c:extLst>
            </c:dLbl>
            <c:dLbl>
              <c:idx val="4"/>
              <c:layout>
                <c:manualLayout>
                  <c:x val="-1.8604651162790774E-2"/>
                  <c:y val="-2.033036577583023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98B5-4BAA-B97D-B570DE34867C}"/>
                </c:ext>
              </c:extLst>
            </c:dLbl>
            <c:dLbl>
              <c:idx val="5"/>
              <c:layout>
                <c:manualLayout>
                  <c:x val="-2.2739018087855296E-2"/>
                  <c:y val="-2.71071543677736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98B5-4BAA-B97D-B570DE34867C}"/>
                </c:ext>
              </c:extLst>
            </c:dLbl>
            <c:dLbl>
              <c:idx val="6"/>
              <c:delete val="1"/>
              <c:extLst>
                <c:ext xmlns:c15="http://schemas.microsoft.com/office/drawing/2012/chart" uri="{CE6537A1-D6FC-4f65-9D91-7224C49458BB}"/>
                <c:ext xmlns:c16="http://schemas.microsoft.com/office/drawing/2014/chart" uri="{C3380CC4-5D6E-409C-BE32-E72D297353CC}">
                  <c16:uniqueId val="{0000000A-98B5-4BAA-B97D-B570DE34867C}"/>
                </c:ext>
              </c:extLst>
            </c:dLbl>
            <c:dLbl>
              <c:idx val="7"/>
              <c:layout>
                <c:manualLayout>
                  <c:x val="-1.5159170271874968E-16"/>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98B5-4BAA-B97D-B570DE34867C}"/>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'PP izvrsne stope RSD'!$C$4:$C$12</c:f>
              <c:strCache>
                <c:ptCount val="9"/>
                <c:pt idx="0">
                  <c:v>3M</c:v>
                </c:pt>
                <c:pt idx="1">
                  <c:v>6M</c:v>
                </c:pt>
                <c:pt idx="2">
                  <c:v>53Н</c:v>
                </c:pt>
                <c:pt idx="3">
                  <c:v>2Г</c:v>
                </c:pt>
                <c:pt idx="4">
                  <c:v>3Г</c:v>
                </c:pt>
                <c:pt idx="5">
                  <c:v>5Г</c:v>
                </c:pt>
                <c:pt idx="6">
                  <c:v>7Г</c:v>
                </c:pt>
                <c:pt idx="7">
                  <c:v>10Г</c:v>
                </c:pt>
                <c:pt idx="8">
                  <c:v>12Г</c:v>
                </c:pt>
              </c:strCache>
            </c:strRef>
          </c:cat>
          <c:val>
            <c:numRef>
              <c:f>'PP izvrsne stope RSD'!$H$4:$H$12</c:f>
              <c:numCache>
                <c:formatCode>0.00%</c:formatCode>
                <c:ptCount val="9"/>
                <c:pt idx="0">
                  <c:v>4.9599999999999998E-2</c:v>
                </c:pt>
                <c:pt idx="1">
                  <c:v>4.4200000000000003E-2</c:v>
                </c:pt>
                <c:pt idx="2">
                  <c:v>5.9400000000000001E-2</c:v>
                </c:pt>
                <c:pt idx="3">
                  <c:v>7.0599999999999996E-2</c:v>
                </c:pt>
                <c:pt idx="4">
                  <c:v>8.6199999999999999E-2</c:v>
                </c:pt>
                <c:pt idx="5">
                  <c:v>6.5000000000000002E-2</c:v>
                </c:pt>
                <c:pt idx="6">
                  <c:v>0.11990000000000001</c:v>
                </c:pt>
              </c:numCache>
            </c:numRef>
          </c:val>
          <c:smooth val="0"/>
          <c:extLst>
            <c:ext xmlns:c16="http://schemas.microsoft.com/office/drawing/2014/chart" uri="{C3380CC4-5D6E-409C-BE32-E72D297353CC}">
              <c16:uniqueId val="{0000000C-98B5-4BAA-B97D-B570DE34867C}"/>
            </c:ext>
          </c:extLst>
        </c:ser>
        <c:ser>
          <c:idx val="5"/>
          <c:order val="5"/>
          <c:tx>
            <c:strRef>
              <c:f>'PP izvrsne stope RSD'!$I$3</c:f>
              <c:strCache>
                <c:ptCount val="1"/>
                <c:pt idx="0">
                  <c:v>2016</c:v>
                </c:pt>
              </c:strCache>
            </c:strRef>
          </c:tx>
          <c:marker>
            <c:symbol val="square"/>
            <c:size val="3"/>
          </c:marker>
          <c:dLbls>
            <c:dLbl>
              <c:idx val="0"/>
              <c:layout>
                <c:manualLayout>
                  <c:x val="-2.0671834625323016E-2"/>
                  <c:y val="2.710715436777352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98B5-4BAA-B97D-B570DE34867C}"/>
                </c:ext>
              </c:extLst>
            </c:dLbl>
            <c:dLbl>
              <c:idx val="1"/>
              <c:layout>
                <c:manualLayout>
                  <c:x val="-5.374677002583983E-2"/>
                  <c:y val="-2.71071543677736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98B5-4BAA-B97D-B570DE34867C}"/>
                </c:ext>
              </c:extLst>
            </c:dLbl>
            <c:dLbl>
              <c:idx val="2"/>
              <c:layout>
                <c:manualLayout>
                  <c:x val="-2.8940568475452271E-2"/>
                  <c:y val="-3.388394295971706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98B5-4BAA-B97D-B570DE34867C}"/>
                </c:ext>
              </c:extLst>
            </c:dLbl>
            <c:dLbl>
              <c:idx val="3"/>
              <c:layout>
                <c:manualLayout>
                  <c:x val="-2.8940568475452195E-2"/>
                  <c:y val="-4.066073155166047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98B5-4BAA-B97D-B570DE34867C}"/>
                </c:ext>
              </c:extLst>
            </c:dLbl>
            <c:dLbl>
              <c:idx val="4"/>
              <c:layout>
                <c:manualLayout>
                  <c:x val="-2.4806201550387597E-2"/>
                  <c:y val="3.388394295971706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98B5-4BAA-B97D-B570DE34867C}"/>
                </c:ext>
              </c:extLst>
            </c:dLbl>
            <c:dLbl>
              <c:idx val="5"/>
              <c:layout>
                <c:manualLayout>
                  <c:x val="-3.1007751937984572E-2"/>
                  <c:y val="3.388394295971706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98B5-4BAA-B97D-B570DE34867C}"/>
                </c:ext>
              </c:extLst>
            </c:dLbl>
            <c:dLbl>
              <c:idx val="6"/>
              <c:layout>
                <c:manualLayout>
                  <c:x val="-3.3074935400516793E-2"/>
                  <c:y val="3.72723372556886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98B5-4BAA-B97D-B570DE34867C}"/>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'PP izvrsne stope RSD'!$C$4:$C$12</c:f>
              <c:strCache>
                <c:ptCount val="9"/>
                <c:pt idx="0">
                  <c:v>3M</c:v>
                </c:pt>
                <c:pt idx="1">
                  <c:v>6M</c:v>
                </c:pt>
                <c:pt idx="2">
                  <c:v>53Н</c:v>
                </c:pt>
                <c:pt idx="3">
                  <c:v>2Г</c:v>
                </c:pt>
                <c:pt idx="4">
                  <c:v>3Г</c:v>
                </c:pt>
                <c:pt idx="5">
                  <c:v>5Г</c:v>
                </c:pt>
                <c:pt idx="6">
                  <c:v>7Г</c:v>
                </c:pt>
                <c:pt idx="7">
                  <c:v>10Г</c:v>
                </c:pt>
                <c:pt idx="8">
                  <c:v>12Г</c:v>
                </c:pt>
              </c:strCache>
            </c:strRef>
          </c:cat>
          <c:val>
            <c:numRef>
              <c:f>'PP izvrsne stope RSD'!$I$4:$I$12</c:f>
              <c:numCache>
                <c:formatCode>0.00%</c:formatCode>
                <c:ptCount val="9"/>
                <c:pt idx="0">
                  <c:v>2.7828542094455851E-2</c:v>
                </c:pt>
                <c:pt idx="1">
                  <c:v>3.134348238444587E-2</c:v>
                </c:pt>
                <c:pt idx="2">
                  <c:v>3.9337242154189392E-2</c:v>
                </c:pt>
                <c:pt idx="3">
                  <c:v>4.7811460067649983E-2</c:v>
                </c:pt>
                <c:pt idx="4">
                  <c:v>5.3818376487193224E-2</c:v>
                </c:pt>
                <c:pt idx="5">
                  <c:v>5.6809188243596612E-2</c:v>
                </c:pt>
                <c:pt idx="6">
                  <c:v>5.8299999999999998E-2</c:v>
                </c:pt>
              </c:numCache>
            </c:numRef>
          </c:val>
          <c:smooth val="0"/>
          <c:extLst>
            <c:ext xmlns:c16="http://schemas.microsoft.com/office/drawing/2014/chart" uri="{C3380CC4-5D6E-409C-BE32-E72D297353CC}">
              <c16:uniqueId val="{00000014-98B5-4BAA-B97D-B570DE34867C}"/>
            </c:ext>
          </c:extLst>
        </c:ser>
        <c:ser>
          <c:idx val="6"/>
          <c:order val="6"/>
          <c:tx>
            <c:strRef>
              <c:f>'PP izvrsne stope RSD'!$J$3</c:f>
              <c:strCache>
                <c:ptCount val="1"/>
                <c:pt idx="0">
                  <c:v>2017</c:v>
                </c:pt>
              </c:strCache>
            </c:strRef>
          </c:tx>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'PP izvrsne stope RSD'!$C$4:$C$12</c:f>
              <c:strCache>
                <c:ptCount val="9"/>
                <c:pt idx="0">
                  <c:v>3M</c:v>
                </c:pt>
                <c:pt idx="1">
                  <c:v>6M</c:v>
                </c:pt>
                <c:pt idx="2">
                  <c:v>53Н</c:v>
                </c:pt>
                <c:pt idx="3">
                  <c:v>2Г</c:v>
                </c:pt>
                <c:pt idx="4">
                  <c:v>3Г</c:v>
                </c:pt>
                <c:pt idx="5">
                  <c:v>5Г</c:v>
                </c:pt>
                <c:pt idx="6">
                  <c:v>7Г</c:v>
                </c:pt>
                <c:pt idx="7">
                  <c:v>10Г</c:v>
                </c:pt>
                <c:pt idx="8">
                  <c:v>12Г</c:v>
                </c:pt>
              </c:strCache>
            </c:strRef>
          </c:cat>
          <c:val>
            <c:numRef>
              <c:f>'PP izvrsne stope RSD'!$J$4:$J$12</c:f>
              <c:numCache>
                <c:formatCode>0.00%</c:formatCode>
                <c:ptCount val="9"/>
                <c:pt idx="1">
                  <c:v>2.64E-2</c:v>
                </c:pt>
                <c:pt idx="2">
                  <c:v>3.4799999999999998E-2</c:v>
                </c:pt>
                <c:pt idx="3">
                  <c:v>4.5571173144751329E-2</c:v>
                </c:pt>
                <c:pt idx="4">
                  <c:v>4.8338312800935847E-2</c:v>
                </c:pt>
                <c:pt idx="5">
                  <c:v>5.116768326523416E-2</c:v>
                </c:pt>
                <c:pt idx="6">
                  <c:v>5.3997053729532465E-2</c:v>
                </c:pt>
              </c:numCache>
            </c:numRef>
          </c:val>
          <c:smooth val="0"/>
          <c:extLst>
            <c:ext xmlns:c16="http://schemas.microsoft.com/office/drawing/2014/chart" uri="{C3380CC4-5D6E-409C-BE32-E72D297353CC}">
              <c16:uniqueId val="{00000015-98B5-4BAA-B97D-B570DE34867C}"/>
            </c:ext>
          </c:extLst>
        </c:ser>
        <c:ser>
          <c:idx val="7"/>
          <c:order val="7"/>
          <c:tx>
            <c:strRef>
              <c:f>'PP izvrsne stope RSD'!$K$3</c:f>
              <c:strCache>
                <c:ptCount val="1"/>
                <c:pt idx="0">
                  <c:v>2018</c:v>
                </c:pt>
              </c:strCache>
            </c:strRef>
          </c:tx>
          <c:cat>
            <c:strRef>
              <c:f>'PP izvrsne stope RSD'!$C$4:$C$12</c:f>
              <c:strCache>
                <c:ptCount val="9"/>
                <c:pt idx="0">
                  <c:v>3M</c:v>
                </c:pt>
                <c:pt idx="1">
                  <c:v>6M</c:v>
                </c:pt>
                <c:pt idx="2">
                  <c:v>53Н</c:v>
                </c:pt>
                <c:pt idx="3">
                  <c:v>2Г</c:v>
                </c:pt>
                <c:pt idx="4">
                  <c:v>3Г</c:v>
                </c:pt>
                <c:pt idx="5">
                  <c:v>5Г</c:v>
                </c:pt>
                <c:pt idx="6">
                  <c:v>7Г</c:v>
                </c:pt>
                <c:pt idx="7">
                  <c:v>10Г</c:v>
                </c:pt>
                <c:pt idx="8">
                  <c:v>12Г</c:v>
                </c:pt>
              </c:strCache>
            </c:strRef>
          </c:cat>
          <c:val>
            <c:numRef>
              <c:f>'PP izvrsne stope RSD'!$K$4:$K$12</c:f>
              <c:numCache>
                <c:formatCode>General</c:formatCode>
                <c:ptCount val="9"/>
                <c:pt idx="4" formatCode="0.00%">
                  <c:v>3.8278184992579532E-2</c:v>
                </c:pt>
                <c:pt idx="5" formatCode="0.00%">
                  <c:v>4.1742905834370771E-2</c:v>
                </c:pt>
                <c:pt idx="6" formatCode="0.00%">
                  <c:v>0.05</c:v>
                </c:pt>
                <c:pt idx="7" formatCode="0.00%">
                  <c:v>5.1847071771341881E-2</c:v>
                </c:pt>
              </c:numCache>
            </c:numRef>
          </c:val>
          <c:smooth val="0"/>
          <c:extLst>
            <c:ext xmlns:c16="http://schemas.microsoft.com/office/drawing/2014/chart" uri="{C3380CC4-5D6E-409C-BE32-E72D297353CC}">
              <c16:uniqueId val="{00000016-98B5-4BAA-B97D-B570DE34867C}"/>
            </c:ext>
          </c:extLst>
        </c:ser>
        <c:ser>
          <c:idx val="8"/>
          <c:order val="8"/>
          <c:tx>
            <c:strRef>
              <c:f>'PP izvrsne stope RSD'!$L$3</c:f>
              <c:strCache>
                <c:ptCount val="1"/>
                <c:pt idx="0">
                  <c:v>2019</c:v>
                </c:pt>
              </c:strCache>
            </c:strRef>
          </c:tx>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'PP izvrsne stope RSD'!$C$4:$C$12</c:f>
              <c:strCache>
                <c:ptCount val="9"/>
                <c:pt idx="0">
                  <c:v>3M</c:v>
                </c:pt>
                <c:pt idx="1">
                  <c:v>6M</c:v>
                </c:pt>
                <c:pt idx="2">
                  <c:v>53Н</c:v>
                </c:pt>
                <c:pt idx="3">
                  <c:v>2Г</c:v>
                </c:pt>
                <c:pt idx="4">
                  <c:v>3Г</c:v>
                </c:pt>
                <c:pt idx="5">
                  <c:v>5Г</c:v>
                </c:pt>
                <c:pt idx="6">
                  <c:v>7Г</c:v>
                </c:pt>
                <c:pt idx="7">
                  <c:v>10Г</c:v>
                </c:pt>
                <c:pt idx="8">
                  <c:v>12Г</c:v>
                </c:pt>
              </c:strCache>
            </c:strRef>
          </c:cat>
          <c:val>
            <c:numRef>
              <c:f>'PP izvrsne stope RSD'!$L$4:$L$12</c:f>
              <c:numCache>
                <c:formatCode>General</c:formatCode>
                <c:ptCount val="9"/>
                <c:pt idx="4" formatCode="0.00%">
                  <c:v>3.73E-2</c:v>
                </c:pt>
                <c:pt idx="5" formatCode="0.00%">
                  <c:v>0.04</c:v>
                </c:pt>
                <c:pt idx="6" formatCode="0.00%">
                  <c:v>4.5658703012126066E-2</c:v>
                </c:pt>
              </c:numCache>
            </c:numRef>
          </c:val>
          <c:smooth val="0"/>
          <c:extLst>
            <c:ext xmlns:c16="http://schemas.microsoft.com/office/drawing/2014/chart" uri="{C3380CC4-5D6E-409C-BE32-E72D297353CC}">
              <c16:uniqueId val="{00000017-98B5-4BAA-B97D-B570DE34867C}"/>
            </c:ext>
          </c:extLst>
        </c:ser>
        <c:ser>
          <c:idx val="9"/>
          <c:order val="9"/>
          <c:tx>
            <c:strRef>
              <c:f>'PP izvrsne stope RSD'!$M$3</c:f>
              <c:strCache>
                <c:ptCount val="1"/>
                <c:pt idx="0">
                  <c:v>2020</c:v>
                </c:pt>
              </c:strCache>
            </c:strRef>
          </c:tx>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'PP izvrsne stope RSD'!$C$4:$C$12</c:f>
              <c:strCache>
                <c:ptCount val="9"/>
                <c:pt idx="0">
                  <c:v>3M</c:v>
                </c:pt>
                <c:pt idx="1">
                  <c:v>6M</c:v>
                </c:pt>
                <c:pt idx="2">
                  <c:v>53Н</c:v>
                </c:pt>
                <c:pt idx="3">
                  <c:v>2Г</c:v>
                </c:pt>
                <c:pt idx="4">
                  <c:v>3Г</c:v>
                </c:pt>
                <c:pt idx="5">
                  <c:v>5Г</c:v>
                </c:pt>
                <c:pt idx="6">
                  <c:v>7Г</c:v>
                </c:pt>
                <c:pt idx="7">
                  <c:v>10Г</c:v>
                </c:pt>
                <c:pt idx="8">
                  <c:v>12Г</c:v>
                </c:pt>
              </c:strCache>
            </c:strRef>
          </c:cat>
          <c:val>
            <c:numRef>
              <c:f>'PP izvrsne stope RSD'!$M$4:$M$12</c:f>
              <c:numCache>
                <c:formatCode>General</c:formatCode>
                <c:ptCount val="9"/>
                <c:pt idx="2" formatCode="0.00%">
                  <c:v>1.7999999999999999E-2</c:v>
                </c:pt>
                <c:pt idx="3" formatCode="0.00%">
                  <c:v>2.0199999999999999E-2</c:v>
                </c:pt>
                <c:pt idx="4" formatCode="0.00%">
                  <c:v>2.1499999999999998E-2</c:v>
                </c:pt>
                <c:pt idx="5" formatCode="0.00%">
                  <c:v>2.6100000000000002E-2</c:v>
                </c:pt>
                <c:pt idx="8" formatCode="0.00%">
                  <c:v>3.8300000000000001E-2</c:v>
                </c:pt>
              </c:numCache>
            </c:numRef>
          </c:val>
          <c:smooth val="0"/>
          <c:extLst>
            <c:ext xmlns:c16="http://schemas.microsoft.com/office/drawing/2014/chart" uri="{C3380CC4-5D6E-409C-BE32-E72D297353CC}">
              <c16:uniqueId val="{00000018-98B5-4BAA-B97D-B570DE34867C}"/>
            </c:ext>
          </c:extLst>
        </c:ser>
        <c:ser>
          <c:idx val="10"/>
          <c:order val="10"/>
          <c:tx>
            <c:strRef>
              <c:f>'PP izvrsne stope RSD'!$N$3</c:f>
              <c:strCache>
                <c:ptCount val="1"/>
                <c:pt idx="0">
                  <c:v>VIII/2021</c:v>
                </c:pt>
              </c:strCache>
            </c:strRef>
          </c:tx>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'PP izvrsne stope RSD'!$C$4:$C$12</c:f>
              <c:strCache>
                <c:ptCount val="9"/>
                <c:pt idx="0">
                  <c:v>3M</c:v>
                </c:pt>
                <c:pt idx="1">
                  <c:v>6M</c:v>
                </c:pt>
                <c:pt idx="2">
                  <c:v>53Н</c:v>
                </c:pt>
                <c:pt idx="3">
                  <c:v>2Г</c:v>
                </c:pt>
                <c:pt idx="4">
                  <c:v>3Г</c:v>
                </c:pt>
                <c:pt idx="5">
                  <c:v>5Г</c:v>
                </c:pt>
                <c:pt idx="6">
                  <c:v>7Г</c:v>
                </c:pt>
                <c:pt idx="7">
                  <c:v>10Г</c:v>
                </c:pt>
                <c:pt idx="8">
                  <c:v>12Г</c:v>
                </c:pt>
              </c:strCache>
            </c:strRef>
          </c:cat>
          <c:val>
            <c:numRef>
              <c:f>'PP izvrsne stope RSD'!$N$4:$N$12</c:f>
              <c:numCache>
                <c:formatCode>General</c:formatCode>
                <c:ptCount val="9"/>
                <c:pt idx="3" formatCode="0.00%">
                  <c:v>1.6E-2</c:v>
                </c:pt>
                <c:pt idx="4" formatCode="0.00%">
                  <c:v>1.9E-2</c:v>
                </c:pt>
                <c:pt idx="5" formatCode="0.00%">
                  <c:v>2.1700000000000001E-2</c:v>
                </c:pt>
                <c:pt idx="6" formatCode="0.00%">
                  <c:v>2.4500000000000001E-2</c:v>
                </c:pt>
                <c:pt idx="7" formatCode="0.00%">
                  <c:v>2.5000000000000001E-2</c:v>
                </c:pt>
                <c:pt idx="8" formatCode="0.00%">
                  <c:v>3.4000000000000002E-2</c:v>
                </c:pt>
              </c:numCache>
            </c:numRef>
          </c:val>
          <c:smooth val="0"/>
          <c:extLst>
            <c:ext xmlns:c16="http://schemas.microsoft.com/office/drawing/2014/chart" uri="{C3380CC4-5D6E-409C-BE32-E72D297353CC}">
              <c16:uniqueId val="{00000019-98B5-4BAA-B97D-B570DE34867C}"/>
            </c:ext>
          </c:extLst>
        </c:ser>
        <c:dLbls>
          <c:showLegendKey val="0"/>
          <c:showVal val="0"/>
          <c:showCatName val="0"/>
          <c:showSerName val="0"/>
          <c:showPercent val="0"/>
          <c:showBubbleSize val="0"/>
        </c:dLbls>
        <c:marker val="1"/>
        <c:smooth val="0"/>
        <c:axId val="194983760"/>
        <c:axId val="194984152"/>
        <c:extLst>
          <c:ext xmlns:c15="http://schemas.microsoft.com/office/drawing/2012/chart" uri="{02D57815-91ED-43cb-92C2-25804820EDAC}">
            <c15:filteredLineSeries>
              <c15:ser>
                <c:idx val="0"/>
                <c:order val="0"/>
                <c:tx>
                  <c:strRef>
                    <c:extLst>
                      <c:ext uri="{02D57815-91ED-43cb-92C2-25804820EDAC}">
                        <c15:formulaRef>
                          <c15:sqref>'PP izvrsne stope RSD'!$D$3</c15:sqref>
                        </c15:formulaRef>
                      </c:ext>
                    </c:extLst>
                    <c:strCache>
                      <c:ptCount val="1"/>
                      <c:pt idx="0">
                        <c:v>2011</c:v>
                      </c:pt>
                    </c:strCache>
                  </c:strRef>
                </c:tx>
                <c:marker>
                  <c:symbol val="square"/>
                  <c:size val="3"/>
                </c:marker>
                <c:dLbls>
                  <c:dLbl>
                    <c:idx val="0"/>
                    <c:layout>
                      <c:manualLayout>
                        <c:x val="-2.4806201550387597E-2"/>
                        <c:y val="-2.7107154367773664E-2"/>
                      </c:manualLayout>
                    </c:layout>
                    <c:showLegendKey val="0"/>
                    <c:showVal val="1"/>
                    <c:showCatName val="0"/>
                    <c:showSerName val="0"/>
                    <c:showPercent val="0"/>
                    <c:showBubbleSize val="0"/>
                    <c:extLst>
                      <c:ext uri="{CE6537A1-D6FC-4f65-9D91-7224C49458BB}"/>
                      <c:ext xmlns:c16="http://schemas.microsoft.com/office/drawing/2014/chart" uri="{C3380CC4-5D6E-409C-BE32-E72D297353CC}">
                        <c16:uniqueId val="{0000001A-98B5-4BAA-B97D-B570DE34867C}"/>
                      </c:ext>
                    </c:extLst>
                  </c:dLbl>
                  <c:dLbl>
                    <c:idx val="1"/>
                    <c:layout>
                      <c:manualLayout>
                        <c:x val="-3.9276485788113734E-2"/>
                        <c:y val="-2.3718760071802004E-2"/>
                      </c:manualLayout>
                    </c:layout>
                    <c:showLegendKey val="0"/>
                    <c:showVal val="1"/>
                    <c:showCatName val="0"/>
                    <c:showSerName val="0"/>
                    <c:showPercent val="0"/>
                    <c:showBubbleSize val="0"/>
                    <c:extLst>
                      <c:ext uri="{CE6537A1-D6FC-4f65-9D91-7224C49458BB}"/>
                      <c:ext xmlns:c16="http://schemas.microsoft.com/office/drawing/2014/chart" uri="{C3380CC4-5D6E-409C-BE32-E72D297353CC}">
                        <c16:uniqueId val="{0000001B-98B5-4BAA-B97D-B570DE34867C}"/>
                      </c:ext>
                    </c:extLst>
                  </c:dLbl>
                  <c:dLbl>
                    <c:idx val="2"/>
                    <c:layout>
                      <c:manualLayout>
                        <c:x val="-6.6149870801033628E-2"/>
                        <c:y val="-1.0165182887915118E-2"/>
                      </c:manualLayout>
                    </c:layout>
                    <c:showLegendKey val="0"/>
                    <c:showVal val="1"/>
                    <c:showCatName val="0"/>
                    <c:showSerName val="0"/>
                    <c:showPercent val="0"/>
                    <c:showBubbleSize val="0"/>
                    <c:extLst>
                      <c:ext uri="{CE6537A1-D6FC-4f65-9D91-7224C49458BB}"/>
                      <c:ext xmlns:c16="http://schemas.microsoft.com/office/drawing/2014/chart" uri="{C3380CC4-5D6E-409C-BE32-E72D297353CC}">
                        <c16:uniqueId val="{0000001C-98B5-4BAA-B97D-B570DE34867C}"/>
                      </c:ext>
                    </c:extLst>
                  </c:dLbl>
                  <c:dLbl>
                    <c:idx val="3"/>
                    <c:layout>
                      <c:manualLayout>
                        <c:x val="-4.3410852713178294E-2"/>
                        <c:y val="-2.0330365775830236E-2"/>
                      </c:manualLayout>
                    </c:layout>
                    <c:showLegendKey val="0"/>
                    <c:showVal val="1"/>
                    <c:showCatName val="0"/>
                    <c:showSerName val="0"/>
                    <c:showPercent val="0"/>
                    <c:showBubbleSize val="0"/>
                    <c:extLst>
                      <c:ext uri="{CE6537A1-D6FC-4f65-9D91-7224C49458BB}"/>
                      <c:ext xmlns:c16="http://schemas.microsoft.com/office/drawing/2014/chart" uri="{C3380CC4-5D6E-409C-BE32-E72D297353CC}">
                        <c16:uniqueId val="{0000001D-98B5-4BAA-B97D-B570DE34867C}"/>
                      </c:ext>
                    </c:extLst>
                  </c:dLbl>
                  <c:dLbl>
                    <c:idx val="4"/>
                    <c:layout>
                      <c:manualLayout>
                        <c:x val="-8.7649184563385593E-2"/>
                        <c:y val="-5.8210762367614265E-2"/>
                      </c:manualLayout>
                    </c:layout>
                    <c:showLegendKey val="0"/>
                    <c:showVal val="1"/>
                    <c:showCatName val="0"/>
                    <c:showSerName val="0"/>
                    <c:showPercent val="0"/>
                    <c:showBubbleSize val="0"/>
                    <c:extLst>
                      <c:ext uri="{CE6537A1-D6FC-4f65-9D91-7224C49458BB}"/>
                      <c:ext xmlns:c16="http://schemas.microsoft.com/office/drawing/2014/chart" uri="{C3380CC4-5D6E-409C-BE32-E72D297353CC}">
                        <c16:uniqueId val="{0000001E-98B5-4BAA-B97D-B570DE34867C}"/>
                      </c:ext>
                    </c:extLst>
                  </c:dLbl>
                  <c:dLbl>
                    <c:idx val="5"/>
                    <c:layout>
                      <c:manualLayout>
                        <c:x val="-3.7209302325581395E-2"/>
                        <c:y val="-3.0495548663745355E-2"/>
                      </c:manualLayout>
                    </c:layout>
                    <c:showLegendKey val="0"/>
                    <c:showVal val="1"/>
                    <c:showCatName val="0"/>
                    <c:showSerName val="0"/>
                    <c:showPercent val="0"/>
                    <c:showBubbleSize val="0"/>
                    <c:extLst>
                      <c:ext uri="{CE6537A1-D6FC-4f65-9D91-7224C49458BB}"/>
                      <c:ext xmlns:c16="http://schemas.microsoft.com/office/drawing/2014/chart" uri="{C3380CC4-5D6E-409C-BE32-E72D297353CC}">
                        <c16:uniqueId val="{0000001F-98B5-4BAA-B97D-B570DE34867C}"/>
                      </c:ext>
                    </c:extLst>
                  </c:dLbl>
                  <c:dLbl>
                    <c:idx val="6"/>
                    <c:delete val="1"/>
                    <c:extLst>
                      <c:ext uri="{CE6537A1-D6FC-4f65-9D91-7224C49458BB}"/>
                      <c:ext xmlns:c16="http://schemas.microsoft.com/office/drawing/2014/chart" uri="{C3380CC4-5D6E-409C-BE32-E72D297353CC}">
                        <c16:uniqueId val="{00000020-98B5-4BAA-B97D-B570DE34867C}"/>
                      </c:ext>
                    </c:extLst>
                  </c:dLbl>
                  <c:dLbl>
                    <c:idx val="7"/>
                    <c:layout>
                      <c:manualLayout>
                        <c:x val="-5.1679586563307643E-2"/>
                        <c:y val="-2.3718760071801952E-2"/>
                      </c:manualLayout>
                    </c:layout>
                    <c:showLegendKey val="0"/>
                    <c:showVal val="1"/>
                    <c:showCatName val="0"/>
                    <c:showSerName val="0"/>
                    <c:showPercent val="0"/>
                    <c:showBubbleSize val="0"/>
                    <c:extLst>
                      <c:ext uri="{CE6537A1-D6FC-4f65-9D91-7224C49458BB}"/>
                      <c:ext xmlns:c16="http://schemas.microsoft.com/office/drawing/2014/chart" uri="{C3380CC4-5D6E-409C-BE32-E72D297353CC}">
                        <c16:uniqueId val="{00000021-98B5-4BAA-B97D-B570DE34867C}"/>
                      </c:ext>
                    </c:extLst>
                  </c:dLbl>
                  <c:spPr>
                    <a:noFill/>
                    <a:ln>
                      <a:noFill/>
                    </a:ln>
                    <a:effectLst/>
                  </c:spPr>
                  <c:showLegendKey val="0"/>
                  <c:showVal val="1"/>
                  <c:showCatName val="0"/>
                  <c:showSerName val="0"/>
                  <c:showPercent val="0"/>
                  <c:showBubbleSize val="0"/>
                  <c:showLeaderLines val="0"/>
                  <c:extLst>
                    <c:ext uri="{CE6537A1-D6FC-4f65-9D91-7224C49458BB}">
                      <c15:showLeaderLines val="0"/>
                    </c:ext>
                  </c:extLst>
                </c:dLbls>
                <c:cat>
                  <c:strRef>
                    <c:extLst>
                      <c:ext uri="{02D57815-91ED-43cb-92C2-25804820EDAC}">
                        <c15:formulaRef>
                          <c15:sqref>'PP izvrsne stope RSD'!$C$4:$C$12</c15:sqref>
                        </c15:formulaRef>
                      </c:ext>
                    </c:extLst>
                    <c:strCache>
                      <c:ptCount val="9"/>
                      <c:pt idx="0">
                        <c:v>3M</c:v>
                      </c:pt>
                      <c:pt idx="1">
                        <c:v>6M</c:v>
                      </c:pt>
                      <c:pt idx="2">
                        <c:v>53Н</c:v>
                      </c:pt>
                      <c:pt idx="3">
                        <c:v>2Г</c:v>
                      </c:pt>
                      <c:pt idx="4">
                        <c:v>3Г</c:v>
                      </c:pt>
                      <c:pt idx="5">
                        <c:v>5Г</c:v>
                      </c:pt>
                      <c:pt idx="6">
                        <c:v>7Г</c:v>
                      </c:pt>
                      <c:pt idx="7">
                        <c:v>10Г</c:v>
                      </c:pt>
                      <c:pt idx="8">
                        <c:v>12Г</c:v>
                      </c:pt>
                    </c:strCache>
                  </c:strRef>
                </c:cat>
                <c:val>
                  <c:numRef>
                    <c:extLst>
                      <c:ext uri="{02D57815-91ED-43cb-92C2-25804820EDAC}">
                        <c15:formulaRef>
                          <c15:sqref>'PP izvrsne stope RSD'!$D$4:$D$12</c15:sqref>
                        </c15:formulaRef>
                      </c:ext>
                    </c:extLst>
                    <c:numCache>
                      <c:formatCode>0.00%</c:formatCode>
                      <c:ptCount val="9"/>
                      <c:pt idx="0">
                        <c:v>0.13818647322081362</c:v>
                      </c:pt>
                      <c:pt idx="1">
                        <c:v>0.12444535153264406</c:v>
                      </c:pt>
                      <c:pt idx="2">
                        <c:v>0.12766972692180226</c:v>
                      </c:pt>
                      <c:pt idx="3">
                        <c:v>0.13060001470632501</c:v>
                      </c:pt>
                      <c:pt idx="4">
                        <c:v>0.14379699215737504</c:v>
                      </c:pt>
                    </c:numCache>
                  </c:numRef>
                </c:val>
                <c:smooth val="0"/>
                <c:extLst>
                  <c:ext xmlns:c16="http://schemas.microsoft.com/office/drawing/2014/chart" uri="{C3380CC4-5D6E-409C-BE32-E72D297353CC}">
                    <c16:uniqueId val="{00000022-98B5-4BAA-B97D-B570DE34867C}"/>
                  </c:ext>
                </c:extLst>
              </c15:ser>
            </c15:filteredLineSeries>
            <c15:filteredLineSeries>
              <c15:ser>
                <c:idx val="1"/>
                <c:order val="1"/>
                <c:tx>
                  <c:strRef>
                    <c:extLst xmlns:c15="http://schemas.microsoft.com/office/drawing/2012/chart">
                      <c:ext xmlns:c15="http://schemas.microsoft.com/office/drawing/2012/chart" uri="{02D57815-91ED-43cb-92C2-25804820EDAC}">
                        <c15:formulaRef>
                          <c15:sqref>'PP izvrsne stope RSD'!$E$3</c15:sqref>
                        </c15:formulaRef>
                      </c:ext>
                    </c:extLst>
                    <c:strCache>
                      <c:ptCount val="1"/>
                      <c:pt idx="0">
                        <c:v>2012</c:v>
                      </c:pt>
                    </c:strCache>
                  </c:strRef>
                </c:tx>
                <c:marker>
                  <c:symbol val="square"/>
                  <c:size val="3"/>
                </c:marker>
                <c:dLbls>
                  <c:dLbl>
                    <c:idx val="0"/>
                    <c:layout>
                      <c:manualLayout>
                        <c:x val="-4.3410852713178294E-2"/>
                        <c:y val="-1.0165182887915118E-2"/>
                      </c:manualLayout>
                    </c:layout>
                    <c:showLegendKey val="0"/>
                    <c:showVal val="1"/>
                    <c:showCatName val="0"/>
                    <c:showSerName val="0"/>
                    <c:showPercent val="0"/>
                    <c:showBubbleSize val="0"/>
                    <c:extLst xmlns:c15="http://schemas.microsoft.com/office/drawing/2012/chart">
                      <c:ext xmlns:c15="http://schemas.microsoft.com/office/drawing/2012/chart" uri="{CE6537A1-D6FC-4f65-9D91-7224C49458BB}"/>
                      <c:ext xmlns:c16="http://schemas.microsoft.com/office/drawing/2014/chart" uri="{C3380CC4-5D6E-409C-BE32-E72D297353CC}">
                        <c16:uniqueId val="{00000023-98B5-4BAA-B97D-B570DE34867C}"/>
                      </c:ext>
                    </c:extLst>
                  </c:dLbl>
                  <c:dLbl>
                    <c:idx val="1"/>
                    <c:layout>
                      <c:manualLayout>
                        <c:x val="2.0671834625322618E-3"/>
                        <c:y val="-3.3883942959716442E-3"/>
                      </c:manualLayout>
                    </c:layout>
                    <c:showLegendKey val="0"/>
                    <c:showVal val="1"/>
                    <c:showCatName val="0"/>
                    <c:showSerName val="0"/>
                    <c:showPercent val="0"/>
                    <c:showBubbleSize val="0"/>
                    <c:extLst xmlns:c15="http://schemas.microsoft.com/office/drawing/2012/chart">
                      <c:ext xmlns:c15="http://schemas.microsoft.com/office/drawing/2012/chart" uri="{CE6537A1-D6FC-4f65-9D91-7224C49458BB}"/>
                      <c:ext xmlns:c16="http://schemas.microsoft.com/office/drawing/2014/chart" uri="{C3380CC4-5D6E-409C-BE32-E72D297353CC}">
                        <c16:uniqueId val="{00000024-98B5-4BAA-B97D-B570DE34867C}"/>
                      </c:ext>
                    </c:extLst>
                  </c:dLbl>
                  <c:dLbl>
                    <c:idx val="2"/>
                    <c:layout>
                      <c:manualLayout>
                        <c:x val="-1.6537467700258397E-2"/>
                        <c:y val="1.3553577183886762E-2"/>
                      </c:manualLayout>
                    </c:layout>
                    <c:showLegendKey val="0"/>
                    <c:showVal val="1"/>
                    <c:showCatName val="0"/>
                    <c:showSerName val="0"/>
                    <c:showPercent val="0"/>
                    <c:showBubbleSize val="0"/>
                    <c:extLst xmlns:c15="http://schemas.microsoft.com/office/drawing/2012/chart">
                      <c:ext xmlns:c15="http://schemas.microsoft.com/office/drawing/2012/chart" uri="{CE6537A1-D6FC-4f65-9D91-7224C49458BB}"/>
                      <c:ext xmlns:c16="http://schemas.microsoft.com/office/drawing/2014/chart" uri="{C3380CC4-5D6E-409C-BE32-E72D297353CC}">
                        <c16:uniqueId val="{00000025-98B5-4BAA-B97D-B570DE34867C}"/>
                      </c:ext>
                    </c:extLst>
                  </c:dLbl>
                  <c:dLbl>
                    <c:idx val="3"/>
                    <c:layout>
                      <c:manualLayout>
                        <c:x val="-5.1679586563307491E-2"/>
                        <c:y val="-4.0660731551660473E-2"/>
                      </c:manualLayout>
                    </c:layout>
                    <c:showLegendKey val="0"/>
                    <c:showVal val="1"/>
                    <c:showCatName val="0"/>
                    <c:showSerName val="0"/>
                    <c:showPercent val="0"/>
                    <c:showBubbleSize val="0"/>
                    <c:extLst xmlns:c15="http://schemas.microsoft.com/office/drawing/2012/chart">
                      <c:ext xmlns:c15="http://schemas.microsoft.com/office/drawing/2012/chart" uri="{CE6537A1-D6FC-4f65-9D91-7224C49458BB}"/>
                      <c:ext xmlns:c16="http://schemas.microsoft.com/office/drawing/2014/chart" uri="{C3380CC4-5D6E-409C-BE32-E72D297353CC}">
                        <c16:uniqueId val="{00000026-98B5-4BAA-B97D-B570DE34867C}"/>
                      </c:ext>
                    </c:extLst>
                  </c:dLbl>
                  <c:dLbl>
                    <c:idx val="4"/>
                    <c:layout>
                      <c:manualLayout>
                        <c:x val="-2.8940568475452271E-2"/>
                        <c:y val="-3.0495548663745355E-2"/>
                      </c:manualLayout>
                    </c:layout>
                    <c:showLegendKey val="0"/>
                    <c:showVal val="1"/>
                    <c:showCatName val="0"/>
                    <c:showSerName val="0"/>
                    <c:showPercent val="0"/>
                    <c:showBubbleSize val="0"/>
                    <c:extLst xmlns:c15="http://schemas.microsoft.com/office/drawing/2012/chart">
                      <c:ext xmlns:c15="http://schemas.microsoft.com/office/drawing/2012/chart" uri="{CE6537A1-D6FC-4f65-9D91-7224C49458BB}"/>
                      <c:ext xmlns:c16="http://schemas.microsoft.com/office/drawing/2014/chart" uri="{C3380CC4-5D6E-409C-BE32-E72D297353CC}">
                        <c16:uniqueId val="{00000027-98B5-4BAA-B97D-B570DE34867C}"/>
                      </c:ext>
                    </c:extLst>
                  </c:dLbl>
                  <c:dLbl>
                    <c:idx val="5"/>
                    <c:layout>
                      <c:manualLayout>
                        <c:x val="6.2015503875967474E-3"/>
                        <c:y val="-4.0660731551660473E-2"/>
                      </c:manualLayout>
                    </c:layout>
                    <c:showLegendKey val="0"/>
                    <c:showVal val="1"/>
                    <c:showCatName val="0"/>
                    <c:showSerName val="0"/>
                    <c:showPercent val="0"/>
                    <c:showBubbleSize val="0"/>
                    <c:extLst xmlns:c15="http://schemas.microsoft.com/office/drawing/2012/chart">
                      <c:ext xmlns:c15="http://schemas.microsoft.com/office/drawing/2012/chart" uri="{CE6537A1-D6FC-4f65-9D91-7224C49458BB}"/>
                      <c:ext xmlns:c16="http://schemas.microsoft.com/office/drawing/2014/chart" uri="{C3380CC4-5D6E-409C-BE32-E72D297353CC}">
                        <c16:uniqueId val="{00000028-98B5-4BAA-B97D-B570DE34867C}"/>
                      </c:ext>
                    </c:extLst>
                  </c:dLbl>
                  <c:dLbl>
                    <c:idx val="6"/>
                    <c:layout>
                      <c:manualLayout>
                        <c:x val="-4.9612403100775193E-2"/>
                        <c:y val="-2.3718760071801959E-2"/>
                      </c:manualLayout>
                    </c:layout>
                    <c:showLegendKey val="0"/>
                    <c:showVal val="1"/>
                    <c:showCatName val="0"/>
                    <c:showSerName val="0"/>
                    <c:showPercent val="0"/>
                    <c:showBubbleSize val="0"/>
                    <c:extLst xmlns:c15="http://schemas.microsoft.com/office/drawing/2012/chart">
                      <c:ext xmlns:c15="http://schemas.microsoft.com/office/drawing/2012/chart" uri="{CE6537A1-D6FC-4f65-9D91-7224C49458BB}"/>
                      <c:ext xmlns:c16="http://schemas.microsoft.com/office/drawing/2014/chart" uri="{C3380CC4-5D6E-409C-BE32-E72D297353CC}">
                        <c16:uniqueId val="{00000029-98B5-4BAA-B97D-B570DE34867C}"/>
                      </c:ext>
                    </c:extLst>
                  </c:dLbl>
                  <c:spPr>
                    <a:noFill/>
                  </c:spPr>
                  <c:showLegendKey val="0"/>
                  <c:showVal val="1"/>
                  <c:showCatName val="0"/>
                  <c:showSerName val="0"/>
                  <c:showPercent val="0"/>
                  <c:showBubbleSize val="0"/>
                  <c:showLeaderLines val="0"/>
                  <c:extLst xmlns:c15="http://schemas.microsoft.com/office/drawing/2012/chart">
                    <c:ext xmlns:c15="http://schemas.microsoft.com/office/drawing/2012/chart" uri="{CE6537A1-D6FC-4f65-9D91-7224C49458BB}">
                      <c15:showLeaderLines val="0"/>
                    </c:ext>
                  </c:extLst>
                </c:dLbls>
                <c:cat>
                  <c:strRef>
                    <c:extLst xmlns:c15="http://schemas.microsoft.com/office/drawing/2012/chart">
                      <c:ext xmlns:c15="http://schemas.microsoft.com/office/drawing/2012/chart" uri="{02D57815-91ED-43cb-92C2-25804820EDAC}">
                        <c15:formulaRef>
                          <c15:sqref>'PP izvrsne stope RSD'!$C$4:$C$12</c15:sqref>
                        </c15:formulaRef>
                      </c:ext>
                    </c:extLst>
                    <c:strCache>
                      <c:ptCount val="9"/>
                      <c:pt idx="0">
                        <c:v>3M</c:v>
                      </c:pt>
                      <c:pt idx="1">
                        <c:v>6M</c:v>
                      </c:pt>
                      <c:pt idx="2">
                        <c:v>53Н</c:v>
                      </c:pt>
                      <c:pt idx="3">
                        <c:v>2Г</c:v>
                      </c:pt>
                      <c:pt idx="4">
                        <c:v>3Г</c:v>
                      </c:pt>
                      <c:pt idx="5">
                        <c:v>5Г</c:v>
                      </c:pt>
                      <c:pt idx="6">
                        <c:v>7Г</c:v>
                      </c:pt>
                      <c:pt idx="7">
                        <c:v>10Г</c:v>
                      </c:pt>
                      <c:pt idx="8">
                        <c:v>12Г</c:v>
                      </c:pt>
                    </c:strCache>
                  </c:strRef>
                </c:cat>
                <c:val>
                  <c:numRef>
                    <c:extLst xmlns:c15="http://schemas.microsoft.com/office/drawing/2012/chart">
                      <c:ext xmlns:c15="http://schemas.microsoft.com/office/drawing/2012/chart" uri="{02D57815-91ED-43cb-92C2-25804820EDAC}">
                        <c15:formulaRef>
                          <c15:sqref>'PP izvrsne stope RSD'!$E$4:$E$12</c15:sqref>
                        </c15:formulaRef>
                      </c:ext>
                    </c:extLst>
                    <c:numCache>
                      <c:formatCode>0.00%</c:formatCode>
                      <c:ptCount val="9"/>
                      <c:pt idx="0">
                        <c:v>0.1239</c:v>
                      </c:pt>
                      <c:pt idx="1">
                        <c:v>0.1195</c:v>
                      </c:pt>
                      <c:pt idx="2">
                        <c:v>0.13039999999999999</c:v>
                      </c:pt>
                      <c:pt idx="3">
                        <c:v>0.14124999999999999</c:v>
                      </c:pt>
                      <c:pt idx="4">
                        <c:v>0.15210000000000001</c:v>
                      </c:pt>
                      <c:pt idx="5">
                        <c:v>0.1474</c:v>
                      </c:pt>
                    </c:numCache>
                  </c:numRef>
                </c:val>
                <c:smooth val="0"/>
                <c:extLst xmlns:c15="http://schemas.microsoft.com/office/drawing/2012/chart">
                  <c:ext xmlns:c16="http://schemas.microsoft.com/office/drawing/2014/chart" uri="{C3380CC4-5D6E-409C-BE32-E72D297353CC}">
                    <c16:uniqueId val="{0000002A-98B5-4BAA-B97D-B570DE34867C}"/>
                  </c:ext>
                </c:extLst>
              </c15:ser>
            </c15:filteredLineSeries>
            <c15:filteredLineSeries>
              <c15:ser>
                <c:idx val="2"/>
                <c:order val="2"/>
                <c:tx>
                  <c:strRef>
                    <c:extLst xmlns:c15="http://schemas.microsoft.com/office/drawing/2012/chart">
                      <c:ext xmlns:c15="http://schemas.microsoft.com/office/drawing/2012/chart" uri="{02D57815-91ED-43cb-92C2-25804820EDAC}">
                        <c15:formulaRef>
                          <c15:sqref>'PP izvrsne stope RSD'!$F$3</c15:sqref>
                        </c15:formulaRef>
                      </c:ext>
                    </c:extLst>
                    <c:strCache>
                      <c:ptCount val="1"/>
                      <c:pt idx="0">
                        <c:v>2013</c:v>
                      </c:pt>
                    </c:strCache>
                  </c:strRef>
                </c:tx>
                <c:marker>
                  <c:symbol val="square"/>
                  <c:size val="3"/>
                </c:marker>
                <c:dLbls>
                  <c:dLbl>
                    <c:idx val="0"/>
                    <c:layout>
                      <c:manualLayout>
                        <c:x val="-3.7209302325581395E-2"/>
                        <c:y val="3.0495548663745355E-2"/>
                      </c:manualLayout>
                    </c:layout>
                    <c:showLegendKey val="0"/>
                    <c:showVal val="1"/>
                    <c:showCatName val="0"/>
                    <c:showSerName val="0"/>
                    <c:showPercent val="0"/>
                    <c:showBubbleSize val="0"/>
                    <c:extLst xmlns:c15="http://schemas.microsoft.com/office/drawing/2012/chart">
                      <c:ext xmlns:c15="http://schemas.microsoft.com/office/drawing/2012/chart" uri="{CE6537A1-D6FC-4f65-9D91-7224C49458BB}"/>
                      <c:ext xmlns:c16="http://schemas.microsoft.com/office/drawing/2014/chart" uri="{C3380CC4-5D6E-409C-BE32-E72D297353CC}">
                        <c16:uniqueId val="{0000002B-98B5-4BAA-B97D-B570DE34867C}"/>
                      </c:ext>
                    </c:extLst>
                  </c:dLbl>
                  <c:dLbl>
                    <c:idx val="1"/>
                    <c:layout>
                      <c:manualLayout>
                        <c:x val="-4.3410852713178336E-2"/>
                        <c:y val="-3.7272337255688827E-2"/>
                      </c:manualLayout>
                    </c:layout>
                    <c:showLegendKey val="0"/>
                    <c:showVal val="1"/>
                    <c:showCatName val="0"/>
                    <c:showSerName val="0"/>
                    <c:showPercent val="0"/>
                    <c:showBubbleSize val="0"/>
                    <c:extLst xmlns:c15="http://schemas.microsoft.com/office/drawing/2012/chart">
                      <c:ext xmlns:c15="http://schemas.microsoft.com/office/drawing/2012/chart" uri="{CE6537A1-D6FC-4f65-9D91-7224C49458BB}"/>
                      <c:ext xmlns:c16="http://schemas.microsoft.com/office/drawing/2014/chart" uri="{C3380CC4-5D6E-409C-BE32-E72D297353CC}">
                        <c16:uniqueId val="{0000002C-98B5-4BAA-B97D-B570DE34867C}"/>
                      </c:ext>
                    </c:extLst>
                  </c:dLbl>
                  <c:dLbl>
                    <c:idx val="2"/>
                    <c:layout>
                      <c:manualLayout>
                        <c:x val="-3.5142118863049097E-2"/>
                        <c:y val="-2.0330365775830299E-2"/>
                      </c:manualLayout>
                    </c:layout>
                    <c:showLegendKey val="0"/>
                    <c:showVal val="1"/>
                    <c:showCatName val="0"/>
                    <c:showSerName val="0"/>
                    <c:showPercent val="0"/>
                    <c:showBubbleSize val="0"/>
                    <c:extLst xmlns:c15="http://schemas.microsoft.com/office/drawing/2012/chart">
                      <c:ext xmlns:c15="http://schemas.microsoft.com/office/drawing/2012/chart" uri="{CE6537A1-D6FC-4f65-9D91-7224C49458BB}"/>
                      <c:ext xmlns:c16="http://schemas.microsoft.com/office/drawing/2014/chart" uri="{C3380CC4-5D6E-409C-BE32-E72D297353CC}">
                        <c16:uniqueId val="{0000002D-98B5-4BAA-B97D-B570DE34867C}"/>
                      </c:ext>
                    </c:extLst>
                  </c:dLbl>
                  <c:dLbl>
                    <c:idx val="3"/>
                    <c:layout>
                      <c:manualLayout>
                        <c:x val="-4.7545219638242896E-2"/>
                        <c:y val="-3.3883942959717091E-2"/>
                      </c:manualLayout>
                    </c:layout>
                    <c:showLegendKey val="0"/>
                    <c:showVal val="1"/>
                    <c:showCatName val="0"/>
                    <c:showSerName val="0"/>
                    <c:showPercent val="0"/>
                    <c:showBubbleSize val="0"/>
                    <c:extLst xmlns:c15="http://schemas.microsoft.com/office/drawing/2012/chart">
                      <c:ext xmlns:c15="http://schemas.microsoft.com/office/drawing/2012/chart" uri="{CE6537A1-D6FC-4f65-9D91-7224C49458BB}"/>
                      <c:ext xmlns:c16="http://schemas.microsoft.com/office/drawing/2014/chart" uri="{C3380CC4-5D6E-409C-BE32-E72D297353CC}">
                        <c16:uniqueId val="{0000002E-98B5-4BAA-B97D-B570DE34867C}"/>
                      </c:ext>
                    </c:extLst>
                  </c:dLbl>
                  <c:dLbl>
                    <c:idx val="4"/>
                    <c:layout>
                      <c:manualLayout>
                        <c:x val="-4.9612403100775269E-2"/>
                        <c:y val="-3.3883942959717028E-2"/>
                      </c:manualLayout>
                    </c:layout>
                    <c:showLegendKey val="0"/>
                    <c:showVal val="1"/>
                    <c:showCatName val="0"/>
                    <c:showSerName val="0"/>
                    <c:showPercent val="0"/>
                    <c:showBubbleSize val="0"/>
                    <c:extLst xmlns:c15="http://schemas.microsoft.com/office/drawing/2012/chart">
                      <c:ext xmlns:c15="http://schemas.microsoft.com/office/drawing/2012/chart" uri="{CE6537A1-D6FC-4f65-9D91-7224C49458BB}"/>
                      <c:ext xmlns:c16="http://schemas.microsoft.com/office/drawing/2014/chart" uri="{C3380CC4-5D6E-409C-BE32-E72D297353CC}">
                        <c16:uniqueId val="{0000002F-98B5-4BAA-B97D-B570DE34867C}"/>
                      </c:ext>
                    </c:extLst>
                  </c:dLbl>
                  <c:dLbl>
                    <c:idx val="5"/>
                    <c:layout>
                      <c:manualLayout>
                        <c:x val="-5.5813953488372092E-2"/>
                        <c:y val="-2.7107154367773587E-2"/>
                      </c:manualLayout>
                    </c:layout>
                    <c:showLegendKey val="0"/>
                    <c:showVal val="1"/>
                    <c:showCatName val="0"/>
                    <c:showSerName val="0"/>
                    <c:showPercent val="0"/>
                    <c:showBubbleSize val="0"/>
                    <c:extLst xmlns:c15="http://schemas.microsoft.com/office/drawing/2012/chart">
                      <c:ext xmlns:c15="http://schemas.microsoft.com/office/drawing/2012/chart" uri="{CE6537A1-D6FC-4f65-9D91-7224C49458BB}"/>
                      <c:ext xmlns:c16="http://schemas.microsoft.com/office/drawing/2014/chart" uri="{C3380CC4-5D6E-409C-BE32-E72D297353CC}">
                        <c16:uniqueId val="{00000030-98B5-4BAA-B97D-B570DE34867C}"/>
                      </c:ext>
                    </c:extLst>
                  </c:dLbl>
                  <c:dLbl>
                    <c:idx val="6"/>
                    <c:layout>
                      <c:manualLayout>
                        <c:x val="-3.3074935400516793E-2"/>
                        <c:y val="-2.3718760071801941E-2"/>
                      </c:manualLayout>
                    </c:layout>
                    <c:showLegendKey val="0"/>
                    <c:showVal val="1"/>
                    <c:showCatName val="0"/>
                    <c:showSerName val="0"/>
                    <c:showPercent val="0"/>
                    <c:showBubbleSize val="0"/>
                    <c:extLst xmlns:c15="http://schemas.microsoft.com/office/drawing/2012/chart">
                      <c:ext xmlns:c15="http://schemas.microsoft.com/office/drawing/2012/chart" uri="{CE6537A1-D6FC-4f65-9D91-7224C49458BB}"/>
                      <c:ext xmlns:c16="http://schemas.microsoft.com/office/drawing/2014/chart" uri="{C3380CC4-5D6E-409C-BE32-E72D297353CC}">
                        <c16:uniqueId val="{00000031-98B5-4BAA-B97D-B570DE34867C}"/>
                      </c:ext>
                    </c:extLst>
                  </c:dLbl>
                  <c:spPr>
                    <a:noFill/>
                    <a:ln>
                      <a:noFill/>
                    </a:ln>
                    <a:effectLst/>
                  </c:spPr>
                  <c:showLegendKey val="0"/>
                  <c:showVal val="1"/>
                  <c:showCatName val="0"/>
                  <c:showSerName val="0"/>
                  <c:showPercent val="0"/>
                  <c:showBubbleSize val="0"/>
                  <c:showLeaderLines val="0"/>
                  <c:extLst xmlns:c15="http://schemas.microsoft.com/office/drawing/2012/chart">
                    <c:ext xmlns:c15="http://schemas.microsoft.com/office/drawing/2012/chart" uri="{CE6537A1-D6FC-4f65-9D91-7224C49458BB}">
                      <c15:showLeaderLines val="0"/>
                    </c:ext>
                  </c:extLst>
                </c:dLbls>
                <c:cat>
                  <c:strRef>
                    <c:extLst xmlns:c15="http://schemas.microsoft.com/office/drawing/2012/chart">
                      <c:ext xmlns:c15="http://schemas.microsoft.com/office/drawing/2012/chart" uri="{02D57815-91ED-43cb-92C2-25804820EDAC}">
                        <c15:formulaRef>
                          <c15:sqref>'PP izvrsne stope RSD'!$C$4:$C$12</c15:sqref>
                        </c15:formulaRef>
                      </c:ext>
                    </c:extLst>
                    <c:strCache>
                      <c:ptCount val="9"/>
                      <c:pt idx="0">
                        <c:v>3M</c:v>
                      </c:pt>
                      <c:pt idx="1">
                        <c:v>6M</c:v>
                      </c:pt>
                      <c:pt idx="2">
                        <c:v>53Н</c:v>
                      </c:pt>
                      <c:pt idx="3">
                        <c:v>2Г</c:v>
                      </c:pt>
                      <c:pt idx="4">
                        <c:v>3Г</c:v>
                      </c:pt>
                      <c:pt idx="5">
                        <c:v>5Г</c:v>
                      </c:pt>
                      <c:pt idx="6">
                        <c:v>7Г</c:v>
                      </c:pt>
                      <c:pt idx="7">
                        <c:v>10Г</c:v>
                      </c:pt>
                      <c:pt idx="8">
                        <c:v>12Г</c:v>
                      </c:pt>
                    </c:strCache>
                  </c:strRef>
                </c:cat>
                <c:val>
                  <c:numRef>
                    <c:extLst xmlns:c15="http://schemas.microsoft.com/office/drawing/2012/chart">
                      <c:ext xmlns:c15="http://schemas.microsoft.com/office/drawing/2012/chart" uri="{02D57815-91ED-43cb-92C2-25804820EDAC}">
                        <c15:formulaRef>
                          <c15:sqref>'PP izvrsne stope RSD'!$F$4:$F$12</c15:sqref>
                        </c15:formulaRef>
                      </c:ext>
                    </c:extLst>
                    <c:numCache>
                      <c:formatCode>0.00%</c:formatCode>
                      <c:ptCount val="9"/>
                      <c:pt idx="0">
                        <c:v>9.5200000000000007E-2</c:v>
                      </c:pt>
                      <c:pt idx="1">
                        <c:v>9.3799999999999994E-2</c:v>
                      </c:pt>
                      <c:pt idx="2">
                        <c:v>0.10100000000000001</c:v>
                      </c:pt>
                      <c:pt idx="3">
                        <c:v>0.1071</c:v>
                      </c:pt>
                      <c:pt idx="4">
                        <c:v>0.11020000000000001</c:v>
                      </c:pt>
                      <c:pt idx="5">
                        <c:v>0.1215</c:v>
                      </c:pt>
                      <c:pt idx="6">
                        <c:v>0.1249</c:v>
                      </c:pt>
                    </c:numCache>
                  </c:numRef>
                </c:val>
                <c:smooth val="0"/>
                <c:extLst xmlns:c15="http://schemas.microsoft.com/office/drawing/2012/chart">
                  <c:ext xmlns:c16="http://schemas.microsoft.com/office/drawing/2014/chart" uri="{C3380CC4-5D6E-409C-BE32-E72D297353CC}">
                    <c16:uniqueId val="{00000032-98B5-4BAA-B97D-B570DE34867C}"/>
                  </c:ext>
                </c:extLst>
              </c15:ser>
            </c15:filteredLineSeries>
          </c:ext>
        </c:extLst>
      </c:lineChart>
      <c:catAx>
        <c:axId val="194983760"/>
        <c:scaling>
          <c:orientation val="minMax"/>
        </c:scaling>
        <c:delete val="0"/>
        <c:axPos val="b"/>
        <c:numFmt formatCode="General" sourceLinked="0"/>
        <c:majorTickMark val="out"/>
        <c:minorTickMark val="none"/>
        <c:tickLblPos val="nextTo"/>
        <c:crossAx val="194984152"/>
        <c:crosses val="autoZero"/>
        <c:auto val="1"/>
        <c:lblAlgn val="ctr"/>
        <c:lblOffset val="100"/>
        <c:noMultiLvlLbl val="0"/>
      </c:catAx>
      <c:valAx>
        <c:axId val="194984152"/>
        <c:scaling>
          <c:orientation val="minMax"/>
        </c:scaling>
        <c:delete val="0"/>
        <c:axPos val="l"/>
        <c:majorGridlines>
          <c:spPr>
            <a:ln>
              <a:noFill/>
            </a:ln>
          </c:spPr>
        </c:majorGridlines>
        <c:numFmt formatCode="0.0%" sourceLinked="0"/>
        <c:majorTickMark val="out"/>
        <c:minorTickMark val="none"/>
        <c:tickLblPos val="nextTo"/>
        <c:crossAx val="194983760"/>
        <c:crosses val="autoZero"/>
        <c:crossBetween val="between"/>
      </c:valAx>
      <c:spPr>
        <a:noFill/>
        <a:ln>
          <a:noFill/>
        </a:ln>
      </c:spPr>
    </c:plotArea>
    <c:legend>
      <c:legendPos val="r"/>
      <c:layout>
        <c:manualLayout>
          <c:xMode val="edge"/>
          <c:yMode val="edge"/>
          <c:x val="4.9698206328860066E-2"/>
          <c:y val="0.8878904906117504"/>
          <c:w val="0.91061535912662084"/>
          <c:h val="0.11210950938824954"/>
        </c:manualLayout>
      </c:layout>
      <c:overlay val="0"/>
    </c:legend>
    <c:plotVisOnly val="1"/>
    <c:dispBlanksAs val="gap"/>
    <c:showDLblsOverMax val="0"/>
  </c:chart>
  <c:spPr>
    <a:noFill/>
    <a:ln>
      <a:noFill/>
    </a:ln>
  </c:spPr>
  <c:txPr>
    <a:bodyPr/>
    <a:lstStyle/>
    <a:p>
      <a:pPr>
        <a:defRPr sz="600"/>
      </a:pPr>
      <a:endParaRPr lang="en-US"/>
    </a:p>
  </c:txPr>
  <c:externalData r:id="rId1">
    <c:autoUpdate val="0"/>
  </c:externalData>
</c:chartSpace>
</file>

<file path=word/charts/chart6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6.4178217694941614E-2"/>
          <c:y val="3.2352955880514934E-2"/>
          <c:w val="0.85469196785184465"/>
          <c:h val="0.69958582100314382"/>
        </c:manualLayout>
      </c:layout>
      <c:lineChart>
        <c:grouping val="standard"/>
        <c:varyColors val="0"/>
        <c:ser>
          <c:idx val="2"/>
          <c:order val="0"/>
          <c:tx>
            <c:strRef>
              <c:f>'PP izvrsne stope EUR'!$G$3</c:f>
              <c:strCache>
                <c:ptCount val="1"/>
                <c:pt idx="0">
                  <c:v>2014</c:v>
                </c:pt>
              </c:strCache>
            </c:strRef>
          </c:tx>
          <c:marker>
            <c:symbol val="square"/>
            <c:size val="3"/>
          </c:marker>
          <c:dLbls>
            <c:spPr>
              <a:noFill/>
              <a:ln>
                <a:noFill/>
              </a:ln>
              <a:effectLst/>
            </c:spPr>
            <c:dLblPos val="t"/>
            <c:showLegendKey val="0"/>
            <c:showVal val="1"/>
            <c:showCatName val="0"/>
            <c:showSerName val="0"/>
            <c:showPercent val="0"/>
            <c:showBubbleSize val="0"/>
            <c:showLeaderLines val="0"/>
            <c:extLst xmlns:c15="http://schemas.microsoft.com/office/drawing/2012/chart">
              <c:ext xmlns:c15="http://schemas.microsoft.com/office/drawing/2012/chart" uri="{CE6537A1-D6FC-4f65-9D91-7224C49458BB}">
                <c15:showLeaderLines val="1"/>
              </c:ext>
            </c:extLst>
          </c:dLbls>
          <c:cat>
            <c:strRef>
              <c:f>'PP izvrsne stope EUR'!$C$4:$C$11</c:f>
              <c:strCache>
                <c:ptCount val="8"/>
                <c:pt idx="0">
                  <c:v>53Н</c:v>
                </c:pt>
                <c:pt idx="1">
                  <c:v>2Г</c:v>
                </c:pt>
                <c:pt idx="2">
                  <c:v>3Г</c:v>
                </c:pt>
                <c:pt idx="3">
                  <c:v>5Г</c:v>
                </c:pt>
                <c:pt idx="4">
                  <c:v>10Г</c:v>
                </c:pt>
                <c:pt idx="5">
                  <c:v>12г</c:v>
                </c:pt>
                <c:pt idx="6">
                  <c:v>15Г</c:v>
                </c:pt>
                <c:pt idx="7">
                  <c:v>20Г</c:v>
                </c:pt>
              </c:strCache>
            </c:strRef>
          </c:cat>
          <c:val>
            <c:numRef>
              <c:f>'PP izvrsne stope EUR'!$G$4:$G$11</c:f>
              <c:numCache>
                <c:formatCode>0.00%</c:formatCode>
                <c:ptCount val="8"/>
                <c:pt idx="0">
                  <c:v>3.0418185954225487E-2</c:v>
                </c:pt>
                <c:pt idx="1">
                  <c:v>3.9104744879831482E-2</c:v>
                </c:pt>
                <c:pt idx="2">
                  <c:v>4.7138205908340364E-2</c:v>
                </c:pt>
                <c:pt idx="3">
                  <c:v>4.9891847307430133E-2</c:v>
                </c:pt>
                <c:pt idx="4">
                  <c:v>5.5E-2</c:v>
                </c:pt>
              </c:numCache>
            </c:numRef>
          </c:val>
          <c:smooth val="0"/>
          <c:extLst xmlns:c15="http://schemas.microsoft.com/office/drawing/2012/chart">
            <c:ext xmlns:c16="http://schemas.microsoft.com/office/drawing/2014/chart" uri="{C3380CC4-5D6E-409C-BE32-E72D297353CC}">
              <c16:uniqueId val="{00000000-4DAD-43A0-93E8-6F9BBABF801F}"/>
            </c:ext>
          </c:extLst>
        </c:ser>
        <c:ser>
          <c:idx val="3"/>
          <c:order val="1"/>
          <c:tx>
            <c:strRef>
              <c:f>'PP izvrsne stope EUR'!$H$3</c:f>
              <c:strCache>
                <c:ptCount val="1"/>
                <c:pt idx="0">
                  <c:v>2015</c:v>
                </c:pt>
              </c:strCache>
            </c:strRef>
          </c:tx>
          <c:marker>
            <c:symbol val="square"/>
            <c:size val="3"/>
          </c:marker>
          <c:dLbls>
            <c:spPr>
              <a:noFill/>
              <a:ln>
                <a:noFill/>
              </a:ln>
              <a:effectLst/>
            </c:spPr>
            <c:dLblPos val="t"/>
            <c:showLegendKey val="0"/>
            <c:showVal val="1"/>
            <c:showCatName val="0"/>
            <c:showSerName val="0"/>
            <c:showPercent val="0"/>
            <c:showBubbleSize val="0"/>
            <c:showLeaderLines val="0"/>
            <c:extLst xmlns:c15="http://schemas.microsoft.com/office/drawing/2012/chart">
              <c:ext xmlns:c15="http://schemas.microsoft.com/office/drawing/2012/chart" uri="{CE6537A1-D6FC-4f65-9D91-7224C49458BB}">
                <c15:showLeaderLines val="1"/>
              </c:ext>
            </c:extLst>
          </c:dLbls>
          <c:cat>
            <c:strRef>
              <c:f>'PP izvrsne stope EUR'!$C$4:$C$11</c:f>
              <c:strCache>
                <c:ptCount val="8"/>
                <c:pt idx="0">
                  <c:v>53Н</c:v>
                </c:pt>
                <c:pt idx="1">
                  <c:v>2Г</c:v>
                </c:pt>
                <c:pt idx="2">
                  <c:v>3Г</c:v>
                </c:pt>
                <c:pt idx="3">
                  <c:v>5Г</c:v>
                </c:pt>
                <c:pt idx="4">
                  <c:v>10Г</c:v>
                </c:pt>
                <c:pt idx="5">
                  <c:v>12г</c:v>
                </c:pt>
                <c:pt idx="6">
                  <c:v>15Г</c:v>
                </c:pt>
                <c:pt idx="7">
                  <c:v>20Г</c:v>
                </c:pt>
              </c:strCache>
            </c:strRef>
          </c:cat>
          <c:val>
            <c:numRef>
              <c:f>'PP izvrsne stope EUR'!$H$4:$H$11</c:f>
              <c:numCache>
                <c:formatCode>0.00%</c:formatCode>
                <c:ptCount val="8"/>
                <c:pt idx="0">
                  <c:v>1.83E-2</c:v>
                </c:pt>
                <c:pt idx="1">
                  <c:v>2.6700000000000002E-2</c:v>
                </c:pt>
                <c:pt idx="2">
                  <c:v>0.04</c:v>
                </c:pt>
                <c:pt idx="3">
                  <c:v>4.4900000000000002E-2</c:v>
                </c:pt>
                <c:pt idx="4">
                  <c:v>4.48E-2</c:v>
                </c:pt>
              </c:numCache>
            </c:numRef>
          </c:val>
          <c:smooth val="0"/>
          <c:extLst xmlns:c15="http://schemas.microsoft.com/office/drawing/2012/chart">
            <c:ext xmlns:c16="http://schemas.microsoft.com/office/drawing/2014/chart" uri="{C3380CC4-5D6E-409C-BE32-E72D297353CC}">
              <c16:uniqueId val="{00000001-4DAD-43A0-93E8-6F9BBABF801F}"/>
            </c:ext>
          </c:extLst>
        </c:ser>
        <c:ser>
          <c:idx val="4"/>
          <c:order val="2"/>
          <c:tx>
            <c:strRef>
              <c:f>'PP izvrsne stope EUR'!$I$3</c:f>
              <c:strCache>
                <c:ptCount val="1"/>
                <c:pt idx="0">
                  <c:v>2016</c:v>
                </c:pt>
              </c:strCache>
            </c:strRef>
          </c:tx>
          <c:marker>
            <c:symbol val="square"/>
            <c:size val="3"/>
          </c:marker>
          <c:dLbls>
            <c:spPr>
              <a:noFill/>
              <a:ln>
                <a:noFill/>
              </a:ln>
              <a:effectLst/>
            </c:spPr>
            <c:dLblPos val="t"/>
            <c:showLegendKey val="0"/>
            <c:showVal val="1"/>
            <c:showCatName val="0"/>
            <c:showSerName val="0"/>
            <c:showPercent val="0"/>
            <c:showBubbleSize val="0"/>
            <c:showLeaderLines val="0"/>
            <c:extLst xmlns:c15="http://schemas.microsoft.com/office/drawing/2012/chart">
              <c:ext xmlns:c15="http://schemas.microsoft.com/office/drawing/2012/chart" uri="{CE6537A1-D6FC-4f65-9D91-7224C49458BB}">
                <c15:showLeaderLines val="1"/>
              </c:ext>
            </c:extLst>
          </c:dLbls>
          <c:cat>
            <c:strRef>
              <c:f>'PP izvrsne stope EUR'!$C$4:$C$11</c:f>
              <c:strCache>
                <c:ptCount val="8"/>
                <c:pt idx="0">
                  <c:v>53Н</c:v>
                </c:pt>
                <c:pt idx="1">
                  <c:v>2Г</c:v>
                </c:pt>
                <c:pt idx="2">
                  <c:v>3Г</c:v>
                </c:pt>
                <c:pt idx="3">
                  <c:v>5Г</c:v>
                </c:pt>
                <c:pt idx="4">
                  <c:v>10Г</c:v>
                </c:pt>
                <c:pt idx="5">
                  <c:v>12г</c:v>
                </c:pt>
                <c:pt idx="6">
                  <c:v>15Г</c:v>
                </c:pt>
                <c:pt idx="7">
                  <c:v>20Г</c:v>
                </c:pt>
              </c:strCache>
            </c:strRef>
          </c:cat>
          <c:val>
            <c:numRef>
              <c:f>'PP izvrsne stope EUR'!$I$4:$I$11</c:f>
              <c:numCache>
                <c:formatCode>0.00%</c:formatCode>
                <c:ptCount val="8"/>
                <c:pt idx="0">
                  <c:v>9.4417358622498043E-3</c:v>
                </c:pt>
                <c:pt idx="1">
                  <c:v>1.3644036041361296E-2</c:v>
                </c:pt>
                <c:pt idx="2">
                  <c:v>2.9759600523163947E-2</c:v>
                </c:pt>
                <c:pt idx="3">
                  <c:v>3.1357142857142854E-2</c:v>
                </c:pt>
                <c:pt idx="4">
                  <c:v>4.2000000000000003E-2</c:v>
                </c:pt>
                <c:pt idx="6">
                  <c:v>4.2000000000000003E-2</c:v>
                </c:pt>
              </c:numCache>
            </c:numRef>
          </c:val>
          <c:smooth val="0"/>
          <c:extLst xmlns:c15="http://schemas.microsoft.com/office/drawing/2012/chart">
            <c:ext xmlns:c16="http://schemas.microsoft.com/office/drawing/2014/chart" uri="{C3380CC4-5D6E-409C-BE32-E72D297353CC}">
              <c16:uniqueId val="{00000002-4DAD-43A0-93E8-6F9BBABF801F}"/>
            </c:ext>
          </c:extLst>
        </c:ser>
        <c:ser>
          <c:idx val="5"/>
          <c:order val="3"/>
          <c:tx>
            <c:strRef>
              <c:f>'PP izvrsne stope EUR'!$J$3</c:f>
              <c:strCache>
                <c:ptCount val="1"/>
                <c:pt idx="0">
                  <c:v>2017</c:v>
                </c:pt>
              </c:strCache>
            </c:strRef>
          </c:tx>
          <c:dLbls>
            <c:dLbl>
              <c:idx val="6"/>
              <c:delete val="1"/>
              <c:extLst>
                <c:ext xmlns:c15="http://schemas.microsoft.com/office/drawing/2012/chart" uri="{CE6537A1-D6FC-4f65-9D91-7224C49458BB}"/>
                <c:ext xmlns:c16="http://schemas.microsoft.com/office/drawing/2014/chart" uri="{C3380CC4-5D6E-409C-BE32-E72D297353CC}">
                  <c16:uniqueId val="{00000000-1B92-40A1-A9BE-E84AF298B4DF}"/>
                </c:ext>
              </c:extLst>
            </c:dLbl>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'PP izvrsne stope EUR'!$C$4:$C$11</c:f>
              <c:strCache>
                <c:ptCount val="8"/>
                <c:pt idx="0">
                  <c:v>53Н</c:v>
                </c:pt>
                <c:pt idx="1">
                  <c:v>2Г</c:v>
                </c:pt>
                <c:pt idx="2">
                  <c:v>3Г</c:v>
                </c:pt>
                <c:pt idx="3">
                  <c:v>5Г</c:v>
                </c:pt>
                <c:pt idx="4">
                  <c:v>10Г</c:v>
                </c:pt>
                <c:pt idx="5">
                  <c:v>12г</c:v>
                </c:pt>
                <c:pt idx="6">
                  <c:v>15Г</c:v>
                </c:pt>
                <c:pt idx="7">
                  <c:v>20Г</c:v>
                </c:pt>
              </c:strCache>
            </c:strRef>
          </c:cat>
          <c:val>
            <c:numRef>
              <c:f>'PP izvrsne stope EUR'!$J$4:$J$11</c:f>
              <c:numCache>
                <c:formatCode>0.00%</c:formatCode>
                <c:ptCount val="8"/>
                <c:pt idx="0">
                  <c:v>6.2635145185452766E-3</c:v>
                </c:pt>
                <c:pt idx="1">
                  <c:v>1.0360033899389172E-2</c:v>
                </c:pt>
                <c:pt idx="2">
                  <c:v>1.8649799295294825E-2</c:v>
                </c:pt>
                <c:pt idx="3">
                  <c:v>2.6212040071733351E-2</c:v>
                </c:pt>
                <c:pt idx="4">
                  <c:v>0.04</c:v>
                </c:pt>
                <c:pt idx="6">
                  <c:v>4.2000000000000003E-2</c:v>
                </c:pt>
              </c:numCache>
            </c:numRef>
          </c:val>
          <c:smooth val="0"/>
          <c:extLst>
            <c:ext xmlns:c16="http://schemas.microsoft.com/office/drawing/2014/chart" uri="{C3380CC4-5D6E-409C-BE32-E72D297353CC}">
              <c16:uniqueId val="{00000003-4DAD-43A0-93E8-6F9BBABF801F}"/>
            </c:ext>
          </c:extLst>
        </c:ser>
        <c:ser>
          <c:idx val="0"/>
          <c:order val="4"/>
          <c:tx>
            <c:strRef>
              <c:f>'PP izvrsne stope EUR'!$K$3</c:f>
              <c:strCache>
                <c:ptCount val="1"/>
                <c:pt idx="0">
                  <c:v>2018</c:v>
                </c:pt>
              </c:strCache>
            </c:strRef>
          </c:tx>
          <c:dLbls>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'PP izvrsne stope EUR'!$C$4:$C$11</c:f>
              <c:strCache>
                <c:ptCount val="8"/>
                <c:pt idx="0">
                  <c:v>53Н</c:v>
                </c:pt>
                <c:pt idx="1">
                  <c:v>2Г</c:v>
                </c:pt>
                <c:pt idx="2">
                  <c:v>3Г</c:v>
                </c:pt>
                <c:pt idx="3">
                  <c:v>5Г</c:v>
                </c:pt>
                <c:pt idx="4">
                  <c:v>10Г</c:v>
                </c:pt>
                <c:pt idx="5">
                  <c:v>12г</c:v>
                </c:pt>
                <c:pt idx="6">
                  <c:v>15Г</c:v>
                </c:pt>
                <c:pt idx="7">
                  <c:v>20Г</c:v>
                </c:pt>
              </c:strCache>
            </c:strRef>
          </c:cat>
          <c:val>
            <c:numRef>
              <c:f>'PP izvrsne stope EUR'!$K$4:$K$11</c:f>
              <c:numCache>
                <c:formatCode>0.00%</c:formatCode>
                <c:ptCount val="8"/>
                <c:pt idx="0">
                  <c:v>4.5989898989898994E-3</c:v>
                </c:pt>
                <c:pt idx="1">
                  <c:v>8.7888787429136698E-3</c:v>
                </c:pt>
                <c:pt idx="2">
                  <c:v>1.2512238579642383E-2</c:v>
                </c:pt>
                <c:pt idx="3">
                  <c:v>1.8924744210098623E-2</c:v>
                </c:pt>
                <c:pt idx="4">
                  <c:v>3.5000000000000003E-2</c:v>
                </c:pt>
              </c:numCache>
            </c:numRef>
          </c:val>
          <c:smooth val="0"/>
          <c:extLst>
            <c:ext xmlns:c16="http://schemas.microsoft.com/office/drawing/2014/chart" uri="{C3380CC4-5D6E-409C-BE32-E72D297353CC}">
              <c16:uniqueId val="{00000004-4DAD-43A0-93E8-6F9BBABF801F}"/>
            </c:ext>
          </c:extLst>
        </c:ser>
        <c:ser>
          <c:idx val="1"/>
          <c:order val="5"/>
          <c:tx>
            <c:strRef>
              <c:f>'PP izvrsne stope EUR'!$L$3</c:f>
              <c:strCache>
                <c:ptCount val="1"/>
                <c:pt idx="0">
                  <c:v>2019</c:v>
                </c:pt>
              </c:strCache>
            </c:strRef>
          </c:tx>
          <c:dLbls>
            <c:dLbl>
              <c:idx val="4"/>
              <c:layout>
                <c:manualLayout>
                  <c:x val="-8.7301573662421311E-4"/>
                  <c:y val="-5.042069741282339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4DAD-43A0-93E8-6F9BBABF801F}"/>
                </c:ext>
              </c:extLst>
            </c:dLbl>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'PP izvrsne stope EUR'!$C$4:$C$11</c:f>
              <c:strCache>
                <c:ptCount val="8"/>
                <c:pt idx="0">
                  <c:v>53Н</c:v>
                </c:pt>
                <c:pt idx="1">
                  <c:v>2Г</c:v>
                </c:pt>
                <c:pt idx="2">
                  <c:v>3Г</c:v>
                </c:pt>
                <c:pt idx="3">
                  <c:v>5Г</c:v>
                </c:pt>
                <c:pt idx="4">
                  <c:v>10Г</c:v>
                </c:pt>
                <c:pt idx="5">
                  <c:v>12г</c:v>
                </c:pt>
                <c:pt idx="6">
                  <c:v>15Г</c:v>
                </c:pt>
                <c:pt idx="7">
                  <c:v>20Г</c:v>
                </c:pt>
              </c:strCache>
            </c:strRef>
          </c:cat>
          <c:val>
            <c:numRef>
              <c:f>'PP izvrsne stope EUR'!$L$4:$L$11</c:f>
              <c:numCache>
                <c:formatCode>0.00%</c:formatCode>
                <c:ptCount val="8"/>
                <c:pt idx="1">
                  <c:v>0.01</c:v>
                </c:pt>
                <c:pt idx="2">
                  <c:v>1.2500000000000001E-2</c:v>
                </c:pt>
                <c:pt idx="3">
                  <c:v>1.7468554713468955E-2</c:v>
                </c:pt>
                <c:pt idx="4">
                  <c:v>3.2500000000000001E-2</c:v>
                </c:pt>
                <c:pt idx="6">
                  <c:v>3.5999999999999997E-2</c:v>
                </c:pt>
              </c:numCache>
            </c:numRef>
          </c:val>
          <c:smooth val="0"/>
          <c:extLst>
            <c:ext xmlns:c16="http://schemas.microsoft.com/office/drawing/2014/chart" uri="{C3380CC4-5D6E-409C-BE32-E72D297353CC}">
              <c16:uniqueId val="{00000006-4DAD-43A0-93E8-6F9BBABF801F}"/>
            </c:ext>
          </c:extLst>
        </c:ser>
        <c:ser>
          <c:idx val="6"/>
          <c:order val="6"/>
          <c:tx>
            <c:strRef>
              <c:f>'PP izvrsne stope EUR'!$M$3</c:f>
              <c:strCache>
                <c:ptCount val="1"/>
                <c:pt idx="0">
                  <c:v>2020</c:v>
                </c:pt>
              </c:strCache>
            </c:strRef>
          </c:tx>
          <c:dLbls>
            <c:dLbl>
              <c:idx val="0"/>
              <c:layout>
                <c:manualLayout>
                  <c:x val="-5.8412689286856445E-2"/>
                  <c:y val="-9.1508561429821268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4DAD-43A0-93E8-6F9BBABF801F}"/>
                </c:ext>
              </c:extLst>
            </c:dLbl>
            <c:dLbl>
              <c:idx val="1"/>
              <c:layout>
                <c:manualLayout>
                  <c:x val="1.3015870982397358E-2"/>
                  <c:y val="-2.502387201599800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4DAD-43A0-93E8-6F9BBABF801F}"/>
                </c:ext>
              </c:extLst>
            </c:dLbl>
            <c:dLbl>
              <c:idx val="4"/>
              <c:layout>
                <c:manualLayout>
                  <c:x val="9.0476176341054808E-3"/>
                  <c:y val="-2.184926884139482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4DAD-43A0-93E8-6F9BBABF801F}"/>
                </c:ext>
              </c:extLst>
            </c:dLbl>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'PP izvrsne stope EUR'!$C$4:$C$11</c:f>
              <c:strCache>
                <c:ptCount val="8"/>
                <c:pt idx="0">
                  <c:v>53Н</c:v>
                </c:pt>
                <c:pt idx="1">
                  <c:v>2Г</c:v>
                </c:pt>
                <c:pt idx="2">
                  <c:v>3Г</c:v>
                </c:pt>
                <c:pt idx="3">
                  <c:v>5Г</c:v>
                </c:pt>
                <c:pt idx="4">
                  <c:v>10Г</c:v>
                </c:pt>
                <c:pt idx="5">
                  <c:v>12г</c:v>
                </c:pt>
                <c:pt idx="6">
                  <c:v>15Г</c:v>
                </c:pt>
                <c:pt idx="7">
                  <c:v>20Г</c:v>
                </c:pt>
              </c:strCache>
            </c:strRef>
          </c:cat>
          <c:val>
            <c:numRef>
              <c:f>'PP izvrsne stope EUR'!$M$4:$M$11</c:f>
              <c:numCache>
                <c:formatCode>0.00%</c:formatCode>
                <c:ptCount val="8"/>
                <c:pt idx="1">
                  <c:v>5.0000000000000001E-3</c:v>
                </c:pt>
                <c:pt idx="3">
                  <c:v>0.01</c:v>
                </c:pt>
                <c:pt idx="5">
                  <c:v>1.89E-2</c:v>
                </c:pt>
              </c:numCache>
            </c:numRef>
          </c:val>
          <c:smooth val="0"/>
          <c:extLst>
            <c:ext xmlns:c16="http://schemas.microsoft.com/office/drawing/2014/chart" uri="{C3380CC4-5D6E-409C-BE32-E72D297353CC}">
              <c16:uniqueId val="{0000000A-4DAD-43A0-93E8-6F9BBABF801F}"/>
            </c:ext>
          </c:extLst>
        </c:ser>
        <c:ser>
          <c:idx val="7"/>
          <c:order val="7"/>
          <c:tx>
            <c:strRef>
              <c:f>'PP izvrsne stope EUR'!$N$3</c:f>
              <c:strCache>
                <c:ptCount val="1"/>
                <c:pt idx="0">
                  <c:v>VIII/2021</c:v>
                </c:pt>
              </c:strCache>
            </c:strRef>
          </c:tx>
          <c:dLbls>
            <c:dLbl>
              <c:idx val="0"/>
              <c:layout>
                <c:manualLayout>
                  <c:x val="-6.4365069309294254E-2"/>
                  <c:y val="1.942057242844632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4DAD-43A0-93E8-6F9BBABF801F}"/>
                </c:ext>
              </c:extLst>
            </c:dLbl>
            <c:dLbl>
              <c:idx val="1"/>
              <c:layout>
                <c:manualLayout>
                  <c:x val="5.079364285813604E-3"/>
                  <c:y val="9.8967629046369208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4DAD-43A0-93E8-6F9BBABF801F}"/>
                </c:ext>
              </c:extLst>
            </c:dLbl>
            <c:dLbl>
              <c:idx val="3"/>
              <c:layout>
                <c:manualLayout>
                  <c:x val="7.0634909599595428E-3"/>
                  <c:y val="6.7221597300336292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4DAD-43A0-93E8-6F9BBABF801F}"/>
                </c:ext>
              </c:extLst>
            </c:dLbl>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'PP izvrsne stope EUR'!$C$4:$C$11</c:f>
              <c:strCache>
                <c:ptCount val="8"/>
                <c:pt idx="0">
                  <c:v>53Н</c:v>
                </c:pt>
                <c:pt idx="1">
                  <c:v>2Г</c:v>
                </c:pt>
                <c:pt idx="2">
                  <c:v>3Г</c:v>
                </c:pt>
                <c:pt idx="3">
                  <c:v>5Г</c:v>
                </c:pt>
                <c:pt idx="4">
                  <c:v>10Г</c:v>
                </c:pt>
                <c:pt idx="5">
                  <c:v>12г</c:v>
                </c:pt>
                <c:pt idx="6">
                  <c:v>15Г</c:v>
                </c:pt>
                <c:pt idx="7">
                  <c:v>20Г</c:v>
                </c:pt>
              </c:strCache>
            </c:strRef>
          </c:cat>
          <c:val>
            <c:numRef>
              <c:f>'PP izvrsne stope EUR'!$N$4:$N$11</c:f>
              <c:numCache>
                <c:formatCode>General</c:formatCode>
                <c:ptCount val="8"/>
                <c:pt idx="5" formatCode="0.00%">
                  <c:v>1.7399999999999999E-2</c:v>
                </c:pt>
                <c:pt idx="7" formatCode="0.00%">
                  <c:v>2.2499999999999999E-2</c:v>
                </c:pt>
              </c:numCache>
            </c:numRef>
          </c:val>
          <c:smooth val="0"/>
          <c:extLst>
            <c:ext xmlns:c16="http://schemas.microsoft.com/office/drawing/2014/chart" uri="{C3380CC4-5D6E-409C-BE32-E72D297353CC}">
              <c16:uniqueId val="{0000000E-4DAD-43A0-93E8-6F9BBABF801F}"/>
            </c:ext>
          </c:extLst>
        </c:ser>
        <c:dLbls>
          <c:dLblPos val="t"/>
          <c:showLegendKey val="0"/>
          <c:showVal val="1"/>
          <c:showCatName val="0"/>
          <c:showSerName val="0"/>
          <c:showPercent val="0"/>
          <c:showBubbleSize val="0"/>
        </c:dLbls>
        <c:marker val="1"/>
        <c:smooth val="0"/>
        <c:axId val="196476816"/>
        <c:axId val="196477208"/>
        <c:extLst/>
      </c:lineChart>
      <c:catAx>
        <c:axId val="196476816"/>
        <c:scaling>
          <c:orientation val="minMax"/>
        </c:scaling>
        <c:delete val="0"/>
        <c:axPos val="b"/>
        <c:numFmt formatCode="General" sourceLinked="1"/>
        <c:majorTickMark val="out"/>
        <c:minorTickMark val="none"/>
        <c:tickLblPos val="nextTo"/>
        <c:crossAx val="196477208"/>
        <c:crosses val="autoZero"/>
        <c:auto val="1"/>
        <c:lblAlgn val="ctr"/>
        <c:lblOffset val="100"/>
        <c:noMultiLvlLbl val="0"/>
      </c:catAx>
      <c:valAx>
        <c:axId val="196477208"/>
        <c:scaling>
          <c:orientation val="minMax"/>
        </c:scaling>
        <c:delete val="0"/>
        <c:axPos val="l"/>
        <c:numFmt formatCode="0.0%" sourceLinked="0"/>
        <c:majorTickMark val="out"/>
        <c:minorTickMark val="none"/>
        <c:tickLblPos val="nextTo"/>
        <c:crossAx val="196476816"/>
        <c:crosses val="autoZero"/>
        <c:crossBetween val="between"/>
      </c:valAx>
      <c:spPr>
        <a:noFill/>
      </c:spPr>
    </c:plotArea>
    <c:legend>
      <c:legendPos val="r"/>
      <c:layout>
        <c:manualLayout>
          <c:xMode val="edge"/>
          <c:yMode val="edge"/>
          <c:x val="3.6575708208887683E-2"/>
          <c:y val="0.82311996607479798"/>
          <c:w val="0.93943698847988832"/>
          <c:h val="9.1318487609765617E-2"/>
        </c:manualLayout>
      </c:layout>
      <c:overlay val="0"/>
    </c:legend>
    <c:plotVisOnly val="1"/>
    <c:dispBlanksAs val="gap"/>
    <c:showDLblsOverMax val="0"/>
  </c:chart>
  <c:spPr>
    <a:noFill/>
    <a:ln>
      <a:noFill/>
    </a:ln>
  </c:spPr>
  <c:txPr>
    <a:bodyPr/>
    <a:lstStyle/>
    <a:p>
      <a:pPr>
        <a:defRPr sz="600">
          <a:latin typeface="+mn-lt"/>
          <a:cs typeface="Arial" panose="020B0604020202020204" pitchFamily="34" charset="0"/>
        </a:defRPr>
      </a:pPr>
      <a:endParaRPr lang="en-US"/>
    </a:p>
  </c:txPr>
  <c:externalData r:id="rId2">
    <c:autoUpdate val="0"/>
  </c:externalData>
</c:chartSpace>
</file>

<file path=word/charts/chart6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7.1384884077231522E-2"/>
          <c:y val="0.10592701089671445"/>
          <c:w val="0.84648641975308669"/>
          <c:h val="0.69632222222222218"/>
        </c:manualLayout>
      </c:layout>
      <c:areaChart>
        <c:grouping val="standard"/>
        <c:varyColors val="0"/>
        <c:ser>
          <c:idx val="0"/>
          <c:order val="0"/>
          <c:tx>
            <c:strRef>
              <c:f>'EUROBOND 2021 offline'!$B$4</c:f>
              <c:strCache>
                <c:ptCount val="1"/>
                <c:pt idx="0">
                  <c:v>Цена на затварању</c:v>
                </c:pt>
              </c:strCache>
            </c:strRef>
          </c:tx>
          <c:spPr>
            <a:ln w="25400">
              <a:noFill/>
            </a:ln>
          </c:spPr>
          <c:cat>
            <c:numRef>
              <c:f>'EUROBOND 2021 offline'!$A$27:$A$966</c:f>
              <c:numCache>
                <c:formatCode>dd\/mm\/yy</c:formatCode>
                <c:ptCount val="940"/>
                <c:pt idx="0">
                  <c:v>44439</c:v>
                </c:pt>
                <c:pt idx="1">
                  <c:v>44438</c:v>
                </c:pt>
                <c:pt idx="2">
                  <c:v>44435</c:v>
                </c:pt>
                <c:pt idx="3">
                  <c:v>44434</c:v>
                </c:pt>
                <c:pt idx="4">
                  <c:v>44433</c:v>
                </c:pt>
                <c:pt idx="5">
                  <c:v>44432</c:v>
                </c:pt>
                <c:pt idx="6">
                  <c:v>44431</c:v>
                </c:pt>
                <c:pt idx="7">
                  <c:v>44428</c:v>
                </c:pt>
                <c:pt idx="8">
                  <c:v>44427</c:v>
                </c:pt>
                <c:pt idx="9">
                  <c:v>44426</c:v>
                </c:pt>
                <c:pt idx="10">
                  <c:v>44425</c:v>
                </c:pt>
                <c:pt idx="11">
                  <c:v>44424</c:v>
                </c:pt>
                <c:pt idx="12">
                  <c:v>44421</c:v>
                </c:pt>
                <c:pt idx="13">
                  <c:v>44420</c:v>
                </c:pt>
                <c:pt idx="14">
                  <c:v>44419</c:v>
                </c:pt>
                <c:pt idx="15">
                  <c:v>44418</c:v>
                </c:pt>
                <c:pt idx="16">
                  <c:v>44417</c:v>
                </c:pt>
                <c:pt idx="17">
                  <c:v>44414</c:v>
                </c:pt>
                <c:pt idx="18">
                  <c:v>44413</c:v>
                </c:pt>
                <c:pt idx="19">
                  <c:v>44412</c:v>
                </c:pt>
                <c:pt idx="20">
                  <c:v>44411</c:v>
                </c:pt>
                <c:pt idx="21">
                  <c:v>44410</c:v>
                </c:pt>
                <c:pt idx="22">
                  <c:v>44407</c:v>
                </c:pt>
                <c:pt idx="23">
                  <c:v>44406</c:v>
                </c:pt>
                <c:pt idx="24">
                  <c:v>44405</c:v>
                </c:pt>
                <c:pt idx="25">
                  <c:v>44404</c:v>
                </c:pt>
                <c:pt idx="26">
                  <c:v>44403</c:v>
                </c:pt>
                <c:pt idx="27">
                  <c:v>44400</c:v>
                </c:pt>
                <c:pt idx="28">
                  <c:v>44399</c:v>
                </c:pt>
                <c:pt idx="29">
                  <c:v>44398</c:v>
                </c:pt>
                <c:pt idx="30">
                  <c:v>44397</c:v>
                </c:pt>
                <c:pt idx="31">
                  <c:v>44396</c:v>
                </c:pt>
                <c:pt idx="32">
                  <c:v>44393</c:v>
                </c:pt>
                <c:pt idx="33">
                  <c:v>44392</c:v>
                </c:pt>
                <c:pt idx="34">
                  <c:v>44391</c:v>
                </c:pt>
                <c:pt idx="35">
                  <c:v>44390</c:v>
                </c:pt>
                <c:pt idx="36">
                  <c:v>44389</c:v>
                </c:pt>
                <c:pt idx="37">
                  <c:v>44386</c:v>
                </c:pt>
                <c:pt idx="38">
                  <c:v>44385</c:v>
                </c:pt>
                <c:pt idx="39">
                  <c:v>44384</c:v>
                </c:pt>
                <c:pt idx="40">
                  <c:v>44383</c:v>
                </c:pt>
                <c:pt idx="41">
                  <c:v>44382</c:v>
                </c:pt>
                <c:pt idx="42">
                  <c:v>44379</c:v>
                </c:pt>
                <c:pt idx="43">
                  <c:v>44378</c:v>
                </c:pt>
                <c:pt idx="44">
                  <c:v>44377</c:v>
                </c:pt>
                <c:pt idx="45">
                  <c:v>44376</c:v>
                </c:pt>
                <c:pt idx="46">
                  <c:v>44375</c:v>
                </c:pt>
                <c:pt idx="47">
                  <c:v>44372</c:v>
                </c:pt>
                <c:pt idx="48">
                  <c:v>44371</c:v>
                </c:pt>
                <c:pt idx="49">
                  <c:v>44370</c:v>
                </c:pt>
                <c:pt idx="50">
                  <c:v>44369</c:v>
                </c:pt>
                <c:pt idx="51">
                  <c:v>44368</c:v>
                </c:pt>
                <c:pt idx="52">
                  <c:v>44365</c:v>
                </c:pt>
                <c:pt idx="53">
                  <c:v>44364</c:v>
                </c:pt>
                <c:pt idx="54">
                  <c:v>44363</c:v>
                </c:pt>
                <c:pt idx="55">
                  <c:v>44362</c:v>
                </c:pt>
                <c:pt idx="56">
                  <c:v>44361</c:v>
                </c:pt>
                <c:pt idx="57">
                  <c:v>44358</c:v>
                </c:pt>
                <c:pt idx="58">
                  <c:v>44357</c:v>
                </c:pt>
                <c:pt idx="59">
                  <c:v>44356</c:v>
                </c:pt>
                <c:pt idx="60">
                  <c:v>44355</c:v>
                </c:pt>
                <c:pt idx="61">
                  <c:v>44354</c:v>
                </c:pt>
                <c:pt idx="62">
                  <c:v>44351</c:v>
                </c:pt>
                <c:pt idx="63">
                  <c:v>44350</c:v>
                </c:pt>
                <c:pt idx="64">
                  <c:v>44349</c:v>
                </c:pt>
                <c:pt idx="65">
                  <c:v>44348</c:v>
                </c:pt>
                <c:pt idx="66">
                  <c:v>44344</c:v>
                </c:pt>
                <c:pt idx="67">
                  <c:v>44343</c:v>
                </c:pt>
                <c:pt idx="68">
                  <c:v>44342</c:v>
                </c:pt>
                <c:pt idx="69">
                  <c:v>44341</c:v>
                </c:pt>
                <c:pt idx="70">
                  <c:v>44340</c:v>
                </c:pt>
                <c:pt idx="71">
                  <c:v>44337</c:v>
                </c:pt>
                <c:pt idx="72">
                  <c:v>44336</c:v>
                </c:pt>
                <c:pt idx="73">
                  <c:v>44335</c:v>
                </c:pt>
                <c:pt idx="74">
                  <c:v>44334</c:v>
                </c:pt>
                <c:pt idx="75">
                  <c:v>44333</c:v>
                </c:pt>
                <c:pt idx="76">
                  <c:v>44330</c:v>
                </c:pt>
                <c:pt idx="77">
                  <c:v>44329</c:v>
                </c:pt>
                <c:pt idx="78">
                  <c:v>44328</c:v>
                </c:pt>
                <c:pt idx="79">
                  <c:v>44327</c:v>
                </c:pt>
                <c:pt idx="80">
                  <c:v>44326</c:v>
                </c:pt>
                <c:pt idx="81">
                  <c:v>44323</c:v>
                </c:pt>
                <c:pt idx="82">
                  <c:v>44322</c:v>
                </c:pt>
                <c:pt idx="83">
                  <c:v>44321</c:v>
                </c:pt>
                <c:pt idx="84">
                  <c:v>44320</c:v>
                </c:pt>
                <c:pt idx="85">
                  <c:v>44319</c:v>
                </c:pt>
                <c:pt idx="86">
                  <c:v>44316</c:v>
                </c:pt>
                <c:pt idx="87">
                  <c:v>44315</c:v>
                </c:pt>
                <c:pt idx="88">
                  <c:v>44314</c:v>
                </c:pt>
                <c:pt idx="89">
                  <c:v>44313</c:v>
                </c:pt>
                <c:pt idx="90">
                  <c:v>44312</c:v>
                </c:pt>
                <c:pt idx="91">
                  <c:v>44309</c:v>
                </c:pt>
                <c:pt idx="92">
                  <c:v>44308</c:v>
                </c:pt>
                <c:pt idx="93">
                  <c:v>44307</c:v>
                </c:pt>
                <c:pt idx="94">
                  <c:v>44306</c:v>
                </c:pt>
                <c:pt idx="95">
                  <c:v>44305</c:v>
                </c:pt>
                <c:pt idx="96">
                  <c:v>44302</c:v>
                </c:pt>
                <c:pt idx="97">
                  <c:v>44301</c:v>
                </c:pt>
                <c:pt idx="98">
                  <c:v>44300</c:v>
                </c:pt>
                <c:pt idx="99">
                  <c:v>44299</c:v>
                </c:pt>
                <c:pt idx="100">
                  <c:v>44298</c:v>
                </c:pt>
                <c:pt idx="101">
                  <c:v>44295</c:v>
                </c:pt>
                <c:pt idx="102">
                  <c:v>44294</c:v>
                </c:pt>
                <c:pt idx="103">
                  <c:v>44293</c:v>
                </c:pt>
                <c:pt idx="104">
                  <c:v>44292</c:v>
                </c:pt>
                <c:pt idx="105">
                  <c:v>44291</c:v>
                </c:pt>
                <c:pt idx="106">
                  <c:v>44288</c:v>
                </c:pt>
                <c:pt idx="107">
                  <c:v>44287</c:v>
                </c:pt>
                <c:pt idx="108">
                  <c:v>44286</c:v>
                </c:pt>
                <c:pt idx="109">
                  <c:v>44285</c:v>
                </c:pt>
                <c:pt idx="110">
                  <c:v>44284</c:v>
                </c:pt>
                <c:pt idx="111">
                  <c:v>44281</c:v>
                </c:pt>
                <c:pt idx="112">
                  <c:v>44280</c:v>
                </c:pt>
                <c:pt idx="113">
                  <c:v>44279</c:v>
                </c:pt>
                <c:pt idx="114">
                  <c:v>44278</c:v>
                </c:pt>
                <c:pt idx="115">
                  <c:v>44277</c:v>
                </c:pt>
                <c:pt idx="116">
                  <c:v>44274</c:v>
                </c:pt>
                <c:pt idx="117">
                  <c:v>44273</c:v>
                </c:pt>
                <c:pt idx="118">
                  <c:v>44272</c:v>
                </c:pt>
                <c:pt idx="119">
                  <c:v>44271</c:v>
                </c:pt>
                <c:pt idx="120">
                  <c:v>44270</c:v>
                </c:pt>
                <c:pt idx="121">
                  <c:v>44267</c:v>
                </c:pt>
                <c:pt idx="122">
                  <c:v>44266</c:v>
                </c:pt>
                <c:pt idx="123">
                  <c:v>44265</c:v>
                </c:pt>
                <c:pt idx="124">
                  <c:v>44264</c:v>
                </c:pt>
                <c:pt idx="125">
                  <c:v>44263</c:v>
                </c:pt>
                <c:pt idx="126">
                  <c:v>44260</c:v>
                </c:pt>
                <c:pt idx="127">
                  <c:v>44259</c:v>
                </c:pt>
                <c:pt idx="128">
                  <c:v>44258</c:v>
                </c:pt>
                <c:pt idx="129">
                  <c:v>44257</c:v>
                </c:pt>
                <c:pt idx="130">
                  <c:v>44256</c:v>
                </c:pt>
                <c:pt idx="131">
                  <c:v>44253</c:v>
                </c:pt>
                <c:pt idx="132">
                  <c:v>44252</c:v>
                </c:pt>
                <c:pt idx="133">
                  <c:v>44251</c:v>
                </c:pt>
                <c:pt idx="134">
                  <c:v>44250</c:v>
                </c:pt>
                <c:pt idx="135">
                  <c:v>44249</c:v>
                </c:pt>
                <c:pt idx="136">
                  <c:v>44246</c:v>
                </c:pt>
                <c:pt idx="137">
                  <c:v>44245</c:v>
                </c:pt>
                <c:pt idx="138">
                  <c:v>44244</c:v>
                </c:pt>
                <c:pt idx="139">
                  <c:v>44243</c:v>
                </c:pt>
                <c:pt idx="140">
                  <c:v>44242</c:v>
                </c:pt>
                <c:pt idx="141">
                  <c:v>44239</c:v>
                </c:pt>
                <c:pt idx="142">
                  <c:v>44238</c:v>
                </c:pt>
                <c:pt idx="143">
                  <c:v>44237</c:v>
                </c:pt>
                <c:pt idx="144">
                  <c:v>44236</c:v>
                </c:pt>
                <c:pt idx="145">
                  <c:v>44235</c:v>
                </c:pt>
                <c:pt idx="146">
                  <c:v>44232</c:v>
                </c:pt>
                <c:pt idx="147">
                  <c:v>44231</c:v>
                </c:pt>
                <c:pt idx="148">
                  <c:v>44230</c:v>
                </c:pt>
                <c:pt idx="149">
                  <c:v>44229</c:v>
                </c:pt>
                <c:pt idx="150">
                  <c:v>44228</c:v>
                </c:pt>
                <c:pt idx="151">
                  <c:v>44225</c:v>
                </c:pt>
                <c:pt idx="152">
                  <c:v>44224</c:v>
                </c:pt>
                <c:pt idx="153">
                  <c:v>44223</c:v>
                </c:pt>
                <c:pt idx="154">
                  <c:v>44222</c:v>
                </c:pt>
                <c:pt idx="155">
                  <c:v>44221</c:v>
                </c:pt>
                <c:pt idx="156">
                  <c:v>44218</c:v>
                </c:pt>
                <c:pt idx="157">
                  <c:v>44217</c:v>
                </c:pt>
                <c:pt idx="158">
                  <c:v>44216</c:v>
                </c:pt>
                <c:pt idx="159">
                  <c:v>44215</c:v>
                </c:pt>
                <c:pt idx="160">
                  <c:v>44214</c:v>
                </c:pt>
                <c:pt idx="161">
                  <c:v>44211</c:v>
                </c:pt>
                <c:pt idx="162">
                  <c:v>44210</c:v>
                </c:pt>
                <c:pt idx="163">
                  <c:v>44209</c:v>
                </c:pt>
                <c:pt idx="164">
                  <c:v>44208</c:v>
                </c:pt>
                <c:pt idx="165">
                  <c:v>44207</c:v>
                </c:pt>
                <c:pt idx="166">
                  <c:v>44204</c:v>
                </c:pt>
                <c:pt idx="167">
                  <c:v>44203</c:v>
                </c:pt>
                <c:pt idx="168">
                  <c:v>44202</c:v>
                </c:pt>
                <c:pt idx="169">
                  <c:v>44201</c:v>
                </c:pt>
                <c:pt idx="170">
                  <c:v>44200</c:v>
                </c:pt>
                <c:pt idx="171">
                  <c:v>44196</c:v>
                </c:pt>
                <c:pt idx="172">
                  <c:v>44195</c:v>
                </c:pt>
                <c:pt idx="173">
                  <c:v>44194</c:v>
                </c:pt>
                <c:pt idx="174">
                  <c:v>44193</c:v>
                </c:pt>
                <c:pt idx="175">
                  <c:v>44189</c:v>
                </c:pt>
                <c:pt idx="176">
                  <c:v>44188</c:v>
                </c:pt>
                <c:pt idx="177">
                  <c:v>44187</c:v>
                </c:pt>
                <c:pt idx="178">
                  <c:v>44186</c:v>
                </c:pt>
                <c:pt idx="179">
                  <c:v>44183</c:v>
                </c:pt>
                <c:pt idx="180">
                  <c:v>44182</c:v>
                </c:pt>
                <c:pt idx="181">
                  <c:v>44181</c:v>
                </c:pt>
                <c:pt idx="182">
                  <c:v>44180</c:v>
                </c:pt>
                <c:pt idx="183">
                  <c:v>44179</c:v>
                </c:pt>
                <c:pt idx="184">
                  <c:v>44176</c:v>
                </c:pt>
                <c:pt idx="185">
                  <c:v>44175</c:v>
                </c:pt>
                <c:pt idx="186">
                  <c:v>44174</c:v>
                </c:pt>
                <c:pt idx="187">
                  <c:v>44173</c:v>
                </c:pt>
                <c:pt idx="188">
                  <c:v>44172</c:v>
                </c:pt>
                <c:pt idx="189">
                  <c:v>44169</c:v>
                </c:pt>
                <c:pt idx="190">
                  <c:v>44168</c:v>
                </c:pt>
                <c:pt idx="191">
                  <c:v>44167</c:v>
                </c:pt>
                <c:pt idx="192">
                  <c:v>44166</c:v>
                </c:pt>
                <c:pt idx="193">
                  <c:v>44165</c:v>
                </c:pt>
                <c:pt idx="194">
                  <c:v>44162</c:v>
                </c:pt>
                <c:pt idx="195">
                  <c:v>44161</c:v>
                </c:pt>
                <c:pt idx="196">
                  <c:v>44160</c:v>
                </c:pt>
                <c:pt idx="197">
                  <c:v>44159</c:v>
                </c:pt>
                <c:pt idx="198">
                  <c:v>44158</c:v>
                </c:pt>
                <c:pt idx="199">
                  <c:v>44155</c:v>
                </c:pt>
                <c:pt idx="200">
                  <c:v>44154</c:v>
                </c:pt>
                <c:pt idx="201">
                  <c:v>44153</c:v>
                </c:pt>
                <c:pt idx="202">
                  <c:v>44152</c:v>
                </c:pt>
                <c:pt idx="203">
                  <c:v>44151</c:v>
                </c:pt>
                <c:pt idx="204">
                  <c:v>44148</c:v>
                </c:pt>
                <c:pt idx="205">
                  <c:v>44147</c:v>
                </c:pt>
                <c:pt idx="206">
                  <c:v>44146</c:v>
                </c:pt>
                <c:pt idx="207">
                  <c:v>44145</c:v>
                </c:pt>
                <c:pt idx="208">
                  <c:v>44144</c:v>
                </c:pt>
                <c:pt idx="209">
                  <c:v>44141</c:v>
                </c:pt>
                <c:pt idx="210">
                  <c:v>44140</c:v>
                </c:pt>
                <c:pt idx="211">
                  <c:v>44139</c:v>
                </c:pt>
                <c:pt idx="212">
                  <c:v>44138</c:v>
                </c:pt>
                <c:pt idx="213">
                  <c:v>44137</c:v>
                </c:pt>
                <c:pt idx="214">
                  <c:v>44134</c:v>
                </c:pt>
                <c:pt idx="215">
                  <c:v>44133</c:v>
                </c:pt>
                <c:pt idx="216">
                  <c:v>44132</c:v>
                </c:pt>
                <c:pt idx="217">
                  <c:v>44131</c:v>
                </c:pt>
                <c:pt idx="218">
                  <c:v>44130</c:v>
                </c:pt>
                <c:pt idx="219">
                  <c:v>44127</c:v>
                </c:pt>
                <c:pt idx="220">
                  <c:v>44126</c:v>
                </c:pt>
                <c:pt idx="221">
                  <c:v>44125</c:v>
                </c:pt>
                <c:pt idx="222">
                  <c:v>44124</c:v>
                </c:pt>
                <c:pt idx="223">
                  <c:v>44123</c:v>
                </c:pt>
                <c:pt idx="224">
                  <c:v>44120</c:v>
                </c:pt>
                <c:pt idx="225">
                  <c:v>44119</c:v>
                </c:pt>
                <c:pt idx="226">
                  <c:v>44118</c:v>
                </c:pt>
                <c:pt idx="227">
                  <c:v>44117</c:v>
                </c:pt>
                <c:pt idx="228">
                  <c:v>44116</c:v>
                </c:pt>
                <c:pt idx="229">
                  <c:v>44113</c:v>
                </c:pt>
                <c:pt idx="230">
                  <c:v>44112</c:v>
                </c:pt>
                <c:pt idx="231">
                  <c:v>44111</c:v>
                </c:pt>
                <c:pt idx="232">
                  <c:v>44110</c:v>
                </c:pt>
                <c:pt idx="233">
                  <c:v>44109</c:v>
                </c:pt>
                <c:pt idx="234">
                  <c:v>44106</c:v>
                </c:pt>
                <c:pt idx="235">
                  <c:v>44105</c:v>
                </c:pt>
                <c:pt idx="236">
                  <c:v>44104</c:v>
                </c:pt>
                <c:pt idx="237">
                  <c:v>44103</c:v>
                </c:pt>
                <c:pt idx="238">
                  <c:v>44102</c:v>
                </c:pt>
                <c:pt idx="239">
                  <c:v>44099</c:v>
                </c:pt>
                <c:pt idx="240">
                  <c:v>44098</c:v>
                </c:pt>
                <c:pt idx="241">
                  <c:v>44097</c:v>
                </c:pt>
                <c:pt idx="242">
                  <c:v>44096</c:v>
                </c:pt>
                <c:pt idx="243">
                  <c:v>44095</c:v>
                </c:pt>
                <c:pt idx="244">
                  <c:v>44092</c:v>
                </c:pt>
                <c:pt idx="245">
                  <c:v>44091</c:v>
                </c:pt>
                <c:pt idx="246">
                  <c:v>44090</c:v>
                </c:pt>
                <c:pt idx="247">
                  <c:v>44089</c:v>
                </c:pt>
                <c:pt idx="248">
                  <c:v>44088</c:v>
                </c:pt>
                <c:pt idx="249">
                  <c:v>44085</c:v>
                </c:pt>
                <c:pt idx="250">
                  <c:v>44084</c:v>
                </c:pt>
                <c:pt idx="251">
                  <c:v>44083</c:v>
                </c:pt>
                <c:pt idx="252">
                  <c:v>44082</c:v>
                </c:pt>
                <c:pt idx="253">
                  <c:v>44081</c:v>
                </c:pt>
                <c:pt idx="254">
                  <c:v>44078</c:v>
                </c:pt>
                <c:pt idx="255">
                  <c:v>44077</c:v>
                </c:pt>
                <c:pt idx="256">
                  <c:v>44076</c:v>
                </c:pt>
                <c:pt idx="257">
                  <c:v>44075</c:v>
                </c:pt>
                <c:pt idx="258">
                  <c:v>44074</c:v>
                </c:pt>
                <c:pt idx="259">
                  <c:v>44071</c:v>
                </c:pt>
                <c:pt idx="260">
                  <c:v>44070</c:v>
                </c:pt>
                <c:pt idx="261">
                  <c:v>44069</c:v>
                </c:pt>
                <c:pt idx="262">
                  <c:v>44068</c:v>
                </c:pt>
                <c:pt idx="263">
                  <c:v>44067</c:v>
                </c:pt>
                <c:pt idx="264">
                  <c:v>44064</c:v>
                </c:pt>
                <c:pt idx="265">
                  <c:v>44063</c:v>
                </c:pt>
                <c:pt idx="266">
                  <c:v>44062</c:v>
                </c:pt>
                <c:pt idx="267">
                  <c:v>44061</c:v>
                </c:pt>
                <c:pt idx="268">
                  <c:v>44060</c:v>
                </c:pt>
                <c:pt idx="269">
                  <c:v>44057</c:v>
                </c:pt>
                <c:pt idx="270">
                  <c:v>44056</c:v>
                </c:pt>
                <c:pt idx="271">
                  <c:v>44055</c:v>
                </c:pt>
                <c:pt idx="272">
                  <c:v>44054</c:v>
                </c:pt>
                <c:pt idx="273">
                  <c:v>44053</c:v>
                </c:pt>
                <c:pt idx="274">
                  <c:v>44050</c:v>
                </c:pt>
                <c:pt idx="275">
                  <c:v>44049</c:v>
                </c:pt>
                <c:pt idx="276">
                  <c:v>44048</c:v>
                </c:pt>
                <c:pt idx="277">
                  <c:v>44047</c:v>
                </c:pt>
                <c:pt idx="278">
                  <c:v>44046</c:v>
                </c:pt>
                <c:pt idx="279">
                  <c:v>44043</c:v>
                </c:pt>
                <c:pt idx="280">
                  <c:v>44042</c:v>
                </c:pt>
                <c:pt idx="281">
                  <c:v>44041</c:v>
                </c:pt>
                <c:pt idx="282">
                  <c:v>44040</c:v>
                </c:pt>
                <c:pt idx="283">
                  <c:v>44039</c:v>
                </c:pt>
                <c:pt idx="284">
                  <c:v>44036</c:v>
                </c:pt>
                <c:pt idx="285">
                  <c:v>44035</c:v>
                </c:pt>
                <c:pt idx="286">
                  <c:v>44034</c:v>
                </c:pt>
                <c:pt idx="287">
                  <c:v>44033</c:v>
                </c:pt>
                <c:pt idx="288">
                  <c:v>44032</c:v>
                </c:pt>
                <c:pt idx="289">
                  <c:v>44029</c:v>
                </c:pt>
                <c:pt idx="290">
                  <c:v>44028</c:v>
                </c:pt>
                <c:pt idx="291">
                  <c:v>44027</c:v>
                </c:pt>
                <c:pt idx="292">
                  <c:v>44026</c:v>
                </c:pt>
                <c:pt idx="293">
                  <c:v>44025</c:v>
                </c:pt>
                <c:pt idx="294">
                  <c:v>44022</c:v>
                </c:pt>
                <c:pt idx="295">
                  <c:v>44021</c:v>
                </c:pt>
                <c:pt idx="296">
                  <c:v>44020</c:v>
                </c:pt>
                <c:pt idx="297">
                  <c:v>44019</c:v>
                </c:pt>
                <c:pt idx="298">
                  <c:v>44018</c:v>
                </c:pt>
                <c:pt idx="299">
                  <c:v>44015</c:v>
                </c:pt>
                <c:pt idx="300">
                  <c:v>44014</c:v>
                </c:pt>
                <c:pt idx="301">
                  <c:v>44013</c:v>
                </c:pt>
                <c:pt idx="302">
                  <c:v>44012</c:v>
                </c:pt>
                <c:pt idx="303">
                  <c:v>44011</c:v>
                </c:pt>
                <c:pt idx="304">
                  <c:v>44008</c:v>
                </c:pt>
                <c:pt idx="305">
                  <c:v>44007</c:v>
                </c:pt>
                <c:pt idx="306">
                  <c:v>44006</c:v>
                </c:pt>
                <c:pt idx="307">
                  <c:v>44005</c:v>
                </c:pt>
                <c:pt idx="308">
                  <c:v>44004</c:v>
                </c:pt>
                <c:pt idx="309">
                  <c:v>44001</c:v>
                </c:pt>
                <c:pt idx="310">
                  <c:v>44000</c:v>
                </c:pt>
                <c:pt idx="311">
                  <c:v>43999</c:v>
                </c:pt>
                <c:pt idx="312">
                  <c:v>43998</c:v>
                </c:pt>
                <c:pt idx="313">
                  <c:v>43997</c:v>
                </c:pt>
                <c:pt idx="314">
                  <c:v>43994</c:v>
                </c:pt>
                <c:pt idx="315">
                  <c:v>43993</c:v>
                </c:pt>
                <c:pt idx="316">
                  <c:v>43992</c:v>
                </c:pt>
                <c:pt idx="317">
                  <c:v>43991</c:v>
                </c:pt>
                <c:pt idx="318">
                  <c:v>43990</c:v>
                </c:pt>
                <c:pt idx="319">
                  <c:v>43987</c:v>
                </c:pt>
                <c:pt idx="320">
                  <c:v>43986</c:v>
                </c:pt>
                <c:pt idx="321">
                  <c:v>43985</c:v>
                </c:pt>
                <c:pt idx="322">
                  <c:v>43984</c:v>
                </c:pt>
                <c:pt idx="323">
                  <c:v>43983</c:v>
                </c:pt>
                <c:pt idx="324">
                  <c:v>43980</c:v>
                </c:pt>
                <c:pt idx="325">
                  <c:v>43979</c:v>
                </c:pt>
                <c:pt idx="326">
                  <c:v>43978</c:v>
                </c:pt>
                <c:pt idx="327">
                  <c:v>43977</c:v>
                </c:pt>
                <c:pt idx="328">
                  <c:v>43976</c:v>
                </c:pt>
                <c:pt idx="329">
                  <c:v>43973</c:v>
                </c:pt>
                <c:pt idx="330">
                  <c:v>43972</c:v>
                </c:pt>
                <c:pt idx="331">
                  <c:v>43971</c:v>
                </c:pt>
                <c:pt idx="332">
                  <c:v>43970</c:v>
                </c:pt>
                <c:pt idx="333">
                  <c:v>43969</c:v>
                </c:pt>
                <c:pt idx="334">
                  <c:v>43966</c:v>
                </c:pt>
                <c:pt idx="335">
                  <c:v>43965</c:v>
                </c:pt>
                <c:pt idx="336">
                  <c:v>43964</c:v>
                </c:pt>
                <c:pt idx="337">
                  <c:v>43963</c:v>
                </c:pt>
                <c:pt idx="338">
                  <c:v>43962</c:v>
                </c:pt>
                <c:pt idx="339">
                  <c:v>43959</c:v>
                </c:pt>
                <c:pt idx="340">
                  <c:v>43958</c:v>
                </c:pt>
                <c:pt idx="341">
                  <c:v>43957</c:v>
                </c:pt>
                <c:pt idx="342">
                  <c:v>43956</c:v>
                </c:pt>
                <c:pt idx="343">
                  <c:v>43955</c:v>
                </c:pt>
                <c:pt idx="344">
                  <c:v>43952</c:v>
                </c:pt>
                <c:pt idx="345">
                  <c:v>43951</c:v>
                </c:pt>
                <c:pt idx="346">
                  <c:v>43950</c:v>
                </c:pt>
                <c:pt idx="347">
                  <c:v>43949</c:v>
                </c:pt>
                <c:pt idx="348">
                  <c:v>43948</c:v>
                </c:pt>
                <c:pt idx="349">
                  <c:v>43945</c:v>
                </c:pt>
                <c:pt idx="350">
                  <c:v>43944</c:v>
                </c:pt>
                <c:pt idx="351">
                  <c:v>43943</c:v>
                </c:pt>
                <c:pt idx="352">
                  <c:v>43942</c:v>
                </c:pt>
                <c:pt idx="353">
                  <c:v>43941</c:v>
                </c:pt>
                <c:pt idx="354">
                  <c:v>43938</c:v>
                </c:pt>
                <c:pt idx="355">
                  <c:v>43937</c:v>
                </c:pt>
                <c:pt idx="356">
                  <c:v>43936</c:v>
                </c:pt>
                <c:pt idx="357">
                  <c:v>43935</c:v>
                </c:pt>
                <c:pt idx="358">
                  <c:v>43930</c:v>
                </c:pt>
                <c:pt idx="359">
                  <c:v>43929</c:v>
                </c:pt>
                <c:pt idx="360">
                  <c:v>43928</c:v>
                </c:pt>
                <c:pt idx="361">
                  <c:v>43927</c:v>
                </c:pt>
                <c:pt idx="362">
                  <c:v>43924</c:v>
                </c:pt>
                <c:pt idx="363">
                  <c:v>43923</c:v>
                </c:pt>
                <c:pt idx="364">
                  <c:v>43922</c:v>
                </c:pt>
                <c:pt idx="365">
                  <c:v>43921</c:v>
                </c:pt>
                <c:pt idx="366">
                  <c:v>43920</c:v>
                </c:pt>
                <c:pt idx="367">
                  <c:v>43917</c:v>
                </c:pt>
                <c:pt idx="368">
                  <c:v>43916</c:v>
                </c:pt>
                <c:pt idx="369">
                  <c:v>43915</c:v>
                </c:pt>
                <c:pt idx="370">
                  <c:v>43914</c:v>
                </c:pt>
                <c:pt idx="371">
                  <c:v>43913</c:v>
                </c:pt>
                <c:pt idx="372">
                  <c:v>43910</c:v>
                </c:pt>
                <c:pt idx="373">
                  <c:v>43909</c:v>
                </c:pt>
                <c:pt idx="374">
                  <c:v>43908</c:v>
                </c:pt>
                <c:pt idx="375">
                  <c:v>43907</c:v>
                </c:pt>
                <c:pt idx="376">
                  <c:v>43906</c:v>
                </c:pt>
                <c:pt idx="377">
                  <c:v>43903</c:v>
                </c:pt>
                <c:pt idx="378">
                  <c:v>43902</c:v>
                </c:pt>
                <c:pt idx="379">
                  <c:v>43901</c:v>
                </c:pt>
                <c:pt idx="380">
                  <c:v>43900</c:v>
                </c:pt>
                <c:pt idx="381">
                  <c:v>43899</c:v>
                </c:pt>
                <c:pt idx="382">
                  <c:v>43896</c:v>
                </c:pt>
                <c:pt idx="383">
                  <c:v>43895</c:v>
                </c:pt>
                <c:pt idx="384">
                  <c:v>43894</c:v>
                </c:pt>
                <c:pt idx="385">
                  <c:v>43893</c:v>
                </c:pt>
                <c:pt idx="386">
                  <c:v>43892</c:v>
                </c:pt>
                <c:pt idx="387">
                  <c:v>43889</c:v>
                </c:pt>
                <c:pt idx="388">
                  <c:v>43888</c:v>
                </c:pt>
                <c:pt idx="389">
                  <c:v>43887</c:v>
                </c:pt>
                <c:pt idx="390">
                  <c:v>43886</c:v>
                </c:pt>
                <c:pt idx="391">
                  <c:v>43885</c:v>
                </c:pt>
                <c:pt idx="392">
                  <c:v>43882</c:v>
                </c:pt>
                <c:pt idx="393">
                  <c:v>43881</c:v>
                </c:pt>
                <c:pt idx="394">
                  <c:v>43880</c:v>
                </c:pt>
                <c:pt idx="395">
                  <c:v>43879</c:v>
                </c:pt>
                <c:pt idx="396">
                  <c:v>43878</c:v>
                </c:pt>
                <c:pt idx="397">
                  <c:v>43875</c:v>
                </c:pt>
                <c:pt idx="398">
                  <c:v>43874</c:v>
                </c:pt>
                <c:pt idx="399">
                  <c:v>43873</c:v>
                </c:pt>
                <c:pt idx="400">
                  <c:v>43872</c:v>
                </c:pt>
                <c:pt idx="401">
                  <c:v>43871</c:v>
                </c:pt>
                <c:pt idx="402">
                  <c:v>43868</c:v>
                </c:pt>
                <c:pt idx="403">
                  <c:v>43867</c:v>
                </c:pt>
                <c:pt idx="404">
                  <c:v>43866</c:v>
                </c:pt>
                <c:pt idx="405">
                  <c:v>43865</c:v>
                </c:pt>
                <c:pt idx="406">
                  <c:v>43864</c:v>
                </c:pt>
                <c:pt idx="407">
                  <c:v>43861</c:v>
                </c:pt>
                <c:pt idx="408">
                  <c:v>43860</c:v>
                </c:pt>
                <c:pt idx="409">
                  <c:v>43859</c:v>
                </c:pt>
                <c:pt idx="410">
                  <c:v>43858</c:v>
                </c:pt>
                <c:pt idx="411">
                  <c:v>43857</c:v>
                </c:pt>
                <c:pt idx="412">
                  <c:v>43854</c:v>
                </c:pt>
                <c:pt idx="413">
                  <c:v>43853</c:v>
                </c:pt>
                <c:pt idx="414">
                  <c:v>43852</c:v>
                </c:pt>
                <c:pt idx="415">
                  <c:v>43851</c:v>
                </c:pt>
                <c:pt idx="416">
                  <c:v>43850</c:v>
                </c:pt>
                <c:pt idx="417">
                  <c:v>43847</c:v>
                </c:pt>
                <c:pt idx="418">
                  <c:v>43846</c:v>
                </c:pt>
                <c:pt idx="419">
                  <c:v>43845</c:v>
                </c:pt>
                <c:pt idx="420">
                  <c:v>43844</c:v>
                </c:pt>
                <c:pt idx="421">
                  <c:v>43843</c:v>
                </c:pt>
                <c:pt idx="422">
                  <c:v>43840</c:v>
                </c:pt>
                <c:pt idx="423">
                  <c:v>43839</c:v>
                </c:pt>
                <c:pt idx="424">
                  <c:v>43838</c:v>
                </c:pt>
                <c:pt idx="425">
                  <c:v>43837</c:v>
                </c:pt>
                <c:pt idx="426">
                  <c:v>43836</c:v>
                </c:pt>
                <c:pt idx="427">
                  <c:v>43833</c:v>
                </c:pt>
                <c:pt idx="428">
                  <c:v>43832</c:v>
                </c:pt>
                <c:pt idx="429">
                  <c:v>43830</c:v>
                </c:pt>
                <c:pt idx="430">
                  <c:v>43829</c:v>
                </c:pt>
                <c:pt idx="431">
                  <c:v>43826</c:v>
                </c:pt>
                <c:pt idx="432">
                  <c:v>43823</c:v>
                </c:pt>
                <c:pt idx="433">
                  <c:v>43822</c:v>
                </c:pt>
                <c:pt idx="434">
                  <c:v>43819</c:v>
                </c:pt>
                <c:pt idx="435">
                  <c:v>43818</c:v>
                </c:pt>
                <c:pt idx="436">
                  <c:v>43817</c:v>
                </c:pt>
                <c:pt idx="437">
                  <c:v>43816</c:v>
                </c:pt>
                <c:pt idx="438">
                  <c:v>43815</c:v>
                </c:pt>
                <c:pt idx="439">
                  <c:v>43812</c:v>
                </c:pt>
                <c:pt idx="440">
                  <c:v>43811</c:v>
                </c:pt>
                <c:pt idx="441">
                  <c:v>43810</c:v>
                </c:pt>
                <c:pt idx="442">
                  <c:v>43809</c:v>
                </c:pt>
                <c:pt idx="443">
                  <c:v>43808</c:v>
                </c:pt>
                <c:pt idx="444">
                  <c:v>43805</c:v>
                </c:pt>
                <c:pt idx="445">
                  <c:v>43804</c:v>
                </c:pt>
                <c:pt idx="446">
                  <c:v>43803</c:v>
                </c:pt>
                <c:pt idx="447">
                  <c:v>43802</c:v>
                </c:pt>
                <c:pt idx="448">
                  <c:v>43801</c:v>
                </c:pt>
                <c:pt idx="449">
                  <c:v>43798</c:v>
                </c:pt>
                <c:pt idx="450">
                  <c:v>43797</c:v>
                </c:pt>
                <c:pt idx="451">
                  <c:v>43796</c:v>
                </c:pt>
                <c:pt idx="452">
                  <c:v>43795</c:v>
                </c:pt>
                <c:pt idx="453">
                  <c:v>43794</c:v>
                </c:pt>
                <c:pt idx="454">
                  <c:v>43791</c:v>
                </c:pt>
                <c:pt idx="455">
                  <c:v>43790</c:v>
                </c:pt>
                <c:pt idx="456">
                  <c:v>43789</c:v>
                </c:pt>
                <c:pt idx="457">
                  <c:v>43788</c:v>
                </c:pt>
                <c:pt idx="458">
                  <c:v>43787</c:v>
                </c:pt>
                <c:pt idx="459">
                  <c:v>43784</c:v>
                </c:pt>
                <c:pt idx="460">
                  <c:v>43783</c:v>
                </c:pt>
                <c:pt idx="461">
                  <c:v>43782</c:v>
                </c:pt>
                <c:pt idx="462">
                  <c:v>43781</c:v>
                </c:pt>
                <c:pt idx="463">
                  <c:v>43780</c:v>
                </c:pt>
                <c:pt idx="464">
                  <c:v>43777</c:v>
                </c:pt>
                <c:pt idx="465">
                  <c:v>43776</c:v>
                </c:pt>
                <c:pt idx="466">
                  <c:v>43775</c:v>
                </c:pt>
                <c:pt idx="467">
                  <c:v>43774</c:v>
                </c:pt>
                <c:pt idx="468">
                  <c:v>43773</c:v>
                </c:pt>
                <c:pt idx="469">
                  <c:v>43770</c:v>
                </c:pt>
                <c:pt idx="470">
                  <c:v>43769</c:v>
                </c:pt>
                <c:pt idx="471">
                  <c:v>43768</c:v>
                </c:pt>
                <c:pt idx="472">
                  <c:v>43767</c:v>
                </c:pt>
                <c:pt idx="473">
                  <c:v>43766</c:v>
                </c:pt>
                <c:pt idx="474">
                  <c:v>43763</c:v>
                </c:pt>
                <c:pt idx="475">
                  <c:v>43762</c:v>
                </c:pt>
                <c:pt idx="476">
                  <c:v>43761</c:v>
                </c:pt>
                <c:pt idx="477">
                  <c:v>43760</c:v>
                </c:pt>
                <c:pt idx="478">
                  <c:v>43759</c:v>
                </c:pt>
                <c:pt idx="479">
                  <c:v>43756</c:v>
                </c:pt>
                <c:pt idx="480">
                  <c:v>43755</c:v>
                </c:pt>
                <c:pt idx="481">
                  <c:v>43754</c:v>
                </c:pt>
                <c:pt idx="482">
                  <c:v>43753</c:v>
                </c:pt>
                <c:pt idx="483">
                  <c:v>43752</c:v>
                </c:pt>
                <c:pt idx="484">
                  <c:v>43749</c:v>
                </c:pt>
                <c:pt idx="485">
                  <c:v>43748</c:v>
                </c:pt>
                <c:pt idx="486">
                  <c:v>43747</c:v>
                </c:pt>
                <c:pt idx="487">
                  <c:v>43746</c:v>
                </c:pt>
                <c:pt idx="488">
                  <c:v>43745</c:v>
                </c:pt>
                <c:pt idx="489">
                  <c:v>43742</c:v>
                </c:pt>
                <c:pt idx="490">
                  <c:v>43741</c:v>
                </c:pt>
                <c:pt idx="491">
                  <c:v>43740</c:v>
                </c:pt>
                <c:pt idx="492">
                  <c:v>43739</c:v>
                </c:pt>
                <c:pt idx="493">
                  <c:v>43738</c:v>
                </c:pt>
                <c:pt idx="494">
                  <c:v>43735</c:v>
                </c:pt>
                <c:pt idx="495">
                  <c:v>43734</c:v>
                </c:pt>
                <c:pt idx="496">
                  <c:v>43733</c:v>
                </c:pt>
                <c:pt idx="497">
                  <c:v>43732</c:v>
                </c:pt>
                <c:pt idx="498">
                  <c:v>43731</c:v>
                </c:pt>
                <c:pt idx="499">
                  <c:v>43728</c:v>
                </c:pt>
                <c:pt idx="500">
                  <c:v>43727</c:v>
                </c:pt>
                <c:pt idx="501">
                  <c:v>43726</c:v>
                </c:pt>
                <c:pt idx="502">
                  <c:v>43725</c:v>
                </c:pt>
                <c:pt idx="503">
                  <c:v>43724</c:v>
                </c:pt>
                <c:pt idx="504">
                  <c:v>43721</c:v>
                </c:pt>
                <c:pt idx="505">
                  <c:v>43720</c:v>
                </c:pt>
                <c:pt idx="506">
                  <c:v>43719</c:v>
                </c:pt>
                <c:pt idx="507">
                  <c:v>43718</c:v>
                </c:pt>
                <c:pt idx="508">
                  <c:v>43717</c:v>
                </c:pt>
                <c:pt idx="509">
                  <c:v>43714</c:v>
                </c:pt>
                <c:pt idx="510">
                  <c:v>43713</c:v>
                </c:pt>
                <c:pt idx="511">
                  <c:v>43712</c:v>
                </c:pt>
                <c:pt idx="512">
                  <c:v>43711</c:v>
                </c:pt>
                <c:pt idx="513">
                  <c:v>43710</c:v>
                </c:pt>
                <c:pt idx="514">
                  <c:v>43707</c:v>
                </c:pt>
                <c:pt idx="515">
                  <c:v>43706</c:v>
                </c:pt>
                <c:pt idx="516">
                  <c:v>43705</c:v>
                </c:pt>
                <c:pt idx="517">
                  <c:v>43704</c:v>
                </c:pt>
                <c:pt idx="518">
                  <c:v>43703</c:v>
                </c:pt>
                <c:pt idx="519">
                  <c:v>43700</c:v>
                </c:pt>
                <c:pt idx="520">
                  <c:v>43699</c:v>
                </c:pt>
                <c:pt idx="521">
                  <c:v>43698</c:v>
                </c:pt>
                <c:pt idx="522">
                  <c:v>43697</c:v>
                </c:pt>
                <c:pt idx="523">
                  <c:v>43696</c:v>
                </c:pt>
                <c:pt idx="524">
                  <c:v>43693</c:v>
                </c:pt>
                <c:pt idx="525">
                  <c:v>43692</c:v>
                </c:pt>
                <c:pt idx="526">
                  <c:v>43691</c:v>
                </c:pt>
                <c:pt idx="527">
                  <c:v>43690</c:v>
                </c:pt>
                <c:pt idx="528">
                  <c:v>43689</c:v>
                </c:pt>
                <c:pt idx="529">
                  <c:v>43686</c:v>
                </c:pt>
                <c:pt idx="530">
                  <c:v>43685</c:v>
                </c:pt>
                <c:pt idx="531">
                  <c:v>43684</c:v>
                </c:pt>
                <c:pt idx="532">
                  <c:v>43683</c:v>
                </c:pt>
                <c:pt idx="533">
                  <c:v>43682</c:v>
                </c:pt>
                <c:pt idx="534">
                  <c:v>43679</c:v>
                </c:pt>
                <c:pt idx="535">
                  <c:v>43678</c:v>
                </c:pt>
                <c:pt idx="536">
                  <c:v>43677</c:v>
                </c:pt>
                <c:pt idx="537">
                  <c:v>43676</c:v>
                </c:pt>
                <c:pt idx="538">
                  <c:v>43675</c:v>
                </c:pt>
                <c:pt idx="539">
                  <c:v>43672</c:v>
                </c:pt>
                <c:pt idx="540">
                  <c:v>43671</c:v>
                </c:pt>
                <c:pt idx="541">
                  <c:v>43670</c:v>
                </c:pt>
                <c:pt idx="542">
                  <c:v>43669</c:v>
                </c:pt>
                <c:pt idx="543">
                  <c:v>43668</c:v>
                </c:pt>
                <c:pt idx="544">
                  <c:v>43665</c:v>
                </c:pt>
                <c:pt idx="545">
                  <c:v>43664</c:v>
                </c:pt>
                <c:pt idx="546">
                  <c:v>43663</c:v>
                </c:pt>
                <c:pt idx="547">
                  <c:v>43662</c:v>
                </c:pt>
                <c:pt idx="548">
                  <c:v>43661</c:v>
                </c:pt>
                <c:pt idx="549">
                  <c:v>43658</c:v>
                </c:pt>
                <c:pt idx="550">
                  <c:v>43657</c:v>
                </c:pt>
                <c:pt idx="551">
                  <c:v>43656</c:v>
                </c:pt>
                <c:pt idx="552">
                  <c:v>43655</c:v>
                </c:pt>
                <c:pt idx="553">
                  <c:v>43654</c:v>
                </c:pt>
                <c:pt idx="554">
                  <c:v>43651</c:v>
                </c:pt>
                <c:pt idx="555">
                  <c:v>43650</c:v>
                </c:pt>
                <c:pt idx="556">
                  <c:v>43649</c:v>
                </c:pt>
                <c:pt idx="557">
                  <c:v>43648</c:v>
                </c:pt>
                <c:pt idx="558">
                  <c:v>43647</c:v>
                </c:pt>
                <c:pt idx="559">
                  <c:v>43644</c:v>
                </c:pt>
                <c:pt idx="560">
                  <c:v>43643</c:v>
                </c:pt>
                <c:pt idx="561">
                  <c:v>43642</c:v>
                </c:pt>
                <c:pt idx="562">
                  <c:v>43641</c:v>
                </c:pt>
                <c:pt idx="563">
                  <c:v>43640</c:v>
                </c:pt>
                <c:pt idx="564">
                  <c:v>43637</c:v>
                </c:pt>
                <c:pt idx="565">
                  <c:v>43636</c:v>
                </c:pt>
                <c:pt idx="566">
                  <c:v>43635</c:v>
                </c:pt>
                <c:pt idx="567">
                  <c:v>43634</c:v>
                </c:pt>
                <c:pt idx="568">
                  <c:v>43633</c:v>
                </c:pt>
                <c:pt idx="569">
                  <c:v>43630</c:v>
                </c:pt>
                <c:pt idx="570">
                  <c:v>43629</c:v>
                </c:pt>
                <c:pt idx="571">
                  <c:v>43628</c:v>
                </c:pt>
                <c:pt idx="572">
                  <c:v>43627</c:v>
                </c:pt>
                <c:pt idx="573">
                  <c:v>43626</c:v>
                </c:pt>
                <c:pt idx="574">
                  <c:v>43623</c:v>
                </c:pt>
                <c:pt idx="575">
                  <c:v>43622</c:v>
                </c:pt>
                <c:pt idx="576">
                  <c:v>43621</c:v>
                </c:pt>
                <c:pt idx="577">
                  <c:v>43620</c:v>
                </c:pt>
                <c:pt idx="578">
                  <c:v>43619</c:v>
                </c:pt>
                <c:pt idx="579">
                  <c:v>43616</c:v>
                </c:pt>
                <c:pt idx="580">
                  <c:v>43615</c:v>
                </c:pt>
                <c:pt idx="581">
                  <c:v>43614</c:v>
                </c:pt>
                <c:pt idx="582">
                  <c:v>43613</c:v>
                </c:pt>
                <c:pt idx="583">
                  <c:v>43612</c:v>
                </c:pt>
                <c:pt idx="584">
                  <c:v>43609</c:v>
                </c:pt>
                <c:pt idx="585">
                  <c:v>43608</c:v>
                </c:pt>
                <c:pt idx="586">
                  <c:v>43607</c:v>
                </c:pt>
                <c:pt idx="587">
                  <c:v>43606</c:v>
                </c:pt>
                <c:pt idx="588">
                  <c:v>43605</c:v>
                </c:pt>
                <c:pt idx="589">
                  <c:v>43602</c:v>
                </c:pt>
                <c:pt idx="590">
                  <c:v>43601</c:v>
                </c:pt>
                <c:pt idx="591">
                  <c:v>43600</c:v>
                </c:pt>
                <c:pt idx="592">
                  <c:v>43599</c:v>
                </c:pt>
                <c:pt idx="593">
                  <c:v>43598</c:v>
                </c:pt>
                <c:pt idx="594">
                  <c:v>43595</c:v>
                </c:pt>
                <c:pt idx="595">
                  <c:v>43594</c:v>
                </c:pt>
                <c:pt idx="596">
                  <c:v>43593</c:v>
                </c:pt>
                <c:pt idx="597">
                  <c:v>43592</c:v>
                </c:pt>
                <c:pt idx="598">
                  <c:v>43591</c:v>
                </c:pt>
                <c:pt idx="599">
                  <c:v>43588</c:v>
                </c:pt>
                <c:pt idx="600">
                  <c:v>43587</c:v>
                </c:pt>
                <c:pt idx="601">
                  <c:v>43586</c:v>
                </c:pt>
                <c:pt idx="602">
                  <c:v>43585</c:v>
                </c:pt>
                <c:pt idx="603">
                  <c:v>43584</c:v>
                </c:pt>
                <c:pt idx="604">
                  <c:v>43581</c:v>
                </c:pt>
                <c:pt idx="605">
                  <c:v>43580</c:v>
                </c:pt>
                <c:pt idx="606">
                  <c:v>43579</c:v>
                </c:pt>
                <c:pt idx="607">
                  <c:v>43578</c:v>
                </c:pt>
                <c:pt idx="608">
                  <c:v>43573</c:v>
                </c:pt>
                <c:pt idx="609">
                  <c:v>43572</c:v>
                </c:pt>
                <c:pt idx="610">
                  <c:v>43571</c:v>
                </c:pt>
                <c:pt idx="611">
                  <c:v>43570</c:v>
                </c:pt>
                <c:pt idx="612">
                  <c:v>43567</c:v>
                </c:pt>
                <c:pt idx="613">
                  <c:v>43566</c:v>
                </c:pt>
                <c:pt idx="614">
                  <c:v>43565</c:v>
                </c:pt>
                <c:pt idx="615">
                  <c:v>43564</c:v>
                </c:pt>
                <c:pt idx="616">
                  <c:v>43563</c:v>
                </c:pt>
                <c:pt idx="617">
                  <c:v>43560</c:v>
                </c:pt>
                <c:pt idx="618">
                  <c:v>43559</c:v>
                </c:pt>
                <c:pt idx="619">
                  <c:v>43558</c:v>
                </c:pt>
                <c:pt idx="620">
                  <c:v>43557</c:v>
                </c:pt>
                <c:pt idx="621">
                  <c:v>43556</c:v>
                </c:pt>
                <c:pt idx="622">
                  <c:v>43553</c:v>
                </c:pt>
                <c:pt idx="623">
                  <c:v>43552</c:v>
                </c:pt>
                <c:pt idx="624">
                  <c:v>43551</c:v>
                </c:pt>
                <c:pt idx="625">
                  <c:v>43550</c:v>
                </c:pt>
                <c:pt idx="626">
                  <c:v>43549</c:v>
                </c:pt>
                <c:pt idx="627">
                  <c:v>43546</c:v>
                </c:pt>
                <c:pt idx="628">
                  <c:v>43545</c:v>
                </c:pt>
                <c:pt idx="629">
                  <c:v>43544</c:v>
                </c:pt>
                <c:pt idx="630">
                  <c:v>43543</c:v>
                </c:pt>
                <c:pt idx="631">
                  <c:v>43542</c:v>
                </c:pt>
                <c:pt idx="632">
                  <c:v>43539</c:v>
                </c:pt>
                <c:pt idx="633">
                  <c:v>43538</c:v>
                </c:pt>
                <c:pt idx="634">
                  <c:v>43537</c:v>
                </c:pt>
                <c:pt idx="635">
                  <c:v>43536</c:v>
                </c:pt>
                <c:pt idx="636">
                  <c:v>43535</c:v>
                </c:pt>
                <c:pt idx="637">
                  <c:v>43532</c:v>
                </c:pt>
                <c:pt idx="638">
                  <c:v>43531</c:v>
                </c:pt>
                <c:pt idx="639">
                  <c:v>43530</c:v>
                </c:pt>
                <c:pt idx="640">
                  <c:v>43529</c:v>
                </c:pt>
                <c:pt idx="641">
                  <c:v>43528</c:v>
                </c:pt>
                <c:pt idx="642">
                  <c:v>43525</c:v>
                </c:pt>
                <c:pt idx="643">
                  <c:v>43524</c:v>
                </c:pt>
                <c:pt idx="644">
                  <c:v>43523</c:v>
                </c:pt>
                <c:pt idx="645">
                  <c:v>43522</c:v>
                </c:pt>
                <c:pt idx="646">
                  <c:v>43521</c:v>
                </c:pt>
                <c:pt idx="647">
                  <c:v>43518</c:v>
                </c:pt>
                <c:pt idx="648">
                  <c:v>43517</c:v>
                </c:pt>
                <c:pt idx="649">
                  <c:v>43516</c:v>
                </c:pt>
                <c:pt idx="650">
                  <c:v>43515</c:v>
                </c:pt>
                <c:pt idx="651">
                  <c:v>43514</c:v>
                </c:pt>
                <c:pt idx="652">
                  <c:v>43511</c:v>
                </c:pt>
                <c:pt idx="653">
                  <c:v>43510</c:v>
                </c:pt>
                <c:pt idx="654">
                  <c:v>43509</c:v>
                </c:pt>
                <c:pt idx="655">
                  <c:v>43508</c:v>
                </c:pt>
                <c:pt idx="656">
                  <c:v>43507</c:v>
                </c:pt>
                <c:pt idx="657">
                  <c:v>43504</c:v>
                </c:pt>
                <c:pt idx="658">
                  <c:v>43503</c:v>
                </c:pt>
                <c:pt idx="659">
                  <c:v>43502</c:v>
                </c:pt>
                <c:pt idx="660">
                  <c:v>43501</c:v>
                </c:pt>
                <c:pt idx="661">
                  <c:v>43500</c:v>
                </c:pt>
                <c:pt idx="662">
                  <c:v>43497</c:v>
                </c:pt>
                <c:pt idx="663">
                  <c:v>43496</c:v>
                </c:pt>
                <c:pt idx="664">
                  <c:v>43495</c:v>
                </c:pt>
                <c:pt idx="665">
                  <c:v>43494</c:v>
                </c:pt>
                <c:pt idx="666">
                  <c:v>43493</c:v>
                </c:pt>
                <c:pt idx="667">
                  <c:v>43490</c:v>
                </c:pt>
                <c:pt idx="668">
                  <c:v>43489</c:v>
                </c:pt>
                <c:pt idx="669">
                  <c:v>43488</c:v>
                </c:pt>
                <c:pt idx="670">
                  <c:v>43487</c:v>
                </c:pt>
                <c:pt idx="671">
                  <c:v>43486</c:v>
                </c:pt>
                <c:pt idx="672">
                  <c:v>43483</c:v>
                </c:pt>
                <c:pt idx="673">
                  <c:v>43482</c:v>
                </c:pt>
                <c:pt idx="674">
                  <c:v>43481</c:v>
                </c:pt>
                <c:pt idx="675">
                  <c:v>43480</c:v>
                </c:pt>
                <c:pt idx="676">
                  <c:v>43479</c:v>
                </c:pt>
                <c:pt idx="677">
                  <c:v>43476</c:v>
                </c:pt>
                <c:pt idx="678">
                  <c:v>43475</c:v>
                </c:pt>
                <c:pt idx="679">
                  <c:v>43474</c:v>
                </c:pt>
                <c:pt idx="680">
                  <c:v>43473</c:v>
                </c:pt>
                <c:pt idx="681">
                  <c:v>43472</c:v>
                </c:pt>
                <c:pt idx="682">
                  <c:v>43469</c:v>
                </c:pt>
                <c:pt idx="683">
                  <c:v>43468</c:v>
                </c:pt>
                <c:pt idx="684">
                  <c:v>43467</c:v>
                </c:pt>
                <c:pt idx="685">
                  <c:v>43465</c:v>
                </c:pt>
                <c:pt idx="686">
                  <c:v>43462</c:v>
                </c:pt>
                <c:pt idx="687">
                  <c:v>43461</c:v>
                </c:pt>
                <c:pt idx="688">
                  <c:v>43458</c:v>
                </c:pt>
                <c:pt idx="689">
                  <c:v>43455</c:v>
                </c:pt>
                <c:pt idx="690">
                  <c:v>43454</c:v>
                </c:pt>
                <c:pt idx="691">
                  <c:v>43453</c:v>
                </c:pt>
                <c:pt idx="692">
                  <c:v>43452</c:v>
                </c:pt>
                <c:pt idx="693">
                  <c:v>43451</c:v>
                </c:pt>
                <c:pt idx="694">
                  <c:v>43448</c:v>
                </c:pt>
                <c:pt idx="695">
                  <c:v>43447</c:v>
                </c:pt>
                <c:pt idx="696">
                  <c:v>43446</c:v>
                </c:pt>
                <c:pt idx="697">
                  <c:v>43445</c:v>
                </c:pt>
                <c:pt idx="698">
                  <c:v>43444</c:v>
                </c:pt>
                <c:pt idx="699">
                  <c:v>43441</c:v>
                </c:pt>
                <c:pt idx="700">
                  <c:v>43440</c:v>
                </c:pt>
                <c:pt idx="701">
                  <c:v>43439</c:v>
                </c:pt>
                <c:pt idx="702">
                  <c:v>43438</c:v>
                </c:pt>
                <c:pt idx="703">
                  <c:v>43437</c:v>
                </c:pt>
                <c:pt idx="704">
                  <c:v>43434</c:v>
                </c:pt>
                <c:pt idx="705">
                  <c:v>43433</c:v>
                </c:pt>
                <c:pt idx="706">
                  <c:v>43432</c:v>
                </c:pt>
                <c:pt idx="707">
                  <c:v>43431</c:v>
                </c:pt>
                <c:pt idx="708">
                  <c:v>43430</c:v>
                </c:pt>
                <c:pt idx="709">
                  <c:v>43427</c:v>
                </c:pt>
                <c:pt idx="710">
                  <c:v>43426</c:v>
                </c:pt>
                <c:pt idx="711">
                  <c:v>43425</c:v>
                </c:pt>
                <c:pt idx="712">
                  <c:v>43424</c:v>
                </c:pt>
                <c:pt idx="713">
                  <c:v>43423</c:v>
                </c:pt>
                <c:pt idx="714">
                  <c:v>43420</c:v>
                </c:pt>
                <c:pt idx="715">
                  <c:v>43419</c:v>
                </c:pt>
                <c:pt idx="716">
                  <c:v>43418</c:v>
                </c:pt>
                <c:pt idx="717">
                  <c:v>43417</c:v>
                </c:pt>
                <c:pt idx="718">
                  <c:v>43416</c:v>
                </c:pt>
                <c:pt idx="719">
                  <c:v>43413</c:v>
                </c:pt>
                <c:pt idx="720">
                  <c:v>43412</c:v>
                </c:pt>
                <c:pt idx="721">
                  <c:v>43411</c:v>
                </c:pt>
                <c:pt idx="722">
                  <c:v>43410</c:v>
                </c:pt>
                <c:pt idx="723">
                  <c:v>43409</c:v>
                </c:pt>
                <c:pt idx="724">
                  <c:v>43406</c:v>
                </c:pt>
                <c:pt idx="725">
                  <c:v>43405</c:v>
                </c:pt>
                <c:pt idx="726">
                  <c:v>43404</c:v>
                </c:pt>
                <c:pt idx="727">
                  <c:v>43403</c:v>
                </c:pt>
                <c:pt idx="728">
                  <c:v>43402</c:v>
                </c:pt>
                <c:pt idx="729">
                  <c:v>43399</c:v>
                </c:pt>
                <c:pt idx="730">
                  <c:v>43398</c:v>
                </c:pt>
                <c:pt idx="731">
                  <c:v>43397</c:v>
                </c:pt>
                <c:pt idx="732">
                  <c:v>43396</c:v>
                </c:pt>
                <c:pt idx="733">
                  <c:v>43395</c:v>
                </c:pt>
                <c:pt idx="734">
                  <c:v>43392</c:v>
                </c:pt>
                <c:pt idx="735">
                  <c:v>43391</c:v>
                </c:pt>
                <c:pt idx="736">
                  <c:v>43390</c:v>
                </c:pt>
                <c:pt idx="737">
                  <c:v>43389</c:v>
                </c:pt>
                <c:pt idx="738">
                  <c:v>43388</c:v>
                </c:pt>
                <c:pt idx="739">
                  <c:v>43385</c:v>
                </c:pt>
                <c:pt idx="740">
                  <c:v>43384</c:v>
                </c:pt>
                <c:pt idx="741">
                  <c:v>43383</c:v>
                </c:pt>
                <c:pt idx="742">
                  <c:v>43382</c:v>
                </c:pt>
                <c:pt idx="743">
                  <c:v>43381</c:v>
                </c:pt>
                <c:pt idx="744">
                  <c:v>43378</c:v>
                </c:pt>
                <c:pt idx="745">
                  <c:v>43377</c:v>
                </c:pt>
                <c:pt idx="746">
                  <c:v>43376</c:v>
                </c:pt>
                <c:pt idx="747">
                  <c:v>43375</c:v>
                </c:pt>
                <c:pt idx="748">
                  <c:v>43374</c:v>
                </c:pt>
                <c:pt idx="749">
                  <c:v>43371</c:v>
                </c:pt>
                <c:pt idx="750">
                  <c:v>43370</c:v>
                </c:pt>
                <c:pt idx="751">
                  <c:v>43369</c:v>
                </c:pt>
                <c:pt idx="752">
                  <c:v>43368</c:v>
                </c:pt>
                <c:pt idx="753">
                  <c:v>43367</c:v>
                </c:pt>
                <c:pt idx="754">
                  <c:v>43364</c:v>
                </c:pt>
                <c:pt idx="755">
                  <c:v>43363</c:v>
                </c:pt>
                <c:pt idx="756">
                  <c:v>43362</c:v>
                </c:pt>
                <c:pt idx="757">
                  <c:v>43361</c:v>
                </c:pt>
                <c:pt idx="758">
                  <c:v>43360</c:v>
                </c:pt>
                <c:pt idx="759">
                  <c:v>43357</c:v>
                </c:pt>
                <c:pt idx="760">
                  <c:v>43356</c:v>
                </c:pt>
                <c:pt idx="761">
                  <c:v>43355</c:v>
                </c:pt>
                <c:pt idx="762">
                  <c:v>43354</c:v>
                </c:pt>
                <c:pt idx="763">
                  <c:v>43353</c:v>
                </c:pt>
                <c:pt idx="764">
                  <c:v>43350</c:v>
                </c:pt>
                <c:pt idx="765">
                  <c:v>43349</c:v>
                </c:pt>
                <c:pt idx="766">
                  <c:v>43348</c:v>
                </c:pt>
                <c:pt idx="767">
                  <c:v>43347</c:v>
                </c:pt>
                <c:pt idx="768">
                  <c:v>43346</c:v>
                </c:pt>
                <c:pt idx="769">
                  <c:v>43343</c:v>
                </c:pt>
                <c:pt idx="770">
                  <c:v>43342</c:v>
                </c:pt>
                <c:pt idx="771">
                  <c:v>43341</c:v>
                </c:pt>
                <c:pt idx="772">
                  <c:v>43340</c:v>
                </c:pt>
                <c:pt idx="773">
                  <c:v>43339</c:v>
                </c:pt>
                <c:pt idx="774">
                  <c:v>43336</c:v>
                </c:pt>
                <c:pt idx="775">
                  <c:v>43335</c:v>
                </c:pt>
                <c:pt idx="776">
                  <c:v>43334</c:v>
                </c:pt>
                <c:pt idx="777">
                  <c:v>43333</c:v>
                </c:pt>
                <c:pt idx="778">
                  <c:v>43332</c:v>
                </c:pt>
                <c:pt idx="779">
                  <c:v>43329</c:v>
                </c:pt>
                <c:pt idx="780">
                  <c:v>43328</c:v>
                </c:pt>
                <c:pt idx="781">
                  <c:v>43327</c:v>
                </c:pt>
                <c:pt idx="782">
                  <c:v>43326</c:v>
                </c:pt>
                <c:pt idx="783">
                  <c:v>43325</c:v>
                </c:pt>
                <c:pt idx="784">
                  <c:v>43322</c:v>
                </c:pt>
                <c:pt idx="785">
                  <c:v>43321</c:v>
                </c:pt>
                <c:pt idx="786">
                  <c:v>43320</c:v>
                </c:pt>
                <c:pt idx="787">
                  <c:v>43319</c:v>
                </c:pt>
                <c:pt idx="788">
                  <c:v>43318</c:v>
                </c:pt>
                <c:pt idx="789">
                  <c:v>43315</c:v>
                </c:pt>
                <c:pt idx="790">
                  <c:v>43314</c:v>
                </c:pt>
                <c:pt idx="791">
                  <c:v>43313</c:v>
                </c:pt>
                <c:pt idx="792">
                  <c:v>43312</c:v>
                </c:pt>
                <c:pt idx="793">
                  <c:v>43311</c:v>
                </c:pt>
                <c:pt idx="794">
                  <c:v>43308</c:v>
                </c:pt>
                <c:pt idx="795">
                  <c:v>43307</c:v>
                </c:pt>
                <c:pt idx="796">
                  <c:v>43306</c:v>
                </c:pt>
                <c:pt idx="797">
                  <c:v>43305</c:v>
                </c:pt>
                <c:pt idx="798">
                  <c:v>43304</c:v>
                </c:pt>
                <c:pt idx="799">
                  <c:v>43301</c:v>
                </c:pt>
                <c:pt idx="800">
                  <c:v>43300</c:v>
                </c:pt>
                <c:pt idx="801">
                  <c:v>43299</c:v>
                </c:pt>
                <c:pt idx="802">
                  <c:v>43298</c:v>
                </c:pt>
                <c:pt idx="803">
                  <c:v>43297</c:v>
                </c:pt>
                <c:pt idx="804">
                  <c:v>43294</c:v>
                </c:pt>
                <c:pt idx="805">
                  <c:v>43293</c:v>
                </c:pt>
                <c:pt idx="806">
                  <c:v>43292</c:v>
                </c:pt>
                <c:pt idx="807">
                  <c:v>43291</c:v>
                </c:pt>
                <c:pt idx="808">
                  <c:v>43290</c:v>
                </c:pt>
                <c:pt idx="809">
                  <c:v>43287</c:v>
                </c:pt>
                <c:pt idx="810">
                  <c:v>43286</c:v>
                </c:pt>
                <c:pt idx="811">
                  <c:v>43285</c:v>
                </c:pt>
                <c:pt idx="812">
                  <c:v>43284</c:v>
                </c:pt>
                <c:pt idx="813">
                  <c:v>43283</c:v>
                </c:pt>
                <c:pt idx="814">
                  <c:v>43280</c:v>
                </c:pt>
                <c:pt idx="815">
                  <c:v>43279</c:v>
                </c:pt>
                <c:pt idx="816">
                  <c:v>43278</c:v>
                </c:pt>
                <c:pt idx="817">
                  <c:v>43277</c:v>
                </c:pt>
                <c:pt idx="818">
                  <c:v>43276</c:v>
                </c:pt>
                <c:pt idx="819">
                  <c:v>43273</c:v>
                </c:pt>
                <c:pt idx="820">
                  <c:v>43272</c:v>
                </c:pt>
                <c:pt idx="821">
                  <c:v>43271</c:v>
                </c:pt>
                <c:pt idx="822">
                  <c:v>43270</c:v>
                </c:pt>
                <c:pt idx="823">
                  <c:v>43269</c:v>
                </c:pt>
                <c:pt idx="824">
                  <c:v>43266</c:v>
                </c:pt>
                <c:pt idx="825">
                  <c:v>43265</c:v>
                </c:pt>
                <c:pt idx="826">
                  <c:v>43264</c:v>
                </c:pt>
                <c:pt idx="827">
                  <c:v>43263</c:v>
                </c:pt>
                <c:pt idx="828">
                  <c:v>43262</c:v>
                </c:pt>
                <c:pt idx="829">
                  <c:v>43259</c:v>
                </c:pt>
                <c:pt idx="830">
                  <c:v>43258</c:v>
                </c:pt>
                <c:pt idx="831">
                  <c:v>43257</c:v>
                </c:pt>
                <c:pt idx="832">
                  <c:v>43256</c:v>
                </c:pt>
                <c:pt idx="833">
                  <c:v>43255</c:v>
                </c:pt>
                <c:pt idx="834">
                  <c:v>43252</c:v>
                </c:pt>
                <c:pt idx="835">
                  <c:v>43251</c:v>
                </c:pt>
                <c:pt idx="836">
                  <c:v>43250</c:v>
                </c:pt>
                <c:pt idx="837">
                  <c:v>43249</c:v>
                </c:pt>
                <c:pt idx="838">
                  <c:v>43245</c:v>
                </c:pt>
                <c:pt idx="839">
                  <c:v>43244</c:v>
                </c:pt>
                <c:pt idx="840">
                  <c:v>43243</c:v>
                </c:pt>
                <c:pt idx="841">
                  <c:v>43242</c:v>
                </c:pt>
                <c:pt idx="842">
                  <c:v>43241</c:v>
                </c:pt>
                <c:pt idx="843">
                  <c:v>43238</c:v>
                </c:pt>
                <c:pt idx="844">
                  <c:v>43237</c:v>
                </c:pt>
                <c:pt idx="845">
                  <c:v>43236</c:v>
                </c:pt>
                <c:pt idx="846">
                  <c:v>43235</c:v>
                </c:pt>
                <c:pt idx="847">
                  <c:v>43234</c:v>
                </c:pt>
                <c:pt idx="848">
                  <c:v>43231</c:v>
                </c:pt>
                <c:pt idx="849">
                  <c:v>43230</c:v>
                </c:pt>
                <c:pt idx="850">
                  <c:v>43229</c:v>
                </c:pt>
                <c:pt idx="851">
                  <c:v>43228</c:v>
                </c:pt>
                <c:pt idx="852">
                  <c:v>43227</c:v>
                </c:pt>
                <c:pt idx="853">
                  <c:v>43224</c:v>
                </c:pt>
                <c:pt idx="854">
                  <c:v>43223</c:v>
                </c:pt>
                <c:pt idx="855">
                  <c:v>43222</c:v>
                </c:pt>
                <c:pt idx="856">
                  <c:v>43221</c:v>
                </c:pt>
                <c:pt idx="857">
                  <c:v>43220</c:v>
                </c:pt>
                <c:pt idx="858">
                  <c:v>43217</c:v>
                </c:pt>
                <c:pt idx="859">
                  <c:v>43216</c:v>
                </c:pt>
                <c:pt idx="860">
                  <c:v>43215</c:v>
                </c:pt>
                <c:pt idx="861">
                  <c:v>43214</c:v>
                </c:pt>
                <c:pt idx="862">
                  <c:v>43213</c:v>
                </c:pt>
                <c:pt idx="863">
                  <c:v>43210</c:v>
                </c:pt>
                <c:pt idx="864">
                  <c:v>43209</c:v>
                </c:pt>
                <c:pt idx="865">
                  <c:v>43208</c:v>
                </c:pt>
                <c:pt idx="866">
                  <c:v>43207</c:v>
                </c:pt>
                <c:pt idx="867">
                  <c:v>43206</c:v>
                </c:pt>
                <c:pt idx="868">
                  <c:v>43203</c:v>
                </c:pt>
                <c:pt idx="869">
                  <c:v>43202</c:v>
                </c:pt>
                <c:pt idx="870">
                  <c:v>43201</c:v>
                </c:pt>
                <c:pt idx="871">
                  <c:v>43200</c:v>
                </c:pt>
                <c:pt idx="872">
                  <c:v>43199</c:v>
                </c:pt>
                <c:pt idx="873">
                  <c:v>43196</c:v>
                </c:pt>
                <c:pt idx="874">
                  <c:v>43195</c:v>
                </c:pt>
                <c:pt idx="875">
                  <c:v>43194</c:v>
                </c:pt>
                <c:pt idx="876">
                  <c:v>43193</c:v>
                </c:pt>
                <c:pt idx="877">
                  <c:v>43188</c:v>
                </c:pt>
                <c:pt idx="878">
                  <c:v>43187</c:v>
                </c:pt>
                <c:pt idx="879">
                  <c:v>43186</c:v>
                </c:pt>
                <c:pt idx="880">
                  <c:v>43185</c:v>
                </c:pt>
                <c:pt idx="881">
                  <c:v>43182</c:v>
                </c:pt>
                <c:pt idx="882">
                  <c:v>43181</c:v>
                </c:pt>
                <c:pt idx="883">
                  <c:v>43180</c:v>
                </c:pt>
                <c:pt idx="884">
                  <c:v>43179</c:v>
                </c:pt>
                <c:pt idx="885">
                  <c:v>43178</c:v>
                </c:pt>
                <c:pt idx="886">
                  <c:v>43175</c:v>
                </c:pt>
                <c:pt idx="887">
                  <c:v>43174</c:v>
                </c:pt>
                <c:pt idx="888">
                  <c:v>43173</c:v>
                </c:pt>
                <c:pt idx="889">
                  <c:v>43172</c:v>
                </c:pt>
                <c:pt idx="890">
                  <c:v>43171</c:v>
                </c:pt>
                <c:pt idx="891">
                  <c:v>43168</c:v>
                </c:pt>
                <c:pt idx="892">
                  <c:v>43167</c:v>
                </c:pt>
                <c:pt idx="893">
                  <c:v>43166</c:v>
                </c:pt>
                <c:pt idx="894">
                  <c:v>43165</c:v>
                </c:pt>
                <c:pt idx="895">
                  <c:v>43164</c:v>
                </c:pt>
                <c:pt idx="896">
                  <c:v>43161</c:v>
                </c:pt>
                <c:pt idx="897">
                  <c:v>43160</c:v>
                </c:pt>
                <c:pt idx="898">
                  <c:v>43159</c:v>
                </c:pt>
                <c:pt idx="899">
                  <c:v>43158</c:v>
                </c:pt>
                <c:pt idx="900">
                  <c:v>43157</c:v>
                </c:pt>
                <c:pt idx="901">
                  <c:v>43154</c:v>
                </c:pt>
                <c:pt idx="902">
                  <c:v>43153</c:v>
                </c:pt>
                <c:pt idx="903">
                  <c:v>43152</c:v>
                </c:pt>
                <c:pt idx="904">
                  <c:v>43151</c:v>
                </c:pt>
                <c:pt idx="905">
                  <c:v>43150</c:v>
                </c:pt>
                <c:pt idx="906">
                  <c:v>43147</c:v>
                </c:pt>
                <c:pt idx="907">
                  <c:v>43146</c:v>
                </c:pt>
                <c:pt idx="908">
                  <c:v>43145</c:v>
                </c:pt>
                <c:pt idx="909">
                  <c:v>43144</c:v>
                </c:pt>
                <c:pt idx="910">
                  <c:v>43143</c:v>
                </c:pt>
                <c:pt idx="911">
                  <c:v>43140</c:v>
                </c:pt>
                <c:pt idx="912">
                  <c:v>43139</c:v>
                </c:pt>
                <c:pt idx="913">
                  <c:v>43138</c:v>
                </c:pt>
                <c:pt idx="914">
                  <c:v>43137</c:v>
                </c:pt>
                <c:pt idx="915">
                  <c:v>43136</c:v>
                </c:pt>
                <c:pt idx="916">
                  <c:v>43133</c:v>
                </c:pt>
                <c:pt idx="917">
                  <c:v>43132</c:v>
                </c:pt>
                <c:pt idx="918">
                  <c:v>43131</c:v>
                </c:pt>
                <c:pt idx="919">
                  <c:v>43130</c:v>
                </c:pt>
                <c:pt idx="920">
                  <c:v>43129</c:v>
                </c:pt>
                <c:pt idx="921">
                  <c:v>43126</c:v>
                </c:pt>
                <c:pt idx="922">
                  <c:v>43125</c:v>
                </c:pt>
                <c:pt idx="923">
                  <c:v>43124</c:v>
                </c:pt>
                <c:pt idx="924">
                  <c:v>43123</c:v>
                </c:pt>
                <c:pt idx="925">
                  <c:v>43122</c:v>
                </c:pt>
                <c:pt idx="926">
                  <c:v>43119</c:v>
                </c:pt>
                <c:pt idx="927">
                  <c:v>43118</c:v>
                </c:pt>
                <c:pt idx="928">
                  <c:v>43117</c:v>
                </c:pt>
                <c:pt idx="929">
                  <c:v>43116</c:v>
                </c:pt>
                <c:pt idx="930">
                  <c:v>43115</c:v>
                </c:pt>
                <c:pt idx="931">
                  <c:v>43112</c:v>
                </c:pt>
                <c:pt idx="932">
                  <c:v>43111</c:v>
                </c:pt>
                <c:pt idx="933">
                  <c:v>43110</c:v>
                </c:pt>
                <c:pt idx="934">
                  <c:v>43109</c:v>
                </c:pt>
                <c:pt idx="935">
                  <c:v>43108</c:v>
                </c:pt>
                <c:pt idx="936">
                  <c:v>43105</c:v>
                </c:pt>
                <c:pt idx="937">
                  <c:v>43104</c:v>
                </c:pt>
                <c:pt idx="938">
                  <c:v>43103</c:v>
                </c:pt>
                <c:pt idx="939">
                  <c:v>43102</c:v>
                </c:pt>
              </c:numCache>
            </c:numRef>
          </c:cat>
          <c:val>
            <c:numRef>
              <c:f>'EUROBOND 2021 offline'!$B$27:$B$966</c:f>
              <c:numCache>
                <c:formatCode>#,##0.000</c:formatCode>
                <c:ptCount val="940"/>
                <c:pt idx="0">
                  <c:v>100.544</c:v>
                </c:pt>
                <c:pt idx="1">
                  <c:v>100.682</c:v>
                </c:pt>
                <c:pt idx="2">
                  <c:v>100.70699999999999</c:v>
                </c:pt>
                <c:pt idx="3">
                  <c:v>100.767</c:v>
                </c:pt>
                <c:pt idx="4">
                  <c:v>100.77500000000001</c:v>
                </c:pt>
                <c:pt idx="5">
                  <c:v>100.78100000000001</c:v>
                </c:pt>
                <c:pt idx="6">
                  <c:v>100.8</c:v>
                </c:pt>
                <c:pt idx="7">
                  <c:v>100.91500000000001</c:v>
                </c:pt>
                <c:pt idx="8">
                  <c:v>100.877</c:v>
                </c:pt>
                <c:pt idx="9">
                  <c:v>100.881</c:v>
                </c:pt>
                <c:pt idx="10">
                  <c:v>100.902</c:v>
                </c:pt>
                <c:pt idx="11">
                  <c:v>100.956</c:v>
                </c:pt>
                <c:pt idx="12">
                  <c:v>100.93</c:v>
                </c:pt>
                <c:pt idx="13">
                  <c:v>100.965</c:v>
                </c:pt>
                <c:pt idx="14">
                  <c:v>100.983</c:v>
                </c:pt>
                <c:pt idx="15">
                  <c:v>101.02</c:v>
                </c:pt>
                <c:pt idx="16">
                  <c:v>101.11199999999999</c:v>
                </c:pt>
                <c:pt idx="17">
                  <c:v>101.122</c:v>
                </c:pt>
                <c:pt idx="18">
                  <c:v>101.051</c:v>
                </c:pt>
                <c:pt idx="19">
                  <c:v>101.2</c:v>
                </c:pt>
                <c:pt idx="20">
                  <c:v>101.244</c:v>
                </c:pt>
                <c:pt idx="21">
                  <c:v>101.187</c:v>
                </c:pt>
                <c:pt idx="22">
                  <c:v>101.26900000000001</c:v>
                </c:pt>
                <c:pt idx="23">
                  <c:v>101.276</c:v>
                </c:pt>
                <c:pt idx="24">
                  <c:v>101.27800000000001</c:v>
                </c:pt>
                <c:pt idx="25">
                  <c:v>101.32899999999999</c:v>
                </c:pt>
                <c:pt idx="26">
                  <c:v>101.33</c:v>
                </c:pt>
                <c:pt idx="27">
                  <c:v>101.366</c:v>
                </c:pt>
                <c:pt idx="28">
                  <c:v>101.48699999999999</c:v>
                </c:pt>
                <c:pt idx="29">
                  <c:v>101.488</c:v>
                </c:pt>
                <c:pt idx="30">
                  <c:v>101.471</c:v>
                </c:pt>
                <c:pt idx="31">
                  <c:v>101.49</c:v>
                </c:pt>
                <c:pt idx="32">
                  <c:v>101.53100000000001</c:v>
                </c:pt>
                <c:pt idx="33">
                  <c:v>101.55800000000001</c:v>
                </c:pt>
                <c:pt idx="34">
                  <c:v>101.53</c:v>
                </c:pt>
                <c:pt idx="35">
                  <c:v>101.572</c:v>
                </c:pt>
                <c:pt idx="36">
                  <c:v>101.568</c:v>
                </c:pt>
                <c:pt idx="37">
                  <c:v>101.58499999999999</c:v>
                </c:pt>
                <c:pt idx="38">
                  <c:v>101.599</c:v>
                </c:pt>
                <c:pt idx="39">
                  <c:v>101.586</c:v>
                </c:pt>
                <c:pt idx="40">
                  <c:v>101.617</c:v>
                </c:pt>
                <c:pt idx="41">
                  <c:v>101.64100000000001</c:v>
                </c:pt>
                <c:pt idx="42">
                  <c:v>101.63</c:v>
                </c:pt>
                <c:pt idx="43">
                  <c:v>101.64</c:v>
                </c:pt>
                <c:pt idx="44">
                  <c:v>101.66</c:v>
                </c:pt>
                <c:pt idx="45">
                  <c:v>101.703</c:v>
                </c:pt>
                <c:pt idx="46">
                  <c:v>101.73399999999999</c:v>
                </c:pt>
                <c:pt idx="47">
                  <c:v>101.68300000000001</c:v>
                </c:pt>
                <c:pt idx="48">
                  <c:v>101.696</c:v>
                </c:pt>
                <c:pt idx="49">
                  <c:v>101.765</c:v>
                </c:pt>
                <c:pt idx="50">
                  <c:v>101.78</c:v>
                </c:pt>
                <c:pt idx="51">
                  <c:v>101.81399999999999</c:v>
                </c:pt>
                <c:pt idx="52">
                  <c:v>101.819</c:v>
                </c:pt>
                <c:pt idx="53">
                  <c:v>101.86799999999999</c:v>
                </c:pt>
                <c:pt idx="54">
                  <c:v>101.95</c:v>
                </c:pt>
                <c:pt idx="55">
                  <c:v>101.964</c:v>
                </c:pt>
                <c:pt idx="56">
                  <c:v>102.05800000000001</c:v>
                </c:pt>
                <c:pt idx="57">
                  <c:v>102.08199999999999</c:v>
                </c:pt>
                <c:pt idx="58">
                  <c:v>102.093</c:v>
                </c:pt>
                <c:pt idx="59">
                  <c:v>102.111</c:v>
                </c:pt>
                <c:pt idx="60">
                  <c:v>102.11</c:v>
                </c:pt>
                <c:pt idx="61">
                  <c:v>102.15300000000001</c:v>
                </c:pt>
                <c:pt idx="62">
                  <c:v>102.11799999999999</c:v>
                </c:pt>
                <c:pt idx="63">
                  <c:v>102.15</c:v>
                </c:pt>
                <c:pt idx="64">
                  <c:v>102.15300000000001</c:v>
                </c:pt>
                <c:pt idx="65">
                  <c:v>102.16200000000001</c:v>
                </c:pt>
                <c:pt idx="66">
                  <c:v>102.137</c:v>
                </c:pt>
                <c:pt idx="67">
                  <c:v>102.331</c:v>
                </c:pt>
                <c:pt idx="68">
                  <c:v>102.331</c:v>
                </c:pt>
                <c:pt idx="69">
                  <c:v>102.351</c:v>
                </c:pt>
                <c:pt idx="70">
                  <c:v>102.325</c:v>
                </c:pt>
                <c:pt idx="71">
                  <c:v>102.36</c:v>
                </c:pt>
                <c:pt idx="72">
                  <c:v>102.407</c:v>
                </c:pt>
                <c:pt idx="73">
                  <c:v>102.39700000000001</c:v>
                </c:pt>
                <c:pt idx="74">
                  <c:v>102.467</c:v>
                </c:pt>
                <c:pt idx="75">
                  <c:v>102.443</c:v>
                </c:pt>
                <c:pt idx="76">
                  <c:v>102.505</c:v>
                </c:pt>
                <c:pt idx="77">
                  <c:v>102.48099999999999</c:v>
                </c:pt>
                <c:pt idx="78">
                  <c:v>102.491</c:v>
                </c:pt>
                <c:pt idx="79">
                  <c:v>102.523</c:v>
                </c:pt>
                <c:pt idx="80">
                  <c:v>102.57899999999999</c:v>
                </c:pt>
                <c:pt idx="81">
                  <c:v>102.553</c:v>
                </c:pt>
                <c:pt idx="82">
                  <c:v>102.575</c:v>
                </c:pt>
                <c:pt idx="83">
                  <c:v>102.55800000000001</c:v>
                </c:pt>
                <c:pt idx="84">
                  <c:v>102.56100000000001</c:v>
                </c:pt>
                <c:pt idx="85">
                  <c:v>102.57599999999999</c:v>
                </c:pt>
                <c:pt idx="86">
                  <c:v>102.58199999999999</c:v>
                </c:pt>
                <c:pt idx="87">
                  <c:v>102.64100000000001</c:v>
                </c:pt>
                <c:pt idx="88">
                  <c:v>102.64700000000001</c:v>
                </c:pt>
                <c:pt idx="89">
                  <c:v>102.672</c:v>
                </c:pt>
                <c:pt idx="90">
                  <c:v>102.723</c:v>
                </c:pt>
                <c:pt idx="91">
                  <c:v>102.873</c:v>
                </c:pt>
                <c:pt idx="92">
                  <c:v>102.935</c:v>
                </c:pt>
                <c:pt idx="93">
                  <c:v>102.986</c:v>
                </c:pt>
                <c:pt idx="94">
                  <c:v>102.979</c:v>
                </c:pt>
                <c:pt idx="95">
                  <c:v>102.96899999999999</c:v>
                </c:pt>
                <c:pt idx="96">
                  <c:v>102.97499999999999</c:v>
                </c:pt>
                <c:pt idx="97">
                  <c:v>103.002</c:v>
                </c:pt>
                <c:pt idx="98">
                  <c:v>103.012</c:v>
                </c:pt>
                <c:pt idx="99">
                  <c:v>102.98699999999999</c:v>
                </c:pt>
                <c:pt idx="100">
                  <c:v>103.04300000000001</c:v>
                </c:pt>
                <c:pt idx="101">
                  <c:v>103.07899999999999</c:v>
                </c:pt>
                <c:pt idx="102">
                  <c:v>103.16500000000001</c:v>
                </c:pt>
                <c:pt idx="103">
                  <c:v>103.188</c:v>
                </c:pt>
                <c:pt idx="104">
                  <c:v>103.208</c:v>
                </c:pt>
                <c:pt idx="105">
                  <c:v>103.133</c:v>
                </c:pt>
                <c:pt idx="106">
                  <c:v>103.14700000000001</c:v>
                </c:pt>
                <c:pt idx="107">
                  <c:v>103.238</c:v>
                </c:pt>
                <c:pt idx="108">
                  <c:v>103.17400000000001</c:v>
                </c:pt>
                <c:pt idx="109">
                  <c:v>103.30200000000001</c:v>
                </c:pt>
                <c:pt idx="110">
                  <c:v>103.32299999999999</c:v>
                </c:pt>
                <c:pt idx="111">
                  <c:v>103.337</c:v>
                </c:pt>
                <c:pt idx="112">
                  <c:v>103.392</c:v>
                </c:pt>
                <c:pt idx="113">
                  <c:v>103.38800000000001</c:v>
                </c:pt>
                <c:pt idx="114">
                  <c:v>103.392</c:v>
                </c:pt>
                <c:pt idx="115">
                  <c:v>103.386</c:v>
                </c:pt>
                <c:pt idx="116">
                  <c:v>103.41200000000001</c:v>
                </c:pt>
                <c:pt idx="117">
                  <c:v>103.429</c:v>
                </c:pt>
                <c:pt idx="118">
                  <c:v>103.506</c:v>
                </c:pt>
                <c:pt idx="119">
                  <c:v>103.504</c:v>
                </c:pt>
                <c:pt idx="120">
                  <c:v>103.616</c:v>
                </c:pt>
                <c:pt idx="121">
                  <c:v>103.468</c:v>
                </c:pt>
                <c:pt idx="122">
                  <c:v>103.65</c:v>
                </c:pt>
                <c:pt idx="123">
                  <c:v>103.955</c:v>
                </c:pt>
                <c:pt idx="124">
                  <c:v>103.973</c:v>
                </c:pt>
                <c:pt idx="125">
                  <c:v>103.86199999999999</c:v>
                </c:pt>
                <c:pt idx="126">
                  <c:v>103.884</c:v>
                </c:pt>
                <c:pt idx="127">
                  <c:v>103.922</c:v>
                </c:pt>
                <c:pt idx="128">
                  <c:v>103.95</c:v>
                </c:pt>
                <c:pt idx="129">
                  <c:v>103.95099999999999</c:v>
                </c:pt>
                <c:pt idx="130">
                  <c:v>103.953</c:v>
                </c:pt>
                <c:pt idx="131">
                  <c:v>103.92400000000001</c:v>
                </c:pt>
                <c:pt idx="132">
                  <c:v>103.98099999999999</c:v>
                </c:pt>
                <c:pt idx="133">
                  <c:v>103.986</c:v>
                </c:pt>
                <c:pt idx="134">
                  <c:v>104.003</c:v>
                </c:pt>
                <c:pt idx="135">
                  <c:v>104.01600000000001</c:v>
                </c:pt>
                <c:pt idx="136">
                  <c:v>104.039</c:v>
                </c:pt>
                <c:pt idx="137">
                  <c:v>104.07</c:v>
                </c:pt>
                <c:pt idx="138">
                  <c:v>104.07599999999999</c:v>
                </c:pt>
                <c:pt idx="139">
                  <c:v>104.105</c:v>
                </c:pt>
                <c:pt idx="140">
                  <c:v>104.154</c:v>
                </c:pt>
                <c:pt idx="141">
                  <c:v>104.102</c:v>
                </c:pt>
                <c:pt idx="142">
                  <c:v>104.133</c:v>
                </c:pt>
                <c:pt idx="143">
                  <c:v>104.16500000000001</c:v>
                </c:pt>
                <c:pt idx="144">
                  <c:v>104.214</c:v>
                </c:pt>
                <c:pt idx="145">
                  <c:v>104.236</c:v>
                </c:pt>
                <c:pt idx="146">
                  <c:v>104.23399999999999</c:v>
                </c:pt>
                <c:pt idx="147">
                  <c:v>104.249</c:v>
                </c:pt>
                <c:pt idx="148">
                  <c:v>104.249</c:v>
                </c:pt>
                <c:pt idx="149">
                  <c:v>104.253</c:v>
                </c:pt>
                <c:pt idx="150">
                  <c:v>104.254</c:v>
                </c:pt>
                <c:pt idx="151">
                  <c:v>104.256</c:v>
                </c:pt>
                <c:pt idx="152">
                  <c:v>104.29900000000001</c:v>
                </c:pt>
                <c:pt idx="153">
                  <c:v>104.312</c:v>
                </c:pt>
                <c:pt idx="154">
                  <c:v>104.301</c:v>
                </c:pt>
                <c:pt idx="155">
                  <c:v>104.271</c:v>
                </c:pt>
                <c:pt idx="156">
                  <c:v>104.26600000000001</c:v>
                </c:pt>
                <c:pt idx="157">
                  <c:v>104.319</c:v>
                </c:pt>
                <c:pt idx="158">
                  <c:v>104.348</c:v>
                </c:pt>
                <c:pt idx="159">
                  <c:v>104.393</c:v>
                </c:pt>
                <c:pt idx="160">
                  <c:v>104.384</c:v>
                </c:pt>
                <c:pt idx="161">
                  <c:v>104.47799999999999</c:v>
                </c:pt>
                <c:pt idx="162">
                  <c:v>104.526</c:v>
                </c:pt>
                <c:pt idx="163">
                  <c:v>104.583</c:v>
                </c:pt>
                <c:pt idx="164">
                  <c:v>104.607</c:v>
                </c:pt>
                <c:pt idx="165">
                  <c:v>104.672</c:v>
                </c:pt>
                <c:pt idx="166">
                  <c:v>104.687</c:v>
                </c:pt>
                <c:pt idx="167">
                  <c:v>104.69199999999999</c:v>
                </c:pt>
                <c:pt idx="168">
                  <c:v>104.833</c:v>
                </c:pt>
                <c:pt idx="169">
                  <c:v>104.88200000000001</c:v>
                </c:pt>
                <c:pt idx="170">
                  <c:v>104.91500000000001</c:v>
                </c:pt>
                <c:pt idx="171">
                  <c:v>104.916</c:v>
                </c:pt>
                <c:pt idx="172">
                  <c:v>104.937</c:v>
                </c:pt>
                <c:pt idx="173">
                  <c:v>104.935</c:v>
                </c:pt>
                <c:pt idx="174">
                  <c:v>104.854</c:v>
                </c:pt>
                <c:pt idx="175">
                  <c:v>104.90600000000001</c:v>
                </c:pt>
                <c:pt idx="176">
                  <c:v>104.955</c:v>
                </c:pt>
                <c:pt idx="177">
                  <c:v>104.961</c:v>
                </c:pt>
                <c:pt idx="178">
                  <c:v>105.017</c:v>
                </c:pt>
                <c:pt idx="179">
                  <c:v>105.161</c:v>
                </c:pt>
                <c:pt idx="180">
                  <c:v>105.154</c:v>
                </c:pt>
                <c:pt idx="181">
                  <c:v>105.179</c:v>
                </c:pt>
                <c:pt idx="182">
                  <c:v>105.19</c:v>
                </c:pt>
                <c:pt idx="183">
                  <c:v>105.187</c:v>
                </c:pt>
                <c:pt idx="184">
                  <c:v>105.16</c:v>
                </c:pt>
                <c:pt idx="185">
                  <c:v>105.16200000000001</c:v>
                </c:pt>
                <c:pt idx="186">
                  <c:v>105.193</c:v>
                </c:pt>
                <c:pt idx="187">
                  <c:v>105.232</c:v>
                </c:pt>
                <c:pt idx="188">
                  <c:v>105.22799999999999</c:v>
                </c:pt>
                <c:pt idx="189">
                  <c:v>105.392</c:v>
                </c:pt>
                <c:pt idx="190">
                  <c:v>105.426</c:v>
                </c:pt>
                <c:pt idx="191">
                  <c:v>105.51300000000001</c:v>
                </c:pt>
                <c:pt idx="192">
                  <c:v>105.515</c:v>
                </c:pt>
                <c:pt idx="193">
                  <c:v>105.51600000000001</c:v>
                </c:pt>
                <c:pt idx="194">
                  <c:v>105.544</c:v>
                </c:pt>
                <c:pt idx="195">
                  <c:v>105.51900000000001</c:v>
                </c:pt>
                <c:pt idx="196">
                  <c:v>105.518</c:v>
                </c:pt>
                <c:pt idx="197">
                  <c:v>105.523</c:v>
                </c:pt>
                <c:pt idx="198">
                  <c:v>105.53700000000001</c:v>
                </c:pt>
                <c:pt idx="199">
                  <c:v>105.624</c:v>
                </c:pt>
                <c:pt idx="200">
                  <c:v>105.557</c:v>
                </c:pt>
                <c:pt idx="201">
                  <c:v>105.557</c:v>
                </c:pt>
                <c:pt idx="202">
                  <c:v>105.559</c:v>
                </c:pt>
                <c:pt idx="203">
                  <c:v>105.55500000000001</c:v>
                </c:pt>
                <c:pt idx="204">
                  <c:v>105.431</c:v>
                </c:pt>
                <c:pt idx="205">
                  <c:v>105.48</c:v>
                </c:pt>
                <c:pt idx="206">
                  <c:v>105.5</c:v>
                </c:pt>
                <c:pt idx="207">
                  <c:v>105.563</c:v>
                </c:pt>
                <c:pt idx="208">
                  <c:v>105.602</c:v>
                </c:pt>
                <c:pt idx="209">
                  <c:v>105.587</c:v>
                </c:pt>
                <c:pt idx="210">
                  <c:v>105.63800000000001</c:v>
                </c:pt>
                <c:pt idx="211">
                  <c:v>105.64</c:v>
                </c:pt>
                <c:pt idx="212">
                  <c:v>105.642</c:v>
                </c:pt>
                <c:pt idx="213">
                  <c:v>105.655</c:v>
                </c:pt>
                <c:pt idx="214">
                  <c:v>105.7</c:v>
                </c:pt>
                <c:pt idx="215">
                  <c:v>105.754</c:v>
                </c:pt>
                <c:pt idx="216">
                  <c:v>105.791</c:v>
                </c:pt>
                <c:pt idx="217">
                  <c:v>105.806</c:v>
                </c:pt>
                <c:pt idx="218">
                  <c:v>105.809</c:v>
                </c:pt>
                <c:pt idx="219">
                  <c:v>105.73399999999999</c:v>
                </c:pt>
                <c:pt idx="220">
                  <c:v>105.815</c:v>
                </c:pt>
                <c:pt idx="221">
                  <c:v>105.828</c:v>
                </c:pt>
                <c:pt idx="222">
                  <c:v>105.848</c:v>
                </c:pt>
                <c:pt idx="223">
                  <c:v>105.81399999999999</c:v>
                </c:pt>
                <c:pt idx="224">
                  <c:v>105.88500000000001</c:v>
                </c:pt>
                <c:pt idx="225">
                  <c:v>105.884</c:v>
                </c:pt>
                <c:pt idx="226">
                  <c:v>105.872</c:v>
                </c:pt>
                <c:pt idx="227">
                  <c:v>105.92400000000001</c:v>
                </c:pt>
                <c:pt idx="228">
                  <c:v>105.919</c:v>
                </c:pt>
                <c:pt idx="229">
                  <c:v>105.91500000000001</c:v>
                </c:pt>
                <c:pt idx="230">
                  <c:v>105.907</c:v>
                </c:pt>
                <c:pt idx="231">
                  <c:v>105.935</c:v>
                </c:pt>
                <c:pt idx="232">
                  <c:v>105.941</c:v>
                </c:pt>
                <c:pt idx="233">
                  <c:v>105.93600000000001</c:v>
                </c:pt>
                <c:pt idx="234">
                  <c:v>105.938</c:v>
                </c:pt>
                <c:pt idx="235">
                  <c:v>105.95399999999999</c:v>
                </c:pt>
                <c:pt idx="236">
                  <c:v>105.958</c:v>
                </c:pt>
                <c:pt idx="237">
                  <c:v>105.97799999999999</c:v>
                </c:pt>
                <c:pt idx="238">
                  <c:v>106.004</c:v>
                </c:pt>
                <c:pt idx="239">
                  <c:v>105.968</c:v>
                </c:pt>
                <c:pt idx="240">
                  <c:v>106.008</c:v>
                </c:pt>
                <c:pt idx="241">
                  <c:v>106.06100000000001</c:v>
                </c:pt>
                <c:pt idx="242">
                  <c:v>106.02200000000001</c:v>
                </c:pt>
                <c:pt idx="243">
                  <c:v>106.02500000000001</c:v>
                </c:pt>
                <c:pt idx="244">
                  <c:v>106.048</c:v>
                </c:pt>
                <c:pt idx="245">
                  <c:v>106.14400000000001</c:v>
                </c:pt>
                <c:pt idx="246">
                  <c:v>106.08799999999999</c:v>
                </c:pt>
                <c:pt idx="247">
                  <c:v>106.128</c:v>
                </c:pt>
                <c:pt idx="248">
                  <c:v>106.137</c:v>
                </c:pt>
                <c:pt idx="249">
                  <c:v>106.17400000000001</c:v>
                </c:pt>
                <c:pt idx="250">
                  <c:v>106.179</c:v>
                </c:pt>
                <c:pt idx="251">
                  <c:v>106.146</c:v>
                </c:pt>
                <c:pt idx="252">
                  <c:v>106.154</c:v>
                </c:pt>
                <c:pt idx="253">
                  <c:v>106.10599999999999</c:v>
                </c:pt>
                <c:pt idx="254">
                  <c:v>106.208</c:v>
                </c:pt>
                <c:pt idx="255">
                  <c:v>106.176</c:v>
                </c:pt>
                <c:pt idx="256">
                  <c:v>106.176</c:v>
                </c:pt>
                <c:pt idx="257">
                  <c:v>106.167</c:v>
                </c:pt>
                <c:pt idx="258">
                  <c:v>106.28700000000001</c:v>
                </c:pt>
                <c:pt idx="259">
                  <c:v>106.241</c:v>
                </c:pt>
                <c:pt idx="260">
                  <c:v>106.40600000000001</c:v>
                </c:pt>
                <c:pt idx="261">
                  <c:v>106.426</c:v>
                </c:pt>
                <c:pt idx="262">
                  <c:v>106.423</c:v>
                </c:pt>
                <c:pt idx="263">
                  <c:v>106.444</c:v>
                </c:pt>
                <c:pt idx="264">
                  <c:v>106.43</c:v>
                </c:pt>
                <c:pt idx="265">
                  <c:v>106.45099999999999</c:v>
                </c:pt>
                <c:pt idx="266">
                  <c:v>106.45399999999999</c:v>
                </c:pt>
                <c:pt idx="267">
                  <c:v>106.434</c:v>
                </c:pt>
                <c:pt idx="268">
                  <c:v>106.476</c:v>
                </c:pt>
                <c:pt idx="269">
                  <c:v>106.523</c:v>
                </c:pt>
                <c:pt idx="270">
                  <c:v>106.506</c:v>
                </c:pt>
                <c:pt idx="271">
                  <c:v>106.521</c:v>
                </c:pt>
                <c:pt idx="272">
                  <c:v>106.596</c:v>
                </c:pt>
                <c:pt idx="273">
                  <c:v>106.545</c:v>
                </c:pt>
                <c:pt idx="274">
                  <c:v>106.54900000000001</c:v>
                </c:pt>
                <c:pt idx="275">
                  <c:v>106.518</c:v>
                </c:pt>
                <c:pt idx="276">
                  <c:v>106.56100000000001</c:v>
                </c:pt>
                <c:pt idx="277">
                  <c:v>106.554</c:v>
                </c:pt>
                <c:pt idx="278">
                  <c:v>106.536</c:v>
                </c:pt>
                <c:pt idx="279">
                  <c:v>106.596</c:v>
                </c:pt>
                <c:pt idx="280">
                  <c:v>106.605</c:v>
                </c:pt>
                <c:pt idx="281">
                  <c:v>106.625</c:v>
                </c:pt>
                <c:pt idx="282">
                  <c:v>106.624</c:v>
                </c:pt>
                <c:pt idx="283">
                  <c:v>106.63200000000001</c:v>
                </c:pt>
                <c:pt idx="284">
                  <c:v>106.639</c:v>
                </c:pt>
                <c:pt idx="285">
                  <c:v>106.69199999999999</c:v>
                </c:pt>
                <c:pt idx="286">
                  <c:v>106.643</c:v>
                </c:pt>
                <c:pt idx="287">
                  <c:v>106.623</c:v>
                </c:pt>
                <c:pt idx="288">
                  <c:v>106.623</c:v>
                </c:pt>
                <c:pt idx="289">
                  <c:v>106.60299999999999</c:v>
                </c:pt>
                <c:pt idx="290">
                  <c:v>106.58799999999999</c:v>
                </c:pt>
                <c:pt idx="291">
                  <c:v>106.587</c:v>
                </c:pt>
                <c:pt idx="292">
                  <c:v>106.589</c:v>
                </c:pt>
                <c:pt idx="293">
                  <c:v>106.577</c:v>
                </c:pt>
                <c:pt idx="294">
                  <c:v>106.577</c:v>
                </c:pt>
                <c:pt idx="295">
                  <c:v>106.64</c:v>
                </c:pt>
                <c:pt idx="296">
                  <c:v>106.694</c:v>
                </c:pt>
                <c:pt idx="297">
                  <c:v>106.699</c:v>
                </c:pt>
                <c:pt idx="298">
                  <c:v>106.69499999999999</c:v>
                </c:pt>
                <c:pt idx="299">
                  <c:v>106.651</c:v>
                </c:pt>
                <c:pt idx="300">
                  <c:v>106.67100000000001</c:v>
                </c:pt>
                <c:pt idx="301">
                  <c:v>106.64</c:v>
                </c:pt>
                <c:pt idx="302">
                  <c:v>106.64700000000001</c:v>
                </c:pt>
                <c:pt idx="303">
                  <c:v>106.59699999999999</c:v>
                </c:pt>
                <c:pt idx="304">
                  <c:v>106.56699999999999</c:v>
                </c:pt>
                <c:pt idx="305">
                  <c:v>106.532</c:v>
                </c:pt>
                <c:pt idx="306">
                  <c:v>106.547</c:v>
                </c:pt>
                <c:pt idx="307">
                  <c:v>106.48099999999999</c:v>
                </c:pt>
                <c:pt idx="308">
                  <c:v>106.479</c:v>
                </c:pt>
                <c:pt idx="309">
                  <c:v>106.46899999999999</c:v>
                </c:pt>
                <c:pt idx="310">
                  <c:v>106.473</c:v>
                </c:pt>
                <c:pt idx="311">
                  <c:v>106.473</c:v>
                </c:pt>
                <c:pt idx="312">
                  <c:v>106.435</c:v>
                </c:pt>
                <c:pt idx="313">
                  <c:v>106.377</c:v>
                </c:pt>
                <c:pt idx="314">
                  <c:v>106.485</c:v>
                </c:pt>
                <c:pt idx="315">
                  <c:v>106.46899999999999</c:v>
                </c:pt>
                <c:pt idx="316">
                  <c:v>106.46599999999999</c:v>
                </c:pt>
                <c:pt idx="317">
                  <c:v>106.526</c:v>
                </c:pt>
                <c:pt idx="318">
                  <c:v>106.54</c:v>
                </c:pt>
                <c:pt idx="319">
                  <c:v>106.53100000000001</c:v>
                </c:pt>
                <c:pt idx="320">
                  <c:v>106.51300000000001</c:v>
                </c:pt>
                <c:pt idx="321">
                  <c:v>106.611</c:v>
                </c:pt>
                <c:pt idx="322">
                  <c:v>106.64400000000001</c:v>
                </c:pt>
                <c:pt idx="323">
                  <c:v>106.60899999999999</c:v>
                </c:pt>
                <c:pt idx="324">
                  <c:v>106.58</c:v>
                </c:pt>
                <c:pt idx="325">
                  <c:v>106.371</c:v>
                </c:pt>
                <c:pt idx="326">
                  <c:v>106.215</c:v>
                </c:pt>
                <c:pt idx="327">
                  <c:v>106.11499999999999</c:v>
                </c:pt>
                <c:pt idx="328">
                  <c:v>105.85599999999999</c:v>
                </c:pt>
                <c:pt idx="329">
                  <c:v>105.922</c:v>
                </c:pt>
                <c:pt idx="330">
                  <c:v>105.846</c:v>
                </c:pt>
                <c:pt idx="331">
                  <c:v>105.77200000000001</c:v>
                </c:pt>
                <c:pt idx="332">
                  <c:v>105.729</c:v>
                </c:pt>
                <c:pt idx="333">
                  <c:v>105.714</c:v>
                </c:pt>
                <c:pt idx="334">
                  <c:v>105.624</c:v>
                </c:pt>
                <c:pt idx="335">
                  <c:v>105.64</c:v>
                </c:pt>
                <c:pt idx="336">
                  <c:v>105.691</c:v>
                </c:pt>
                <c:pt idx="337">
                  <c:v>105.7</c:v>
                </c:pt>
                <c:pt idx="338">
                  <c:v>105.575</c:v>
                </c:pt>
                <c:pt idx="339">
                  <c:v>105.325</c:v>
                </c:pt>
                <c:pt idx="340">
                  <c:v>105.17</c:v>
                </c:pt>
                <c:pt idx="341">
                  <c:v>105.04900000000001</c:v>
                </c:pt>
                <c:pt idx="342">
                  <c:v>105.188</c:v>
                </c:pt>
                <c:pt idx="343">
                  <c:v>105.02</c:v>
                </c:pt>
                <c:pt idx="344">
                  <c:v>105.039</c:v>
                </c:pt>
                <c:pt idx="345">
                  <c:v>104.899</c:v>
                </c:pt>
                <c:pt idx="346">
                  <c:v>104.828</c:v>
                </c:pt>
                <c:pt idx="347">
                  <c:v>104.613</c:v>
                </c:pt>
                <c:pt idx="348">
                  <c:v>104.71599999999999</c:v>
                </c:pt>
                <c:pt idx="349">
                  <c:v>104.788</c:v>
                </c:pt>
                <c:pt idx="350">
                  <c:v>104.79900000000001</c:v>
                </c:pt>
                <c:pt idx="351">
                  <c:v>104.797</c:v>
                </c:pt>
                <c:pt idx="352">
                  <c:v>104.828</c:v>
                </c:pt>
                <c:pt idx="353">
                  <c:v>104.899</c:v>
                </c:pt>
                <c:pt idx="354">
                  <c:v>105.02500000000001</c:v>
                </c:pt>
                <c:pt idx="355">
                  <c:v>105.03100000000001</c:v>
                </c:pt>
                <c:pt idx="356">
                  <c:v>105.024</c:v>
                </c:pt>
                <c:pt idx="357">
                  <c:v>104.84699999999999</c:v>
                </c:pt>
                <c:pt idx="358">
                  <c:v>104.63200000000001</c:v>
                </c:pt>
                <c:pt idx="359">
                  <c:v>104.64400000000001</c:v>
                </c:pt>
                <c:pt idx="360">
                  <c:v>104.654</c:v>
                </c:pt>
                <c:pt idx="361">
                  <c:v>104.679</c:v>
                </c:pt>
                <c:pt idx="362">
                  <c:v>104.90900000000001</c:v>
                </c:pt>
                <c:pt idx="363">
                  <c:v>104.90300000000001</c:v>
                </c:pt>
                <c:pt idx="364">
                  <c:v>104.952</c:v>
                </c:pt>
                <c:pt idx="365">
                  <c:v>104.994</c:v>
                </c:pt>
                <c:pt idx="366">
                  <c:v>105.04600000000001</c:v>
                </c:pt>
                <c:pt idx="367">
                  <c:v>105.14100000000001</c:v>
                </c:pt>
                <c:pt idx="368">
                  <c:v>105.16200000000001</c:v>
                </c:pt>
                <c:pt idx="369">
                  <c:v>105.19499999999999</c:v>
                </c:pt>
                <c:pt idx="370">
                  <c:v>105.357</c:v>
                </c:pt>
                <c:pt idx="371">
                  <c:v>105.952</c:v>
                </c:pt>
                <c:pt idx="372">
                  <c:v>106.19199999999999</c:v>
                </c:pt>
                <c:pt idx="373">
                  <c:v>106.55500000000001</c:v>
                </c:pt>
                <c:pt idx="374">
                  <c:v>106.789</c:v>
                </c:pt>
                <c:pt idx="375">
                  <c:v>107.121</c:v>
                </c:pt>
                <c:pt idx="376">
                  <c:v>107.473</c:v>
                </c:pt>
                <c:pt idx="377">
                  <c:v>107.971</c:v>
                </c:pt>
                <c:pt idx="378">
                  <c:v>108.23099999999999</c:v>
                </c:pt>
                <c:pt idx="379">
                  <c:v>108.355</c:v>
                </c:pt>
                <c:pt idx="380">
                  <c:v>108.539</c:v>
                </c:pt>
                <c:pt idx="381">
                  <c:v>108.593</c:v>
                </c:pt>
                <c:pt idx="382">
                  <c:v>108.57899999999999</c:v>
                </c:pt>
                <c:pt idx="383">
                  <c:v>108.634</c:v>
                </c:pt>
                <c:pt idx="384">
                  <c:v>108.569</c:v>
                </c:pt>
                <c:pt idx="385">
                  <c:v>108.458</c:v>
                </c:pt>
                <c:pt idx="386">
                  <c:v>108.267</c:v>
                </c:pt>
                <c:pt idx="387">
                  <c:v>108.336</c:v>
                </c:pt>
                <c:pt idx="388">
                  <c:v>108.35899999999999</c:v>
                </c:pt>
                <c:pt idx="389">
                  <c:v>108.395</c:v>
                </c:pt>
                <c:pt idx="390">
                  <c:v>108.405</c:v>
                </c:pt>
                <c:pt idx="391">
                  <c:v>108.40600000000001</c:v>
                </c:pt>
                <c:pt idx="392">
                  <c:v>108.392</c:v>
                </c:pt>
                <c:pt idx="393">
                  <c:v>108.40600000000001</c:v>
                </c:pt>
                <c:pt idx="394">
                  <c:v>108.425</c:v>
                </c:pt>
                <c:pt idx="395">
                  <c:v>108.425</c:v>
                </c:pt>
                <c:pt idx="396">
                  <c:v>108.38800000000001</c:v>
                </c:pt>
                <c:pt idx="397">
                  <c:v>108.426</c:v>
                </c:pt>
                <c:pt idx="398">
                  <c:v>108.428</c:v>
                </c:pt>
                <c:pt idx="399">
                  <c:v>108.42400000000001</c:v>
                </c:pt>
                <c:pt idx="400">
                  <c:v>108.438</c:v>
                </c:pt>
                <c:pt idx="401">
                  <c:v>108.488</c:v>
                </c:pt>
                <c:pt idx="402">
                  <c:v>108.488</c:v>
                </c:pt>
                <c:pt idx="403">
                  <c:v>108.512</c:v>
                </c:pt>
                <c:pt idx="404">
                  <c:v>108.51900000000001</c:v>
                </c:pt>
                <c:pt idx="405">
                  <c:v>108.562</c:v>
                </c:pt>
                <c:pt idx="406">
                  <c:v>108.551</c:v>
                </c:pt>
                <c:pt idx="407">
                  <c:v>108.60599999999999</c:v>
                </c:pt>
                <c:pt idx="408">
                  <c:v>108.587</c:v>
                </c:pt>
                <c:pt idx="409">
                  <c:v>108.587</c:v>
                </c:pt>
                <c:pt idx="410">
                  <c:v>108.575</c:v>
                </c:pt>
                <c:pt idx="411">
                  <c:v>108.596</c:v>
                </c:pt>
                <c:pt idx="412">
                  <c:v>108.666</c:v>
                </c:pt>
                <c:pt idx="413">
                  <c:v>108.7</c:v>
                </c:pt>
                <c:pt idx="414">
                  <c:v>108.7</c:v>
                </c:pt>
                <c:pt idx="415">
                  <c:v>108.72499999999999</c:v>
                </c:pt>
                <c:pt idx="416">
                  <c:v>108.66200000000001</c:v>
                </c:pt>
                <c:pt idx="417">
                  <c:v>108.72499999999999</c:v>
                </c:pt>
                <c:pt idx="418">
                  <c:v>108.783</c:v>
                </c:pt>
                <c:pt idx="419">
                  <c:v>108.8</c:v>
                </c:pt>
                <c:pt idx="420">
                  <c:v>108.8</c:v>
                </c:pt>
                <c:pt idx="421">
                  <c:v>108.8</c:v>
                </c:pt>
                <c:pt idx="422">
                  <c:v>108.849</c:v>
                </c:pt>
                <c:pt idx="423">
                  <c:v>108.908</c:v>
                </c:pt>
                <c:pt idx="424">
                  <c:v>108.902</c:v>
                </c:pt>
                <c:pt idx="425">
                  <c:v>108.929</c:v>
                </c:pt>
                <c:pt idx="426">
                  <c:v>108.9</c:v>
                </c:pt>
                <c:pt idx="427">
                  <c:v>108.9</c:v>
                </c:pt>
                <c:pt idx="428">
                  <c:v>108.996</c:v>
                </c:pt>
                <c:pt idx="429">
                  <c:v>108.994</c:v>
                </c:pt>
                <c:pt idx="430">
                  <c:v>108.994</c:v>
                </c:pt>
                <c:pt idx="431">
                  <c:v>109.11499999999999</c:v>
                </c:pt>
                <c:pt idx="432">
                  <c:v>109.14400000000001</c:v>
                </c:pt>
                <c:pt idx="433">
                  <c:v>109.087</c:v>
                </c:pt>
                <c:pt idx="434">
                  <c:v>109.09399999999999</c:v>
                </c:pt>
                <c:pt idx="435">
                  <c:v>109.05800000000001</c:v>
                </c:pt>
                <c:pt idx="436">
                  <c:v>109.063</c:v>
                </c:pt>
                <c:pt idx="437">
                  <c:v>109.06100000000001</c:v>
                </c:pt>
                <c:pt idx="438">
                  <c:v>109.059</c:v>
                </c:pt>
                <c:pt idx="439">
                  <c:v>108.95</c:v>
                </c:pt>
                <c:pt idx="440">
                  <c:v>108.95</c:v>
                </c:pt>
                <c:pt idx="441">
                  <c:v>109.104</c:v>
                </c:pt>
                <c:pt idx="442">
                  <c:v>109.063</c:v>
                </c:pt>
                <c:pt idx="443">
                  <c:v>109.125</c:v>
                </c:pt>
                <c:pt idx="444">
                  <c:v>109.152</c:v>
                </c:pt>
                <c:pt idx="445">
                  <c:v>109.151</c:v>
                </c:pt>
                <c:pt idx="446">
                  <c:v>109.149</c:v>
                </c:pt>
                <c:pt idx="447">
                  <c:v>109.143</c:v>
                </c:pt>
                <c:pt idx="448">
                  <c:v>109.166</c:v>
                </c:pt>
                <c:pt idx="449">
                  <c:v>109.22</c:v>
                </c:pt>
                <c:pt idx="450">
                  <c:v>109.24299999999999</c:v>
                </c:pt>
                <c:pt idx="451">
                  <c:v>109.23399999999999</c:v>
                </c:pt>
                <c:pt idx="452">
                  <c:v>109.24</c:v>
                </c:pt>
                <c:pt idx="453">
                  <c:v>109.25</c:v>
                </c:pt>
                <c:pt idx="454">
                  <c:v>109.26600000000001</c:v>
                </c:pt>
                <c:pt idx="455">
                  <c:v>109.255</c:v>
                </c:pt>
                <c:pt idx="456">
                  <c:v>109.261</c:v>
                </c:pt>
                <c:pt idx="457">
                  <c:v>109.261</c:v>
                </c:pt>
                <c:pt idx="458">
                  <c:v>109.202</c:v>
                </c:pt>
                <c:pt idx="459">
                  <c:v>109.123</c:v>
                </c:pt>
                <c:pt idx="460">
                  <c:v>109.125</c:v>
                </c:pt>
                <c:pt idx="461">
                  <c:v>109.117</c:v>
                </c:pt>
                <c:pt idx="462">
                  <c:v>109.13</c:v>
                </c:pt>
                <c:pt idx="463">
                  <c:v>109.123</c:v>
                </c:pt>
                <c:pt idx="464">
                  <c:v>109.166</c:v>
                </c:pt>
                <c:pt idx="465">
                  <c:v>109.259</c:v>
                </c:pt>
                <c:pt idx="466">
                  <c:v>109.294</c:v>
                </c:pt>
                <c:pt idx="467">
                  <c:v>109.28100000000001</c:v>
                </c:pt>
                <c:pt idx="468">
                  <c:v>109.28400000000001</c:v>
                </c:pt>
                <c:pt idx="469">
                  <c:v>109.31399999999999</c:v>
                </c:pt>
                <c:pt idx="470">
                  <c:v>109.29900000000001</c:v>
                </c:pt>
                <c:pt idx="471">
                  <c:v>109.288</c:v>
                </c:pt>
                <c:pt idx="472">
                  <c:v>109.279</c:v>
                </c:pt>
                <c:pt idx="473">
                  <c:v>109.241</c:v>
                </c:pt>
                <c:pt idx="474">
                  <c:v>109.233</c:v>
                </c:pt>
                <c:pt idx="475">
                  <c:v>109.286</c:v>
                </c:pt>
                <c:pt idx="476">
                  <c:v>109.298</c:v>
                </c:pt>
                <c:pt idx="477">
                  <c:v>109.267</c:v>
                </c:pt>
                <c:pt idx="478">
                  <c:v>109.315</c:v>
                </c:pt>
                <c:pt idx="479">
                  <c:v>109.316</c:v>
                </c:pt>
                <c:pt idx="480">
                  <c:v>109.38</c:v>
                </c:pt>
                <c:pt idx="481">
                  <c:v>109.38</c:v>
                </c:pt>
                <c:pt idx="482">
                  <c:v>109.399</c:v>
                </c:pt>
                <c:pt idx="483">
                  <c:v>109.51</c:v>
                </c:pt>
                <c:pt idx="484">
                  <c:v>109.482</c:v>
                </c:pt>
                <c:pt idx="485">
                  <c:v>109.473</c:v>
                </c:pt>
                <c:pt idx="486">
                  <c:v>109.476</c:v>
                </c:pt>
                <c:pt idx="487">
                  <c:v>109.49</c:v>
                </c:pt>
                <c:pt idx="488">
                  <c:v>109.47</c:v>
                </c:pt>
                <c:pt idx="489">
                  <c:v>109.521</c:v>
                </c:pt>
                <c:pt idx="490">
                  <c:v>109.47499999999999</c:v>
                </c:pt>
                <c:pt idx="491">
                  <c:v>109.452</c:v>
                </c:pt>
                <c:pt idx="492">
                  <c:v>109.426</c:v>
                </c:pt>
                <c:pt idx="493">
                  <c:v>109.44799999999999</c:v>
                </c:pt>
                <c:pt idx="494">
                  <c:v>109.44199999999999</c:v>
                </c:pt>
                <c:pt idx="495">
                  <c:v>109.44199999999999</c:v>
                </c:pt>
                <c:pt idx="496">
                  <c:v>109.461</c:v>
                </c:pt>
                <c:pt idx="497">
                  <c:v>109.518</c:v>
                </c:pt>
                <c:pt idx="498">
                  <c:v>109.45699999999999</c:v>
                </c:pt>
                <c:pt idx="499">
                  <c:v>109.47799999999999</c:v>
                </c:pt>
                <c:pt idx="500">
                  <c:v>109.422</c:v>
                </c:pt>
                <c:pt idx="501">
                  <c:v>109.41200000000001</c:v>
                </c:pt>
                <c:pt idx="502">
                  <c:v>109.477</c:v>
                </c:pt>
                <c:pt idx="503">
                  <c:v>109.477</c:v>
                </c:pt>
                <c:pt idx="504">
                  <c:v>109.392</c:v>
                </c:pt>
                <c:pt idx="505">
                  <c:v>109.56100000000001</c:v>
                </c:pt>
                <c:pt idx="506">
                  <c:v>109.52500000000001</c:v>
                </c:pt>
                <c:pt idx="507">
                  <c:v>109.602</c:v>
                </c:pt>
                <c:pt idx="508">
                  <c:v>109.7</c:v>
                </c:pt>
                <c:pt idx="509">
                  <c:v>109.703</c:v>
                </c:pt>
                <c:pt idx="510">
                  <c:v>109.709</c:v>
                </c:pt>
                <c:pt idx="511">
                  <c:v>109.694</c:v>
                </c:pt>
                <c:pt idx="512">
                  <c:v>109.611</c:v>
                </c:pt>
                <c:pt idx="513">
                  <c:v>109.61499999999999</c:v>
                </c:pt>
                <c:pt idx="514">
                  <c:v>109.596</c:v>
                </c:pt>
                <c:pt idx="515">
                  <c:v>109.563</c:v>
                </c:pt>
                <c:pt idx="516">
                  <c:v>109.57299999999999</c:v>
                </c:pt>
                <c:pt idx="517">
                  <c:v>109.56699999999999</c:v>
                </c:pt>
                <c:pt idx="518">
                  <c:v>109.482</c:v>
                </c:pt>
                <c:pt idx="519">
                  <c:v>109.566</c:v>
                </c:pt>
                <c:pt idx="520">
                  <c:v>109.547</c:v>
                </c:pt>
                <c:pt idx="521">
                  <c:v>109.535</c:v>
                </c:pt>
                <c:pt idx="522">
                  <c:v>109.55800000000001</c:v>
                </c:pt>
                <c:pt idx="523">
                  <c:v>109.617</c:v>
                </c:pt>
                <c:pt idx="524">
                  <c:v>109.621</c:v>
                </c:pt>
                <c:pt idx="525">
                  <c:v>109.601</c:v>
                </c:pt>
                <c:pt idx="526">
                  <c:v>109.54600000000001</c:v>
                </c:pt>
                <c:pt idx="527">
                  <c:v>109.536</c:v>
                </c:pt>
                <c:pt idx="528">
                  <c:v>109.508</c:v>
                </c:pt>
                <c:pt idx="529">
                  <c:v>109.604</c:v>
                </c:pt>
                <c:pt idx="530">
                  <c:v>109.467</c:v>
                </c:pt>
                <c:pt idx="531">
                  <c:v>109.483</c:v>
                </c:pt>
                <c:pt idx="532">
                  <c:v>109.465</c:v>
                </c:pt>
                <c:pt idx="533">
                  <c:v>109.57599999999999</c:v>
                </c:pt>
                <c:pt idx="534">
                  <c:v>109.533</c:v>
                </c:pt>
                <c:pt idx="535">
                  <c:v>109.554</c:v>
                </c:pt>
                <c:pt idx="536">
                  <c:v>109.488</c:v>
                </c:pt>
                <c:pt idx="537">
                  <c:v>109.518</c:v>
                </c:pt>
                <c:pt idx="538">
                  <c:v>109.55800000000001</c:v>
                </c:pt>
                <c:pt idx="539">
                  <c:v>109.578</c:v>
                </c:pt>
                <c:pt idx="540">
                  <c:v>109.598</c:v>
                </c:pt>
                <c:pt idx="541">
                  <c:v>109.60899999999999</c:v>
                </c:pt>
                <c:pt idx="542">
                  <c:v>109.602</c:v>
                </c:pt>
                <c:pt idx="543">
                  <c:v>109.616</c:v>
                </c:pt>
                <c:pt idx="544">
                  <c:v>109.59399999999999</c:v>
                </c:pt>
                <c:pt idx="545">
                  <c:v>109.649</c:v>
                </c:pt>
                <c:pt idx="546">
                  <c:v>109.627</c:v>
                </c:pt>
                <c:pt idx="547">
                  <c:v>109.616</c:v>
                </c:pt>
                <c:pt idx="548">
                  <c:v>109.688</c:v>
                </c:pt>
                <c:pt idx="549">
                  <c:v>109.595</c:v>
                </c:pt>
                <c:pt idx="550">
                  <c:v>109.59399999999999</c:v>
                </c:pt>
                <c:pt idx="551">
                  <c:v>109.619</c:v>
                </c:pt>
                <c:pt idx="552">
                  <c:v>109.637</c:v>
                </c:pt>
                <c:pt idx="553">
                  <c:v>109.68300000000001</c:v>
                </c:pt>
                <c:pt idx="554">
                  <c:v>109.702</c:v>
                </c:pt>
                <c:pt idx="555">
                  <c:v>109.72499999999999</c:v>
                </c:pt>
                <c:pt idx="556">
                  <c:v>109.75</c:v>
                </c:pt>
                <c:pt idx="557">
                  <c:v>109.744</c:v>
                </c:pt>
                <c:pt idx="558">
                  <c:v>109.712</c:v>
                </c:pt>
                <c:pt idx="559">
                  <c:v>109.721</c:v>
                </c:pt>
                <c:pt idx="560">
                  <c:v>109.70699999999999</c:v>
                </c:pt>
                <c:pt idx="561">
                  <c:v>109.721</c:v>
                </c:pt>
                <c:pt idx="562">
                  <c:v>109.904</c:v>
                </c:pt>
                <c:pt idx="563">
                  <c:v>109.952</c:v>
                </c:pt>
                <c:pt idx="564">
                  <c:v>110.027</c:v>
                </c:pt>
                <c:pt idx="565">
                  <c:v>109.99</c:v>
                </c:pt>
                <c:pt idx="566">
                  <c:v>109.785</c:v>
                </c:pt>
                <c:pt idx="567">
                  <c:v>109.767</c:v>
                </c:pt>
                <c:pt idx="568">
                  <c:v>109.733</c:v>
                </c:pt>
                <c:pt idx="569">
                  <c:v>109.71299999999999</c:v>
                </c:pt>
                <c:pt idx="570">
                  <c:v>109.72</c:v>
                </c:pt>
                <c:pt idx="571">
                  <c:v>109.69199999999999</c:v>
                </c:pt>
                <c:pt idx="572">
                  <c:v>109.63800000000001</c:v>
                </c:pt>
                <c:pt idx="573">
                  <c:v>109.569</c:v>
                </c:pt>
                <c:pt idx="574">
                  <c:v>109.417</c:v>
                </c:pt>
                <c:pt idx="575">
                  <c:v>109.315</c:v>
                </c:pt>
                <c:pt idx="576">
                  <c:v>109.28700000000001</c:v>
                </c:pt>
                <c:pt idx="577">
                  <c:v>109.09699999999999</c:v>
                </c:pt>
                <c:pt idx="578">
                  <c:v>108.949</c:v>
                </c:pt>
                <c:pt idx="579">
                  <c:v>108.964</c:v>
                </c:pt>
                <c:pt idx="580">
                  <c:v>108.946</c:v>
                </c:pt>
                <c:pt idx="581">
                  <c:v>108.92</c:v>
                </c:pt>
                <c:pt idx="582">
                  <c:v>108.908</c:v>
                </c:pt>
                <c:pt idx="583">
                  <c:v>108.861</c:v>
                </c:pt>
                <c:pt idx="584">
                  <c:v>108.908</c:v>
                </c:pt>
                <c:pt idx="585">
                  <c:v>108.971</c:v>
                </c:pt>
                <c:pt idx="586">
                  <c:v>108.938</c:v>
                </c:pt>
                <c:pt idx="587">
                  <c:v>108.938</c:v>
                </c:pt>
                <c:pt idx="588">
                  <c:v>108.87</c:v>
                </c:pt>
                <c:pt idx="589">
                  <c:v>108.887</c:v>
                </c:pt>
                <c:pt idx="590">
                  <c:v>108.952</c:v>
                </c:pt>
                <c:pt idx="591">
                  <c:v>108.932</c:v>
                </c:pt>
                <c:pt idx="592">
                  <c:v>108.983</c:v>
                </c:pt>
                <c:pt idx="593">
                  <c:v>108.965</c:v>
                </c:pt>
                <c:pt idx="594">
                  <c:v>108.94799999999999</c:v>
                </c:pt>
                <c:pt idx="595">
                  <c:v>108.952</c:v>
                </c:pt>
                <c:pt idx="596">
                  <c:v>108.96</c:v>
                </c:pt>
                <c:pt idx="597">
                  <c:v>108.958</c:v>
                </c:pt>
                <c:pt idx="598">
                  <c:v>108.983</c:v>
                </c:pt>
                <c:pt idx="599">
                  <c:v>108.94199999999999</c:v>
                </c:pt>
                <c:pt idx="600">
                  <c:v>108.94199999999999</c:v>
                </c:pt>
                <c:pt idx="601">
                  <c:v>108.952</c:v>
                </c:pt>
                <c:pt idx="602">
                  <c:v>108.919</c:v>
                </c:pt>
                <c:pt idx="603">
                  <c:v>108.83499999999999</c:v>
                </c:pt>
                <c:pt idx="604">
                  <c:v>108.813</c:v>
                </c:pt>
                <c:pt idx="605">
                  <c:v>108.78700000000001</c:v>
                </c:pt>
                <c:pt idx="606">
                  <c:v>108.804</c:v>
                </c:pt>
                <c:pt idx="607">
                  <c:v>108.767</c:v>
                </c:pt>
                <c:pt idx="608">
                  <c:v>108.747</c:v>
                </c:pt>
                <c:pt idx="609">
                  <c:v>108.65600000000001</c:v>
                </c:pt>
                <c:pt idx="610">
                  <c:v>108.68899999999999</c:v>
                </c:pt>
                <c:pt idx="611">
                  <c:v>108.675</c:v>
                </c:pt>
                <c:pt idx="612">
                  <c:v>108.68</c:v>
                </c:pt>
                <c:pt idx="613">
                  <c:v>108.69</c:v>
                </c:pt>
                <c:pt idx="614">
                  <c:v>108.70699999999999</c:v>
                </c:pt>
                <c:pt idx="615">
                  <c:v>108.726</c:v>
                </c:pt>
                <c:pt idx="616">
                  <c:v>108.736</c:v>
                </c:pt>
                <c:pt idx="617">
                  <c:v>108.755</c:v>
                </c:pt>
                <c:pt idx="618">
                  <c:v>108.76300000000001</c:v>
                </c:pt>
                <c:pt idx="619">
                  <c:v>108.748</c:v>
                </c:pt>
                <c:pt idx="620">
                  <c:v>108.68</c:v>
                </c:pt>
                <c:pt idx="621">
                  <c:v>108.762</c:v>
                </c:pt>
                <c:pt idx="622">
                  <c:v>108.72499999999999</c:v>
                </c:pt>
                <c:pt idx="623">
                  <c:v>108.702</c:v>
                </c:pt>
                <c:pt idx="624">
                  <c:v>108.72499999999999</c:v>
                </c:pt>
                <c:pt idx="625">
                  <c:v>108.759</c:v>
                </c:pt>
                <c:pt idx="626">
                  <c:v>108.61</c:v>
                </c:pt>
                <c:pt idx="627">
                  <c:v>108.607</c:v>
                </c:pt>
                <c:pt idx="628">
                  <c:v>108.53</c:v>
                </c:pt>
                <c:pt idx="629">
                  <c:v>108.47199999999999</c:v>
                </c:pt>
                <c:pt idx="630">
                  <c:v>108.399</c:v>
                </c:pt>
                <c:pt idx="631">
                  <c:v>108.425</c:v>
                </c:pt>
                <c:pt idx="632">
                  <c:v>108.425</c:v>
                </c:pt>
                <c:pt idx="633">
                  <c:v>108.43899999999999</c:v>
                </c:pt>
                <c:pt idx="634">
                  <c:v>108.389</c:v>
                </c:pt>
                <c:pt idx="635">
                  <c:v>108.482</c:v>
                </c:pt>
                <c:pt idx="636">
                  <c:v>108.477</c:v>
                </c:pt>
                <c:pt idx="637">
                  <c:v>108.438</c:v>
                </c:pt>
                <c:pt idx="638">
                  <c:v>108.483</c:v>
                </c:pt>
                <c:pt idx="639">
                  <c:v>108.417</c:v>
                </c:pt>
                <c:pt idx="640">
                  <c:v>108.417</c:v>
                </c:pt>
                <c:pt idx="641">
                  <c:v>108.504</c:v>
                </c:pt>
                <c:pt idx="642">
                  <c:v>108.5</c:v>
                </c:pt>
                <c:pt idx="643">
                  <c:v>108.468</c:v>
                </c:pt>
                <c:pt idx="644">
                  <c:v>108.364</c:v>
                </c:pt>
                <c:pt idx="645">
                  <c:v>108.39100000000001</c:v>
                </c:pt>
                <c:pt idx="646">
                  <c:v>108.357</c:v>
                </c:pt>
                <c:pt idx="647">
                  <c:v>108.389</c:v>
                </c:pt>
                <c:pt idx="648">
                  <c:v>108.375</c:v>
                </c:pt>
                <c:pt idx="649">
                  <c:v>108.483</c:v>
                </c:pt>
                <c:pt idx="650">
                  <c:v>108.518</c:v>
                </c:pt>
                <c:pt idx="651">
                  <c:v>108.498</c:v>
                </c:pt>
                <c:pt idx="652">
                  <c:v>108.486</c:v>
                </c:pt>
                <c:pt idx="653">
                  <c:v>108.55800000000001</c:v>
                </c:pt>
                <c:pt idx="654">
                  <c:v>108.557</c:v>
                </c:pt>
                <c:pt idx="655">
                  <c:v>108.583</c:v>
                </c:pt>
                <c:pt idx="656">
                  <c:v>108.554</c:v>
                </c:pt>
                <c:pt idx="657">
                  <c:v>108.666</c:v>
                </c:pt>
                <c:pt idx="658">
                  <c:v>108.794</c:v>
                </c:pt>
                <c:pt idx="659">
                  <c:v>108.95399999999999</c:v>
                </c:pt>
                <c:pt idx="660">
                  <c:v>108.91500000000001</c:v>
                </c:pt>
                <c:pt idx="661">
                  <c:v>108.82</c:v>
                </c:pt>
                <c:pt idx="662">
                  <c:v>108.895</c:v>
                </c:pt>
                <c:pt idx="663">
                  <c:v>108.861</c:v>
                </c:pt>
                <c:pt idx="664">
                  <c:v>108.64400000000001</c:v>
                </c:pt>
                <c:pt idx="665">
                  <c:v>108.58499999999999</c:v>
                </c:pt>
                <c:pt idx="666">
                  <c:v>108.471</c:v>
                </c:pt>
                <c:pt idx="667">
                  <c:v>108.283</c:v>
                </c:pt>
                <c:pt idx="668">
                  <c:v>108.285</c:v>
                </c:pt>
                <c:pt idx="669">
                  <c:v>108.217</c:v>
                </c:pt>
                <c:pt idx="670">
                  <c:v>108.175</c:v>
                </c:pt>
                <c:pt idx="671">
                  <c:v>108.196</c:v>
                </c:pt>
                <c:pt idx="672">
                  <c:v>108.158</c:v>
                </c:pt>
                <c:pt idx="673">
                  <c:v>108.087</c:v>
                </c:pt>
                <c:pt idx="674">
                  <c:v>108.092</c:v>
                </c:pt>
                <c:pt idx="675">
                  <c:v>108.108</c:v>
                </c:pt>
                <c:pt idx="676">
                  <c:v>108.03700000000001</c:v>
                </c:pt>
                <c:pt idx="677">
                  <c:v>108.086</c:v>
                </c:pt>
                <c:pt idx="678">
                  <c:v>108.077</c:v>
                </c:pt>
                <c:pt idx="679">
                  <c:v>108.09399999999999</c:v>
                </c:pt>
                <c:pt idx="680">
                  <c:v>108.07299999999999</c:v>
                </c:pt>
                <c:pt idx="681">
                  <c:v>108.11</c:v>
                </c:pt>
                <c:pt idx="682">
                  <c:v>108.063</c:v>
                </c:pt>
                <c:pt idx="683">
                  <c:v>108.04</c:v>
                </c:pt>
                <c:pt idx="684">
                  <c:v>107.971</c:v>
                </c:pt>
                <c:pt idx="685">
                  <c:v>107.863</c:v>
                </c:pt>
                <c:pt idx="686">
                  <c:v>107.965</c:v>
                </c:pt>
                <c:pt idx="687">
                  <c:v>107.922</c:v>
                </c:pt>
                <c:pt idx="688">
                  <c:v>107.833</c:v>
                </c:pt>
                <c:pt idx="689">
                  <c:v>107.804</c:v>
                </c:pt>
                <c:pt idx="690">
                  <c:v>107.852</c:v>
                </c:pt>
                <c:pt idx="691">
                  <c:v>107.81</c:v>
                </c:pt>
                <c:pt idx="692">
                  <c:v>107.801</c:v>
                </c:pt>
                <c:pt idx="693">
                  <c:v>107.60599999999999</c:v>
                </c:pt>
                <c:pt idx="694">
                  <c:v>107.729</c:v>
                </c:pt>
                <c:pt idx="695">
                  <c:v>107.55</c:v>
                </c:pt>
                <c:pt idx="696">
                  <c:v>107.547</c:v>
                </c:pt>
                <c:pt idx="697">
                  <c:v>107.545</c:v>
                </c:pt>
                <c:pt idx="698">
                  <c:v>107.518</c:v>
                </c:pt>
                <c:pt idx="699">
                  <c:v>107.48</c:v>
                </c:pt>
                <c:pt idx="700">
                  <c:v>107.383</c:v>
                </c:pt>
                <c:pt idx="701">
                  <c:v>107.32299999999999</c:v>
                </c:pt>
                <c:pt idx="702">
                  <c:v>107.402</c:v>
                </c:pt>
                <c:pt idx="703">
                  <c:v>107.396</c:v>
                </c:pt>
                <c:pt idx="704">
                  <c:v>107.31100000000001</c:v>
                </c:pt>
                <c:pt idx="705">
                  <c:v>107.301</c:v>
                </c:pt>
                <c:pt idx="706">
                  <c:v>107.277</c:v>
                </c:pt>
                <c:pt idx="707">
                  <c:v>107.369</c:v>
                </c:pt>
                <c:pt idx="708">
                  <c:v>107.364</c:v>
                </c:pt>
                <c:pt idx="709">
                  <c:v>107.339</c:v>
                </c:pt>
                <c:pt idx="710">
                  <c:v>107.416</c:v>
                </c:pt>
                <c:pt idx="711">
                  <c:v>107.41500000000001</c:v>
                </c:pt>
                <c:pt idx="712">
                  <c:v>107.42700000000001</c:v>
                </c:pt>
                <c:pt idx="713">
                  <c:v>107.483</c:v>
                </c:pt>
                <c:pt idx="714">
                  <c:v>107.605</c:v>
                </c:pt>
                <c:pt idx="715">
                  <c:v>107.613</c:v>
                </c:pt>
                <c:pt idx="716">
                  <c:v>107.715</c:v>
                </c:pt>
                <c:pt idx="717">
                  <c:v>107.72</c:v>
                </c:pt>
                <c:pt idx="718">
                  <c:v>107.69799999999999</c:v>
                </c:pt>
                <c:pt idx="719">
                  <c:v>107.77500000000001</c:v>
                </c:pt>
                <c:pt idx="720">
                  <c:v>107.755</c:v>
                </c:pt>
                <c:pt idx="721">
                  <c:v>107.87</c:v>
                </c:pt>
                <c:pt idx="722">
                  <c:v>107.886</c:v>
                </c:pt>
                <c:pt idx="723">
                  <c:v>107.877</c:v>
                </c:pt>
                <c:pt idx="724">
                  <c:v>107.9</c:v>
                </c:pt>
                <c:pt idx="725">
                  <c:v>107.96299999999999</c:v>
                </c:pt>
                <c:pt idx="726">
                  <c:v>108.01600000000001</c:v>
                </c:pt>
                <c:pt idx="727">
                  <c:v>108.163</c:v>
                </c:pt>
                <c:pt idx="728">
                  <c:v>108.158</c:v>
                </c:pt>
                <c:pt idx="729">
                  <c:v>108.203</c:v>
                </c:pt>
                <c:pt idx="730">
                  <c:v>108.23399999999999</c:v>
                </c:pt>
                <c:pt idx="731">
                  <c:v>108.358</c:v>
                </c:pt>
                <c:pt idx="732">
                  <c:v>108.371</c:v>
                </c:pt>
                <c:pt idx="733">
                  <c:v>108.42100000000001</c:v>
                </c:pt>
                <c:pt idx="734">
                  <c:v>108.49299999999999</c:v>
                </c:pt>
                <c:pt idx="735">
                  <c:v>108.483</c:v>
                </c:pt>
                <c:pt idx="736">
                  <c:v>108.49299999999999</c:v>
                </c:pt>
                <c:pt idx="737">
                  <c:v>108.598</c:v>
                </c:pt>
                <c:pt idx="738">
                  <c:v>108.60599999999999</c:v>
                </c:pt>
                <c:pt idx="739">
                  <c:v>108.696</c:v>
                </c:pt>
                <c:pt idx="740">
                  <c:v>108.77200000000001</c:v>
                </c:pt>
                <c:pt idx="741">
                  <c:v>108.729</c:v>
                </c:pt>
                <c:pt idx="742">
                  <c:v>108.764</c:v>
                </c:pt>
                <c:pt idx="743">
                  <c:v>108.80800000000001</c:v>
                </c:pt>
                <c:pt idx="744">
                  <c:v>108.83499999999999</c:v>
                </c:pt>
                <c:pt idx="745">
                  <c:v>108.884</c:v>
                </c:pt>
                <c:pt idx="746">
                  <c:v>109.017</c:v>
                </c:pt>
                <c:pt idx="747">
                  <c:v>109</c:v>
                </c:pt>
                <c:pt idx="748">
                  <c:v>109.018</c:v>
                </c:pt>
                <c:pt idx="749">
                  <c:v>108.992</c:v>
                </c:pt>
                <c:pt idx="750">
                  <c:v>109.02</c:v>
                </c:pt>
                <c:pt idx="751">
                  <c:v>108.93</c:v>
                </c:pt>
                <c:pt idx="752">
                  <c:v>108.88500000000001</c:v>
                </c:pt>
                <c:pt idx="753">
                  <c:v>108.911</c:v>
                </c:pt>
                <c:pt idx="754">
                  <c:v>108.90600000000001</c:v>
                </c:pt>
                <c:pt idx="755">
                  <c:v>108.902</c:v>
                </c:pt>
                <c:pt idx="756">
                  <c:v>108.91800000000001</c:v>
                </c:pt>
                <c:pt idx="757">
                  <c:v>108.976</c:v>
                </c:pt>
                <c:pt idx="758">
                  <c:v>109.032</c:v>
                </c:pt>
                <c:pt idx="759">
                  <c:v>108.96899999999999</c:v>
                </c:pt>
                <c:pt idx="760">
                  <c:v>108.98</c:v>
                </c:pt>
                <c:pt idx="761">
                  <c:v>108.999</c:v>
                </c:pt>
                <c:pt idx="762">
                  <c:v>108.958</c:v>
                </c:pt>
                <c:pt idx="763">
                  <c:v>109.02200000000001</c:v>
                </c:pt>
                <c:pt idx="764">
                  <c:v>109.06100000000001</c:v>
                </c:pt>
                <c:pt idx="765">
                  <c:v>109.104</c:v>
                </c:pt>
                <c:pt idx="766">
                  <c:v>108.991</c:v>
                </c:pt>
                <c:pt idx="767">
                  <c:v>108.995</c:v>
                </c:pt>
                <c:pt idx="768">
                  <c:v>109.017</c:v>
                </c:pt>
                <c:pt idx="769">
                  <c:v>108.938</c:v>
                </c:pt>
                <c:pt idx="770">
                  <c:v>108.938</c:v>
                </c:pt>
                <c:pt idx="771">
                  <c:v>109.04300000000001</c:v>
                </c:pt>
                <c:pt idx="772">
                  <c:v>108.949</c:v>
                </c:pt>
                <c:pt idx="773">
                  <c:v>108.80200000000001</c:v>
                </c:pt>
                <c:pt idx="774">
                  <c:v>108.93899999999999</c:v>
                </c:pt>
                <c:pt idx="775">
                  <c:v>109.035</c:v>
                </c:pt>
                <c:pt idx="776">
                  <c:v>108.932</c:v>
                </c:pt>
                <c:pt idx="777">
                  <c:v>108.916</c:v>
                </c:pt>
                <c:pt idx="778">
                  <c:v>108.97199999999999</c:v>
                </c:pt>
                <c:pt idx="779">
                  <c:v>109.101</c:v>
                </c:pt>
                <c:pt idx="780">
                  <c:v>108.958</c:v>
                </c:pt>
                <c:pt idx="781">
                  <c:v>109.014</c:v>
                </c:pt>
                <c:pt idx="782">
                  <c:v>108.99</c:v>
                </c:pt>
                <c:pt idx="783">
                  <c:v>109.01300000000001</c:v>
                </c:pt>
                <c:pt idx="784">
                  <c:v>109.264</c:v>
                </c:pt>
                <c:pt idx="785">
                  <c:v>109.226</c:v>
                </c:pt>
                <c:pt idx="786">
                  <c:v>109.26300000000001</c:v>
                </c:pt>
                <c:pt idx="787">
                  <c:v>109.29</c:v>
                </c:pt>
                <c:pt idx="788">
                  <c:v>109.35899999999999</c:v>
                </c:pt>
                <c:pt idx="789">
                  <c:v>109.428</c:v>
                </c:pt>
                <c:pt idx="790">
                  <c:v>109.408</c:v>
                </c:pt>
                <c:pt idx="791">
                  <c:v>109.437</c:v>
                </c:pt>
                <c:pt idx="792">
                  <c:v>109.55500000000001</c:v>
                </c:pt>
                <c:pt idx="793">
                  <c:v>109.53</c:v>
                </c:pt>
                <c:pt idx="794">
                  <c:v>109.504</c:v>
                </c:pt>
                <c:pt idx="795">
                  <c:v>109.52</c:v>
                </c:pt>
                <c:pt idx="796">
                  <c:v>109.505</c:v>
                </c:pt>
                <c:pt idx="797">
                  <c:v>109.538</c:v>
                </c:pt>
                <c:pt idx="798">
                  <c:v>109.55</c:v>
                </c:pt>
                <c:pt idx="799">
                  <c:v>109.581</c:v>
                </c:pt>
                <c:pt idx="800">
                  <c:v>109.60299999999999</c:v>
                </c:pt>
                <c:pt idx="801">
                  <c:v>109.622</c:v>
                </c:pt>
                <c:pt idx="802">
                  <c:v>109.59099999999999</c:v>
                </c:pt>
                <c:pt idx="803">
                  <c:v>109.61</c:v>
                </c:pt>
                <c:pt idx="804">
                  <c:v>109.62</c:v>
                </c:pt>
                <c:pt idx="805">
                  <c:v>109.60599999999999</c:v>
                </c:pt>
                <c:pt idx="806">
                  <c:v>109.621</c:v>
                </c:pt>
                <c:pt idx="807">
                  <c:v>109.56100000000001</c:v>
                </c:pt>
                <c:pt idx="808">
                  <c:v>109.515</c:v>
                </c:pt>
                <c:pt idx="809">
                  <c:v>109.5</c:v>
                </c:pt>
                <c:pt idx="810">
                  <c:v>109.42400000000001</c:v>
                </c:pt>
                <c:pt idx="811">
                  <c:v>109.33799999999999</c:v>
                </c:pt>
                <c:pt idx="812">
                  <c:v>109.384</c:v>
                </c:pt>
                <c:pt idx="813">
                  <c:v>109.254</c:v>
                </c:pt>
                <c:pt idx="814">
                  <c:v>109.35299999999999</c:v>
                </c:pt>
                <c:pt idx="815">
                  <c:v>109.342</c:v>
                </c:pt>
                <c:pt idx="816">
                  <c:v>109.44799999999999</c:v>
                </c:pt>
                <c:pt idx="817">
                  <c:v>109.33499999999999</c:v>
                </c:pt>
                <c:pt idx="818">
                  <c:v>109.215</c:v>
                </c:pt>
                <c:pt idx="819">
                  <c:v>109.172</c:v>
                </c:pt>
                <c:pt idx="820">
                  <c:v>109.13800000000001</c:v>
                </c:pt>
                <c:pt idx="821">
                  <c:v>109.08499999999999</c:v>
                </c:pt>
                <c:pt idx="822">
                  <c:v>108.959</c:v>
                </c:pt>
                <c:pt idx="823">
                  <c:v>109.032</c:v>
                </c:pt>
                <c:pt idx="824">
                  <c:v>109.10899999999999</c:v>
                </c:pt>
                <c:pt idx="825">
                  <c:v>109.188</c:v>
                </c:pt>
                <c:pt idx="826">
                  <c:v>109.187</c:v>
                </c:pt>
                <c:pt idx="827">
                  <c:v>109.319</c:v>
                </c:pt>
                <c:pt idx="828">
                  <c:v>109.253</c:v>
                </c:pt>
                <c:pt idx="829">
                  <c:v>109.28700000000001</c:v>
                </c:pt>
                <c:pt idx="830">
                  <c:v>109.32299999999999</c:v>
                </c:pt>
                <c:pt idx="831">
                  <c:v>109.34399999999999</c:v>
                </c:pt>
                <c:pt idx="832">
                  <c:v>109.348</c:v>
                </c:pt>
                <c:pt idx="833">
                  <c:v>109.322</c:v>
                </c:pt>
                <c:pt idx="834">
                  <c:v>109.256</c:v>
                </c:pt>
                <c:pt idx="835">
                  <c:v>109.303</c:v>
                </c:pt>
                <c:pt idx="836">
                  <c:v>109.248</c:v>
                </c:pt>
                <c:pt idx="837">
                  <c:v>109.401</c:v>
                </c:pt>
                <c:pt idx="838">
                  <c:v>109.47199999999999</c:v>
                </c:pt>
                <c:pt idx="839">
                  <c:v>109.44199999999999</c:v>
                </c:pt>
                <c:pt idx="840">
                  <c:v>109.483</c:v>
                </c:pt>
                <c:pt idx="841">
                  <c:v>109.398</c:v>
                </c:pt>
                <c:pt idx="842">
                  <c:v>109.44499999999999</c:v>
                </c:pt>
                <c:pt idx="843">
                  <c:v>109.417</c:v>
                </c:pt>
                <c:pt idx="844">
                  <c:v>109.42100000000001</c:v>
                </c:pt>
                <c:pt idx="845">
                  <c:v>109.471</c:v>
                </c:pt>
                <c:pt idx="846">
                  <c:v>109.49</c:v>
                </c:pt>
                <c:pt idx="847">
                  <c:v>109.63500000000001</c:v>
                </c:pt>
                <c:pt idx="848">
                  <c:v>109.59399999999999</c:v>
                </c:pt>
                <c:pt idx="849">
                  <c:v>109.536</c:v>
                </c:pt>
                <c:pt idx="850">
                  <c:v>109.39700000000001</c:v>
                </c:pt>
                <c:pt idx="851">
                  <c:v>109.598</c:v>
                </c:pt>
                <c:pt idx="852">
                  <c:v>109.76300000000001</c:v>
                </c:pt>
                <c:pt idx="853">
                  <c:v>109.851</c:v>
                </c:pt>
                <c:pt idx="854">
                  <c:v>109.989</c:v>
                </c:pt>
                <c:pt idx="855">
                  <c:v>110.21599999999999</c:v>
                </c:pt>
                <c:pt idx="856">
                  <c:v>110.517</c:v>
                </c:pt>
                <c:pt idx="857">
                  <c:v>110.563</c:v>
                </c:pt>
                <c:pt idx="858">
                  <c:v>110.61499999999999</c:v>
                </c:pt>
                <c:pt idx="859">
                  <c:v>110.60299999999999</c:v>
                </c:pt>
                <c:pt idx="860">
                  <c:v>110.621</c:v>
                </c:pt>
                <c:pt idx="861">
                  <c:v>110.821</c:v>
                </c:pt>
                <c:pt idx="862">
                  <c:v>110.938</c:v>
                </c:pt>
                <c:pt idx="863">
                  <c:v>111.13200000000001</c:v>
                </c:pt>
                <c:pt idx="864">
                  <c:v>111.258</c:v>
                </c:pt>
                <c:pt idx="865">
                  <c:v>111.346</c:v>
                </c:pt>
                <c:pt idx="866">
                  <c:v>111.39</c:v>
                </c:pt>
                <c:pt idx="867">
                  <c:v>111.392</c:v>
                </c:pt>
                <c:pt idx="868">
                  <c:v>111.39400000000001</c:v>
                </c:pt>
                <c:pt idx="869">
                  <c:v>111.452</c:v>
                </c:pt>
                <c:pt idx="870">
                  <c:v>111.476</c:v>
                </c:pt>
                <c:pt idx="871">
                  <c:v>111.503</c:v>
                </c:pt>
                <c:pt idx="872">
                  <c:v>111.51900000000001</c:v>
                </c:pt>
                <c:pt idx="873">
                  <c:v>111.511</c:v>
                </c:pt>
                <c:pt idx="874">
                  <c:v>111.398</c:v>
                </c:pt>
                <c:pt idx="875">
                  <c:v>111.371</c:v>
                </c:pt>
                <c:pt idx="876">
                  <c:v>111.34699999999999</c:v>
                </c:pt>
                <c:pt idx="877">
                  <c:v>111.371</c:v>
                </c:pt>
                <c:pt idx="878">
                  <c:v>111.29300000000001</c:v>
                </c:pt>
                <c:pt idx="879">
                  <c:v>111.29300000000001</c:v>
                </c:pt>
                <c:pt idx="880">
                  <c:v>111.373</c:v>
                </c:pt>
                <c:pt idx="881">
                  <c:v>111.453</c:v>
                </c:pt>
                <c:pt idx="882">
                  <c:v>111.377</c:v>
                </c:pt>
                <c:pt idx="883">
                  <c:v>111.363</c:v>
                </c:pt>
                <c:pt idx="884">
                  <c:v>111.364</c:v>
                </c:pt>
                <c:pt idx="885">
                  <c:v>111.57299999999999</c:v>
                </c:pt>
                <c:pt idx="886">
                  <c:v>111.554</c:v>
                </c:pt>
                <c:pt idx="887">
                  <c:v>111.504</c:v>
                </c:pt>
                <c:pt idx="888">
                  <c:v>111.634</c:v>
                </c:pt>
                <c:pt idx="889">
                  <c:v>111.54300000000001</c:v>
                </c:pt>
                <c:pt idx="890">
                  <c:v>111.51600000000001</c:v>
                </c:pt>
                <c:pt idx="891">
                  <c:v>111.461</c:v>
                </c:pt>
                <c:pt idx="892">
                  <c:v>111.512</c:v>
                </c:pt>
                <c:pt idx="893">
                  <c:v>111.36499999999999</c:v>
                </c:pt>
                <c:pt idx="894">
                  <c:v>111.32599999999999</c:v>
                </c:pt>
                <c:pt idx="895">
                  <c:v>111.33799999999999</c:v>
                </c:pt>
                <c:pt idx="896">
                  <c:v>111.36799999999999</c:v>
                </c:pt>
                <c:pt idx="897">
                  <c:v>111.276</c:v>
                </c:pt>
                <c:pt idx="898">
                  <c:v>111.193</c:v>
                </c:pt>
                <c:pt idx="899">
                  <c:v>111.071</c:v>
                </c:pt>
                <c:pt idx="900">
                  <c:v>111.14700000000001</c:v>
                </c:pt>
                <c:pt idx="901">
                  <c:v>111.131</c:v>
                </c:pt>
                <c:pt idx="902">
                  <c:v>111.175</c:v>
                </c:pt>
                <c:pt idx="903">
                  <c:v>111.562</c:v>
                </c:pt>
                <c:pt idx="904">
                  <c:v>111.681</c:v>
                </c:pt>
                <c:pt idx="905">
                  <c:v>111.773</c:v>
                </c:pt>
                <c:pt idx="906">
                  <c:v>111.792</c:v>
                </c:pt>
                <c:pt idx="907">
                  <c:v>111.79900000000001</c:v>
                </c:pt>
                <c:pt idx="908">
                  <c:v>111.88</c:v>
                </c:pt>
                <c:pt idx="909">
                  <c:v>112.27200000000001</c:v>
                </c:pt>
                <c:pt idx="910">
                  <c:v>112.30500000000001</c:v>
                </c:pt>
                <c:pt idx="911">
                  <c:v>112.23</c:v>
                </c:pt>
                <c:pt idx="912">
                  <c:v>112.57</c:v>
                </c:pt>
                <c:pt idx="913">
                  <c:v>112.901</c:v>
                </c:pt>
                <c:pt idx="914">
                  <c:v>112.922</c:v>
                </c:pt>
                <c:pt idx="915">
                  <c:v>113.063</c:v>
                </c:pt>
                <c:pt idx="916">
                  <c:v>113.033</c:v>
                </c:pt>
                <c:pt idx="917">
                  <c:v>113.04</c:v>
                </c:pt>
                <c:pt idx="918">
                  <c:v>113.251</c:v>
                </c:pt>
                <c:pt idx="919">
                  <c:v>113.238</c:v>
                </c:pt>
                <c:pt idx="920">
                  <c:v>113.363</c:v>
                </c:pt>
                <c:pt idx="921">
                  <c:v>113.505</c:v>
                </c:pt>
                <c:pt idx="922">
                  <c:v>113.46599999999999</c:v>
                </c:pt>
                <c:pt idx="923">
                  <c:v>113.655</c:v>
                </c:pt>
                <c:pt idx="924">
                  <c:v>114.017</c:v>
                </c:pt>
                <c:pt idx="925">
                  <c:v>114.02800000000001</c:v>
                </c:pt>
                <c:pt idx="926">
                  <c:v>114.21</c:v>
                </c:pt>
                <c:pt idx="927">
                  <c:v>114.22199999999999</c:v>
                </c:pt>
                <c:pt idx="928">
                  <c:v>114.36</c:v>
                </c:pt>
                <c:pt idx="929">
                  <c:v>114.267</c:v>
                </c:pt>
                <c:pt idx="930">
                  <c:v>114.316</c:v>
                </c:pt>
                <c:pt idx="931">
                  <c:v>114.35599999999999</c:v>
                </c:pt>
                <c:pt idx="932">
                  <c:v>114.31699999999999</c:v>
                </c:pt>
                <c:pt idx="933">
                  <c:v>114.405</c:v>
                </c:pt>
                <c:pt idx="934">
                  <c:v>114.57599999999999</c:v>
                </c:pt>
                <c:pt idx="935">
                  <c:v>114.61499999999999</c:v>
                </c:pt>
                <c:pt idx="936">
                  <c:v>114.608</c:v>
                </c:pt>
                <c:pt idx="937">
                  <c:v>114.54600000000001</c:v>
                </c:pt>
                <c:pt idx="938">
                  <c:v>114.521</c:v>
                </c:pt>
                <c:pt idx="939">
                  <c:v>114.46899999999999</c:v>
                </c:pt>
              </c:numCache>
            </c:numRef>
          </c:val>
          <c:extLst>
            <c:ext xmlns:c16="http://schemas.microsoft.com/office/drawing/2014/chart" uri="{C3380CC4-5D6E-409C-BE32-E72D297353CC}">
              <c16:uniqueId val="{00000000-CF85-4CBD-8DDD-B5C10AC84BF2}"/>
            </c:ext>
          </c:extLst>
        </c:ser>
        <c:dLbls>
          <c:showLegendKey val="0"/>
          <c:showVal val="0"/>
          <c:showCatName val="0"/>
          <c:showSerName val="0"/>
          <c:showPercent val="0"/>
          <c:showBubbleSize val="0"/>
        </c:dLbls>
        <c:axId val="1377869472"/>
        <c:axId val="1377870560"/>
      </c:areaChart>
      <c:lineChart>
        <c:grouping val="standard"/>
        <c:varyColors val="0"/>
        <c:ser>
          <c:idx val="1"/>
          <c:order val="1"/>
          <c:tx>
            <c:strRef>
              <c:f>'EUROBOND 2021 offline'!$C$4</c:f>
              <c:strCache>
                <c:ptCount val="1"/>
                <c:pt idx="0">
                  <c:v>Срењни принос до доспећа</c:v>
                </c:pt>
              </c:strCache>
            </c:strRef>
          </c:tx>
          <c:marker>
            <c:symbol val="none"/>
          </c:marker>
          <c:dLbls>
            <c:dLbl>
              <c:idx val="572"/>
              <c:layout>
                <c:manualLayout>
                  <c:x val="-6.4560639070442988E-2"/>
                  <c:y val="2.351851851851851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F85-4CBD-8DDD-B5C10AC84BF2}"/>
                </c:ext>
              </c:extLst>
            </c:dLbl>
            <c:dLbl>
              <c:idx val="595"/>
              <c:layout>
                <c:manualLayout>
                  <c:x val="-6.4560639070442988E-2"/>
                  <c:y val="-3.527839506172846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F85-4CBD-8DDD-B5C10AC84BF2}"/>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0"/>
              </c:ext>
            </c:extLst>
          </c:dLbls>
          <c:cat>
            <c:numRef>
              <c:f>'EUROBOND 2021 offline'!$A$27:$A$966</c:f>
              <c:numCache>
                <c:formatCode>dd\/mm\/yy</c:formatCode>
                <c:ptCount val="940"/>
                <c:pt idx="0">
                  <c:v>44439</c:v>
                </c:pt>
                <c:pt idx="1">
                  <c:v>44438</c:v>
                </c:pt>
                <c:pt idx="2">
                  <c:v>44435</c:v>
                </c:pt>
                <c:pt idx="3">
                  <c:v>44434</c:v>
                </c:pt>
                <c:pt idx="4">
                  <c:v>44433</c:v>
                </c:pt>
                <c:pt idx="5">
                  <c:v>44432</c:v>
                </c:pt>
                <c:pt idx="6">
                  <c:v>44431</c:v>
                </c:pt>
                <c:pt idx="7">
                  <c:v>44428</c:v>
                </c:pt>
                <c:pt idx="8">
                  <c:v>44427</c:v>
                </c:pt>
                <c:pt idx="9">
                  <c:v>44426</c:v>
                </c:pt>
                <c:pt idx="10">
                  <c:v>44425</c:v>
                </c:pt>
                <c:pt idx="11">
                  <c:v>44424</c:v>
                </c:pt>
                <c:pt idx="12">
                  <c:v>44421</c:v>
                </c:pt>
                <c:pt idx="13">
                  <c:v>44420</c:v>
                </c:pt>
                <c:pt idx="14">
                  <c:v>44419</c:v>
                </c:pt>
                <c:pt idx="15">
                  <c:v>44418</c:v>
                </c:pt>
                <c:pt idx="16">
                  <c:v>44417</c:v>
                </c:pt>
                <c:pt idx="17">
                  <c:v>44414</c:v>
                </c:pt>
                <c:pt idx="18">
                  <c:v>44413</c:v>
                </c:pt>
                <c:pt idx="19">
                  <c:v>44412</c:v>
                </c:pt>
                <c:pt idx="20">
                  <c:v>44411</c:v>
                </c:pt>
                <c:pt idx="21">
                  <c:v>44410</c:v>
                </c:pt>
                <c:pt idx="22">
                  <c:v>44407</c:v>
                </c:pt>
                <c:pt idx="23">
                  <c:v>44406</c:v>
                </c:pt>
                <c:pt idx="24">
                  <c:v>44405</c:v>
                </c:pt>
                <c:pt idx="25">
                  <c:v>44404</c:v>
                </c:pt>
                <c:pt idx="26">
                  <c:v>44403</c:v>
                </c:pt>
                <c:pt idx="27">
                  <c:v>44400</c:v>
                </c:pt>
                <c:pt idx="28">
                  <c:v>44399</c:v>
                </c:pt>
                <c:pt idx="29">
                  <c:v>44398</c:v>
                </c:pt>
                <c:pt idx="30">
                  <c:v>44397</c:v>
                </c:pt>
                <c:pt idx="31">
                  <c:v>44396</c:v>
                </c:pt>
                <c:pt idx="32">
                  <c:v>44393</c:v>
                </c:pt>
                <c:pt idx="33">
                  <c:v>44392</c:v>
                </c:pt>
                <c:pt idx="34">
                  <c:v>44391</c:v>
                </c:pt>
                <c:pt idx="35">
                  <c:v>44390</c:v>
                </c:pt>
                <c:pt idx="36">
                  <c:v>44389</c:v>
                </c:pt>
                <c:pt idx="37">
                  <c:v>44386</c:v>
                </c:pt>
                <c:pt idx="38">
                  <c:v>44385</c:v>
                </c:pt>
                <c:pt idx="39">
                  <c:v>44384</c:v>
                </c:pt>
                <c:pt idx="40">
                  <c:v>44383</c:v>
                </c:pt>
                <c:pt idx="41">
                  <c:v>44382</c:v>
                </c:pt>
                <c:pt idx="42">
                  <c:v>44379</c:v>
                </c:pt>
                <c:pt idx="43">
                  <c:v>44378</c:v>
                </c:pt>
                <c:pt idx="44">
                  <c:v>44377</c:v>
                </c:pt>
                <c:pt idx="45">
                  <c:v>44376</c:v>
                </c:pt>
                <c:pt idx="46">
                  <c:v>44375</c:v>
                </c:pt>
                <c:pt idx="47">
                  <c:v>44372</c:v>
                </c:pt>
                <c:pt idx="48">
                  <c:v>44371</c:v>
                </c:pt>
                <c:pt idx="49">
                  <c:v>44370</c:v>
                </c:pt>
                <c:pt idx="50">
                  <c:v>44369</c:v>
                </c:pt>
                <c:pt idx="51">
                  <c:v>44368</c:v>
                </c:pt>
                <c:pt idx="52">
                  <c:v>44365</c:v>
                </c:pt>
                <c:pt idx="53">
                  <c:v>44364</c:v>
                </c:pt>
                <c:pt idx="54">
                  <c:v>44363</c:v>
                </c:pt>
                <c:pt idx="55">
                  <c:v>44362</c:v>
                </c:pt>
                <c:pt idx="56">
                  <c:v>44361</c:v>
                </c:pt>
                <c:pt idx="57">
                  <c:v>44358</c:v>
                </c:pt>
                <c:pt idx="58">
                  <c:v>44357</c:v>
                </c:pt>
                <c:pt idx="59">
                  <c:v>44356</c:v>
                </c:pt>
                <c:pt idx="60">
                  <c:v>44355</c:v>
                </c:pt>
                <c:pt idx="61">
                  <c:v>44354</c:v>
                </c:pt>
                <c:pt idx="62">
                  <c:v>44351</c:v>
                </c:pt>
                <c:pt idx="63">
                  <c:v>44350</c:v>
                </c:pt>
                <c:pt idx="64">
                  <c:v>44349</c:v>
                </c:pt>
                <c:pt idx="65">
                  <c:v>44348</c:v>
                </c:pt>
                <c:pt idx="66">
                  <c:v>44344</c:v>
                </c:pt>
                <c:pt idx="67">
                  <c:v>44343</c:v>
                </c:pt>
                <c:pt idx="68">
                  <c:v>44342</c:v>
                </c:pt>
                <c:pt idx="69">
                  <c:v>44341</c:v>
                </c:pt>
                <c:pt idx="70">
                  <c:v>44340</c:v>
                </c:pt>
                <c:pt idx="71">
                  <c:v>44337</c:v>
                </c:pt>
                <c:pt idx="72">
                  <c:v>44336</c:v>
                </c:pt>
                <c:pt idx="73">
                  <c:v>44335</c:v>
                </c:pt>
                <c:pt idx="74">
                  <c:v>44334</c:v>
                </c:pt>
                <c:pt idx="75">
                  <c:v>44333</c:v>
                </c:pt>
                <c:pt idx="76">
                  <c:v>44330</c:v>
                </c:pt>
                <c:pt idx="77">
                  <c:v>44329</c:v>
                </c:pt>
                <c:pt idx="78">
                  <c:v>44328</c:v>
                </c:pt>
                <c:pt idx="79">
                  <c:v>44327</c:v>
                </c:pt>
                <c:pt idx="80">
                  <c:v>44326</c:v>
                </c:pt>
                <c:pt idx="81">
                  <c:v>44323</c:v>
                </c:pt>
                <c:pt idx="82">
                  <c:v>44322</c:v>
                </c:pt>
                <c:pt idx="83">
                  <c:v>44321</c:v>
                </c:pt>
                <c:pt idx="84">
                  <c:v>44320</c:v>
                </c:pt>
                <c:pt idx="85">
                  <c:v>44319</c:v>
                </c:pt>
                <c:pt idx="86">
                  <c:v>44316</c:v>
                </c:pt>
                <c:pt idx="87">
                  <c:v>44315</c:v>
                </c:pt>
                <c:pt idx="88">
                  <c:v>44314</c:v>
                </c:pt>
                <c:pt idx="89">
                  <c:v>44313</c:v>
                </c:pt>
                <c:pt idx="90">
                  <c:v>44312</c:v>
                </c:pt>
                <c:pt idx="91">
                  <c:v>44309</c:v>
                </c:pt>
                <c:pt idx="92">
                  <c:v>44308</c:v>
                </c:pt>
                <c:pt idx="93">
                  <c:v>44307</c:v>
                </c:pt>
                <c:pt idx="94">
                  <c:v>44306</c:v>
                </c:pt>
                <c:pt idx="95">
                  <c:v>44305</c:v>
                </c:pt>
                <c:pt idx="96">
                  <c:v>44302</c:v>
                </c:pt>
                <c:pt idx="97">
                  <c:v>44301</c:v>
                </c:pt>
                <c:pt idx="98">
                  <c:v>44300</c:v>
                </c:pt>
                <c:pt idx="99">
                  <c:v>44299</c:v>
                </c:pt>
                <c:pt idx="100">
                  <c:v>44298</c:v>
                </c:pt>
                <c:pt idx="101">
                  <c:v>44295</c:v>
                </c:pt>
                <c:pt idx="102">
                  <c:v>44294</c:v>
                </c:pt>
                <c:pt idx="103">
                  <c:v>44293</c:v>
                </c:pt>
                <c:pt idx="104">
                  <c:v>44292</c:v>
                </c:pt>
                <c:pt idx="105">
                  <c:v>44291</c:v>
                </c:pt>
                <c:pt idx="106">
                  <c:v>44288</c:v>
                </c:pt>
                <c:pt idx="107">
                  <c:v>44287</c:v>
                </c:pt>
                <c:pt idx="108">
                  <c:v>44286</c:v>
                </c:pt>
                <c:pt idx="109">
                  <c:v>44285</c:v>
                </c:pt>
                <c:pt idx="110">
                  <c:v>44284</c:v>
                </c:pt>
                <c:pt idx="111">
                  <c:v>44281</c:v>
                </c:pt>
                <c:pt idx="112">
                  <c:v>44280</c:v>
                </c:pt>
                <c:pt idx="113">
                  <c:v>44279</c:v>
                </c:pt>
                <c:pt idx="114">
                  <c:v>44278</c:v>
                </c:pt>
                <c:pt idx="115">
                  <c:v>44277</c:v>
                </c:pt>
                <c:pt idx="116">
                  <c:v>44274</c:v>
                </c:pt>
                <c:pt idx="117">
                  <c:v>44273</c:v>
                </c:pt>
                <c:pt idx="118">
                  <c:v>44272</c:v>
                </c:pt>
                <c:pt idx="119">
                  <c:v>44271</c:v>
                </c:pt>
                <c:pt idx="120">
                  <c:v>44270</c:v>
                </c:pt>
                <c:pt idx="121">
                  <c:v>44267</c:v>
                </c:pt>
                <c:pt idx="122">
                  <c:v>44266</c:v>
                </c:pt>
                <c:pt idx="123">
                  <c:v>44265</c:v>
                </c:pt>
                <c:pt idx="124">
                  <c:v>44264</c:v>
                </c:pt>
                <c:pt idx="125">
                  <c:v>44263</c:v>
                </c:pt>
                <c:pt idx="126">
                  <c:v>44260</c:v>
                </c:pt>
                <c:pt idx="127">
                  <c:v>44259</c:v>
                </c:pt>
                <c:pt idx="128">
                  <c:v>44258</c:v>
                </c:pt>
                <c:pt idx="129">
                  <c:v>44257</c:v>
                </c:pt>
                <c:pt idx="130">
                  <c:v>44256</c:v>
                </c:pt>
                <c:pt idx="131">
                  <c:v>44253</c:v>
                </c:pt>
                <c:pt idx="132">
                  <c:v>44252</c:v>
                </c:pt>
                <c:pt idx="133">
                  <c:v>44251</c:v>
                </c:pt>
                <c:pt idx="134">
                  <c:v>44250</c:v>
                </c:pt>
                <c:pt idx="135">
                  <c:v>44249</c:v>
                </c:pt>
                <c:pt idx="136">
                  <c:v>44246</c:v>
                </c:pt>
                <c:pt idx="137">
                  <c:v>44245</c:v>
                </c:pt>
                <c:pt idx="138">
                  <c:v>44244</c:v>
                </c:pt>
                <c:pt idx="139">
                  <c:v>44243</c:v>
                </c:pt>
                <c:pt idx="140">
                  <c:v>44242</c:v>
                </c:pt>
                <c:pt idx="141">
                  <c:v>44239</c:v>
                </c:pt>
                <c:pt idx="142">
                  <c:v>44238</c:v>
                </c:pt>
                <c:pt idx="143">
                  <c:v>44237</c:v>
                </c:pt>
                <c:pt idx="144">
                  <c:v>44236</c:v>
                </c:pt>
                <c:pt idx="145">
                  <c:v>44235</c:v>
                </c:pt>
                <c:pt idx="146">
                  <c:v>44232</c:v>
                </c:pt>
                <c:pt idx="147">
                  <c:v>44231</c:v>
                </c:pt>
                <c:pt idx="148">
                  <c:v>44230</c:v>
                </c:pt>
                <c:pt idx="149">
                  <c:v>44229</c:v>
                </c:pt>
                <c:pt idx="150">
                  <c:v>44228</c:v>
                </c:pt>
                <c:pt idx="151">
                  <c:v>44225</c:v>
                </c:pt>
                <c:pt idx="152">
                  <c:v>44224</c:v>
                </c:pt>
                <c:pt idx="153">
                  <c:v>44223</c:v>
                </c:pt>
                <c:pt idx="154">
                  <c:v>44222</c:v>
                </c:pt>
                <c:pt idx="155">
                  <c:v>44221</c:v>
                </c:pt>
                <c:pt idx="156">
                  <c:v>44218</c:v>
                </c:pt>
                <c:pt idx="157">
                  <c:v>44217</c:v>
                </c:pt>
                <c:pt idx="158">
                  <c:v>44216</c:v>
                </c:pt>
                <c:pt idx="159">
                  <c:v>44215</c:v>
                </c:pt>
                <c:pt idx="160">
                  <c:v>44214</c:v>
                </c:pt>
                <c:pt idx="161">
                  <c:v>44211</c:v>
                </c:pt>
                <c:pt idx="162">
                  <c:v>44210</c:v>
                </c:pt>
                <c:pt idx="163">
                  <c:v>44209</c:v>
                </c:pt>
                <c:pt idx="164">
                  <c:v>44208</c:v>
                </c:pt>
                <c:pt idx="165">
                  <c:v>44207</c:v>
                </c:pt>
                <c:pt idx="166">
                  <c:v>44204</c:v>
                </c:pt>
                <c:pt idx="167">
                  <c:v>44203</c:v>
                </c:pt>
                <c:pt idx="168">
                  <c:v>44202</c:v>
                </c:pt>
                <c:pt idx="169">
                  <c:v>44201</c:v>
                </c:pt>
                <c:pt idx="170">
                  <c:v>44200</c:v>
                </c:pt>
                <c:pt idx="171">
                  <c:v>44196</c:v>
                </c:pt>
                <c:pt idx="172">
                  <c:v>44195</c:v>
                </c:pt>
                <c:pt idx="173">
                  <c:v>44194</c:v>
                </c:pt>
                <c:pt idx="174">
                  <c:v>44193</c:v>
                </c:pt>
                <c:pt idx="175">
                  <c:v>44189</c:v>
                </c:pt>
                <c:pt idx="176">
                  <c:v>44188</c:v>
                </c:pt>
                <c:pt idx="177">
                  <c:v>44187</c:v>
                </c:pt>
                <c:pt idx="178">
                  <c:v>44186</c:v>
                </c:pt>
                <c:pt idx="179">
                  <c:v>44183</c:v>
                </c:pt>
                <c:pt idx="180">
                  <c:v>44182</c:v>
                </c:pt>
                <c:pt idx="181">
                  <c:v>44181</c:v>
                </c:pt>
                <c:pt idx="182">
                  <c:v>44180</c:v>
                </c:pt>
                <c:pt idx="183">
                  <c:v>44179</c:v>
                </c:pt>
                <c:pt idx="184">
                  <c:v>44176</c:v>
                </c:pt>
                <c:pt idx="185">
                  <c:v>44175</c:v>
                </c:pt>
                <c:pt idx="186">
                  <c:v>44174</c:v>
                </c:pt>
                <c:pt idx="187">
                  <c:v>44173</c:v>
                </c:pt>
                <c:pt idx="188">
                  <c:v>44172</c:v>
                </c:pt>
                <c:pt idx="189">
                  <c:v>44169</c:v>
                </c:pt>
                <c:pt idx="190">
                  <c:v>44168</c:v>
                </c:pt>
                <c:pt idx="191">
                  <c:v>44167</c:v>
                </c:pt>
                <c:pt idx="192">
                  <c:v>44166</c:v>
                </c:pt>
                <c:pt idx="193">
                  <c:v>44165</c:v>
                </c:pt>
                <c:pt idx="194">
                  <c:v>44162</c:v>
                </c:pt>
                <c:pt idx="195">
                  <c:v>44161</c:v>
                </c:pt>
                <c:pt idx="196">
                  <c:v>44160</c:v>
                </c:pt>
                <c:pt idx="197">
                  <c:v>44159</c:v>
                </c:pt>
                <c:pt idx="198">
                  <c:v>44158</c:v>
                </c:pt>
                <c:pt idx="199">
                  <c:v>44155</c:v>
                </c:pt>
                <c:pt idx="200">
                  <c:v>44154</c:v>
                </c:pt>
                <c:pt idx="201">
                  <c:v>44153</c:v>
                </c:pt>
                <c:pt idx="202">
                  <c:v>44152</c:v>
                </c:pt>
                <c:pt idx="203">
                  <c:v>44151</c:v>
                </c:pt>
                <c:pt idx="204">
                  <c:v>44148</c:v>
                </c:pt>
                <c:pt idx="205">
                  <c:v>44147</c:v>
                </c:pt>
                <c:pt idx="206">
                  <c:v>44146</c:v>
                </c:pt>
                <c:pt idx="207">
                  <c:v>44145</c:v>
                </c:pt>
                <c:pt idx="208">
                  <c:v>44144</c:v>
                </c:pt>
                <c:pt idx="209">
                  <c:v>44141</c:v>
                </c:pt>
                <c:pt idx="210">
                  <c:v>44140</c:v>
                </c:pt>
                <c:pt idx="211">
                  <c:v>44139</c:v>
                </c:pt>
                <c:pt idx="212">
                  <c:v>44138</c:v>
                </c:pt>
                <c:pt idx="213">
                  <c:v>44137</c:v>
                </c:pt>
                <c:pt idx="214">
                  <c:v>44134</c:v>
                </c:pt>
                <c:pt idx="215">
                  <c:v>44133</c:v>
                </c:pt>
                <c:pt idx="216">
                  <c:v>44132</c:v>
                </c:pt>
                <c:pt idx="217">
                  <c:v>44131</c:v>
                </c:pt>
                <c:pt idx="218">
                  <c:v>44130</c:v>
                </c:pt>
                <c:pt idx="219">
                  <c:v>44127</c:v>
                </c:pt>
                <c:pt idx="220">
                  <c:v>44126</c:v>
                </c:pt>
                <c:pt idx="221">
                  <c:v>44125</c:v>
                </c:pt>
                <c:pt idx="222">
                  <c:v>44124</c:v>
                </c:pt>
                <c:pt idx="223">
                  <c:v>44123</c:v>
                </c:pt>
                <c:pt idx="224">
                  <c:v>44120</c:v>
                </c:pt>
                <c:pt idx="225">
                  <c:v>44119</c:v>
                </c:pt>
                <c:pt idx="226">
                  <c:v>44118</c:v>
                </c:pt>
                <c:pt idx="227">
                  <c:v>44117</c:v>
                </c:pt>
                <c:pt idx="228">
                  <c:v>44116</c:v>
                </c:pt>
                <c:pt idx="229">
                  <c:v>44113</c:v>
                </c:pt>
                <c:pt idx="230">
                  <c:v>44112</c:v>
                </c:pt>
                <c:pt idx="231">
                  <c:v>44111</c:v>
                </c:pt>
                <c:pt idx="232">
                  <c:v>44110</c:v>
                </c:pt>
                <c:pt idx="233">
                  <c:v>44109</c:v>
                </c:pt>
                <c:pt idx="234">
                  <c:v>44106</c:v>
                </c:pt>
                <c:pt idx="235">
                  <c:v>44105</c:v>
                </c:pt>
                <c:pt idx="236">
                  <c:v>44104</c:v>
                </c:pt>
                <c:pt idx="237">
                  <c:v>44103</c:v>
                </c:pt>
                <c:pt idx="238">
                  <c:v>44102</c:v>
                </c:pt>
                <c:pt idx="239">
                  <c:v>44099</c:v>
                </c:pt>
                <c:pt idx="240">
                  <c:v>44098</c:v>
                </c:pt>
                <c:pt idx="241">
                  <c:v>44097</c:v>
                </c:pt>
                <c:pt idx="242">
                  <c:v>44096</c:v>
                </c:pt>
                <c:pt idx="243">
                  <c:v>44095</c:v>
                </c:pt>
                <c:pt idx="244">
                  <c:v>44092</c:v>
                </c:pt>
                <c:pt idx="245">
                  <c:v>44091</c:v>
                </c:pt>
                <c:pt idx="246">
                  <c:v>44090</c:v>
                </c:pt>
                <c:pt idx="247">
                  <c:v>44089</c:v>
                </c:pt>
                <c:pt idx="248">
                  <c:v>44088</c:v>
                </c:pt>
                <c:pt idx="249">
                  <c:v>44085</c:v>
                </c:pt>
                <c:pt idx="250">
                  <c:v>44084</c:v>
                </c:pt>
                <c:pt idx="251">
                  <c:v>44083</c:v>
                </c:pt>
                <c:pt idx="252">
                  <c:v>44082</c:v>
                </c:pt>
                <c:pt idx="253">
                  <c:v>44081</c:v>
                </c:pt>
                <c:pt idx="254">
                  <c:v>44078</c:v>
                </c:pt>
                <c:pt idx="255">
                  <c:v>44077</c:v>
                </c:pt>
                <c:pt idx="256">
                  <c:v>44076</c:v>
                </c:pt>
                <c:pt idx="257">
                  <c:v>44075</c:v>
                </c:pt>
                <c:pt idx="258">
                  <c:v>44074</c:v>
                </c:pt>
                <c:pt idx="259">
                  <c:v>44071</c:v>
                </c:pt>
                <c:pt idx="260">
                  <c:v>44070</c:v>
                </c:pt>
                <c:pt idx="261">
                  <c:v>44069</c:v>
                </c:pt>
                <c:pt idx="262">
                  <c:v>44068</c:v>
                </c:pt>
                <c:pt idx="263">
                  <c:v>44067</c:v>
                </c:pt>
                <c:pt idx="264">
                  <c:v>44064</c:v>
                </c:pt>
                <c:pt idx="265">
                  <c:v>44063</c:v>
                </c:pt>
                <c:pt idx="266">
                  <c:v>44062</c:v>
                </c:pt>
                <c:pt idx="267">
                  <c:v>44061</c:v>
                </c:pt>
                <c:pt idx="268">
                  <c:v>44060</c:v>
                </c:pt>
                <c:pt idx="269">
                  <c:v>44057</c:v>
                </c:pt>
                <c:pt idx="270">
                  <c:v>44056</c:v>
                </c:pt>
                <c:pt idx="271">
                  <c:v>44055</c:v>
                </c:pt>
                <c:pt idx="272">
                  <c:v>44054</c:v>
                </c:pt>
                <c:pt idx="273">
                  <c:v>44053</c:v>
                </c:pt>
                <c:pt idx="274">
                  <c:v>44050</c:v>
                </c:pt>
                <c:pt idx="275">
                  <c:v>44049</c:v>
                </c:pt>
                <c:pt idx="276">
                  <c:v>44048</c:v>
                </c:pt>
                <c:pt idx="277">
                  <c:v>44047</c:v>
                </c:pt>
                <c:pt idx="278">
                  <c:v>44046</c:v>
                </c:pt>
                <c:pt idx="279">
                  <c:v>44043</c:v>
                </c:pt>
                <c:pt idx="280">
                  <c:v>44042</c:v>
                </c:pt>
                <c:pt idx="281">
                  <c:v>44041</c:v>
                </c:pt>
                <c:pt idx="282">
                  <c:v>44040</c:v>
                </c:pt>
                <c:pt idx="283">
                  <c:v>44039</c:v>
                </c:pt>
                <c:pt idx="284">
                  <c:v>44036</c:v>
                </c:pt>
                <c:pt idx="285">
                  <c:v>44035</c:v>
                </c:pt>
                <c:pt idx="286">
                  <c:v>44034</c:v>
                </c:pt>
                <c:pt idx="287">
                  <c:v>44033</c:v>
                </c:pt>
                <c:pt idx="288">
                  <c:v>44032</c:v>
                </c:pt>
                <c:pt idx="289">
                  <c:v>44029</c:v>
                </c:pt>
                <c:pt idx="290">
                  <c:v>44028</c:v>
                </c:pt>
                <c:pt idx="291">
                  <c:v>44027</c:v>
                </c:pt>
                <c:pt idx="292">
                  <c:v>44026</c:v>
                </c:pt>
                <c:pt idx="293">
                  <c:v>44025</c:v>
                </c:pt>
                <c:pt idx="294">
                  <c:v>44022</c:v>
                </c:pt>
                <c:pt idx="295">
                  <c:v>44021</c:v>
                </c:pt>
                <c:pt idx="296">
                  <c:v>44020</c:v>
                </c:pt>
                <c:pt idx="297">
                  <c:v>44019</c:v>
                </c:pt>
                <c:pt idx="298">
                  <c:v>44018</c:v>
                </c:pt>
                <c:pt idx="299">
                  <c:v>44015</c:v>
                </c:pt>
                <c:pt idx="300">
                  <c:v>44014</c:v>
                </c:pt>
                <c:pt idx="301">
                  <c:v>44013</c:v>
                </c:pt>
                <c:pt idx="302">
                  <c:v>44012</c:v>
                </c:pt>
                <c:pt idx="303">
                  <c:v>44011</c:v>
                </c:pt>
                <c:pt idx="304">
                  <c:v>44008</c:v>
                </c:pt>
                <c:pt idx="305">
                  <c:v>44007</c:v>
                </c:pt>
                <c:pt idx="306">
                  <c:v>44006</c:v>
                </c:pt>
                <c:pt idx="307">
                  <c:v>44005</c:v>
                </c:pt>
                <c:pt idx="308">
                  <c:v>44004</c:v>
                </c:pt>
                <c:pt idx="309">
                  <c:v>44001</c:v>
                </c:pt>
                <c:pt idx="310">
                  <c:v>44000</c:v>
                </c:pt>
                <c:pt idx="311">
                  <c:v>43999</c:v>
                </c:pt>
                <c:pt idx="312">
                  <c:v>43998</c:v>
                </c:pt>
                <c:pt idx="313">
                  <c:v>43997</c:v>
                </c:pt>
                <c:pt idx="314">
                  <c:v>43994</c:v>
                </c:pt>
                <c:pt idx="315">
                  <c:v>43993</c:v>
                </c:pt>
                <c:pt idx="316">
                  <c:v>43992</c:v>
                </c:pt>
                <c:pt idx="317">
                  <c:v>43991</c:v>
                </c:pt>
                <c:pt idx="318">
                  <c:v>43990</c:v>
                </c:pt>
                <c:pt idx="319">
                  <c:v>43987</c:v>
                </c:pt>
                <c:pt idx="320">
                  <c:v>43986</c:v>
                </c:pt>
                <c:pt idx="321">
                  <c:v>43985</c:v>
                </c:pt>
                <c:pt idx="322">
                  <c:v>43984</c:v>
                </c:pt>
                <c:pt idx="323">
                  <c:v>43983</c:v>
                </c:pt>
                <c:pt idx="324">
                  <c:v>43980</c:v>
                </c:pt>
                <c:pt idx="325">
                  <c:v>43979</c:v>
                </c:pt>
                <c:pt idx="326">
                  <c:v>43978</c:v>
                </c:pt>
                <c:pt idx="327">
                  <c:v>43977</c:v>
                </c:pt>
                <c:pt idx="328">
                  <c:v>43976</c:v>
                </c:pt>
                <c:pt idx="329">
                  <c:v>43973</c:v>
                </c:pt>
                <c:pt idx="330">
                  <c:v>43972</c:v>
                </c:pt>
                <c:pt idx="331">
                  <c:v>43971</c:v>
                </c:pt>
                <c:pt idx="332">
                  <c:v>43970</c:v>
                </c:pt>
                <c:pt idx="333">
                  <c:v>43969</c:v>
                </c:pt>
                <c:pt idx="334">
                  <c:v>43966</c:v>
                </c:pt>
                <c:pt idx="335">
                  <c:v>43965</c:v>
                </c:pt>
                <c:pt idx="336">
                  <c:v>43964</c:v>
                </c:pt>
                <c:pt idx="337">
                  <c:v>43963</c:v>
                </c:pt>
                <c:pt idx="338">
                  <c:v>43962</c:v>
                </c:pt>
                <c:pt idx="339">
                  <c:v>43959</c:v>
                </c:pt>
                <c:pt idx="340">
                  <c:v>43958</c:v>
                </c:pt>
                <c:pt idx="341">
                  <c:v>43957</c:v>
                </c:pt>
                <c:pt idx="342">
                  <c:v>43956</c:v>
                </c:pt>
                <c:pt idx="343">
                  <c:v>43955</c:v>
                </c:pt>
                <c:pt idx="344">
                  <c:v>43952</c:v>
                </c:pt>
                <c:pt idx="345">
                  <c:v>43951</c:v>
                </c:pt>
                <c:pt idx="346">
                  <c:v>43950</c:v>
                </c:pt>
                <c:pt idx="347">
                  <c:v>43949</c:v>
                </c:pt>
                <c:pt idx="348">
                  <c:v>43948</c:v>
                </c:pt>
                <c:pt idx="349">
                  <c:v>43945</c:v>
                </c:pt>
                <c:pt idx="350">
                  <c:v>43944</c:v>
                </c:pt>
                <c:pt idx="351">
                  <c:v>43943</c:v>
                </c:pt>
                <c:pt idx="352">
                  <c:v>43942</c:v>
                </c:pt>
                <c:pt idx="353">
                  <c:v>43941</c:v>
                </c:pt>
                <c:pt idx="354">
                  <c:v>43938</c:v>
                </c:pt>
                <c:pt idx="355">
                  <c:v>43937</c:v>
                </c:pt>
                <c:pt idx="356">
                  <c:v>43936</c:v>
                </c:pt>
                <c:pt idx="357">
                  <c:v>43935</c:v>
                </c:pt>
                <c:pt idx="358">
                  <c:v>43930</c:v>
                </c:pt>
                <c:pt idx="359">
                  <c:v>43929</c:v>
                </c:pt>
                <c:pt idx="360">
                  <c:v>43928</c:v>
                </c:pt>
                <c:pt idx="361">
                  <c:v>43927</c:v>
                </c:pt>
                <c:pt idx="362">
                  <c:v>43924</c:v>
                </c:pt>
                <c:pt idx="363">
                  <c:v>43923</c:v>
                </c:pt>
                <c:pt idx="364">
                  <c:v>43922</c:v>
                </c:pt>
                <c:pt idx="365">
                  <c:v>43921</c:v>
                </c:pt>
                <c:pt idx="366">
                  <c:v>43920</c:v>
                </c:pt>
                <c:pt idx="367">
                  <c:v>43917</c:v>
                </c:pt>
                <c:pt idx="368">
                  <c:v>43916</c:v>
                </c:pt>
                <c:pt idx="369">
                  <c:v>43915</c:v>
                </c:pt>
                <c:pt idx="370">
                  <c:v>43914</c:v>
                </c:pt>
                <c:pt idx="371">
                  <c:v>43913</c:v>
                </c:pt>
                <c:pt idx="372">
                  <c:v>43910</c:v>
                </c:pt>
                <c:pt idx="373">
                  <c:v>43909</c:v>
                </c:pt>
                <c:pt idx="374">
                  <c:v>43908</c:v>
                </c:pt>
                <c:pt idx="375">
                  <c:v>43907</c:v>
                </c:pt>
                <c:pt idx="376">
                  <c:v>43906</c:v>
                </c:pt>
                <c:pt idx="377">
                  <c:v>43903</c:v>
                </c:pt>
                <c:pt idx="378">
                  <c:v>43902</c:v>
                </c:pt>
                <c:pt idx="379">
                  <c:v>43901</c:v>
                </c:pt>
                <c:pt idx="380">
                  <c:v>43900</c:v>
                </c:pt>
                <c:pt idx="381">
                  <c:v>43899</c:v>
                </c:pt>
                <c:pt idx="382">
                  <c:v>43896</c:v>
                </c:pt>
                <c:pt idx="383">
                  <c:v>43895</c:v>
                </c:pt>
                <c:pt idx="384">
                  <c:v>43894</c:v>
                </c:pt>
                <c:pt idx="385">
                  <c:v>43893</c:v>
                </c:pt>
                <c:pt idx="386">
                  <c:v>43892</c:v>
                </c:pt>
                <c:pt idx="387">
                  <c:v>43889</c:v>
                </c:pt>
                <c:pt idx="388">
                  <c:v>43888</c:v>
                </c:pt>
                <c:pt idx="389">
                  <c:v>43887</c:v>
                </c:pt>
                <c:pt idx="390">
                  <c:v>43886</c:v>
                </c:pt>
                <c:pt idx="391">
                  <c:v>43885</c:v>
                </c:pt>
                <c:pt idx="392">
                  <c:v>43882</c:v>
                </c:pt>
                <c:pt idx="393">
                  <c:v>43881</c:v>
                </c:pt>
                <c:pt idx="394">
                  <c:v>43880</c:v>
                </c:pt>
                <c:pt idx="395">
                  <c:v>43879</c:v>
                </c:pt>
                <c:pt idx="396">
                  <c:v>43878</c:v>
                </c:pt>
                <c:pt idx="397">
                  <c:v>43875</c:v>
                </c:pt>
                <c:pt idx="398">
                  <c:v>43874</c:v>
                </c:pt>
                <c:pt idx="399">
                  <c:v>43873</c:v>
                </c:pt>
                <c:pt idx="400">
                  <c:v>43872</c:v>
                </c:pt>
                <c:pt idx="401">
                  <c:v>43871</c:v>
                </c:pt>
                <c:pt idx="402">
                  <c:v>43868</c:v>
                </c:pt>
                <c:pt idx="403">
                  <c:v>43867</c:v>
                </c:pt>
                <c:pt idx="404">
                  <c:v>43866</c:v>
                </c:pt>
                <c:pt idx="405">
                  <c:v>43865</c:v>
                </c:pt>
                <c:pt idx="406">
                  <c:v>43864</c:v>
                </c:pt>
                <c:pt idx="407">
                  <c:v>43861</c:v>
                </c:pt>
                <c:pt idx="408">
                  <c:v>43860</c:v>
                </c:pt>
                <c:pt idx="409">
                  <c:v>43859</c:v>
                </c:pt>
                <c:pt idx="410">
                  <c:v>43858</c:v>
                </c:pt>
                <c:pt idx="411">
                  <c:v>43857</c:v>
                </c:pt>
                <c:pt idx="412">
                  <c:v>43854</c:v>
                </c:pt>
                <c:pt idx="413">
                  <c:v>43853</c:v>
                </c:pt>
                <c:pt idx="414">
                  <c:v>43852</c:v>
                </c:pt>
                <c:pt idx="415">
                  <c:v>43851</c:v>
                </c:pt>
                <c:pt idx="416">
                  <c:v>43850</c:v>
                </c:pt>
                <c:pt idx="417">
                  <c:v>43847</c:v>
                </c:pt>
                <c:pt idx="418">
                  <c:v>43846</c:v>
                </c:pt>
                <c:pt idx="419">
                  <c:v>43845</c:v>
                </c:pt>
                <c:pt idx="420">
                  <c:v>43844</c:v>
                </c:pt>
                <c:pt idx="421">
                  <c:v>43843</c:v>
                </c:pt>
                <c:pt idx="422">
                  <c:v>43840</c:v>
                </c:pt>
                <c:pt idx="423">
                  <c:v>43839</c:v>
                </c:pt>
                <c:pt idx="424">
                  <c:v>43838</c:v>
                </c:pt>
                <c:pt idx="425">
                  <c:v>43837</c:v>
                </c:pt>
                <c:pt idx="426">
                  <c:v>43836</c:v>
                </c:pt>
                <c:pt idx="427">
                  <c:v>43833</c:v>
                </c:pt>
                <c:pt idx="428">
                  <c:v>43832</c:v>
                </c:pt>
                <c:pt idx="429">
                  <c:v>43830</c:v>
                </c:pt>
                <c:pt idx="430">
                  <c:v>43829</c:v>
                </c:pt>
                <c:pt idx="431">
                  <c:v>43826</c:v>
                </c:pt>
                <c:pt idx="432">
                  <c:v>43823</c:v>
                </c:pt>
                <c:pt idx="433">
                  <c:v>43822</c:v>
                </c:pt>
                <c:pt idx="434">
                  <c:v>43819</c:v>
                </c:pt>
                <c:pt idx="435">
                  <c:v>43818</c:v>
                </c:pt>
                <c:pt idx="436">
                  <c:v>43817</c:v>
                </c:pt>
                <c:pt idx="437">
                  <c:v>43816</c:v>
                </c:pt>
                <c:pt idx="438">
                  <c:v>43815</c:v>
                </c:pt>
                <c:pt idx="439">
                  <c:v>43812</c:v>
                </c:pt>
                <c:pt idx="440">
                  <c:v>43811</c:v>
                </c:pt>
                <c:pt idx="441">
                  <c:v>43810</c:v>
                </c:pt>
                <c:pt idx="442">
                  <c:v>43809</c:v>
                </c:pt>
                <c:pt idx="443">
                  <c:v>43808</c:v>
                </c:pt>
                <c:pt idx="444">
                  <c:v>43805</c:v>
                </c:pt>
                <c:pt idx="445">
                  <c:v>43804</c:v>
                </c:pt>
                <c:pt idx="446">
                  <c:v>43803</c:v>
                </c:pt>
                <c:pt idx="447">
                  <c:v>43802</c:v>
                </c:pt>
                <c:pt idx="448">
                  <c:v>43801</c:v>
                </c:pt>
                <c:pt idx="449">
                  <c:v>43798</c:v>
                </c:pt>
                <c:pt idx="450">
                  <c:v>43797</c:v>
                </c:pt>
                <c:pt idx="451">
                  <c:v>43796</c:v>
                </c:pt>
                <c:pt idx="452">
                  <c:v>43795</c:v>
                </c:pt>
                <c:pt idx="453">
                  <c:v>43794</c:v>
                </c:pt>
                <c:pt idx="454">
                  <c:v>43791</c:v>
                </c:pt>
                <c:pt idx="455">
                  <c:v>43790</c:v>
                </c:pt>
                <c:pt idx="456">
                  <c:v>43789</c:v>
                </c:pt>
                <c:pt idx="457">
                  <c:v>43788</c:v>
                </c:pt>
                <c:pt idx="458">
                  <c:v>43787</c:v>
                </c:pt>
                <c:pt idx="459">
                  <c:v>43784</c:v>
                </c:pt>
                <c:pt idx="460">
                  <c:v>43783</c:v>
                </c:pt>
                <c:pt idx="461">
                  <c:v>43782</c:v>
                </c:pt>
                <c:pt idx="462">
                  <c:v>43781</c:v>
                </c:pt>
                <c:pt idx="463">
                  <c:v>43780</c:v>
                </c:pt>
                <c:pt idx="464">
                  <c:v>43777</c:v>
                </c:pt>
                <c:pt idx="465">
                  <c:v>43776</c:v>
                </c:pt>
                <c:pt idx="466">
                  <c:v>43775</c:v>
                </c:pt>
                <c:pt idx="467">
                  <c:v>43774</c:v>
                </c:pt>
                <c:pt idx="468">
                  <c:v>43773</c:v>
                </c:pt>
                <c:pt idx="469">
                  <c:v>43770</c:v>
                </c:pt>
                <c:pt idx="470">
                  <c:v>43769</c:v>
                </c:pt>
                <c:pt idx="471">
                  <c:v>43768</c:v>
                </c:pt>
                <c:pt idx="472">
                  <c:v>43767</c:v>
                </c:pt>
                <c:pt idx="473">
                  <c:v>43766</c:v>
                </c:pt>
                <c:pt idx="474">
                  <c:v>43763</c:v>
                </c:pt>
                <c:pt idx="475">
                  <c:v>43762</c:v>
                </c:pt>
                <c:pt idx="476">
                  <c:v>43761</c:v>
                </c:pt>
                <c:pt idx="477">
                  <c:v>43760</c:v>
                </c:pt>
                <c:pt idx="478">
                  <c:v>43759</c:v>
                </c:pt>
                <c:pt idx="479">
                  <c:v>43756</c:v>
                </c:pt>
                <c:pt idx="480">
                  <c:v>43755</c:v>
                </c:pt>
                <c:pt idx="481">
                  <c:v>43754</c:v>
                </c:pt>
                <c:pt idx="482">
                  <c:v>43753</c:v>
                </c:pt>
                <c:pt idx="483">
                  <c:v>43752</c:v>
                </c:pt>
                <c:pt idx="484">
                  <c:v>43749</c:v>
                </c:pt>
                <c:pt idx="485">
                  <c:v>43748</c:v>
                </c:pt>
                <c:pt idx="486">
                  <c:v>43747</c:v>
                </c:pt>
                <c:pt idx="487">
                  <c:v>43746</c:v>
                </c:pt>
                <c:pt idx="488">
                  <c:v>43745</c:v>
                </c:pt>
                <c:pt idx="489">
                  <c:v>43742</c:v>
                </c:pt>
                <c:pt idx="490">
                  <c:v>43741</c:v>
                </c:pt>
                <c:pt idx="491">
                  <c:v>43740</c:v>
                </c:pt>
                <c:pt idx="492">
                  <c:v>43739</c:v>
                </c:pt>
                <c:pt idx="493">
                  <c:v>43738</c:v>
                </c:pt>
                <c:pt idx="494">
                  <c:v>43735</c:v>
                </c:pt>
                <c:pt idx="495">
                  <c:v>43734</c:v>
                </c:pt>
                <c:pt idx="496">
                  <c:v>43733</c:v>
                </c:pt>
                <c:pt idx="497">
                  <c:v>43732</c:v>
                </c:pt>
                <c:pt idx="498">
                  <c:v>43731</c:v>
                </c:pt>
                <c:pt idx="499">
                  <c:v>43728</c:v>
                </c:pt>
                <c:pt idx="500">
                  <c:v>43727</c:v>
                </c:pt>
                <c:pt idx="501">
                  <c:v>43726</c:v>
                </c:pt>
                <c:pt idx="502">
                  <c:v>43725</c:v>
                </c:pt>
                <c:pt idx="503">
                  <c:v>43724</c:v>
                </c:pt>
                <c:pt idx="504">
                  <c:v>43721</c:v>
                </c:pt>
                <c:pt idx="505">
                  <c:v>43720</c:v>
                </c:pt>
                <c:pt idx="506">
                  <c:v>43719</c:v>
                </c:pt>
                <c:pt idx="507">
                  <c:v>43718</c:v>
                </c:pt>
                <c:pt idx="508">
                  <c:v>43717</c:v>
                </c:pt>
                <c:pt idx="509">
                  <c:v>43714</c:v>
                </c:pt>
                <c:pt idx="510">
                  <c:v>43713</c:v>
                </c:pt>
                <c:pt idx="511">
                  <c:v>43712</c:v>
                </c:pt>
                <c:pt idx="512">
                  <c:v>43711</c:v>
                </c:pt>
                <c:pt idx="513">
                  <c:v>43710</c:v>
                </c:pt>
                <c:pt idx="514">
                  <c:v>43707</c:v>
                </c:pt>
                <c:pt idx="515">
                  <c:v>43706</c:v>
                </c:pt>
                <c:pt idx="516">
                  <c:v>43705</c:v>
                </c:pt>
                <c:pt idx="517">
                  <c:v>43704</c:v>
                </c:pt>
                <c:pt idx="518">
                  <c:v>43703</c:v>
                </c:pt>
                <c:pt idx="519">
                  <c:v>43700</c:v>
                </c:pt>
                <c:pt idx="520">
                  <c:v>43699</c:v>
                </c:pt>
                <c:pt idx="521">
                  <c:v>43698</c:v>
                </c:pt>
                <c:pt idx="522">
                  <c:v>43697</c:v>
                </c:pt>
                <c:pt idx="523">
                  <c:v>43696</c:v>
                </c:pt>
                <c:pt idx="524">
                  <c:v>43693</c:v>
                </c:pt>
                <c:pt idx="525">
                  <c:v>43692</c:v>
                </c:pt>
                <c:pt idx="526">
                  <c:v>43691</c:v>
                </c:pt>
                <c:pt idx="527">
                  <c:v>43690</c:v>
                </c:pt>
                <c:pt idx="528">
                  <c:v>43689</c:v>
                </c:pt>
                <c:pt idx="529">
                  <c:v>43686</c:v>
                </c:pt>
                <c:pt idx="530">
                  <c:v>43685</c:v>
                </c:pt>
                <c:pt idx="531">
                  <c:v>43684</c:v>
                </c:pt>
                <c:pt idx="532">
                  <c:v>43683</c:v>
                </c:pt>
                <c:pt idx="533">
                  <c:v>43682</c:v>
                </c:pt>
                <c:pt idx="534">
                  <c:v>43679</c:v>
                </c:pt>
                <c:pt idx="535">
                  <c:v>43678</c:v>
                </c:pt>
                <c:pt idx="536">
                  <c:v>43677</c:v>
                </c:pt>
                <c:pt idx="537">
                  <c:v>43676</c:v>
                </c:pt>
                <c:pt idx="538">
                  <c:v>43675</c:v>
                </c:pt>
                <c:pt idx="539">
                  <c:v>43672</c:v>
                </c:pt>
                <c:pt idx="540">
                  <c:v>43671</c:v>
                </c:pt>
                <c:pt idx="541">
                  <c:v>43670</c:v>
                </c:pt>
                <c:pt idx="542">
                  <c:v>43669</c:v>
                </c:pt>
                <c:pt idx="543">
                  <c:v>43668</c:v>
                </c:pt>
                <c:pt idx="544">
                  <c:v>43665</c:v>
                </c:pt>
                <c:pt idx="545">
                  <c:v>43664</c:v>
                </c:pt>
                <c:pt idx="546">
                  <c:v>43663</c:v>
                </c:pt>
                <c:pt idx="547">
                  <c:v>43662</c:v>
                </c:pt>
                <c:pt idx="548">
                  <c:v>43661</c:v>
                </c:pt>
                <c:pt idx="549">
                  <c:v>43658</c:v>
                </c:pt>
                <c:pt idx="550">
                  <c:v>43657</c:v>
                </c:pt>
                <c:pt idx="551">
                  <c:v>43656</c:v>
                </c:pt>
                <c:pt idx="552">
                  <c:v>43655</c:v>
                </c:pt>
                <c:pt idx="553">
                  <c:v>43654</c:v>
                </c:pt>
                <c:pt idx="554">
                  <c:v>43651</c:v>
                </c:pt>
                <c:pt idx="555">
                  <c:v>43650</c:v>
                </c:pt>
                <c:pt idx="556">
                  <c:v>43649</c:v>
                </c:pt>
                <c:pt idx="557">
                  <c:v>43648</c:v>
                </c:pt>
                <c:pt idx="558">
                  <c:v>43647</c:v>
                </c:pt>
                <c:pt idx="559">
                  <c:v>43644</c:v>
                </c:pt>
                <c:pt idx="560">
                  <c:v>43643</c:v>
                </c:pt>
                <c:pt idx="561">
                  <c:v>43642</c:v>
                </c:pt>
                <c:pt idx="562">
                  <c:v>43641</c:v>
                </c:pt>
                <c:pt idx="563">
                  <c:v>43640</c:v>
                </c:pt>
                <c:pt idx="564">
                  <c:v>43637</c:v>
                </c:pt>
                <c:pt idx="565">
                  <c:v>43636</c:v>
                </c:pt>
                <c:pt idx="566">
                  <c:v>43635</c:v>
                </c:pt>
                <c:pt idx="567">
                  <c:v>43634</c:v>
                </c:pt>
                <c:pt idx="568">
                  <c:v>43633</c:v>
                </c:pt>
                <c:pt idx="569">
                  <c:v>43630</c:v>
                </c:pt>
                <c:pt idx="570">
                  <c:v>43629</c:v>
                </c:pt>
                <c:pt idx="571">
                  <c:v>43628</c:v>
                </c:pt>
                <c:pt idx="572">
                  <c:v>43627</c:v>
                </c:pt>
                <c:pt idx="573">
                  <c:v>43626</c:v>
                </c:pt>
                <c:pt idx="574">
                  <c:v>43623</c:v>
                </c:pt>
                <c:pt idx="575">
                  <c:v>43622</c:v>
                </c:pt>
                <c:pt idx="576">
                  <c:v>43621</c:v>
                </c:pt>
                <c:pt idx="577">
                  <c:v>43620</c:v>
                </c:pt>
                <c:pt idx="578">
                  <c:v>43619</c:v>
                </c:pt>
                <c:pt idx="579">
                  <c:v>43616</c:v>
                </c:pt>
                <c:pt idx="580">
                  <c:v>43615</c:v>
                </c:pt>
                <c:pt idx="581">
                  <c:v>43614</c:v>
                </c:pt>
                <c:pt idx="582">
                  <c:v>43613</c:v>
                </c:pt>
                <c:pt idx="583">
                  <c:v>43612</c:v>
                </c:pt>
                <c:pt idx="584">
                  <c:v>43609</c:v>
                </c:pt>
                <c:pt idx="585">
                  <c:v>43608</c:v>
                </c:pt>
                <c:pt idx="586">
                  <c:v>43607</c:v>
                </c:pt>
                <c:pt idx="587">
                  <c:v>43606</c:v>
                </c:pt>
                <c:pt idx="588">
                  <c:v>43605</c:v>
                </c:pt>
                <c:pt idx="589">
                  <c:v>43602</c:v>
                </c:pt>
                <c:pt idx="590">
                  <c:v>43601</c:v>
                </c:pt>
                <c:pt idx="591">
                  <c:v>43600</c:v>
                </c:pt>
                <c:pt idx="592">
                  <c:v>43599</c:v>
                </c:pt>
                <c:pt idx="593">
                  <c:v>43598</c:v>
                </c:pt>
                <c:pt idx="594">
                  <c:v>43595</c:v>
                </c:pt>
                <c:pt idx="595">
                  <c:v>43594</c:v>
                </c:pt>
                <c:pt idx="596">
                  <c:v>43593</c:v>
                </c:pt>
                <c:pt idx="597">
                  <c:v>43592</c:v>
                </c:pt>
                <c:pt idx="598">
                  <c:v>43591</c:v>
                </c:pt>
                <c:pt idx="599">
                  <c:v>43588</c:v>
                </c:pt>
                <c:pt idx="600">
                  <c:v>43587</c:v>
                </c:pt>
                <c:pt idx="601">
                  <c:v>43586</c:v>
                </c:pt>
                <c:pt idx="602">
                  <c:v>43585</c:v>
                </c:pt>
                <c:pt idx="603">
                  <c:v>43584</c:v>
                </c:pt>
                <c:pt idx="604">
                  <c:v>43581</c:v>
                </c:pt>
                <c:pt idx="605">
                  <c:v>43580</c:v>
                </c:pt>
                <c:pt idx="606">
                  <c:v>43579</c:v>
                </c:pt>
                <c:pt idx="607">
                  <c:v>43578</c:v>
                </c:pt>
                <c:pt idx="608">
                  <c:v>43573</c:v>
                </c:pt>
                <c:pt idx="609">
                  <c:v>43572</c:v>
                </c:pt>
                <c:pt idx="610">
                  <c:v>43571</c:v>
                </c:pt>
                <c:pt idx="611">
                  <c:v>43570</c:v>
                </c:pt>
                <c:pt idx="612">
                  <c:v>43567</c:v>
                </c:pt>
                <c:pt idx="613">
                  <c:v>43566</c:v>
                </c:pt>
                <c:pt idx="614">
                  <c:v>43565</c:v>
                </c:pt>
                <c:pt idx="615">
                  <c:v>43564</c:v>
                </c:pt>
                <c:pt idx="616">
                  <c:v>43563</c:v>
                </c:pt>
                <c:pt idx="617">
                  <c:v>43560</c:v>
                </c:pt>
                <c:pt idx="618">
                  <c:v>43559</c:v>
                </c:pt>
                <c:pt idx="619">
                  <c:v>43558</c:v>
                </c:pt>
                <c:pt idx="620">
                  <c:v>43557</c:v>
                </c:pt>
                <c:pt idx="621">
                  <c:v>43556</c:v>
                </c:pt>
                <c:pt idx="622">
                  <c:v>43553</c:v>
                </c:pt>
                <c:pt idx="623">
                  <c:v>43552</c:v>
                </c:pt>
                <c:pt idx="624">
                  <c:v>43551</c:v>
                </c:pt>
                <c:pt idx="625">
                  <c:v>43550</c:v>
                </c:pt>
                <c:pt idx="626">
                  <c:v>43549</c:v>
                </c:pt>
                <c:pt idx="627">
                  <c:v>43546</c:v>
                </c:pt>
                <c:pt idx="628">
                  <c:v>43545</c:v>
                </c:pt>
                <c:pt idx="629">
                  <c:v>43544</c:v>
                </c:pt>
                <c:pt idx="630">
                  <c:v>43543</c:v>
                </c:pt>
                <c:pt idx="631">
                  <c:v>43542</c:v>
                </c:pt>
                <c:pt idx="632">
                  <c:v>43539</c:v>
                </c:pt>
                <c:pt idx="633">
                  <c:v>43538</c:v>
                </c:pt>
                <c:pt idx="634">
                  <c:v>43537</c:v>
                </c:pt>
                <c:pt idx="635">
                  <c:v>43536</c:v>
                </c:pt>
                <c:pt idx="636">
                  <c:v>43535</c:v>
                </c:pt>
                <c:pt idx="637">
                  <c:v>43532</c:v>
                </c:pt>
                <c:pt idx="638">
                  <c:v>43531</c:v>
                </c:pt>
                <c:pt idx="639">
                  <c:v>43530</c:v>
                </c:pt>
                <c:pt idx="640">
                  <c:v>43529</c:v>
                </c:pt>
                <c:pt idx="641">
                  <c:v>43528</c:v>
                </c:pt>
                <c:pt idx="642">
                  <c:v>43525</c:v>
                </c:pt>
                <c:pt idx="643">
                  <c:v>43524</c:v>
                </c:pt>
                <c:pt idx="644">
                  <c:v>43523</c:v>
                </c:pt>
                <c:pt idx="645">
                  <c:v>43522</c:v>
                </c:pt>
                <c:pt idx="646">
                  <c:v>43521</c:v>
                </c:pt>
                <c:pt idx="647">
                  <c:v>43518</c:v>
                </c:pt>
                <c:pt idx="648">
                  <c:v>43517</c:v>
                </c:pt>
                <c:pt idx="649">
                  <c:v>43516</c:v>
                </c:pt>
                <c:pt idx="650">
                  <c:v>43515</c:v>
                </c:pt>
                <c:pt idx="651">
                  <c:v>43514</c:v>
                </c:pt>
                <c:pt idx="652">
                  <c:v>43511</c:v>
                </c:pt>
                <c:pt idx="653">
                  <c:v>43510</c:v>
                </c:pt>
                <c:pt idx="654">
                  <c:v>43509</c:v>
                </c:pt>
                <c:pt idx="655">
                  <c:v>43508</c:v>
                </c:pt>
                <c:pt idx="656">
                  <c:v>43507</c:v>
                </c:pt>
                <c:pt idx="657">
                  <c:v>43504</c:v>
                </c:pt>
                <c:pt idx="658">
                  <c:v>43503</c:v>
                </c:pt>
                <c:pt idx="659">
                  <c:v>43502</c:v>
                </c:pt>
                <c:pt idx="660">
                  <c:v>43501</c:v>
                </c:pt>
                <c:pt idx="661">
                  <c:v>43500</c:v>
                </c:pt>
                <c:pt idx="662">
                  <c:v>43497</c:v>
                </c:pt>
                <c:pt idx="663">
                  <c:v>43496</c:v>
                </c:pt>
                <c:pt idx="664">
                  <c:v>43495</c:v>
                </c:pt>
                <c:pt idx="665">
                  <c:v>43494</c:v>
                </c:pt>
                <c:pt idx="666">
                  <c:v>43493</c:v>
                </c:pt>
                <c:pt idx="667">
                  <c:v>43490</c:v>
                </c:pt>
                <c:pt idx="668">
                  <c:v>43489</c:v>
                </c:pt>
                <c:pt idx="669">
                  <c:v>43488</c:v>
                </c:pt>
                <c:pt idx="670">
                  <c:v>43487</c:v>
                </c:pt>
                <c:pt idx="671">
                  <c:v>43486</c:v>
                </c:pt>
                <c:pt idx="672">
                  <c:v>43483</c:v>
                </c:pt>
                <c:pt idx="673">
                  <c:v>43482</c:v>
                </c:pt>
                <c:pt idx="674">
                  <c:v>43481</c:v>
                </c:pt>
                <c:pt idx="675">
                  <c:v>43480</c:v>
                </c:pt>
                <c:pt idx="676">
                  <c:v>43479</c:v>
                </c:pt>
                <c:pt idx="677">
                  <c:v>43476</c:v>
                </c:pt>
                <c:pt idx="678">
                  <c:v>43475</c:v>
                </c:pt>
                <c:pt idx="679">
                  <c:v>43474</c:v>
                </c:pt>
                <c:pt idx="680">
                  <c:v>43473</c:v>
                </c:pt>
                <c:pt idx="681">
                  <c:v>43472</c:v>
                </c:pt>
                <c:pt idx="682">
                  <c:v>43469</c:v>
                </c:pt>
                <c:pt idx="683">
                  <c:v>43468</c:v>
                </c:pt>
                <c:pt idx="684">
                  <c:v>43467</c:v>
                </c:pt>
                <c:pt idx="685">
                  <c:v>43465</c:v>
                </c:pt>
                <c:pt idx="686">
                  <c:v>43462</c:v>
                </c:pt>
                <c:pt idx="687">
                  <c:v>43461</c:v>
                </c:pt>
                <c:pt idx="688">
                  <c:v>43458</c:v>
                </c:pt>
                <c:pt idx="689">
                  <c:v>43455</c:v>
                </c:pt>
                <c:pt idx="690">
                  <c:v>43454</c:v>
                </c:pt>
                <c:pt idx="691">
                  <c:v>43453</c:v>
                </c:pt>
                <c:pt idx="692">
                  <c:v>43452</c:v>
                </c:pt>
                <c:pt idx="693">
                  <c:v>43451</c:v>
                </c:pt>
                <c:pt idx="694">
                  <c:v>43448</c:v>
                </c:pt>
                <c:pt idx="695">
                  <c:v>43447</c:v>
                </c:pt>
                <c:pt idx="696">
                  <c:v>43446</c:v>
                </c:pt>
                <c:pt idx="697">
                  <c:v>43445</c:v>
                </c:pt>
                <c:pt idx="698">
                  <c:v>43444</c:v>
                </c:pt>
                <c:pt idx="699">
                  <c:v>43441</c:v>
                </c:pt>
                <c:pt idx="700">
                  <c:v>43440</c:v>
                </c:pt>
                <c:pt idx="701">
                  <c:v>43439</c:v>
                </c:pt>
                <c:pt idx="702">
                  <c:v>43438</c:v>
                </c:pt>
                <c:pt idx="703">
                  <c:v>43437</c:v>
                </c:pt>
                <c:pt idx="704">
                  <c:v>43434</c:v>
                </c:pt>
                <c:pt idx="705">
                  <c:v>43433</c:v>
                </c:pt>
                <c:pt idx="706">
                  <c:v>43432</c:v>
                </c:pt>
                <c:pt idx="707">
                  <c:v>43431</c:v>
                </c:pt>
                <c:pt idx="708">
                  <c:v>43430</c:v>
                </c:pt>
                <c:pt idx="709">
                  <c:v>43427</c:v>
                </c:pt>
                <c:pt idx="710">
                  <c:v>43426</c:v>
                </c:pt>
                <c:pt idx="711">
                  <c:v>43425</c:v>
                </c:pt>
                <c:pt idx="712">
                  <c:v>43424</c:v>
                </c:pt>
                <c:pt idx="713">
                  <c:v>43423</c:v>
                </c:pt>
                <c:pt idx="714">
                  <c:v>43420</c:v>
                </c:pt>
                <c:pt idx="715">
                  <c:v>43419</c:v>
                </c:pt>
                <c:pt idx="716">
                  <c:v>43418</c:v>
                </c:pt>
                <c:pt idx="717">
                  <c:v>43417</c:v>
                </c:pt>
                <c:pt idx="718">
                  <c:v>43416</c:v>
                </c:pt>
                <c:pt idx="719">
                  <c:v>43413</c:v>
                </c:pt>
                <c:pt idx="720">
                  <c:v>43412</c:v>
                </c:pt>
                <c:pt idx="721">
                  <c:v>43411</c:v>
                </c:pt>
                <c:pt idx="722">
                  <c:v>43410</c:v>
                </c:pt>
                <c:pt idx="723">
                  <c:v>43409</c:v>
                </c:pt>
                <c:pt idx="724">
                  <c:v>43406</c:v>
                </c:pt>
                <c:pt idx="725">
                  <c:v>43405</c:v>
                </c:pt>
                <c:pt idx="726">
                  <c:v>43404</c:v>
                </c:pt>
                <c:pt idx="727">
                  <c:v>43403</c:v>
                </c:pt>
                <c:pt idx="728">
                  <c:v>43402</c:v>
                </c:pt>
                <c:pt idx="729">
                  <c:v>43399</c:v>
                </c:pt>
                <c:pt idx="730">
                  <c:v>43398</c:v>
                </c:pt>
                <c:pt idx="731">
                  <c:v>43397</c:v>
                </c:pt>
                <c:pt idx="732">
                  <c:v>43396</c:v>
                </c:pt>
                <c:pt idx="733">
                  <c:v>43395</c:v>
                </c:pt>
                <c:pt idx="734">
                  <c:v>43392</c:v>
                </c:pt>
                <c:pt idx="735">
                  <c:v>43391</c:v>
                </c:pt>
                <c:pt idx="736">
                  <c:v>43390</c:v>
                </c:pt>
                <c:pt idx="737">
                  <c:v>43389</c:v>
                </c:pt>
                <c:pt idx="738">
                  <c:v>43388</c:v>
                </c:pt>
                <c:pt idx="739">
                  <c:v>43385</c:v>
                </c:pt>
                <c:pt idx="740">
                  <c:v>43384</c:v>
                </c:pt>
                <c:pt idx="741">
                  <c:v>43383</c:v>
                </c:pt>
                <c:pt idx="742">
                  <c:v>43382</c:v>
                </c:pt>
                <c:pt idx="743">
                  <c:v>43381</c:v>
                </c:pt>
                <c:pt idx="744">
                  <c:v>43378</c:v>
                </c:pt>
                <c:pt idx="745">
                  <c:v>43377</c:v>
                </c:pt>
                <c:pt idx="746">
                  <c:v>43376</c:v>
                </c:pt>
                <c:pt idx="747">
                  <c:v>43375</c:v>
                </c:pt>
                <c:pt idx="748">
                  <c:v>43374</c:v>
                </c:pt>
                <c:pt idx="749">
                  <c:v>43371</c:v>
                </c:pt>
                <c:pt idx="750">
                  <c:v>43370</c:v>
                </c:pt>
                <c:pt idx="751">
                  <c:v>43369</c:v>
                </c:pt>
                <c:pt idx="752">
                  <c:v>43368</c:v>
                </c:pt>
                <c:pt idx="753">
                  <c:v>43367</c:v>
                </c:pt>
                <c:pt idx="754">
                  <c:v>43364</c:v>
                </c:pt>
                <c:pt idx="755">
                  <c:v>43363</c:v>
                </c:pt>
                <c:pt idx="756">
                  <c:v>43362</c:v>
                </c:pt>
                <c:pt idx="757">
                  <c:v>43361</c:v>
                </c:pt>
                <c:pt idx="758">
                  <c:v>43360</c:v>
                </c:pt>
                <c:pt idx="759">
                  <c:v>43357</c:v>
                </c:pt>
                <c:pt idx="760">
                  <c:v>43356</c:v>
                </c:pt>
                <c:pt idx="761">
                  <c:v>43355</c:v>
                </c:pt>
                <c:pt idx="762">
                  <c:v>43354</c:v>
                </c:pt>
                <c:pt idx="763">
                  <c:v>43353</c:v>
                </c:pt>
                <c:pt idx="764">
                  <c:v>43350</c:v>
                </c:pt>
                <c:pt idx="765">
                  <c:v>43349</c:v>
                </c:pt>
                <c:pt idx="766">
                  <c:v>43348</c:v>
                </c:pt>
                <c:pt idx="767">
                  <c:v>43347</c:v>
                </c:pt>
                <c:pt idx="768">
                  <c:v>43346</c:v>
                </c:pt>
                <c:pt idx="769">
                  <c:v>43343</c:v>
                </c:pt>
                <c:pt idx="770">
                  <c:v>43342</c:v>
                </c:pt>
                <c:pt idx="771">
                  <c:v>43341</c:v>
                </c:pt>
                <c:pt idx="772">
                  <c:v>43340</c:v>
                </c:pt>
                <c:pt idx="773">
                  <c:v>43339</c:v>
                </c:pt>
                <c:pt idx="774">
                  <c:v>43336</c:v>
                </c:pt>
                <c:pt idx="775">
                  <c:v>43335</c:v>
                </c:pt>
                <c:pt idx="776">
                  <c:v>43334</c:v>
                </c:pt>
                <c:pt idx="777">
                  <c:v>43333</c:v>
                </c:pt>
                <c:pt idx="778">
                  <c:v>43332</c:v>
                </c:pt>
                <c:pt idx="779">
                  <c:v>43329</c:v>
                </c:pt>
                <c:pt idx="780">
                  <c:v>43328</c:v>
                </c:pt>
                <c:pt idx="781">
                  <c:v>43327</c:v>
                </c:pt>
                <c:pt idx="782">
                  <c:v>43326</c:v>
                </c:pt>
                <c:pt idx="783">
                  <c:v>43325</c:v>
                </c:pt>
                <c:pt idx="784">
                  <c:v>43322</c:v>
                </c:pt>
                <c:pt idx="785">
                  <c:v>43321</c:v>
                </c:pt>
                <c:pt idx="786">
                  <c:v>43320</c:v>
                </c:pt>
                <c:pt idx="787">
                  <c:v>43319</c:v>
                </c:pt>
                <c:pt idx="788">
                  <c:v>43318</c:v>
                </c:pt>
                <c:pt idx="789">
                  <c:v>43315</c:v>
                </c:pt>
                <c:pt idx="790">
                  <c:v>43314</c:v>
                </c:pt>
                <c:pt idx="791">
                  <c:v>43313</c:v>
                </c:pt>
                <c:pt idx="792">
                  <c:v>43312</c:v>
                </c:pt>
                <c:pt idx="793">
                  <c:v>43311</c:v>
                </c:pt>
                <c:pt idx="794">
                  <c:v>43308</c:v>
                </c:pt>
                <c:pt idx="795">
                  <c:v>43307</c:v>
                </c:pt>
                <c:pt idx="796">
                  <c:v>43306</c:v>
                </c:pt>
                <c:pt idx="797">
                  <c:v>43305</c:v>
                </c:pt>
                <c:pt idx="798">
                  <c:v>43304</c:v>
                </c:pt>
                <c:pt idx="799">
                  <c:v>43301</c:v>
                </c:pt>
                <c:pt idx="800">
                  <c:v>43300</c:v>
                </c:pt>
                <c:pt idx="801">
                  <c:v>43299</c:v>
                </c:pt>
                <c:pt idx="802">
                  <c:v>43298</c:v>
                </c:pt>
                <c:pt idx="803">
                  <c:v>43297</c:v>
                </c:pt>
                <c:pt idx="804">
                  <c:v>43294</c:v>
                </c:pt>
                <c:pt idx="805">
                  <c:v>43293</c:v>
                </c:pt>
                <c:pt idx="806">
                  <c:v>43292</c:v>
                </c:pt>
                <c:pt idx="807">
                  <c:v>43291</c:v>
                </c:pt>
                <c:pt idx="808">
                  <c:v>43290</c:v>
                </c:pt>
                <c:pt idx="809">
                  <c:v>43287</c:v>
                </c:pt>
                <c:pt idx="810">
                  <c:v>43286</c:v>
                </c:pt>
                <c:pt idx="811">
                  <c:v>43285</c:v>
                </c:pt>
                <c:pt idx="812">
                  <c:v>43284</c:v>
                </c:pt>
                <c:pt idx="813">
                  <c:v>43283</c:v>
                </c:pt>
                <c:pt idx="814">
                  <c:v>43280</c:v>
                </c:pt>
                <c:pt idx="815">
                  <c:v>43279</c:v>
                </c:pt>
                <c:pt idx="816">
                  <c:v>43278</c:v>
                </c:pt>
                <c:pt idx="817">
                  <c:v>43277</c:v>
                </c:pt>
                <c:pt idx="818">
                  <c:v>43276</c:v>
                </c:pt>
                <c:pt idx="819">
                  <c:v>43273</c:v>
                </c:pt>
                <c:pt idx="820">
                  <c:v>43272</c:v>
                </c:pt>
                <c:pt idx="821">
                  <c:v>43271</c:v>
                </c:pt>
                <c:pt idx="822">
                  <c:v>43270</c:v>
                </c:pt>
                <c:pt idx="823">
                  <c:v>43269</c:v>
                </c:pt>
                <c:pt idx="824">
                  <c:v>43266</c:v>
                </c:pt>
                <c:pt idx="825">
                  <c:v>43265</c:v>
                </c:pt>
                <c:pt idx="826">
                  <c:v>43264</c:v>
                </c:pt>
                <c:pt idx="827">
                  <c:v>43263</c:v>
                </c:pt>
                <c:pt idx="828">
                  <c:v>43262</c:v>
                </c:pt>
                <c:pt idx="829">
                  <c:v>43259</c:v>
                </c:pt>
                <c:pt idx="830">
                  <c:v>43258</c:v>
                </c:pt>
                <c:pt idx="831">
                  <c:v>43257</c:v>
                </c:pt>
                <c:pt idx="832">
                  <c:v>43256</c:v>
                </c:pt>
                <c:pt idx="833">
                  <c:v>43255</c:v>
                </c:pt>
                <c:pt idx="834">
                  <c:v>43252</c:v>
                </c:pt>
                <c:pt idx="835">
                  <c:v>43251</c:v>
                </c:pt>
                <c:pt idx="836">
                  <c:v>43250</c:v>
                </c:pt>
                <c:pt idx="837">
                  <c:v>43249</c:v>
                </c:pt>
                <c:pt idx="838">
                  <c:v>43245</c:v>
                </c:pt>
                <c:pt idx="839">
                  <c:v>43244</c:v>
                </c:pt>
                <c:pt idx="840">
                  <c:v>43243</c:v>
                </c:pt>
                <c:pt idx="841">
                  <c:v>43242</c:v>
                </c:pt>
                <c:pt idx="842">
                  <c:v>43241</c:v>
                </c:pt>
                <c:pt idx="843">
                  <c:v>43238</c:v>
                </c:pt>
                <c:pt idx="844">
                  <c:v>43237</c:v>
                </c:pt>
                <c:pt idx="845">
                  <c:v>43236</c:v>
                </c:pt>
                <c:pt idx="846">
                  <c:v>43235</c:v>
                </c:pt>
                <c:pt idx="847">
                  <c:v>43234</c:v>
                </c:pt>
                <c:pt idx="848">
                  <c:v>43231</c:v>
                </c:pt>
                <c:pt idx="849">
                  <c:v>43230</c:v>
                </c:pt>
                <c:pt idx="850">
                  <c:v>43229</c:v>
                </c:pt>
                <c:pt idx="851">
                  <c:v>43228</c:v>
                </c:pt>
                <c:pt idx="852">
                  <c:v>43227</c:v>
                </c:pt>
                <c:pt idx="853">
                  <c:v>43224</c:v>
                </c:pt>
                <c:pt idx="854">
                  <c:v>43223</c:v>
                </c:pt>
                <c:pt idx="855">
                  <c:v>43222</c:v>
                </c:pt>
                <c:pt idx="856">
                  <c:v>43221</c:v>
                </c:pt>
                <c:pt idx="857">
                  <c:v>43220</c:v>
                </c:pt>
                <c:pt idx="858">
                  <c:v>43217</c:v>
                </c:pt>
                <c:pt idx="859">
                  <c:v>43216</c:v>
                </c:pt>
                <c:pt idx="860">
                  <c:v>43215</c:v>
                </c:pt>
                <c:pt idx="861">
                  <c:v>43214</c:v>
                </c:pt>
                <c:pt idx="862">
                  <c:v>43213</c:v>
                </c:pt>
                <c:pt idx="863">
                  <c:v>43210</c:v>
                </c:pt>
                <c:pt idx="864">
                  <c:v>43209</c:v>
                </c:pt>
                <c:pt idx="865">
                  <c:v>43208</c:v>
                </c:pt>
                <c:pt idx="866">
                  <c:v>43207</c:v>
                </c:pt>
                <c:pt idx="867">
                  <c:v>43206</c:v>
                </c:pt>
                <c:pt idx="868">
                  <c:v>43203</c:v>
                </c:pt>
                <c:pt idx="869">
                  <c:v>43202</c:v>
                </c:pt>
                <c:pt idx="870">
                  <c:v>43201</c:v>
                </c:pt>
                <c:pt idx="871">
                  <c:v>43200</c:v>
                </c:pt>
                <c:pt idx="872">
                  <c:v>43199</c:v>
                </c:pt>
                <c:pt idx="873">
                  <c:v>43196</c:v>
                </c:pt>
                <c:pt idx="874">
                  <c:v>43195</c:v>
                </c:pt>
                <c:pt idx="875">
                  <c:v>43194</c:v>
                </c:pt>
                <c:pt idx="876">
                  <c:v>43193</c:v>
                </c:pt>
                <c:pt idx="877">
                  <c:v>43188</c:v>
                </c:pt>
                <c:pt idx="878">
                  <c:v>43187</c:v>
                </c:pt>
                <c:pt idx="879">
                  <c:v>43186</c:v>
                </c:pt>
                <c:pt idx="880">
                  <c:v>43185</c:v>
                </c:pt>
                <c:pt idx="881">
                  <c:v>43182</c:v>
                </c:pt>
                <c:pt idx="882">
                  <c:v>43181</c:v>
                </c:pt>
                <c:pt idx="883">
                  <c:v>43180</c:v>
                </c:pt>
                <c:pt idx="884">
                  <c:v>43179</c:v>
                </c:pt>
                <c:pt idx="885">
                  <c:v>43178</c:v>
                </c:pt>
                <c:pt idx="886">
                  <c:v>43175</c:v>
                </c:pt>
                <c:pt idx="887">
                  <c:v>43174</c:v>
                </c:pt>
                <c:pt idx="888">
                  <c:v>43173</c:v>
                </c:pt>
                <c:pt idx="889">
                  <c:v>43172</c:v>
                </c:pt>
                <c:pt idx="890">
                  <c:v>43171</c:v>
                </c:pt>
                <c:pt idx="891">
                  <c:v>43168</c:v>
                </c:pt>
                <c:pt idx="892">
                  <c:v>43167</c:v>
                </c:pt>
                <c:pt idx="893">
                  <c:v>43166</c:v>
                </c:pt>
                <c:pt idx="894">
                  <c:v>43165</c:v>
                </c:pt>
                <c:pt idx="895">
                  <c:v>43164</c:v>
                </c:pt>
                <c:pt idx="896">
                  <c:v>43161</c:v>
                </c:pt>
                <c:pt idx="897">
                  <c:v>43160</c:v>
                </c:pt>
                <c:pt idx="898">
                  <c:v>43159</c:v>
                </c:pt>
                <c:pt idx="899">
                  <c:v>43158</c:v>
                </c:pt>
                <c:pt idx="900">
                  <c:v>43157</c:v>
                </c:pt>
                <c:pt idx="901">
                  <c:v>43154</c:v>
                </c:pt>
                <c:pt idx="902">
                  <c:v>43153</c:v>
                </c:pt>
                <c:pt idx="903">
                  <c:v>43152</c:v>
                </c:pt>
                <c:pt idx="904">
                  <c:v>43151</c:v>
                </c:pt>
                <c:pt idx="905">
                  <c:v>43150</c:v>
                </c:pt>
                <c:pt idx="906">
                  <c:v>43147</c:v>
                </c:pt>
                <c:pt idx="907">
                  <c:v>43146</c:v>
                </c:pt>
                <c:pt idx="908">
                  <c:v>43145</c:v>
                </c:pt>
                <c:pt idx="909">
                  <c:v>43144</c:v>
                </c:pt>
                <c:pt idx="910">
                  <c:v>43143</c:v>
                </c:pt>
                <c:pt idx="911">
                  <c:v>43140</c:v>
                </c:pt>
                <c:pt idx="912">
                  <c:v>43139</c:v>
                </c:pt>
                <c:pt idx="913">
                  <c:v>43138</c:v>
                </c:pt>
                <c:pt idx="914">
                  <c:v>43137</c:v>
                </c:pt>
                <c:pt idx="915">
                  <c:v>43136</c:v>
                </c:pt>
                <c:pt idx="916">
                  <c:v>43133</c:v>
                </c:pt>
                <c:pt idx="917">
                  <c:v>43132</c:v>
                </c:pt>
                <c:pt idx="918">
                  <c:v>43131</c:v>
                </c:pt>
                <c:pt idx="919">
                  <c:v>43130</c:v>
                </c:pt>
                <c:pt idx="920">
                  <c:v>43129</c:v>
                </c:pt>
                <c:pt idx="921">
                  <c:v>43126</c:v>
                </c:pt>
                <c:pt idx="922">
                  <c:v>43125</c:v>
                </c:pt>
                <c:pt idx="923">
                  <c:v>43124</c:v>
                </c:pt>
                <c:pt idx="924">
                  <c:v>43123</c:v>
                </c:pt>
                <c:pt idx="925">
                  <c:v>43122</c:v>
                </c:pt>
                <c:pt idx="926">
                  <c:v>43119</c:v>
                </c:pt>
                <c:pt idx="927">
                  <c:v>43118</c:v>
                </c:pt>
                <c:pt idx="928">
                  <c:v>43117</c:v>
                </c:pt>
                <c:pt idx="929">
                  <c:v>43116</c:v>
                </c:pt>
                <c:pt idx="930">
                  <c:v>43115</c:v>
                </c:pt>
                <c:pt idx="931">
                  <c:v>43112</c:v>
                </c:pt>
                <c:pt idx="932">
                  <c:v>43111</c:v>
                </c:pt>
                <c:pt idx="933">
                  <c:v>43110</c:v>
                </c:pt>
                <c:pt idx="934">
                  <c:v>43109</c:v>
                </c:pt>
                <c:pt idx="935">
                  <c:v>43108</c:v>
                </c:pt>
                <c:pt idx="936">
                  <c:v>43105</c:v>
                </c:pt>
                <c:pt idx="937">
                  <c:v>43104</c:v>
                </c:pt>
                <c:pt idx="938">
                  <c:v>43103</c:v>
                </c:pt>
                <c:pt idx="939">
                  <c:v>43102</c:v>
                </c:pt>
              </c:numCache>
            </c:numRef>
          </c:cat>
          <c:val>
            <c:numRef>
              <c:f>'EUROBOND 2021 offline'!$C$27:$C$966</c:f>
              <c:numCache>
                <c:formatCode>#,##0.000</c:formatCode>
                <c:ptCount val="940"/>
                <c:pt idx="0">
                  <c:v>-0.27200000000000002</c:v>
                </c:pt>
                <c:pt idx="1">
                  <c:v>-1.776</c:v>
                </c:pt>
                <c:pt idx="2">
                  <c:v>-1.7730000000000001</c:v>
                </c:pt>
                <c:pt idx="3">
                  <c:v>-2.5150000000000001</c:v>
                </c:pt>
                <c:pt idx="4">
                  <c:v>-1.6859999999999999</c:v>
                </c:pt>
                <c:pt idx="5">
                  <c:v>-1.4809999999999999</c:v>
                </c:pt>
                <c:pt idx="6">
                  <c:v>-1.4239999999999999</c:v>
                </c:pt>
                <c:pt idx="7">
                  <c:v>-2.3479999999999999</c:v>
                </c:pt>
                <c:pt idx="8">
                  <c:v>-1.706</c:v>
                </c:pt>
                <c:pt idx="9">
                  <c:v>-1.0569999999999999</c:v>
                </c:pt>
                <c:pt idx="10">
                  <c:v>-1.0369999999999999</c:v>
                </c:pt>
                <c:pt idx="11">
                  <c:v>-1.3049999999999999</c:v>
                </c:pt>
                <c:pt idx="12">
                  <c:v>-0.88300000000000001</c:v>
                </c:pt>
                <c:pt idx="13">
                  <c:v>-0.98499999999999999</c:v>
                </c:pt>
                <c:pt idx="14">
                  <c:v>-0.59199999999999997</c:v>
                </c:pt>
                <c:pt idx="15">
                  <c:v>-0.70599999999999996</c:v>
                </c:pt>
                <c:pt idx="16">
                  <c:v>-1.2210000000000001</c:v>
                </c:pt>
                <c:pt idx="17">
                  <c:v>-1.123</c:v>
                </c:pt>
                <c:pt idx="18">
                  <c:v>-0.45500000000000002</c:v>
                </c:pt>
                <c:pt idx="19">
                  <c:v>-1.0189999999999999</c:v>
                </c:pt>
                <c:pt idx="20">
                  <c:v>-1.1559999999999999</c:v>
                </c:pt>
                <c:pt idx="21">
                  <c:v>-0.64</c:v>
                </c:pt>
                <c:pt idx="22">
                  <c:v>-1.018</c:v>
                </c:pt>
                <c:pt idx="23">
                  <c:v>-0.91800000000000004</c:v>
                </c:pt>
                <c:pt idx="24">
                  <c:v>-0.65800000000000003</c:v>
                </c:pt>
                <c:pt idx="25">
                  <c:v>-0.82799999999999996</c:v>
                </c:pt>
                <c:pt idx="26">
                  <c:v>-0.70399999999999996</c:v>
                </c:pt>
                <c:pt idx="27">
                  <c:v>-0.78200000000000003</c:v>
                </c:pt>
                <c:pt idx="28">
                  <c:v>-1.333</c:v>
                </c:pt>
                <c:pt idx="29">
                  <c:v>-0.95499999999999996</c:v>
                </c:pt>
                <c:pt idx="30">
                  <c:v>-0.746</c:v>
                </c:pt>
                <c:pt idx="31">
                  <c:v>-0.72899999999999998</c:v>
                </c:pt>
                <c:pt idx="32">
                  <c:v>-0.82399999999999995</c:v>
                </c:pt>
                <c:pt idx="33">
                  <c:v>-0.84699999999999998</c:v>
                </c:pt>
                <c:pt idx="34">
                  <c:v>-0.38600000000000001</c:v>
                </c:pt>
                <c:pt idx="35">
                  <c:v>-0.48399999999999999</c:v>
                </c:pt>
                <c:pt idx="36">
                  <c:v>-0.36499999999999999</c:v>
                </c:pt>
                <c:pt idx="37">
                  <c:v>-0.34499999999999997</c:v>
                </c:pt>
                <c:pt idx="38">
                  <c:v>-0.313</c:v>
                </c:pt>
                <c:pt idx="39">
                  <c:v>2.1999999999999999E-2</c:v>
                </c:pt>
                <c:pt idx="40">
                  <c:v>-2.5999999999999999E-2</c:v>
                </c:pt>
                <c:pt idx="41">
                  <c:v>-4.2000000000000003E-2</c:v>
                </c:pt>
                <c:pt idx="42">
                  <c:v>5.0000000000000001E-3</c:v>
                </c:pt>
                <c:pt idx="43">
                  <c:v>4.8000000000000001E-2</c:v>
                </c:pt>
                <c:pt idx="44">
                  <c:v>0.29099999999999998</c:v>
                </c:pt>
                <c:pt idx="45">
                  <c:v>0.19600000000000001</c:v>
                </c:pt>
                <c:pt idx="46">
                  <c:v>0.151</c:v>
                </c:pt>
                <c:pt idx="47">
                  <c:v>0.42699999999999999</c:v>
                </c:pt>
                <c:pt idx="48">
                  <c:v>0.45</c:v>
                </c:pt>
                <c:pt idx="49">
                  <c:v>0.40400000000000003</c:v>
                </c:pt>
                <c:pt idx="50">
                  <c:v>0.41799999999999998</c:v>
                </c:pt>
                <c:pt idx="51">
                  <c:v>0.36299999999999999</c:v>
                </c:pt>
                <c:pt idx="52">
                  <c:v>0.41399999999999998</c:v>
                </c:pt>
                <c:pt idx="53">
                  <c:v>0.30599999999999999</c:v>
                </c:pt>
                <c:pt idx="54">
                  <c:v>0.222</c:v>
                </c:pt>
                <c:pt idx="55">
                  <c:v>0.24099999999999999</c:v>
                </c:pt>
                <c:pt idx="56">
                  <c:v>-1.2999999999999999E-2</c:v>
                </c:pt>
                <c:pt idx="57">
                  <c:v>-2.5999999999999999E-2</c:v>
                </c:pt>
                <c:pt idx="58">
                  <c:v>5.0000000000000001E-3</c:v>
                </c:pt>
                <c:pt idx="59">
                  <c:v>0.14199999999999999</c:v>
                </c:pt>
                <c:pt idx="60">
                  <c:v>0.20899999999999999</c:v>
                </c:pt>
                <c:pt idx="61">
                  <c:v>0.13400000000000001</c:v>
                </c:pt>
                <c:pt idx="62">
                  <c:v>0.308</c:v>
                </c:pt>
                <c:pt idx="63">
                  <c:v>0.26800000000000002</c:v>
                </c:pt>
                <c:pt idx="64">
                  <c:v>0.436</c:v>
                </c:pt>
                <c:pt idx="65">
                  <c:v>0.46600000000000003</c:v>
                </c:pt>
                <c:pt idx="66">
                  <c:v>0.59699999999999998</c:v>
                </c:pt>
                <c:pt idx="67">
                  <c:v>7.4999999999999997E-2</c:v>
                </c:pt>
                <c:pt idx="68">
                  <c:v>0.248</c:v>
                </c:pt>
                <c:pt idx="69">
                  <c:v>0.247</c:v>
                </c:pt>
                <c:pt idx="70">
                  <c:v>0.376</c:v>
                </c:pt>
                <c:pt idx="71">
                  <c:v>0.33100000000000002</c:v>
                </c:pt>
                <c:pt idx="72">
                  <c:v>0.253</c:v>
                </c:pt>
                <c:pt idx="73">
                  <c:v>0.44</c:v>
                </c:pt>
                <c:pt idx="74">
                  <c:v>0.30099999999999999</c:v>
                </c:pt>
                <c:pt idx="75">
                  <c:v>0.41799999999999998</c:v>
                </c:pt>
                <c:pt idx="76">
                  <c:v>0.30199999999999999</c:v>
                </c:pt>
                <c:pt idx="77">
                  <c:v>0.41799999999999998</c:v>
                </c:pt>
                <c:pt idx="78">
                  <c:v>0.53900000000000003</c:v>
                </c:pt>
                <c:pt idx="79">
                  <c:v>0.505</c:v>
                </c:pt>
                <c:pt idx="80">
                  <c:v>0.40899999999999997</c:v>
                </c:pt>
                <c:pt idx="81">
                  <c:v>0.52300000000000002</c:v>
                </c:pt>
                <c:pt idx="82">
                  <c:v>0.51500000000000001</c:v>
                </c:pt>
                <c:pt idx="83">
                  <c:v>0.69599999999999995</c:v>
                </c:pt>
                <c:pt idx="84">
                  <c:v>0.73299999999999998</c:v>
                </c:pt>
                <c:pt idx="85">
                  <c:v>0.74</c:v>
                </c:pt>
                <c:pt idx="86">
                  <c:v>0.77</c:v>
                </c:pt>
                <c:pt idx="87">
                  <c:v>0.67100000000000004</c:v>
                </c:pt>
                <c:pt idx="88">
                  <c:v>0.78500000000000003</c:v>
                </c:pt>
                <c:pt idx="89">
                  <c:v>0.76900000000000002</c:v>
                </c:pt>
                <c:pt idx="90">
                  <c:v>0.69199999999999995</c:v>
                </c:pt>
                <c:pt idx="91">
                  <c:v>0.38700000000000001</c:v>
                </c:pt>
                <c:pt idx="92">
                  <c:v>0.28899999999999998</c:v>
                </c:pt>
                <c:pt idx="93">
                  <c:v>0.30399999999999999</c:v>
                </c:pt>
                <c:pt idx="94">
                  <c:v>0.36299999999999999</c:v>
                </c:pt>
                <c:pt idx="95">
                  <c:v>0.42699999999999999</c:v>
                </c:pt>
                <c:pt idx="96">
                  <c:v>0.45600000000000002</c:v>
                </c:pt>
                <c:pt idx="97">
                  <c:v>0.438</c:v>
                </c:pt>
                <c:pt idx="98">
                  <c:v>0.53800000000000003</c:v>
                </c:pt>
                <c:pt idx="99">
                  <c:v>0.63200000000000001</c:v>
                </c:pt>
                <c:pt idx="100">
                  <c:v>0.55200000000000005</c:v>
                </c:pt>
                <c:pt idx="101">
                  <c:v>0.51500000000000001</c:v>
                </c:pt>
                <c:pt idx="102">
                  <c:v>0.373</c:v>
                </c:pt>
                <c:pt idx="103">
                  <c:v>0.44400000000000001</c:v>
                </c:pt>
                <c:pt idx="104">
                  <c:v>0.442</c:v>
                </c:pt>
                <c:pt idx="105">
                  <c:v>0.63300000000000001</c:v>
                </c:pt>
                <c:pt idx="106">
                  <c:v>0.64200000000000002</c:v>
                </c:pt>
                <c:pt idx="107">
                  <c:v>0.45700000000000002</c:v>
                </c:pt>
                <c:pt idx="108">
                  <c:v>0.624</c:v>
                </c:pt>
                <c:pt idx="109">
                  <c:v>0.51700000000000002</c:v>
                </c:pt>
                <c:pt idx="110">
                  <c:v>0.51200000000000001</c:v>
                </c:pt>
                <c:pt idx="111">
                  <c:v>0.48499999999999999</c:v>
                </c:pt>
                <c:pt idx="112">
                  <c:v>0.41399999999999998</c:v>
                </c:pt>
                <c:pt idx="113">
                  <c:v>0.53</c:v>
                </c:pt>
                <c:pt idx="114">
                  <c:v>0.55800000000000005</c:v>
                </c:pt>
                <c:pt idx="115">
                  <c:v>0.60499999999999998</c:v>
                </c:pt>
                <c:pt idx="116">
                  <c:v>0.59</c:v>
                </c:pt>
                <c:pt idx="117">
                  <c:v>0.59299999999999997</c:v>
                </c:pt>
                <c:pt idx="118">
                  <c:v>0.55300000000000005</c:v>
                </c:pt>
                <c:pt idx="119">
                  <c:v>0.59</c:v>
                </c:pt>
                <c:pt idx="120">
                  <c:v>0.41899999999999998</c:v>
                </c:pt>
                <c:pt idx="121">
                  <c:v>0.72199999999999998</c:v>
                </c:pt>
                <c:pt idx="122">
                  <c:v>0.42599999999999999</c:v>
                </c:pt>
                <c:pt idx="123">
                  <c:v>-1.4E-2</c:v>
                </c:pt>
                <c:pt idx="124">
                  <c:v>-0.01</c:v>
                </c:pt>
                <c:pt idx="125">
                  <c:v>0.22</c:v>
                </c:pt>
                <c:pt idx="126">
                  <c:v>0.215</c:v>
                </c:pt>
                <c:pt idx="127">
                  <c:v>0.183</c:v>
                </c:pt>
                <c:pt idx="128">
                  <c:v>0.23599999999999999</c:v>
                </c:pt>
                <c:pt idx="129">
                  <c:v>0.26700000000000002</c:v>
                </c:pt>
                <c:pt idx="130">
                  <c:v>0.29699999999999999</c:v>
                </c:pt>
                <c:pt idx="131">
                  <c:v>0.378</c:v>
                </c:pt>
                <c:pt idx="132">
                  <c:v>0.314</c:v>
                </c:pt>
                <c:pt idx="133">
                  <c:v>0.46300000000000002</c:v>
                </c:pt>
                <c:pt idx="134">
                  <c:v>0.46600000000000003</c:v>
                </c:pt>
                <c:pt idx="135">
                  <c:v>0.47499999999999998</c:v>
                </c:pt>
                <c:pt idx="136">
                  <c:v>0.46899999999999997</c:v>
                </c:pt>
                <c:pt idx="137">
                  <c:v>0.44900000000000001</c:v>
                </c:pt>
                <c:pt idx="138">
                  <c:v>0.52900000000000003</c:v>
                </c:pt>
                <c:pt idx="139">
                  <c:v>0.51200000000000001</c:v>
                </c:pt>
                <c:pt idx="140">
                  <c:v>0.46500000000000002</c:v>
                </c:pt>
                <c:pt idx="141">
                  <c:v>0.54600000000000004</c:v>
                </c:pt>
                <c:pt idx="142">
                  <c:v>0.52700000000000002</c:v>
                </c:pt>
                <c:pt idx="143">
                  <c:v>0.59199999999999997</c:v>
                </c:pt>
                <c:pt idx="144">
                  <c:v>0.54500000000000004</c:v>
                </c:pt>
                <c:pt idx="145">
                  <c:v>0.54</c:v>
                </c:pt>
                <c:pt idx="146">
                  <c:v>0.57099999999999995</c:v>
                </c:pt>
                <c:pt idx="147">
                  <c:v>0.57599999999999996</c:v>
                </c:pt>
                <c:pt idx="148">
                  <c:v>0.65800000000000003</c:v>
                </c:pt>
                <c:pt idx="149">
                  <c:v>0.67900000000000005</c:v>
                </c:pt>
                <c:pt idx="150">
                  <c:v>0.70499999999999996</c:v>
                </c:pt>
                <c:pt idx="151">
                  <c:v>0.72799999999999998</c:v>
                </c:pt>
                <c:pt idx="152">
                  <c:v>0.69199999999999995</c:v>
                </c:pt>
                <c:pt idx="153">
                  <c:v>0.72499999999999998</c:v>
                </c:pt>
                <c:pt idx="154">
                  <c:v>0.76700000000000002</c:v>
                </c:pt>
                <c:pt idx="155">
                  <c:v>0.83599999999999997</c:v>
                </c:pt>
                <c:pt idx="156">
                  <c:v>0.86899999999999999</c:v>
                </c:pt>
                <c:pt idx="157">
                  <c:v>0.81799999999999995</c:v>
                </c:pt>
                <c:pt idx="158">
                  <c:v>0.85199999999999998</c:v>
                </c:pt>
                <c:pt idx="159">
                  <c:v>0.81399999999999995</c:v>
                </c:pt>
                <c:pt idx="160">
                  <c:v>0.85099999999999998</c:v>
                </c:pt>
                <c:pt idx="161">
                  <c:v>0.72</c:v>
                </c:pt>
                <c:pt idx="162">
                  <c:v>0.67800000000000005</c:v>
                </c:pt>
                <c:pt idx="163">
                  <c:v>0.69899999999999995</c:v>
                </c:pt>
                <c:pt idx="164">
                  <c:v>0.69099999999999995</c:v>
                </c:pt>
                <c:pt idx="165">
                  <c:v>0.627</c:v>
                </c:pt>
                <c:pt idx="166">
                  <c:v>0.63200000000000001</c:v>
                </c:pt>
                <c:pt idx="167">
                  <c:v>0.65</c:v>
                </c:pt>
                <c:pt idx="168">
                  <c:v>0.53500000000000003</c:v>
                </c:pt>
                <c:pt idx="169">
                  <c:v>0.49399999999999999</c:v>
                </c:pt>
                <c:pt idx="170">
                  <c:v>0.47499999999999998</c:v>
                </c:pt>
                <c:pt idx="171">
                  <c:v>0.499</c:v>
                </c:pt>
                <c:pt idx="172">
                  <c:v>0.496</c:v>
                </c:pt>
                <c:pt idx="173">
                  <c:v>0.59499999999999997</c:v>
                </c:pt>
                <c:pt idx="174">
                  <c:v>0.69899999999999995</c:v>
                </c:pt>
                <c:pt idx="175">
                  <c:v>0.65600000000000003</c:v>
                </c:pt>
                <c:pt idx="176">
                  <c:v>0.61599999999999999</c:v>
                </c:pt>
                <c:pt idx="177">
                  <c:v>0.70099999999999996</c:v>
                </c:pt>
                <c:pt idx="178">
                  <c:v>0.65300000000000002</c:v>
                </c:pt>
                <c:pt idx="179">
                  <c:v>0.496</c:v>
                </c:pt>
                <c:pt idx="180">
                  <c:v>0.52800000000000002</c:v>
                </c:pt>
                <c:pt idx="181">
                  <c:v>0.56599999999999995</c:v>
                </c:pt>
                <c:pt idx="182">
                  <c:v>0.57499999999999996</c:v>
                </c:pt>
                <c:pt idx="183">
                  <c:v>0.60099999999999998</c:v>
                </c:pt>
                <c:pt idx="184">
                  <c:v>0.65600000000000003</c:v>
                </c:pt>
                <c:pt idx="185">
                  <c:v>0.67600000000000005</c:v>
                </c:pt>
                <c:pt idx="186">
                  <c:v>0.70399999999999996</c:v>
                </c:pt>
                <c:pt idx="187">
                  <c:v>0.67900000000000005</c:v>
                </c:pt>
                <c:pt idx="188">
                  <c:v>0.70599999999999996</c:v>
                </c:pt>
                <c:pt idx="189">
                  <c:v>0.53200000000000003</c:v>
                </c:pt>
                <c:pt idx="190">
                  <c:v>0.51400000000000001</c:v>
                </c:pt>
                <c:pt idx="191">
                  <c:v>0.47699999999999998</c:v>
                </c:pt>
                <c:pt idx="192">
                  <c:v>0.497</c:v>
                </c:pt>
                <c:pt idx="193">
                  <c:v>0.51700000000000002</c:v>
                </c:pt>
                <c:pt idx="194">
                  <c:v>0.50600000000000001</c:v>
                </c:pt>
                <c:pt idx="195">
                  <c:v>0.55700000000000005</c:v>
                </c:pt>
                <c:pt idx="196">
                  <c:v>0.55800000000000005</c:v>
                </c:pt>
                <c:pt idx="197">
                  <c:v>0.61599999999999999</c:v>
                </c:pt>
                <c:pt idx="198">
                  <c:v>0.64200000000000002</c:v>
                </c:pt>
                <c:pt idx="199">
                  <c:v>0.56299999999999994</c:v>
                </c:pt>
                <c:pt idx="200">
                  <c:v>0.66</c:v>
                </c:pt>
                <c:pt idx="201">
                  <c:v>0.72099999999999997</c:v>
                </c:pt>
                <c:pt idx="202">
                  <c:v>0.73899999999999999</c:v>
                </c:pt>
                <c:pt idx="203">
                  <c:v>0.76400000000000001</c:v>
                </c:pt>
                <c:pt idx="204">
                  <c:v>0.92200000000000004</c:v>
                </c:pt>
                <c:pt idx="205">
                  <c:v>0.88700000000000001</c:v>
                </c:pt>
                <c:pt idx="206">
                  <c:v>0.92300000000000004</c:v>
                </c:pt>
                <c:pt idx="207">
                  <c:v>0.85299999999999998</c:v>
                </c:pt>
                <c:pt idx="208">
                  <c:v>0.83</c:v>
                </c:pt>
                <c:pt idx="209">
                  <c:v>0.88500000000000001</c:v>
                </c:pt>
                <c:pt idx="210">
                  <c:v>0.84799999999999998</c:v>
                </c:pt>
                <c:pt idx="211">
                  <c:v>0.90300000000000002</c:v>
                </c:pt>
                <c:pt idx="212">
                  <c:v>0.92</c:v>
                </c:pt>
                <c:pt idx="213">
                  <c:v>0.92400000000000004</c:v>
                </c:pt>
                <c:pt idx="214">
                  <c:v>0.89500000000000002</c:v>
                </c:pt>
                <c:pt idx="215">
                  <c:v>0.85599999999999998</c:v>
                </c:pt>
                <c:pt idx="216">
                  <c:v>0.85399999999999998</c:v>
                </c:pt>
                <c:pt idx="217">
                  <c:v>0.85699999999999998</c:v>
                </c:pt>
                <c:pt idx="218">
                  <c:v>0.873</c:v>
                </c:pt>
                <c:pt idx="219">
                  <c:v>0.96899999999999997</c:v>
                </c:pt>
                <c:pt idx="220">
                  <c:v>0.90300000000000002</c:v>
                </c:pt>
                <c:pt idx="221">
                  <c:v>0.94399999999999995</c:v>
                </c:pt>
                <c:pt idx="222">
                  <c:v>0.94099999999999995</c:v>
                </c:pt>
                <c:pt idx="223">
                  <c:v>0.99399999999999999</c:v>
                </c:pt>
                <c:pt idx="224">
                  <c:v>0.93899999999999995</c:v>
                </c:pt>
                <c:pt idx="225">
                  <c:v>0.95699999999999996</c:v>
                </c:pt>
                <c:pt idx="226">
                  <c:v>1.022</c:v>
                </c:pt>
                <c:pt idx="227">
                  <c:v>0.98699999999999999</c:v>
                </c:pt>
                <c:pt idx="228">
                  <c:v>1.0089999999999999</c:v>
                </c:pt>
                <c:pt idx="229">
                  <c:v>1.0129999999999999</c:v>
                </c:pt>
                <c:pt idx="230">
                  <c:v>1.0389999999999999</c:v>
                </c:pt>
                <c:pt idx="231">
                  <c:v>1.079</c:v>
                </c:pt>
                <c:pt idx="232">
                  <c:v>1.0900000000000001</c:v>
                </c:pt>
                <c:pt idx="233">
                  <c:v>1.111</c:v>
                </c:pt>
                <c:pt idx="234">
                  <c:v>1.1259999999999999</c:v>
                </c:pt>
                <c:pt idx="235">
                  <c:v>1.127</c:v>
                </c:pt>
                <c:pt idx="236">
                  <c:v>1.1719999999999999</c:v>
                </c:pt>
                <c:pt idx="237">
                  <c:v>1.169</c:v>
                </c:pt>
                <c:pt idx="238">
                  <c:v>1.1599999999999999</c:v>
                </c:pt>
                <c:pt idx="239">
                  <c:v>1.2110000000000001</c:v>
                </c:pt>
                <c:pt idx="240">
                  <c:v>1.1879999999999999</c:v>
                </c:pt>
                <c:pt idx="241">
                  <c:v>1.1850000000000001</c:v>
                </c:pt>
                <c:pt idx="242">
                  <c:v>1.238</c:v>
                </c:pt>
                <c:pt idx="243">
                  <c:v>1.2509999999999999</c:v>
                </c:pt>
                <c:pt idx="244">
                  <c:v>1.2450000000000001</c:v>
                </c:pt>
                <c:pt idx="245">
                  <c:v>1.169</c:v>
                </c:pt>
                <c:pt idx="246">
                  <c:v>1.268</c:v>
                </c:pt>
                <c:pt idx="247">
                  <c:v>1.246</c:v>
                </c:pt>
                <c:pt idx="248">
                  <c:v>1.2530000000000001</c:v>
                </c:pt>
                <c:pt idx="249">
                  <c:v>1.234</c:v>
                </c:pt>
                <c:pt idx="250">
                  <c:v>1.244</c:v>
                </c:pt>
                <c:pt idx="251">
                  <c:v>1.32</c:v>
                </c:pt>
                <c:pt idx="252">
                  <c:v>1.3280000000000001</c:v>
                </c:pt>
                <c:pt idx="253">
                  <c:v>1.3860000000000001</c:v>
                </c:pt>
                <c:pt idx="254">
                  <c:v>1.2929999999999999</c:v>
                </c:pt>
                <c:pt idx="255">
                  <c:v>1.337</c:v>
                </c:pt>
                <c:pt idx="256">
                  <c:v>1.395</c:v>
                </c:pt>
                <c:pt idx="257">
                  <c:v>1.4179999999999999</c:v>
                </c:pt>
                <c:pt idx="258">
                  <c:v>1.3240000000000001</c:v>
                </c:pt>
                <c:pt idx="259">
                  <c:v>1.38</c:v>
                </c:pt>
                <c:pt idx="260">
                  <c:v>1.246</c:v>
                </c:pt>
                <c:pt idx="261">
                  <c:v>1.258</c:v>
                </c:pt>
                <c:pt idx="262">
                  <c:v>1.2749999999999999</c:v>
                </c:pt>
                <c:pt idx="263">
                  <c:v>1.2709999999999999</c:v>
                </c:pt>
                <c:pt idx="264">
                  <c:v>1.2969999999999999</c:v>
                </c:pt>
                <c:pt idx="265">
                  <c:v>1.2929999999999999</c:v>
                </c:pt>
                <c:pt idx="266">
                  <c:v>1.333</c:v>
                </c:pt>
                <c:pt idx="267">
                  <c:v>1.365</c:v>
                </c:pt>
                <c:pt idx="268">
                  <c:v>1.3420000000000001</c:v>
                </c:pt>
                <c:pt idx="269">
                  <c:v>1.3149999999999999</c:v>
                </c:pt>
                <c:pt idx="270">
                  <c:v>1.3439999999999999</c:v>
                </c:pt>
                <c:pt idx="271">
                  <c:v>1.3719999999999999</c:v>
                </c:pt>
                <c:pt idx="272">
                  <c:v>1.3220000000000001</c:v>
                </c:pt>
                <c:pt idx="273">
                  <c:v>1.379</c:v>
                </c:pt>
                <c:pt idx="274">
                  <c:v>1.389</c:v>
                </c:pt>
                <c:pt idx="275">
                  <c:v>1.429</c:v>
                </c:pt>
                <c:pt idx="276">
                  <c:v>1.4330000000000001</c:v>
                </c:pt>
                <c:pt idx="277">
                  <c:v>1.452</c:v>
                </c:pt>
                <c:pt idx="278">
                  <c:v>1.4809999999999999</c:v>
                </c:pt>
                <c:pt idx="279">
                  <c:v>1.444</c:v>
                </c:pt>
                <c:pt idx="280">
                  <c:v>1.4490000000000001</c:v>
                </c:pt>
                <c:pt idx="281">
                  <c:v>1.472</c:v>
                </c:pt>
                <c:pt idx="282">
                  <c:v>1.4729999999999999</c:v>
                </c:pt>
                <c:pt idx="283">
                  <c:v>1.4790000000000001</c:v>
                </c:pt>
                <c:pt idx="284">
                  <c:v>1.486</c:v>
                </c:pt>
                <c:pt idx="285">
                  <c:v>1.4550000000000001</c:v>
                </c:pt>
                <c:pt idx="286">
                  <c:v>1.534</c:v>
                </c:pt>
                <c:pt idx="287">
                  <c:v>1.5629999999999999</c:v>
                </c:pt>
                <c:pt idx="288">
                  <c:v>1.5760000000000001</c:v>
                </c:pt>
                <c:pt idx="289">
                  <c:v>1.605</c:v>
                </c:pt>
                <c:pt idx="290">
                  <c:v>1.629</c:v>
                </c:pt>
                <c:pt idx="291">
                  <c:v>1.667</c:v>
                </c:pt>
                <c:pt idx="292">
                  <c:v>1.6779999999999999</c:v>
                </c:pt>
                <c:pt idx="293">
                  <c:v>1.6989999999999998</c:v>
                </c:pt>
                <c:pt idx="294">
                  <c:v>1.7109999999999999</c:v>
                </c:pt>
                <c:pt idx="295">
                  <c:v>1.673</c:v>
                </c:pt>
                <c:pt idx="296">
                  <c:v>1.6659999999999999</c:v>
                </c:pt>
                <c:pt idx="297">
                  <c:v>1.6739999999999999</c:v>
                </c:pt>
                <c:pt idx="298">
                  <c:v>1.6890000000000001</c:v>
                </c:pt>
                <c:pt idx="299">
                  <c:v>1.736</c:v>
                </c:pt>
                <c:pt idx="300">
                  <c:v>1.72</c:v>
                </c:pt>
                <c:pt idx="301">
                  <c:v>1.756</c:v>
                </c:pt>
                <c:pt idx="302">
                  <c:v>1.7970000000000002</c:v>
                </c:pt>
                <c:pt idx="303">
                  <c:v>1.8479999999999999</c:v>
                </c:pt>
                <c:pt idx="304">
                  <c:v>1.883</c:v>
                </c:pt>
                <c:pt idx="305">
                  <c:v>1.921</c:v>
                </c:pt>
                <c:pt idx="306">
                  <c:v>1.9430000000000001</c:v>
                </c:pt>
                <c:pt idx="307">
                  <c:v>2.0049999999999999</c:v>
                </c:pt>
                <c:pt idx="308">
                  <c:v>2.0169999999999999</c:v>
                </c:pt>
                <c:pt idx="309">
                  <c:v>2.036</c:v>
                </c:pt>
                <c:pt idx="310">
                  <c:v>2.044</c:v>
                </c:pt>
                <c:pt idx="311">
                  <c:v>2.0760000000000001</c:v>
                </c:pt>
                <c:pt idx="312">
                  <c:v>2.1150000000000002</c:v>
                </c:pt>
                <c:pt idx="313">
                  <c:v>2.17</c:v>
                </c:pt>
                <c:pt idx="314">
                  <c:v>2.0979999999999999</c:v>
                </c:pt>
                <c:pt idx="315">
                  <c:v>2.121</c:v>
                </c:pt>
                <c:pt idx="316">
                  <c:v>2.1539999999999999</c:v>
                </c:pt>
                <c:pt idx="317">
                  <c:v>2.12</c:v>
                </c:pt>
                <c:pt idx="318">
                  <c:v>2.1189999999999998</c:v>
                </c:pt>
                <c:pt idx="319">
                  <c:v>2.1360000000000001</c:v>
                </c:pt>
                <c:pt idx="320">
                  <c:v>2.16</c:v>
                </c:pt>
                <c:pt idx="321">
                  <c:v>2.1179999999999999</c:v>
                </c:pt>
                <c:pt idx="322">
                  <c:v>2.1040000000000001</c:v>
                </c:pt>
                <c:pt idx="323">
                  <c:v>2.14</c:v>
                </c:pt>
                <c:pt idx="324">
                  <c:v>2.1709999999999998</c:v>
                </c:pt>
                <c:pt idx="325">
                  <c:v>2.335</c:v>
                </c:pt>
                <c:pt idx="326">
                  <c:v>2.4689999999999999</c:v>
                </c:pt>
                <c:pt idx="327">
                  <c:v>2.552</c:v>
                </c:pt>
                <c:pt idx="328">
                  <c:v>2.7519999999999998</c:v>
                </c:pt>
                <c:pt idx="329">
                  <c:v>2.7029999999999998</c:v>
                </c:pt>
                <c:pt idx="330">
                  <c:v>2.7679999999999998</c:v>
                </c:pt>
                <c:pt idx="331">
                  <c:v>2.8570000000000002</c:v>
                </c:pt>
                <c:pt idx="332">
                  <c:v>2.8970000000000002</c:v>
                </c:pt>
                <c:pt idx="333">
                  <c:v>2.9159999999999999</c:v>
                </c:pt>
                <c:pt idx="334">
                  <c:v>2.99</c:v>
                </c:pt>
                <c:pt idx="335">
                  <c:v>2.9870000000000001</c:v>
                </c:pt>
                <c:pt idx="336">
                  <c:v>2.9740000000000002</c:v>
                </c:pt>
                <c:pt idx="337">
                  <c:v>2.976</c:v>
                </c:pt>
                <c:pt idx="338">
                  <c:v>3.0739999999999998</c:v>
                </c:pt>
                <c:pt idx="339">
                  <c:v>3.262</c:v>
                </c:pt>
                <c:pt idx="340">
                  <c:v>3.3810000000000002</c:v>
                </c:pt>
                <c:pt idx="341">
                  <c:v>3.49</c:v>
                </c:pt>
                <c:pt idx="342">
                  <c:v>3.3980000000000001</c:v>
                </c:pt>
                <c:pt idx="343">
                  <c:v>3.5249999999999999</c:v>
                </c:pt>
                <c:pt idx="344">
                  <c:v>3.5190000000000001</c:v>
                </c:pt>
                <c:pt idx="345">
                  <c:v>3.6259999999999999</c:v>
                </c:pt>
                <c:pt idx="346">
                  <c:v>3.6970000000000001</c:v>
                </c:pt>
                <c:pt idx="347">
                  <c:v>3.8559999999999999</c:v>
                </c:pt>
                <c:pt idx="348">
                  <c:v>3.7890000000000001</c:v>
                </c:pt>
                <c:pt idx="349">
                  <c:v>3.7450000000000001</c:v>
                </c:pt>
                <c:pt idx="350">
                  <c:v>3.7439999999999998</c:v>
                </c:pt>
                <c:pt idx="351">
                  <c:v>3.7650000000000001</c:v>
                </c:pt>
                <c:pt idx="352">
                  <c:v>3.7490000000000001</c:v>
                </c:pt>
                <c:pt idx="353">
                  <c:v>3.706</c:v>
                </c:pt>
                <c:pt idx="354">
                  <c:v>3.625</c:v>
                </c:pt>
                <c:pt idx="355">
                  <c:v>3.6269999999999998</c:v>
                </c:pt>
                <c:pt idx="356">
                  <c:v>3.6520000000000001</c:v>
                </c:pt>
                <c:pt idx="357">
                  <c:v>3.7810000000000001</c:v>
                </c:pt>
                <c:pt idx="358">
                  <c:v>3.9420000000000002</c:v>
                </c:pt>
                <c:pt idx="359">
                  <c:v>3.94</c:v>
                </c:pt>
                <c:pt idx="360">
                  <c:v>3.9569999999999999</c:v>
                </c:pt>
                <c:pt idx="361">
                  <c:v>3.9459999999999997</c:v>
                </c:pt>
                <c:pt idx="362">
                  <c:v>3.7949999999999999</c:v>
                </c:pt>
                <c:pt idx="363">
                  <c:v>3.806</c:v>
                </c:pt>
                <c:pt idx="364">
                  <c:v>3.7909999999999999</c:v>
                </c:pt>
                <c:pt idx="365">
                  <c:v>3.7690000000000001</c:v>
                </c:pt>
                <c:pt idx="366">
                  <c:v>3.74</c:v>
                </c:pt>
                <c:pt idx="367">
                  <c:v>3.6829999999999998</c:v>
                </c:pt>
                <c:pt idx="368">
                  <c:v>3.6680000000000001</c:v>
                </c:pt>
                <c:pt idx="369">
                  <c:v>3.665</c:v>
                </c:pt>
                <c:pt idx="370">
                  <c:v>3.5640000000000001</c:v>
                </c:pt>
                <c:pt idx="371">
                  <c:v>3.177</c:v>
                </c:pt>
                <c:pt idx="372">
                  <c:v>3.0270000000000001</c:v>
                </c:pt>
                <c:pt idx="373">
                  <c:v>2.7970000000000002</c:v>
                </c:pt>
                <c:pt idx="374">
                  <c:v>2.669</c:v>
                </c:pt>
                <c:pt idx="375">
                  <c:v>2.4630000000000001</c:v>
                </c:pt>
                <c:pt idx="376">
                  <c:v>2.246</c:v>
                </c:pt>
                <c:pt idx="377">
                  <c:v>1.9390000000000001</c:v>
                </c:pt>
                <c:pt idx="378">
                  <c:v>1.784</c:v>
                </c:pt>
                <c:pt idx="379">
                  <c:v>1.734</c:v>
                </c:pt>
                <c:pt idx="380">
                  <c:v>1.6280000000000001</c:v>
                </c:pt>
                <c:pt idx="381">
                  <c:v>1.6040000000000001</c:v>
                </c:pt>
                <c:pt idx="382">
                  <c:v>1.6219999999999999</c:v>
                </c:pt>
                <c:pt idx="383">
                  <c:v>1.597</c:v>
                </c:pt>
                <c:pt idx="384">
                  <c:v>1.665</c:v>
                </c:pt>
                <c:pt idx="385">
                  <c:v>1.7429999999999999</c:v>
                </c:pt>
                <c:pt idx="386">
                  <c:v>1.87</c:v>
                </c:pt>
                <c:pt idx="387">
                  <c:v>1.8359999999999999</c:v>
                </c:pt>
                <c:pt idx="388">
                  <c:v>1.831</c:v>
                </c:pt>
                <c:pt idx="389">
                  <c:v>1.8439999999999999</c:v>
                </c:pt>
                <c:pt idx="390">
                  <c:v>1.847</c:v>
                </c:pt>
                <c:pt idx="391">
                  <c:v>1.855</c:v>
                </c:pt>
                <c:pt idx="392">
                  <c:v>1.8719999999999999</c:v>
                </c:pt>
                <c:pt idx="393">
                  <c:v>1.873</c:v>
                </c:pt>
                <c:pt idx="394">
                  <c:v>1.887</c:v>
                </c:pt>
                <c:pt idx="395">
                  <c:v>1.8959999999999999</c:v>
                </c:pt>
                <c:pt idx="396">
                  <c:v>1.9260000000000002</c:v>
                </c:pt>
                <c:pt idx="397">
                  <c:v>1.9039999999999999</c:v>
                </c:pt>
                <c:pt idx="398">
                  <c:v>1.911</c:v>
                </c:pt>
                <c:pt idx="399">
                  <c:v>1.9470000000000001</c:v>
                </c:pt>
                <c:pt idx="400">
                  <c:v>1.9470000000000001</c:v>
                </c:pt>
                <c:pt idx="401">
                  <c:v>1.9260000000000002</c:v>
                </c:pt>
                <c:pt idx="402">
                  <c:v>1.9350000000000001</c:v>
                </c:pt>
                <c:pt idx="403">
                  <c:v>1.929</c:v>
                </c:pt>
                <c:pt idx="404">
                  <c:v>1.95</c:v>
                </c:pt>
                <c:pt idx="405">
                  <c:v>1.9330000000000001</c:v>
                </c:pt>
                <c:pt idx="406">
                  <c:v>1.948</c:v>
                </c:pt>
                <c:pt idx="407">
                  <c:v>1.9239999999999999</c:v>
                </c:pt>
                <c:pt idx="408">
                  <c:v>1.9430000000000001</c:v>
                </c:pt>
                <c:pt idx="409">
                  <c:v>1.968</c:v>
                </c:pt>
                <c:pt idx="410">
                  <c:v>1.9750000000000001</c:v>
                </c:pt>
                <c:pt idx="411">
                  <c:v>1.9710000000000001</c:v>
                </c:pt>
                <c:pt idx="412">
                  <c:v>1.9379999999999999</c:v>
                </c:pt>
                <c:pt idx="413">
                  <c:v>1.927</c:v>
                </c:pt>
                <c:pt idx="414">
                  <c:v>1.952</c:v>
                </c:pt>
                <c:pt idx="415">
                  <c:v>1.9449999999999998</c:v>
                </c:pt>
                <c:pt idx="416">
                  <c:v>1.99</c:v>
                </c:pt>
                <c:pt idx="417">
                  <c:v>1.9529999999999998</c:v>
                </c:pt>
                <c:pt idx="418">
                  <c:v>1.9279999999999999</c:v>
                </c:pt>
                <c:pt idx="419">
                  <c:v>1.9510000000000001</c:v>
                </c:pt>
                <c:pt idx="420">
                  <c:v>1.9590000000000001</c:v>
                </c:pt>
                <c:pt idx="421">
                  <c:v>1.9670000000000001</c:v>
                </c:pt>
                <c:pt idx="422">
                  <c:v>1.9470000000000001</c:v>
                </c:pt>
                <c:pt idx="423">
                  <c:v>1.9220000000000002</c:v>
                </c:pt>
                <c:pt idx="424">
                  <c:v>1.9489999999999998</c:v>
                </c:pt>
                <c:pt idx="425">
                  <c:v>1.9419999999999999</c:v>
                </c:pt>
                <c:pt idx="426">
                  <c:v>1.966</c:v>
                </c:pt>
                <c:pt idx="427">
                  <c:v>1.974</c:v>
                </c:pt>
                <c:pt idx="428">
                  <c:v>1.9279999999999999</c:v>
                </c:pt>
                <c:pt idx="429">
                  <c:v>1.9529999999999998</c:v>
                </c:pt>
                <c:pt idx="430">
                  <c:v>1.9609999999999999</c:v>
                </c:pt>
                <c:pt idx="431">
                  <c:v>1.9100000000000001</c:v>
                </c:pt>
                <c:pt idx="432">
                  <c:v>1.917</c:v>
                </c:pt>
                <c:pt idx="433">
                  <c:v>1.9569999999999999</c:v>
                </c:pt>
                <c:pt idx="434">
                  <c:v>1.968</c:v>
                </c:pt>
                <c:pt idx="435">
                  <c:v>1.996</c:v>
                </c:pt>
                <c:pt idx="436">
                  <c:v>2.016</c:v>
                </c:pt>
                <c:pt idx="437">
                  <c:v>2.0249999999999999</c:v>
                </c:pt>
                <c:pt idx="438">
                  <c:v>2.0329999999999999</c:v>
                </c:pt>
                <c:pt idx="439">
                  <c:v>2.1</c:v>
                </c:pt>
                <c:pt idx="440">
                  <c:v>2.1070000000000002</c:v>
                </c:pt>
                <c:pt idx="441">
                  <c:v>2.0459999999999998</c:v>
                </c:pt>
                <c:pt idx="442">
                  <c:v>2.0760000000000001</c:v>
                </c:pt>
                <c:pt idx="443">
                  <c:v>2.0499999999999998</c:v>
                </c:pt>
                <c:pt idx="444">
                  <c:v>2.0430000000000001</c:v>
                </c:pt>
                <c:pt idx="445">
                  <c:v>2.0510000000000002</c:v>
                </c:pt>
                <c:pt idx="446">
                  <c:v>2.0739999999999998</c:v>
                </c:pt>
                <c:pt idx="447">
                  <c:v>2.085</c:v>
                </c:pt>
                <c:pt idx="448">
                  <c:v>2.08</c:v>
                </c:pt>
                <c:pt idx="449">
                  <c:v>2.0590000000000002</c:v>
                </c:pt>
                <c:pt idx="450">
                  <c:v>2.0539999999999998</c:v>
                </c:pt>
                <c:pt idx="451">
                  <c:v>2.0590000000000002</c:v>
                </c:pt>
                <c:pt idx="452">
                  <c:v>2.077</c:v>
                </c:pt>
                <c:pt idx="453">
                  <c:v>2.0870000000000002</c:v>
                </c:pt>
                <c:pt idx="454">
                  <c:v>2.085</c:v>
                </c:pt>
                <c:pt idx="455">
                  <c:v>2.0979999999999999</c:v>
                </c:pt>
                <c:pt idx="456">
                  <c:v>2.117</c:v>
                </c:pt>
                <c:pt idx="457">
                  <c:v>2.1240000000000001</c:v>
                </c:pt>
                <c:pt idx="458">
                  <c:v>2.1619999999999999</c:v>
                </c:pt>
                <c:pt idx="459">
                  <c:v>2.21</c:v>
                </c:pt>
                <c:pt idx="460">
                  <c:v>2.2160000000000002</c:v>
                </c:pt>
                <c:pt idx="461">
                  <c:v>2.2410000000000001</c:v>
                </c:pt>
                <c:pt idx="462">
                  <c:v>2.2410000000000001</c:v>
                </c:pt>
                <c:pt idx="463">
                  <c:v>2.2519999999999998</c:v>
                </c:pt>
                <c:pt idx="464">
                  <c:v>2.2290000000000001</c:v>
                </c:pt>
                <c:pt idx="465">
                  <c:v>2.1880000000000002</c:v>
                </c:pt>
                <c:pt idx="466">
                  <c:v>2.198</c:v>
                </c:pt>
                <c:pt idx="467">
                  <c:v>2.2109999999999999</c:v>
                </c:pt>
                <c:pt idx="468">
                  <c:v>2.2170000000000001</c:v>
                </c:pt>
                <c:pt idx="469">
                  <c:v>2.2080000000000002</c:v>
                </c:pt>
                <c:pt idx="470">
                  <c:v>2.2229999999999999</c:v>
                </c:pt>
                <c:pt idx="471">
                  <c:v>2.2490000000000001</c:v>
                </c:pt>
                <c:pt idx="472">
                  <c:v>2.2599999999999998</c:v>
                </c:pt>
                <c:pt idx="473">
                  <c:v>2.2789999999999999</c:v>
                </c:pt>
                <c:pt idx="474">
                  <c:v>2.29</c:v>
                </c:pt>
                <c:pt idx="475">
                  <c:v>2.27</c:v>
                </c:pt>
                <c:pt idx="476">
                  <c:v>2.2839999999999998</c:v>
                </c:pt>
                <c:pt idx="477">
                  <c:v>2.306</c:v>
                </c:pt>
                <c:pt idx="478">
                  <c:v>2.2890000000000001</c:v>
                </c:pt>
                <c:pt idx="479">
                  <c:v>2.2949999999999999</c:v>
                </c:pt>
                <c:pt idx="480">
                  <c:v>2.2690000000000001</c:v>
                </c:pt>
                <c:pt idx="481">
                  <c:v>2.2890000000000001</c:v>
                </c:pt>
                <c:pt idx="482">
                  <c:v>2.286</c:v>
                </c:pt>
                <c:pt idx="483">
                  <c:v>2.238</c:v>
                </c:pt>
                <c:pt idx="484">
                  <c:v>2.2519999999999998</c:v>
                </c:pt>
                <c:pt idx="485">
                  <c:v>2.2629999999999999</c:v>
                </c:pt>
                <c:pt idx="486">
                  <c:v>2.2869999999999999</c:v>
                </c:pt>
                <c:pt idx="487">
                  <c:v>2.2869999999999999</c:v>
                </c:pt>
                <c:pt idx="488">
                  <c:v>2.3029999999999999</c:v>
                </c:pt>
                <c:pt idx="489">
                  <c:v>2.2850000000000001</c:v>
                </c:pt>
                <c:pt idx="490">
                  <c:v>2.3140000000000001</c:v>
                </c:pt>
                <c:pt idx="491">
                  <c:v>2.3439999999999999</c:v>
                </c:pt>
                <c:pt idx="492">
                  <c:v>2.363</c:v>
                </c:pt>
                <c:pt idx="493">
                  <c:v>2.359</c:v>
                </c:pt>
                <c:pt idx="494">
                  <c:v>2.3679999999999999</c:v>
                </c:pt>
                <c:pt idx="495">
                  <c:v>2.375</c:v>
                </c:pt>
                <c:pt idx="496">
                  <c:v>2.3839999999999999</c:v>
                </c:pt>
                <c:pt idx="497">
                  <c:v>2.363</c:v>
                </c:pt>
                <c:pt idx="498">
                  <c:v>2.3980000000000001</c:v>
                </c:pt>
                <c:pt idx="499">
                  <c:v>2.3940000000000001</c:v>
                </c:pt>
                <c:pt idx="500">
                  <c:v>2.4279999999999999</c:v>
                </c:pt>
                <c:pt idx="501">
                  <c:v>2.4510000000000001</c:v>
                </c:pt>
                <c:pt idx="502">
                  <c:v>2.4249999999999998</c:v>
                </c:pt>
                <c:pt idx="503">
                  <c:v>2.431</c:v>
                </c:pt>
                <c:pt idx="504">
                  <c:v>2.4779999999999998</c:v>
                </c:pt>
                <c:pt idx="505">
                  <c:v>2.403</c:v>
                </c:pt>
                <c:pt idx="506">
                  <c:v>2.4380000000000002</c:v>
                </c:pt>
                <c:pt idx="507">
                  <c:v>2.4079999999999999</c:v>
                </c:pt>
                <c:pt idx="508">
                  <c:v>2.367</c:v>
                </c:pt>
                <c:pt idx="509">
                  <c:v>2.3719999999999999</c:v>
                </c:pt>
                <c:pt idx="510">
                  <c:v>2.375</c:v>
                </c:pt>
                <c:pt idx="511">
                  <c:v>2.4</c:v>
                </c:pt>
                <c:pt idx="512">
                  <c:v>2.4449999999999998</c:v>
                </c:pt>
                <c:pt idx="513">
                  <c:v>2.4489999999999998</c:v>
                </c:pt>
                <c:pt idx="514">
                  <c:v>2.4580000000000002</c:v>
                </c:pt>
                <c:pt idx="515">
                  <c:v>2.4790000000000001</c:v>
                </c:pt>
                <c:pt idx="516">
                  <c:v>2.492</c:v>
                </c:pt>
                <c:pt idx="517">
                  <c:v>2.5009999999999999</c:v>
                </c:pt>
                <c:pt idx="518">
                  <c:v>2.5460000000000003</c:v>
                </c:pt>
                <c:pt idx="519">
                  <c:v>2.5129999999999999</c:v>
                </c:pt>
                <c:pt idx="520">
                  <c:v>2.5270000000000001</c:v>
                </c:pt>
                <c:pt idx="521">
                  <c:v>2.5499999999999998</c:v>
                </c:pt>
                <c:pt idx="522">
                  <c:v>2.5449999999999999</c:v>
                </c:pt>
                <c:pt idx="523">
                  <c:v>2.5230000000000001</c:v>
                </c:pt>
                <c:pt idx="524">
                  <c:v>2.5270000000000001</c:v>
                </c:pt>
                <c:pt idx="525">
                  <c:v>2.5419999999999998</c:v>
                </c:pt>
                <c:pt idx="526">
                  <c:v>2.5840000000000001</c:v>
                </c:pt>
                <c:pt idx="527">
                  <c:v>2.5949999999999998</c:v>
                </c:pt>
                <c:pt idx="528">
                  <c:v>2.613</c:v>
                </c:pt>
                <c:pt idx="529">
                  <c:v>2.5750000000000002</c:v>
                </c:pt>
                <c:pt idx="530">
                  <c:v>2.6429999999999998</c:v>
                </c:pt>
                <c:pt idx="531">
                  <c:v>2.6520000000000001</c:v>
                </c:pt>
                <c:pt idx="532">
                  <c:v>2.6659999999999999</c:v>
                </c:pt>
                <c:pt idx="533">
                  <c:v>2.621</c:v>
                </c:pt>
                <c:pt idx="534">
                  <c:v>2.6459999999999999</c:v>
                </c:pt>
                <c:pt idx="535">
                  <c:v>2.641</c:v>
                </c:pt>
                <c:pt idx="536">
                  <c:v>2.6879999999999997</c:v>
                </c:pt>
                <c:pt idx="537">
                  <c:v>2.6790000000000003</c:v>
                </c:pt>
                <c:pt idx="538">
                  <c:v>2.6669999999999998</c:v>
                </c:pt>
                <c:pt idx="539">
                  <c:v>2.6579999999999999</c:v>
                </c:pt>
                <c:pt idx="540">
                  <c:v>2.6539999999999999</c:v>
                </c:pt>
                <c:pt idx="541">
                  <c:v>2.665</c:v>
                </c:pt>
                <c:pt idx="542">
                  <c:v>2.6739999999999999</c:v>
                </c:pt>
                <c:pt idx="543">
                  <c:v>2.673</c:v>
                </c:pt>
                <c:pt idx="544">
                  <c:v>2.6879999999999997</c:v>
                </c:pt>
                <c:pt idx="545">
                  <c:v>2.669</c:v>
                </c:pt>
                <c:pt idx="546">
                  <c:v>2.694</c:v>
                </c:pt>
                <c:pt idx="547">
                  <c:v>2.7039999999999997</c:v>
                </c:pt>
                <c:pt idx="548">
                  <c:v>2.6779999999999999</c:v>
                </c:pt>
                <c:pt idx="549">
                  <c:v>2.7240000000000002</c:v>
                </c:pt>
                <c:pt idx="550">
                  <c:v>2.73</c:v>
                </c:pt>
                <c:pt idx="551">
                  <c:v>2.734</c:v>
                </c:pt>
                <c:pt idx="552">
                  <c:v>2.7320000000000002</c:v>
                </c:pt>
                <c:pt idx="553">
                  <c:v>2.7160000000000002</c:v>
                </c:pt>
                <c:pt idx="554">
                  <c:v>2.7130000000000001</c:v>
                </c:pt>
                <c:pt idx="555">
                  <c:v>2.7080000000000002</c:v>
                </c:pt>
                <c:pt idx="556">
                  <c:v>2.6970000000000001</c:v>
                </c:pt>
                <c:pt idx="557">
                  <c:v>2.7160000000000002</c:v>
                </c:pt>
                <c:pt idx="558">
                  <c:v>2.74</c:v>
                </c:pt>
                <c:pt idx="559">
                  <c:v>2.7410000000000001</c:v>
                </c:pt>
                <c:pt idx="560">
                  <c:v>2.7519999999999998</c:v>
                </c:pt>
                <c:pt idx="561">
                  <c:v>2.7610000000000001</c:v>
                </c:pt>
                <c:pt idx="562">
                  <c:v>2.6870000000000003</c:v>
                </c:pt>
                <c:pt idx="563">
                  <c:v>2.6710000000000003</c:v>
                </c:pt>
                <c:pt idx="564">
                  <c:v>2.6440000000000001</c:v>
                </c:pt>
                <c:pt idx="565">
                  <c:v>2.665</c:v>
                </c:pt>
                <c:pt idx="566">
                  <c:v>2.7690000000000001</c:v>
                </c:pt>
                <c:pt idx="567">
                  <c:v>2.782</c:v>
                </c:pt>
                <c:pt idx="568">
                  <c:v>2.8010000000000002</c:v>
                </c:pt>
                <c:pt idx="569">
                  <c:v>2.8149999999999999</c:v>
                </c:pt>
                <c:pt idx="570">
                  <c:v>2.8170000000000002</c:v>
                </c:pt>
                <c:pt idx="571">
                  <c:v>2.843</c:v>
                </c:pt>
                <c:pt idx="572">
                  <c:v>2.871</c:v>
                </c:pt>
                <c:pt idx="573">
                  <c:v>2.9060000000000001</c:v>
                </c:pt>
                <c:pt idx="574">
                  <c:v>2.976</c:v>
                </c:pt>
                <c:pt idx="575">
                  <c:v>3.024</c:v>
                </c:pt>
                <c:pt idx="576">
                  <c:v>3.05</c:v>
                </c:pt>
                <c:pt idx="577">
                  <c:v>3.1360000000000001</c:v>
                </c:pt>
                <c:pt idx="578">
                  <c:v>3.2029999999999998</c:v>
                </c:pt>
                <c:pt idx="579">
                  <c:v>3.2010000000000001</c:v>
                </c:pt>
                <c:pt idx="580">
                  <c:v>3.214</c:v>
                </c:pt>
                <c:pt idx="581">
                  <c:v>3.238</c:v>
                </c:pt>
                <c:pt idx="582">
                  <c:v>3.2429999999999999</c:v>
                </c:pt>
                <c:pt idx="583">
                  <c:v>3.2669999999999999</c:v>
                </c:pt>
                <c:pt idx="584">
                  <c:v>3.2469999999999999</c:v>
                </c:pt>
                <c:pt idx="585">
                  <c:v>3.2250000000000001</c:v>
                </c:pt>
                <c:pt idx="586">
                  <c:v>3.2560000000000002</c:v>
                </c:pt>
                <c:pt idx="587">
                  <c:v>3.2610000000000001</c:v>
                </c:pt>
                <c:pt idx="588">
                  <c:v>3.294</c:v>
                </c:pt>
                <c:pt idx="589">
                  <c:v>3.2909999999999999</c:v>
                </c:pt>
                <c:pt idx="590">
                  <c:v>3.2679999999999998</c:v>
                </c:pt>
                <c:pt idx="591">
                  <c:v>3.2890000000000001</c:v>
                </c:pt>
                <c:pt idx="592">
                  <c:v>3.2720000000000002</c:v>
                </c:pt>
                <c:pt idx="593">
                  <c:v>3.2839999999999998</c:v>
                </c:pt>
                <c:pt idx="594">
                  <c:v>3.2949999999999999</c:v>
                </c:pt>
                <c:pt idx="595">
                  <c:v>3.298</c:v>
                </c:pt>
                <c:pt idx="596">
                  <c:v>3.3069999999999999</c:v>
                </c:pt>
                <c:pt idx="597">
                  <c:v>3.3119999999999998</c:v>
                </c:pt>
                <c:pt idx="598">
                  <c:v>3.306</c:v>
                </c:pt>
                <c:pt idx="599">
                  <c:v>3.327</c:v>
                </c:pt>
                <c:pt idx="600">
                  <c:v>3.331</c:v>
                </c:pt>
                <c:pt idx="601">
                  <c:v>3.34</c:v>
                </c:pt>
                <c:pt idx="602">
                  <c:v>3.3580000000000001</c:v>
                </c:pt>
                <c:pt idx="603">
                  <c:v>3.3959999999999999</c:v>
                </c:pt>
                <c:pt idx="604">
                  <c:v>3.41</c:v>
                </c:pt>
                <c:pt idx="605">
                  <c:v>3.4239999999999999</c:v>
                </c:pt>
                <c:pt idx="606">
                  <c:v>3.4289999999999998</c:v>
                </c:pt>
                <c:pt idx="607">
                  <c:v>3.4489999999999998</c:v>
                </c:pt>
                <c:pt idx="608">
                  <c:v>3.4649999999999999</c:v>
                </c:pt>
                <c:pt idx="609">
                  <c:v>3.5060000000000002</c:v>
                </c:pt>
                <c:pt idx="610">
                  <c:v>3.508</c:v>
                </c:pt>
                <c:pt idx="611">
                  <c:v>3.5179999999999998</c:v>
                </c:pt>
                <c:pt idx="612">
                  <c:v>3.52</c:v>
                </c:pt>
                <c:pt idx="613">
                  <c:v>3.52</c:v>
                </c:pt>
                <c:pt idx="614">
                  <c:v>3.524</c:v>
                </c:pt>
                <c:pt idx="615">
                  <c:v>3.5209999999999999</c:v>
                </c:pt>
                <c:pt idx="616">
                  <c:v>3.52</c:v>
                </c:pt>
                <c:pt idx="617">
                  <c:v>3.5169999999999999</c:v>
                </c:pt>
                <c:pt idx="618">
                  <c:v>3.5169999999999999</c:v>
                </c:pt>
                <c:pt idx="619">
                  <c:v>3.5350000000000001</c:v>
                </c:pt>
                <c:pt idx="620">
                  <c:v>3.5659999999999998</c:v>
                </c:pt>
                <c:pt idx="621">
                  <c:v>3.5369999999999999</c:v>
                </c:pt>
                <c:pt idx="622">
                  <c:v>3.556</c:v>
                </c:pt>
                <c:pt idx="623">
                  <c:v>3.569</c:v>
                </c:pt>
                <c:pt idx="624">
                  <c:v>3.5670000000000002</c:v>
                </c:pt>
                <c:pt idx="625">
                  <c:v>3.5569999999999999</c:v>
                </c:pt>
                <c:pt idx="626">
                  <c:v>3.621</c:v>
                </c:pt>
                <c:pt idx="627">
                  <c:v>3.625</c:v>
                </c:pt>
                <c:pt idx="628">
                  <c:v>3.66</c:v>
                </c:pt>
                <c:pt idx="629">
                  <c:v>3.6930000000000001</c:v>
                </c:pt>
                <c:pt idx="630">
                  <c:v>3.726</c:v>
                </c:pt>
                <c:pt idx="631">
                  <c:v>3.7189999999999999</c:v>
                </c:pt>
                <c:pt idx="632">
                  <c:v>3.722</c:v>
                </c:pt>
                <c:pt idx="633">
                  <c:v>3.7199999999999998</c:v>
                </c:pt>
                <c:pt idx="634">
                  <c:v>3.7509999999999999</c:v>
                </c:pt>
                <c:pt idx="635">
                  <c:v>3.7170000000000001</c:v>
                </c:pt>
                <c:pt idx="636">
                  <c:v>3.7229999999999999</c:v>
                </c:pt>
                <c:pt idx="637">
                  <c:v>3.7410000000000001</c:v>
                </c:pt>
                <c:pt idx="638">
                  <c:v>3.7269999999999999</c:v>
                </c:pt>
                <c:pt idx="639">
                  <c:v>3.7629999999999999</c:v>
                </c:pt>
                <c:pt idx="640">
                  <c:v>3.7669999999999999</c:v>
                </c:pt>
                <c:pt idx="641">
                  <c:v>3.7359999999999998</c:v>
                </c:pt>
                <c:pt idx="642">
                  <c:v>3.7410000000000001</c:v>
                </c:pt>
                <c:pt idx="643">
                  <c:v>3.7570000000000001</c:v>
                </c:pt>
                <c:pt idx="644">
                  <c:v>3.8069999999999999</c:v>
                </c:pt>
                <c:pt idx="645">
                  <c:v>3.8069999999999999</c:v>
                </c:pt>
                <c:pt idx="646">
                  <c:v>3.823</c:v>
                </c:pt>
                <c:pt idx="647">
                  <c:v>3.8140000000000001</c:v>
                </c:pt>
                <c:pt idx="648">
                  <c:v>3.823</c:v>
                </c:pt>
                <c:pt idx="649">
                  <c:v>3.7909999999999999</c:v>
                </c:pt>
                <c:pt idx="650">
                  <c:v>3.7810000000000001</c:v>
                </c:pt>
                <c:pt idx="651">
                  <c:v>3.7919999999999998</c:v>
                </c:pt>
                <c:pt idx="652">
                  <c:v>3.7960000000000003</c:v>
                </c:pt>
                <c:pt idx="653">
                  <c:v>3.7720000000000002</c:v>
                </c:pt>
                <c:pt idx="654">
                  <c:v>3.7850000000000001</c:v>
                </c:pt>
                <c:pt idx="655">
                  <c:v>3.7789999999999999</c:v>
                </c:pt>
                <c:pt idx="656">
                  <c:v>3.7930000000000001</c:v>
                </c:pt>
                <c:pt idx="657">
                  <c:v>3.7530000000000001</c:v>
                </c:pt>
                <c:pt idx="658">
                  <c:v>3.7080000000000002</c:v>
                </c:pt>
                <c:pt idx="659">
                  <c:v>3.657</c:v>
                </c:pt>
                <c:pt idx="660">
                  <c:v>3.6749999999999998</c:v>
                </c:pt>
                <c:pt idx="661">
                  <c:v>3.7149999999999999</c:v>
                </c:pt>
                <c:pt idx="662">
                  <c:v>3.6890000000000001</c:v>
                </c:pt>
                <c:pt idx="663">
                  <c:v>3.706</c:v>
                </c:pt>
                <c:pt idx="664">
                  <c:v>3.798</c:v>
                </c:pt>
                <c:pt idx="665">
                  <c:v>3.823</c:v>
                </c:pt>
                <c:pt idx="666">
                  <c:v>3.8660000000000001</c:v>
                </c:pt>
                <c:pt idx="667">
                  <c:v>3.9409999999999998</c:v>
                </c:pt>
                <c:pt idx="668">
                  <c:v>3.9430000000000001</c:v>
                </c:pt>
                <c:pt idx="669">
                  <c:v>3.9779999999999998</c:v>
                </c:pt>
                <c:pt idx="670">
                  <c:v>3.9969999999999999</c:v>
                </c:pt>
                <c:pt idx="671">
                  <c:v>3.992</c:v>
                </c:pt>
                <c:pt idx="672">
                  <c:v>4.0069999999999997</c:v>
                </c:pt>
                <c:pt idx="673">
                  <c:v>4.0359999999999996</c:v>
                </c:pt>
                <c:pt idx="674">
                  <c:v>4.0460000000000003</c:v>
                </c:pt>
                <c:pt idx="675">
                  <c:v>4.0430000000000001</c:v>
                </c:pt>
                <c:pt idx="676">
                  <c:v>4.0730000000000004</c:v>
                </c:pt>
                <c:pt idx="677">
                  <c:v>4.0579999999999998</c:v>
                </c:pt>
                <c:pt idx="678">
                  <c:v>4.0640000000000001</c:v>
                </c:pt>
                <c:pt idx="679">
                  <c:v>4.0659999999999998</c:v>
                </c:pt>
                <c:pt idx="680">
                  <c:v>4.077</c:v>
                </c:pt>
                <c:pt idx="681">
                  <c:v>4.0659999999999998</c:v>
                </c:pt>
                <c:pt idx="682">
                  <c:v>4.0869999999999997</c:v>
                </c:pt>
                <c:pt idx="683">
                  <c:v>4.0979999999999999</c:v>
                </c:pt>
                <c:pt idx="684">
                  <c:v>4.1319999999999997</c:v>
                </c:pt>
                <c:pt idx="685">
                  <c:v>4.1749999999999998</c:v>
                </c:pt>
                <c:pt idx="686">
                  <c:v>4.1399999999999997</c:v>
                </c:pt>
                <c:pt idx="687">
                  <c:v>4.1619999999999999</c:v>
                </c:pt>
                <c:pt idx="688">
                  <c:v>4.2030000000000003</c:v>
                </c:pt>
                <c:pt idx="689">
                  <c:v>4.2169999999999996</c:v>
                </c:pt>
                <c:pt idx="690">
                  <c:v>4.2050000000000001</c:v>
                </c:pt>
                <c:pt idx="691">
                  <c:v>4.2279999999999998</c:v>
                </c:pt>
                <c:pt idx="692">
                  <c:v>4.234</c:v>
                </c:pt>
                <c:pt idx="693">
                  <c:v>4.3090000000000002</c:v>
                </c:pt>
                <c:pt idx="694">
                  <c:v>4.266</c:v>
                </c:pt>
                <c:pt idx="695">
                  <c:v>4.335</c:v>
                </c:pt>
                <c:pt idx="696">
                  <c:v>4.3440000000000003</c:v>
                </c:pt>
                <c:pt idx="697">
                  <c:v>4.3469999999999995</c:v>
                </c:pt>
                <c:pt idx="698">
                  <c:v>4.3600000000000003</c:v>
                </c:pt>
                <c:pt idx="699">
                  <c:v>4.3760000000000003</c:v>
                </c:pt>
                <c:pt idx="700">
                  <c:v>4.4139999999999997</c:v>
                </c:pt>
                <c:pt idx="701">
                  <c:v>4.444</c:v>
                </c:pt>
                <c:pt idx="702">
                  <c:v>4.4180000000000001</c:v>
                </c:pt>
                <c:pt idx="703">
                  <c:v>4.4219999999999997</c:v>
                </c:pt>
                <c:pt idx="704">
                  <c:v>4.4560000000000004</c:v>
                </c:pt>
                <c:pt idx="705">
                  <c:v>4.4619999999999997</c:v>
                </c:pt>
                <c:pt idx="706">
                  <c:v>4.4779999999999998</c:v>
                </c:pt>
                <c:pt idx="707">
                  <c:v>4.4470000000000001</c:v>
                </c:pt>
                <c:pt idx="708">
                  <c:v>4.4509999999999996</c:v>
                </c:pt>
                <c:pt idx="709">
                  <c:v>4.4630000000000001</c:v>
                </c:pt>
                <c:pt idx="710">
                  <c:v>4.4379999999999997</c:v>
                </c:pt>
                <c:pt idx="711">
                  <c:v>4.4379999999999997</c:v>
                </c:pt>
                <c:pt idx="712">
                  <c:v>4.4409999999999998</c:v>
                </c:pt>
                <c:pt idx="713">
                  <c:v>4.4260000000000002</c:v>
                </c:pt>
                <c:pt idx="714">
                  <c:v>4.3840000000000003</c:v>
                </c:pt>
                <c:pt idx="715">
                  <c:v>4.3840000000000003</c:v>
                </c:pt>
                <c:pt idx="716">
                  <c:v>4.3550000000000004</c:v>
                </c:pt>
                <c:pt idx="717">
                  <c:v>4.3559999999999999</c:v>
                </c:pt>
                <c:pt idx="718">
                  <c:v>4.3659999999999997</c:v>
                </c:pt>
                <c:pt idx="719">
                  <c:v>4.3390000000000004</c:v>
                </c:pt>
                <c:pt idx="720">
                  <c:v>4.3490000000000002</c:v>
                </c:pt>
                <c:pt idx="721">
                  <c:v>4.3179999999999996</c:v>
                </c:pt>
                <c:pt idx="722">
                  <c:v>4.3150000000000004</c:v>
                </c:pt>
                <c:pt idx="723">
                  <c:v>4.3209999999999997</c:v>
                </c:pt>
                <c:pt idx="724">
                  <c:v>4.3150000000000004</c:v>
                </c:pt>
                <c:pt idx="725">
                  <c:v>4.2949999999999999</c:v>
                </c:pt>
                <c:pt idx="726">
                  <c:v>4.2839999999999998</c:v>
                </c:pt>
                <c:pt idx="727">
                  <c:v>4.2350000000000003</c:v>
                </c:pt>
                <c:pt idx="728">
                  <c:v>4.24</c:v>
                </c:pt>
                <c:pt idx="729">
                  <c:v>4.2240000000000002</c:v>
                </c:pt>
                <c:pt idx="730">
                  <c:v>4.2149999999999999</c:v>
                </c:pt>
                <c:pt idx="731">
                  <c:v>4.18</c:v>
                </c:pt>
                <c:pt idx="732">
                  <c:v>4.1779999999999999</c:v>
                </c:pt>
                <c:pt idx="733">
                  <c:v>4.1630000000000003</c:v>
                </c:pt>
                <c:pt idx="734">
                  <c:v>4.141</c:v>
                </c:pt>
                <c:pt idx="735">
                  <c:v>4.1470000000000002</c:v>
                </c:pt>
                <c:pt idx="736">
                  <c:v>4.1520000000000001</c:v>
                </c:pt>
                <c:pt idx="737">
                  <c:v>4.1180000000000003</c:v>
                </c:pt>
                <c:pt idx="738">
                  <c:v>4.1180000000000003</c:v>
                </c:pt>
                <c:pt idx="739">
                  <c:v>4.09</c:v>
                </c:pt>
                <c:pt idx="740">
                  <c:v>4.0659999999999998</c:v>
                </c:pt>
                <c:pt idx="741">
                  <c:v>4.0890000000000004</c:v>
                </c:pt>
                <c:pt idx="742">
                  <c:v>4.08</c:v>
                </c:pt>
                <c:pt idx="743">
                  <c:v>4.0670000000000002</c:v>
                </c:pt>
                <c:pt idx="744">
                  <c:v>4.0579999999999998</c:v>
                </c:pt>
                <c:pt idx="745">
                  <c:v>4.0439999999999996</c:v>
                </c:pt>
                <c:pt idx="746">
                  <c:v>4.01</c:v>
                </c:pt>
                <c:pt idx="747">
                  <c:v>4.0179999999999998</c:v>
                </c:pt>
                <c:pt idx="748">
                  <c:v>4.0149999999999997</c:v>
                </c:pt>
                <c:pt idx="749">
                  <c:v>4.0259999999999998</c:v>
                </c:pt>
                <c:pt idx="750">
                  <c:v>4.0199999999999996</c:v>
                </c:pt>
                <c:pt idx="751">
                  <c:v>4.0579999999999998</c:v>
                </c:pt>
                <c:pt idx="752">
                  <c:v>4.0759999999999996</c:v>
                </c:pt>
                <c:pt idx="753">
                  <c:v>4.07</c:v>
                </c:pt>
                <c:pt idx="754">
                  <c:v>4.0739999999999998</c:v>
                </c:pt>
                <c:pt idx="755">
                  <c:v>4.0780000000000003</c:v>
                </c:pt>
                <c:pt idx="756">
                  <c:v>4.08</c:v>
                </c:pt>
                <c:pt idx="757">
                  <c:v>4.0629999999999997</c:v>
                </c:pt>
                <c:pt idx="758">
                  <c:v>4.0469999999999997</c:v>
                </c:pt>
                <c:pt idx="759">
                  <c:v>4.0709999999999997</c:v>
                </c:pt>
                <c:pt idx="760">
                  <c:v>4.07</c:v>
                </c:pt>
                <c:pt idx="761">
                  <c:v>4.0709999999999997</c:v>
                </c:pt>
                <c:pt idx="762">
                  <c:v>4.0869999999999997</c:v>
                </c:pt>
                <c:pt idx="763">
                  <c:v>4.0679999999999996</c:v>
                </c:pt>
                <c:pt idx="764">
                  <c:v>4.0579999999999998</c:v>
                </c:pt>
                <c:pt idx="765">
                  <c:v>4.0460000000000003</c:v>
                </c:pt>
                <c:pt idx="766">
                  <c:v>4.0910000000000002</c:v>
                </c:pt>
                <c:pt idx="767">
                  <c:v>4.0919999999999996</c:v>
                </c:pt>
                <c:pt idx="768">
                  <c:v>4.0880000000000001</c:v>
                </c:pt>
                <c:pt idx="769">
                  <c:v>4.1139999999999999</c:v>
                </c:pt>
                <c:pt idx="770">
                  <c:v>4.1159999999999997</c:v>
                </c:pt>
                <c:pt idx="771">
                  <c:v>4.0910000000000002</c:v>
                </c:pt>
                <c:pt idx="772">
                  <c:v>4.1219999999999999</c:v>
                </c:pt>
                <c:pt idx="773">
                  <c:v>4.1740000000000004</c:v>
                </c:pt>
                <c:pt idx="774">
                  <c:v>4.1310000000000002</c:v>
                </c:pt>
                <c:pt idx="775">
                  <c:v>4.101</c:v>
                </c:pt>
                <c:pt idx="776">
                  <c:v>4.1429999999999998</c:v>
                </c:pt>
                <c:pt idx="777">
                  <c:v>4.1509999999999998</c:v>
                </c:pt>
                <c:pt idx="778">
                  <c:v>4.1349999999999998</c:v>
                </c:pt>
                <c:pt idx="779">
                  <c:v>4.0949999999999998</c:v>
                </c:pt>
                <c:pt idx="780">
                  <c:v>4.1440000000000001</c:v>
                </c:pt>
                <c:pt idx="781">
                  <c:v>4.133</c:v>
                </c:pt>
                <c:pt idx="782">
                  <c:v>4.1429999999999998</c:v>
                </c:pt>
                <c:pt idx="783">
                  <c:v>4.1379999999999999</c:v>
                </c:pt>
                <c:pt idx="784">
                  <c:v>4.0590000000000002</c:v>
                </c:pt>
                <c:pt idx="785">
                  <c:v>4.0730000000000004</c:v>
                </c:pt>
                <c:pt idx="786">
                  <c:v>4.069</c:v>
                </c:pt>
                <c:pt idx="787">
                  <c:v>4.0629999999999997</c:v>
                </c:pt>
                <c:pt idx="788">
                  <c:v>4.0430000000000001</c:v>
                </c:pt>
                <c:pt idx="789">
                  <c:v>4.0229999999999997</c:v>
                </c:pt>
                <c:pt idx="790">
                  <c:v>4.032</c:v>
                </c:pt>
                <c:pt idx="791">
                  <c:v>4.03</c:v>
                </c:pt>
                <c:pt idx="792">
                  <c:v>3.9939999999999998</c:v>
                </c:pt>
                <c:pt idx="793">
                  <c:v>4.0049999999999999</c:v>
                </c:pt>
                <c:pt idx="794">
                  <c:v>4.016</c:v>
                </c:pt>
                <c:pt idx="795">
                  <c:v>4.0110000000000001</c:v>
                </c:pt>
                <c:pt idx="796">
                  <c:v>4.0229999999999997</c:v>
                </c:pt>
                <c:pt idx="797">
                  <c:v>4.0149999999999997</c:v>
                </c:pt>
                <c:pt idx="798">
                  <c:v>4.0140000000000002</c:v>
                </c:pt>
                <c:pt idx="799">
                  <c:v>4.0060000000000002</c:v>
                </c:pt>
                <c:pt idx="800">
                  <c:v>4.0019999999999998</c:v>
                </c:pt>
                <c:pt idx="801">
                  <c:v>4.0030000000000001</c:v>
                </c:pt>
                <c:pt idx="802">
                  <c:v>4.0149999999999997</c:v>
                </c:pt>
                <c:pt idx="803">
                  <c:v>4.0119999999999996</c:v>
                </c:pt>
                <c:pt idx="804">
                  <c:v>4.0110000000000001</c:v>
                </c:pt>
                <c:pt idx="805">
                  <c:v>4.0179999999999998</c:v>
                </c:pt>
                <c:pt idx="806">
                  <c:v>4.0209999999999999</c:v>
                </c:pt>
                <c:pt idx="807">
                  <c:v>4.0419999999999998</c:v>
                </c:pt>
                <c:pt idx="808">
                  <c:v>4.0590000000000002</c:v>
                </c:pt>
                <c:pt idx="809">
                  <c:v>4.0659999999999998</c:v>
                </c:pt>
                <c:pt idx="810">
                  <c:v>4.093</c:v>
                </c:pt>
                <c:pt idx="811">
                  <c:v>4.1269999999999998</c:v>
                </c:pt>
                <c:pt idx="812">
                  <c:v>4.1130000000000004</c:v>
                </c:pt>
                <c:pt idx="813">
                  <c:v>4.1559999999999997</c:v>
                </c:pt>
                <c:pt idx="814">
                  <c:v>4.13</c:v>
                </c:pt>
                <c:pt idx="815">
                  <c:v>4.1349999999999998</c:v>
                </c:pt>
                <c:pt idx="816">
                  <c:v>4.109</c:v>
                </c:pt>
                <c:pt idx="817">
                  <c:v>4.1470000000000002</c:v>
                </c:pt>
                <c:pt idx="818">
                  <c:v>4.1870000000000003</c:v>
                </c:pt>
                <c:pt idx="819">
                  <c:v>4.2030000000000003</c:v>
                </c:pt>
                <c:pt idx="820">
                  <c:v>4.2160000000000002</c:v>
                </c:pt>
                <c:pt idx="821">
                  <c:v>4.2389999999999999</c:v>
                </c:pt>
                <c:pt idx="822">
                  <c:v>4.2809999999999997</c:v>
                </c:pt>
                <c:pt idx="823">
                  <c:v>4.2610000000000001</c:v>
                </c:pt>
                <c:pt idx="824">
                  <c:v>4.2389999999999999</c:v>
                </c:pt>
                <c:pt idx="825">
                  <c:v>4.2160000000000002</c:v>
                </c:pt>
                <c:pt idx="826">
                  <c:v>4.2229999999999999</c:v>
                </c:pt>
                <c:pt idx="827">
                  <c:v>4.1849999999999996</c:v>
                </c:pt>
                <c:pt idx="828">
                  <c:v>4.2069999999999999</c:v>
                </c:pt>
                <c:pt idx="829">
                  <c:v>4.1989999999999998</c:v>
                </c:pt>
                <c:pt idx="830">
                  <c:v>4.1900000000000004</c:v>
                </c:pt>
                <c:pt idx="831">
                  <c:v>4.1909999999999998</c:v>
                </c:pt>
                <c:pt idx="832">
                  <c:v>4.1920000000000002</c:v>
                </c:pt>
                <c:pt idx="833">
                  <c:v>4.202</c:v>
                </c:pt>
                <c:pt idx="834">
                  <c:v>4.2249999999999996</c:v>
                </c:pt>
                <c:pt idx="835">
                  <c:v>4.2119999999999997</c:v>
                </c:pt>
                <c:pt idx="836">
                  <c:v>4.2359999999999998</c:v>
                </c:pt>
                <c:pt idx="837">
                  <c:v>4.1909999999999998</c:v>
                </c:pt>
                <c:pt idx="838">
                  <c:v>4.1689999999999996</c:v>
                </c:pt>
                <c:pt idx="839">
                  <c:v>4.181</c:v>
                </c:pt>
                <c:pt idx="840">
                  <c:v>4.1769999999999996</c:v>
                </c:pt>
                <c:pt idx="841">
                  <c:v>4.2060000000000004</c:v>
                </c:pt>
                <c:pt idx="842">
                  <c:v>4.194</c:v>
                </c:pt>
                <c:pt idx="843">
                  <c:v>4.2039999999999997</c:v>
                </c:pt>
                <c:pt idx="844">
                  <c:v>4.2050000000000001</c:v>
                </c:pt>
                <c:pt idx="845">
                  <c:v>4.1970000000000001</c:v>
                </c:pt>
                <c:pt idx="846">
                  <c:v>4.1929999999999996</c:v>
                </c:pt>
                <c:pt idx="847">
                  <c:v>4.1520000000000001</c:v>
                </c:pt>
                <c:pt idx="848">
                  <c:v>4.1660000000000004</c:v>
                </c:pt>
                <c:pt idx="849">
                  <c:v>4.1859999999999999</c:v>
                </c:pt>
                <c:pt idx="850">
                  <c:v>4.2350000000000003</c:v>
                </c:pt>
                <c:pt idx="851">
                  <c:v>4.1760000000000002</c:v>
                </c:pt>
                <c:pt idx="852">
                  <c:v>4.1289999999999996</c:v>
                </c:pt>
                <c:pt idx="853">
                  <c:v>4.1050000000000004</c:v>
                </c:pt>
                <c:pt idx="854">
                  <c:v>4.0650000000000004</c:v>
                </c:pt>
                <c:pt idx="855">
                  <c:v>4.0039999999999996</c:v>
                </c:pt>
                <c:pt idx="856">
                  <c:v>3.9169999999999998</c:v>
                </c:pt>
                <c:pt idx="857">
                  <c:v>3.9060000000000001</c:v>
                </c:pt>
                <c:pt idx="858">
                  <c:v>3.8929999999999998</c:v>
                </c:pt>
                <c:pt idx="859">
                  <c:v>3.899</c:v>
                </c:pt>
                <c:pt idx="860">
                  <c:v>3.9009999999999998</c:v>
                </c:pt>
                <c:pt idx="861">
                  <c:v>3.8439999999999999</c:v>
                </c:pt>
                <c:pt idx="862">
                  <c:v>3.8120000000000003</c:v>
                </c:pt>
                <c:pt idx="863">
                  <c:v>3.7570000000000001</c:v>
                </c:pt>
                <c:pt idx="864">
                  <c:v>3.7229999999999999</c:v>
                </c:pt>
                <c:pt idx="865">
                  <c:v>3.7050000000000001</c:v>
                </c:pt>
                <c:pt idx="866">
                  <c:v>3.694</c:v>
                </c:pt>
                <c:pt idx="867">
                  <c:v>3.6959999999999997</c:v>
                </c:pt>
                <c:pt idx="868">
                  <c:v>3.698</c:v>
                </c:pt>
                <c:pt idx="869">
                  <c:v>3.6840000000000002</c:v>
                </c:pt>
                <c:pt idx="870">
                  <c:v>3.6850000000000001</c:v>
                </c:pt>
                <c:pt idx="871">
                  <c:v>3.6790000000000003</c:v>
                </c:pt>
                <c:pt idx="872">
                  <c:v>3.677</c:v>
                </c:pt>
                <c:pt idx="873">
                  <c:v>3.6819999999999999</c:v>
                </c:pt>
                <c:pt idx="874">
                  <c:v>3.7170000000000001</c:v>
                </c:pt>
                <c:pt idx="875">
                  <c:v>3.7330000000000001</c:v>
                </c:pt>
                <c:pt idx="876">
                  <c:v>3.742</c:v>
                </c:pt>
                <c:pt idx="877">
                  <c:v>3.74</c:v>
                </c:pt>
                <c:pt idx="878">
                  <c:v>3.7650000000000001</c:v>
                </c:pt>
                <c:pt idx="879">
                  <c:v>3.7730000000000001</c:v>
                </c:pt>
                <c:pt idx="880">
                  <c:v>3.7519999999999998</c:v>
                </c:pt>
                <c:pt idx="881">
                  <c:v>3.7320000000000002</c:v>
                </c:pt>
                <c:pt idx="882">
                  <c:v>3.7560000000000002</c:v>
                </c:pt>
                <c:pt idx="883">
                  <c:v>3.7669999999999999</c:v>
                </c:pt>
                <c:pt idx="884">
                  <c:v>3.7690000000000001</c:v>
                </c:pt>
                <c:pt idx="885">
                  <c:v>3.7109999999999999</c:v>
                </c:pt>
                <c:pt idx="886">
                  <c:v>3.7189999999999999</c:v>
                </c:pt>
                <c:pt idx="887">
                  <c:v>3.7359999999999998</c:v>
                </c:pt>
                <c:pt idx="888">
                  <c:v>3.706</c:v>
                </c:pt>
                <c:pt idx="889">
                  <c:v>3.734</c:v>
                </c:pt>
                <c:pt idx="890">
                  <c:v>3.7439999999999998</c:v>
                </c:pt>
                <c:pt idx="891">
                  <c:v>3.762</c:v>
                </c:pt>
                <c:pt idx="892">
                  <c:v>3.75</c:v>
                </c:pt>
                <c:pt idx="893">
                  <c:v>3.7989999999999999</c:v>
                </c:pt>
                <c:pt idx="894">
                  <c:v>3.8129999999999997</c:v>
                </c:pt>
                <c:pt idx="895">
                  <c:v>3.8109999999999999</c:v>
                </c:pt>
                <c:pt idx="896">
                  <c:v>3.8050000000000002</c:v>
                </c:pt>
                <c:pt idx="897">
                  <c:v>3.8340000000000001</c:v>
                </c:pt>
                <c:pt idx="898">
                  <c:v>3.8639999999999999</c:v>
                </c:pt>
                <c:pt idx="899">
                  <c:v>3.9009999999999998</c:v>
                </c:pt>
                <c:pt idx="900">
                  <c:v>3.8860000000000001</c:v>
                </c:pt>
                <c:pt idx="901">
                  <c:v>3.8929999999999998</c:v>
                </c:pt>
                <c:pt idx="902">
                  <c:v>3.883</c:v>
                </c:pt>
                <c:pt idx="903">
                  <c:v>3.7810000000000001</c:v>
                </c:pt>
                <c:pt idx="904">
                  <c:v>3.7490000000000001</c:v>
                </c:pt>
                <c:pt idx="905">
                  <c:v>3.726</c:v>
                </c:pt>
                <c:pt idx="906">
                  <c:v>3.7210000000000001</c:v>
                </c:pt>
                <c:pt idx="907">
                  <c:v>3.7210000000000001</c:v>
                </c:pt>
                <c:pt idx="908">
                  <c:v>3.7080000000000002</c:v>
                </c:pt>
                <c:pt idx="909">
                  <c:v>3.601</c:v>
                </c:pt>
                <c:pt idx="910">
                  <c:v>3.5949999999999998</c:v>
                </c:pt>
                <c:pt idx="911">
                  <c:v>3.6179999999999999</c:v>
                </c:pt>
                <c:pt idx="912">
                  <c:v>3.5259999999999998</c:v>
                </c:pt>
                <c:pt idx="913">
                  <c:v>3.4430000000000001</c:v>
                </c:pt>
                <c:pt idx="914">
                  <c:v>3.44</c:v>
                </c:pt>
                <c:pt idx="915">
                  <c:v>3.4039999999999999</c:v>
                </c:pt>
                <c:pt idx="916">
                  <c:v>3.4140000000000001</c:v>
                </c:pt>
                <c:pt idx="917">
                  <c:v>3.415</c:v>
                </c:pt>
                <c:pt idx="918">
                  <c:v>3.3650000000000002</c:v>
                </c:pt>
                <c:pt idx="919">
                  <c:v>3.371</c:v>
                </c:pt>
                <c:pt idx="920">
                  <c:v>3.34</c:v>
                </c:pt>
                <c:pt idx="921">
                  <c:v>3.302</c:v>
                </c:pt>
                <c:pt idx="922">
                  <c:v>3.3149999999999999</c:v>
                </c:pt>
                <c:pt idx="923">
                  <c:v>3.2709999999999999</c:v>
                </c:pt>
                <c:pt idx="924">
                  <c:v>3.177</c:v>
                </c:pt>
                <c:pt idx="925">
                  <c:v>3.177</c:v>
                </c:pt>
                <c:pt idx="926">
                  <c:v>3.13</c:v>
                </c:pt>
                <c:pt idx="927">
                  <c:v>3.13</c:v>
                </c:pt>
                <c:pt idx="928">
                  <c:v>3.101</c:v>
                </c:pt>
                <c:pt idx="929">
                  <c:v>3.129</c:v>
                </c:pt>
                <c:pt idx="930">
                  <c:v>3.1179999999999999</c:v>
                </c:pt>
                <c:pt idx="931">
                  <c:v>3.1080000000000001</c:v>
                </c:pt>
                <c:pt idx="932">
                  <c:v>3.121</c:v>
                </c:pt>
                <c:pt idx="933">
                  <c:v>3.1080000000000001</c:v>
                </c:pt>
                <c:pt idx="934">
                  <c:v>3.0659999999999998</c:v>
                </c:pt>
                <c:pt idx="935">
                  <c:v>3.0579999999999998</c:v>
                </c:pt>
                <c:pt idx="936">
                  <c:v>3.0630000000000002</c:v>
                </c:pt>
                <c:pt idx="937">
                  <c:v>3.0819999999999999</c:v>
                </c:pt>
                <c:pt idx="938">
                  <c:v>3.0960000000000001</c:v>
                </c:pt>
                <c:pt idx="939">
                  <c:v>3.113</c:v>
                </c:pt>
              </c:numCache>
            </c:numRef>
          </c:val>
          <c:smooth val="0"/>
          <c:extLst>
            <c:ext xmlns:c16="http://schemas.microsoft.com/office/drawing/2014/chart" uri="{C3380CC4-5D6E-409C-BE32-E72D297353CC}">
              <c16:uniqueId val="{00000003-CF85-4CBD-8DDD-B5C10AC84BF2}"/>
            </c:ext>
          </c:extLst>
        </c:ser>
        <c:dLbls>
          <c:showLegendKey val="0"/>
          <c:showVal val="0"/>
          <c:showCatName val="0"/>
          <c:showSerName val="0"/>
          <c:showPercent val="0"/>
          <c:showBubbleSize val="0"/>
        </c:dLbls>
        <c:marker val="1"/>
        <c:smooth val="0"/>
        <c:axId val="1377872736"/>
        <c:axId val="1377872192"/>
      </c:lineChart>
      <c:dateAx>
        <c:axId val="1377869472"/>
        <c:scaling>
          <c:orientation val="minMax"/>
          <c:max val="44439"/>
          <c:min val="44074"/>
        </c:scaling>
        <c:delete val="0"/>
        <c:axPos val="b"/>
        <c:numFmt formatCode="dd\/mm\/yy" sourceLinked="0"/>
        <c:majorTickMark val="out"/>
        <c:minorTickMark val="none"/>
        <c:tickLblPos val="nextTo"/>
        <c:txPr>
          <a:bodyPr rot="-2700000"/>
          <a:lstStyle/>
          <a:p>
            <a:pPr>
              <a:defRPr sz="700"/>
            </a:pPr>
            <a:endParaRPr lang="en-US"/>
          </a:p>
        </c:txPr>
        <c:crossAx val="1377870560"/>
        <c:crosses val="autoZero"/>
        <c:auto val="1"/>
        <c:lblOffset val="100"/>
        <c:baseTimeUnit val="days"/>
        <c:majorUnit val="1"/>
        <c:majorTimeUnit val="months"/>
      </c:dateAx>
      <c:valAx>
        <c:axId val="1377870560"/>
        <c:scaling>
          <c:orientation val="minMax"/>
          <c:max val="115"/>
          <c:min val="85"/>
        </c:scaling>
        <c:delete val="0"/>
        <c:axPos val="l"/>
        <c:numFmt formatCode="#,##0\ [$$-409]" sourceLinked="0"/>
        <c:majorTickMark val="out"/>
        <c:minorTickMark val="none"/>
        <c:tickLblPos val="nextTo"/>
        <c:txPr>
          <a:bodyPr/>
          <a:lstStyle/>
          <a:p>
            <a:pPr>
              <a:defRPr sz="800"/>
            </a:pPr>
            <a:endParaRPr lang="en-US"/>
          </a:p>
        </c:txPr>
        <c:crossAx val="1377869472"/>
        <c:crosses val="autoZero"/>
        <c:crossBetween val="between"/>
        <c:majorUnit val="5"/>
      </c:valAx>
      <c:valAx>
        <c:axId val="1377872192"/>
        <c:scaling>
          <c:orientation val="minMax"/>
          <c:max val="3"/>
          <c:min val="-5"/>
        </c:scaling>
        <c:delete val="0"/>
        <c:axPos val="r"/>
        <c:numFmt formatCode="#,##0.00" sourceLinked="0"/>
        <c:majorTickMark val="out"/>
        <c:minorTickMark val="none"/>
        <c:tickLblPos val="nextTo"/>
        <c:txPr>
          <a:bodyPr/>
          <a:lstStyle/>
          <a:p>
            <a:pPr>
              <a:defRPr sz="800"/>
            </a:pPr>
            <a:endParaRPr lang="en-US"/>
          </a:p>
        </c:txPr>
        <c:crossAx val="1377872736"/>
        <c:crosses val="max"/>
        <c:crossBetween val="between"/>
        <c:majorUnit val="0.8"/>
      </c:valAx>
      <c:dateAx>
        <c:axId val="1377872736"/>
        <c:scaling>
          <c:orientation val="minMax"/>
        </c:scaling>
        <c:delete val="1"/>
        <c:axPos val="b"/>
        <c:numFmt formatCode="dd\/mm\/yy" sourceLinked="1"/>
        <c:majorTickMark val="out"/>
        <c:minorTickMark val="none"/>
        <c:tickLblPos val="none"/>
        <c:crossAx val="1377872192"/>
        <c:crosses val="autoZero"/>
        <c:auto val="1"/>
        <c:lblOffset val="100"/>
        <c:baseTimeUnit val="days"/>
      </c:dateAx>
    </c:plotArea>
    <c:legend>
      <c:legendPos val="r"/>
      <c:layout>
        <c:manualLayout>
          <c:xMode val="edge"/>
          <c:yMode val="edge"/>
          <c:x val="1.6440944881889765E-2"/>
          <c:y val="0.92801849310120643"/>
          <c:w val="0.97123679878998181"/>
          <c:h val="7.1678586048303614E-2"/>
        </c:manualLayout>
      </c:layout>
      <c:overlay val="0"/>
      <c:txPr>
        <a:bodyPr/>
        <a:lstStyle/>
        <a:p>
          <a:pPr>
            <a:defRPr sz="700"/>
          </a:pPr>
          <a:endParaRPr lang="en-US"/>
        </a:p>
      </c:txPr>
    </c:legend>
    <c:plotVisOnly val="1"/>
    <c:dispBlanksAs val="gap"/>
    <c:showDLblsOverMax val="0"/>
  </c:chart>
  <c:spPr>
    <a:ln>
      <a:noFill/>
    </a:ln>
  </c:spPr>
  <c:txPr>
    <a:bodyPr/>
    <a:lstStyle/>
    <a:p>
      <a:pPr>
        <a:defRPr>
          <a:latin typeface="+mn-lt"/>
          <a:cs typeface="Times New Roman" pitchFamily="18" charset="0"/>
        </a:defRPr>
      </a:pPr>
      <a:endParaRPr lang="en-US"/>
    </a:p>
  </c:txPr>
  <c:externalData r:id="rId1">
    <c:autoUpdate val="0"/>
  </c:externalData>
</c:chartSpace>
</file>

<file path=word/charts/chart6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1384884077231522E-2"/>
          <c:y val="0.10592701089671445"/>
          <c:w val="0.80728885257806826"/>
          <c:h val="0.6924024691358025"/>
        </c:manualLayout>
      </c:layout>
      <c:areaChart>
        <c:grouping val="standard"/>
        <c:varyColors val="0"/>
        <c:ser>
          <c:idx val="0"/>
          <c:order val="0"/>
          <c:tx>
            <c:strRef>
              <c:f>'[Hartije od vrednosti na medjunarodnom trzistu SAJT.xlsx]EUROBOND 2029 offline'!$B$4</c:f>
              <c:strCache>
                <c:ptCount val="1"/>
                <c:pt idx="0">
                  <c:v>Цена на затварању</c:v>
                </c:pt>
              </c:strCache>
            </c:strRef>
          </c:tx>
          <c:spPr>
            <a:ln w="25400">
              <a:noFill/>
            </a:ln>
          </c:spPr>
          <c:cat>
            <c:numRef>
              <c:f>'[Hartije od vrednosti na medjunarodnom trzistu SAJT.xlsx]EUROBOND 2029 offline'!$A$31:$A$457</c:f>
              <c:numCache>
                <c:formatCode>dd\/mm\/yy</c:formatCode>
                <c:ptCount val="427"/>
                <c:pt idx="0">
                  <c:v>44439</c:v>
                </c:pt>
                <c:pt idx="1">
                  <c:v>44438</c:v>
                </c:pt>
                <c:pt idx="2">
                  <c:v>44435</c:v>
                </c:pt>
                <c:pt idx="3">
                  <c:v>44434</c:v>
                </c:pt>
                <c:pt idx="4">
                  <c:v>44433</c:v>
                </c:pt>
                <c:pt idx="5">
                  <c:v>44432</c:v>
                </c:pt>
                <c:pt idx="6">
                  <c:v>44431</c:v>
                </c:pt>
                <c:pt idx="7">
                  <c:v>44428</c:v>
                </c:pt>
                <c:pt idx="8">
                  <c:v>44427</c:v>
                </c:pt>
                <c:pt idx="9">
                  <c:v>44426</c:v>
                </c:pt>
                <c:pt idx="10">
                  <c:v>44425</c:v>
                </c:pt>
                <c:pt idx="11">
                  <c:v>44424</c:v>
                </c:pt>
                <c:pt idx="12">
                  <c:v>44421</c:v>
                </c:pt>
                <c:pt idx="13">
                  <c:v>44420</c:v>
                </c:pt>
                <c:pt idx="14">
                  <c:v>44419</c:v>
                </c:pt>
                <c:pt idx="15">
                  <c:v>44418</c:v>
                </c:pt>
                <c:pt idx="16">
                  <c:v>44417</c:v>
                </c:pt>
                <c:pt idx="17">
                  <c:v>44414</c:v>
                </c:pt>
                <c:pt idx="18">
                  <c:v>44413</c:v>
                </c:pt>
                <c:pt idx="19">
                  <c:v>44412</c:v>
                </c:pt>
                <c:pt idx="20">
                  <c:v>44411</c:v>
                </c:pt>
                <c:pt idx="21">
                  <c:v>44410</c:v>
                </c:pt>
                <c:pt idx="22">
                  <c:v>44407</c:v>
                </c:pt>
                <c:pt idx="23">
                  <c:v>44406</c:v>
                </c:pt>
                <c:pt idx="24">
                  <c:v>44405</c:v>
                </c:pt>
                <c:pt idx="25">
                  <c:v>44404</c:v>
                </c:pt>
                <c:pt idx="26">
                  <c:v>44403</c:v>
                </c:pt>
                <c:pt idx="27">
                  <c:v>44400</c:v>
                </c:pt>
                <c:pt idx="28">
                  <c:v>44399</c:v>
                </c:pt>
                <c:pt idx="29">
                  <c:v>44398</c:v>
                </c:pt>
                <c:pt idx="30">
                  <c:v>44397</c:v>
                </c:pt>
                <c:pt idx="31">
                  <c:v>44396</c:v>
                </c:pt>
                <c:pt idx="32">
                  <c:v>44393</c:v>
                </c:pt>
                <c:pt idx="33">
                  <c:v>44392</c:v>
                </c:pt>
                <c:pt idx="34">
                  <c:v>44391</c:v>
                </c:pt>
                <c:pt idx="35">
                  <c:v>44390</c:v>
                </c:pt>
                <c:pt idx="36">
                  <c:v>44389</c:v>
                </c:pt>
                <c:pt idx="37">
                  <c:v>44386</c:v>
                </c:pt>
                <c:pt idx="38">
                  <c:v>44385</c:v>
                </c:pt>
                <c:pt idx="39">
                  <c:v>44384</c:v>
                </c:pt>
                <c:pt idx="40">
                  <c:v>44383</c:v>
                </c:pt>
                <c:pt idx="41">
                  <c:v>44382</c:v>
                </c:pt>
                <c:pt idx="42">
                  <c:v>44379</c:v>
                </c:pt>
                <c:pt idx="43">
                  <c:v>44378</c:v>
                </c:pt>
                <c:pt idx="44">
                  <c:v>44377</c:v>
                </c:pt>
                <c:pt idx="45">
                  <c:v>44376</c:v>
                </c:pt>
                <c:pt idx="46">
                  <c:v>44375</c:v>
                </c:pt>
                <c:pt idx="47">
                  <c:v>44372</c:v>
                </c:pt>
                <c:pt idx="48">
                  <c:v>44371</c:v>
                </c:pt>
                <c:pt idx="49">
                  <c:v>44370</c:v>
                </c:pt>
                <c:pt idx="50">
                  <c:v>44369</c:v>
                </c:pt>
                <c:pt idx="51">
                  <c:v>44368</c:v>
                </c:pt>
                <c:pt idx="52">
                  <c:v>44365</c:v>
                </c:pt>
                <c:pt idx="53">
                  <c:v>44364</c:v>
                </c:pt>
                <c:pt idx="54">
                  <c:v>44363</c:v>
                </c:pt>
                <c:pt idx="55">
                  <c:v>44362</c:v>
                </c:pt>
                <c:pt idx="56">
                  <c:v>44361</c:v>
                </c:pt>
                <c:pt idx="57">
                  <c:v>44358</c:v>
                </c:pt>
                <c:pt idx="58">
                  <c:v>44357</c:v>
                </c:pt>
                <c:pt idx="59">
                  <c:v>44356</c:v>
                </c:pt>
                <c:pt idx="60">
                  <c:v>44355</c:v>
                </c:pt>
                <c:pt idx="61">
                  <c:v>44354</c:v>
                </c:pt>
                <c:pt idx="62">
                  <c:v>44351</c:v>
                </c:pt>
                <c:pt idx="63">
                  <c:v>44350</c:v>
                </c:pt>
                <c:pt idx="64">
                  <c:v>44349</c:v>
                </c:pt>
                <c:pt idx="65">
                  <c:v>44348</c:v>
                </c:pt>
                <c:pt idx="66">
                  <c:v>44347</c:v>
                </c:pt>
                <c:pt idx="67">
                  <c:v>44344</c:v>
                </c:pt>
                <c:pt idx="68">
                  <c:v>44343</c:v>
                </c:pt>
                <c:pt idx="69">
                  <c:v>44342</c:v>
                </c:pt>
                <c:pt idx="70">
                  <c:v>44341</c:v>
                </c:pt>
                <c:pt idx="71">
                  <c:v>44340</c:v>
                </c:pt>
                <c:pt idx="72">
                  <c:v>44337</c:v>
                </c:pt>
                <c:pt idx="73">
                  <c:v>44336</c:v>
                </c:pt>
                <c:pt idx="74">
                  <c:v>44335</c:v>
                </c:pt>
                <c:pt idx="75">
                  <c:v>44334</c:v>
                </c:pt>
                <c:pt idx="76">
                  <c:v>44333</c:v>
                </c:pt>
                <c:pt idx="77">
                  <c:v>44330</c:v>
                </c:pt>
                <c:pt idx="78">
                  <c:v>44329</c:v>
                </c:pt>
                <c:pt idx="79">
                  <c:v>44328</c:v>
                </c:pt>
                <c:pt idx="80">
                  <c:v>44327</c:v>
                </c:pt>
                <c:pt idx="81">
                  <c:v>44326</c:v>
                </c:pt>
                <c:pt idx="82">
                  <c:v>44323</c:v>
                </c:pt>
                <c:pt idx="83">
                  <c:v>44322</c:v>
                </c:pt>
                <c:pt idx="84">
                  <c:v>44321</c:v>
                </c:pt>
                <c:pt idx="85">
                  <c:v>44320</c:v>
                </c:pt>
                <c:pt idx="86">
                  <c:v>44319</c:v>
                </c:pt>
                <c:pt idx="87">
                  <c:v>44316</c:v>
                </c:pt>
                <c:pt idx="88">
                  <c:v>44315</c:v>
                </c:pt>
                <c:pt idx="89">
                  <c:v>44314</c:v>
                </c:pt>
                <c:pt idx="90">
                  <c:v>44313</c:v>
                </c:pt>
                <c:pt idx="91">
                  <c:v>44312</c:v>
                </c:pt>
                <c:pt idx="92">
                  <c:v>44309</c:v>
                </c:pt>
                <c:pt idx="93">
                  <c:v>44308</c:v>
                </c:pt>
                <c:pt idx="94">
                  <c:v>44307</c:v>
                </c:pt>
                <c:pt idx="95">
                  <c:v>44306</c:v>
                </c:pt>
                <c:pt idx="96">
                  <c:v>44305</c:v>
                </c:pt>
                <c:pt idx="97">
                  <c:v>44302</c:v>
                </c:pt>
                <c:pt idx="98">
                  <c:v>44301</c:v>
                </c:pt>
                <c:pt idx="99">
                  <c:v>44300</c:v>
                </c:pt>
                <c:pt idx="100">
                  <c:v>44299</c:v>
                </c:pt>
                <c:pt idx="101">
                  <c:v>44298</c:v>
                </c:pt>
                <c:pt idx="102">
                  <c:v>44295</c:v>
                </c:pt>
                <c:pt idx="103">
                  <c:v>44294</c:v>
                </c:pt>
                <c:pt idx="104">
                  <c:v>44293</c:v>
                </c:pt>
                <c:pt idx="105">
                  <c:v>44292</c:v>
                </c:pt>
                <c:pt idx="106">
                  <c:v>44287</c:v>
                </c:pt>
                <c:pt idx="107">
                  <c:v>44286</c:v>
                </c:pt>
                <c:pt idx="108">
                  <c:v>44285</c:v>
                </c:pt>
                <c:pt idx="109">
                  <c:v>44284</c:v>
                </c:pt>
                <c:pt idx="110">
                  <c:v>44281</c:v>
                </c:pt>
                <c:pt idx="111">
                  <c:v>44280</c:v>
                </c:pt>
                <c:pt idx="112">
                  <c:v>44279</c:v>
                </c:pt>
                <c:pt idx="113">
                  <c:v>44278</c:v>
                </c:pt>
                <c:pt idx="114">
                  <c:v>44277</c:v>
                </c:pt>
                <c:pt idx="115">
                  <c:v>44274</c:v>
                </c:pt>
                <c:pt idx="116">
                  <c:v>44273</c:v>
                </c:pt>
                <c:pt idx="117">
                  <c:v>44272</c:v>
                </c:pt>
                <c:pt idx="118">
                  <c:v>44271</c:v>
                </c:pt>
                <c:pt idx="119">
                  <c:v>44270</c:v>
                </c:pt>
                <c:pt idx="120">
                  <c:v>44267</c:v>
                </c:pt>
                <c:pt idx="121">
                  <c:v>44266</c:v>
                </c:pt>
                <c:pt idx="122">
                  <c:v>44265</c:v>
                </c:pt>
                <c:pt idx="123">
                  <c:v>44264</c:v>
                </c:pt>
                <c:pt idx="124">
                  <c:v>44263</c:v>
                </c:pt>
                <c:pt idx="125">
                  <c:v>44260</c:v>
                </c:pt>
                <c:pt idx="126">
                  <c:v>44259</c:v>
                </c:pt>
                <c:pt idx="127">
                  <c:v>44258</c:v>
                </c:pt>
                <c:pt idx="128">
                  <c:v>44257</c:v>
                </c:pt>
                <c:pt idx="129">
                  <c:v>44256</c:v>
                </c:pt>
                <c:pt idx="130">
                  <c:v>44253</c:v>
                </c:pt>
                <c:pt idx="131">
                  <c:v>44252</c:v>
                </c:pt>
                <c:pt idx="132">
                  <c:v>44251</c:v>
                </c:pt>
                <c:pt idx="133">
                  <c:v>44250</c:v>
                </c:pt>
                <c:pt idx="134">
                  <c:v>44249</c:v>
                </c:pt>
                <c:pt idx="135">
                  <c:v>44246</c:v>
                </c:pt>
                <c:pt idx="136">
                  <c:v>44245</c:v>
                </c:pt>
                <c:pt idx="137">
                  <c:v>44244</c:v>
                </c:pt>
                <c:pt idx="138">
                  <c:v>44243</c:v>
                </c:pt>
                <c:pt idx="139">
                  <c:v>44242</c:v>
                </c:pt>
                <c:pt idx="140">
                  <c:v>44239</c:v>
                </c:pt>
                <c:pt idx="141">
                  <c:v>44238</c:v>
                </c:pt>
                <c:pt idx="142">
                  <c:v>44237</c:v>
                </c:pt>
                <c:pt idx="143">
                  <c:v>44236</c:v>
                </c:pt>
                <c:pt idx="144">
                  <c:v>44235</c:v>
                </c:pt>
                <c:pt idx="145">
                  <c:v>44232</c:v>
                </c:pt>
                <c:pt idx="146">
                  <c:v>44231</c:v>
                </c:pt>
                <c:pt idx="147">
                  <c:v>44230</c:v>
                </c:pt>
                <c:pt idx="148">
                  <c:v>44229</c:v>
                </c:pt>
                <c:pt idx="149">
                  <c:v>44228</c:v>
                </c:pt>
                <c:pt idx="150">
                  <c:v>44225</c:v>
                </c:pt>
                <c:pt idx="151">
                  <c:v>44224</c:v>
                </c:pt>
                <c:pt idx="152">
                  <c:v>44223</c:v>
                </c:pt>
                <c:pt idx="153">
                  <c:v>44222</c:v>
                </c:pt>
                <c:pt idx="154">
                  <c:v>44221</c:v>
                </c:pt>
                <c:pt idx="155">
                  <c:v>44218</c:v>
                </c:pt>
                <c:pt idx="156">
                  <c:v>44217</c:v>
                </c:pt>
                <c:pt idx="157">
                  <c:v>44216</c:v>
                </c:pt>
                <c:pt idx="158">
                  <c:v>44215</c:v>
                </c:pt>
                <c:pt idx="159">
                  <c:v>44214</c:v>
                </c:pt>
                <c:pt idx="160">
                  <c:v>44211</c:v>
                </c:pt>
                <c:pt idx="161">
                  <c:v>44210</c:v>
                </c:pt>
                <c:pt idx="162">
                  <c:v>44209</c:v>
                </c:pt>
                <c:pt idx="163">
                  <c:v>44208</c:v>
                </c:pt>
                <c:pt idx="164">
                  <c:v>44207</c:v>
                </c:pt>
                <c:pt idx="165">
                  <c:v>44204</c:v>
                </c:pt>
                <c:pt idx="166">
                  <c:v>44203</c:v>
                </c:pt>
                <c:pt idx="167">
                  <c:v>44202</c:v>
                </c:pt>
                <c:pt idx="168">
                  <c:v>44201</c:v>
                </c:pt>
                <c:pt idx="169">
                  <c:v>44200</c:v>
                </c:pt>
                <c:pt idx="170">
                  <c:v>44196</c:v>
                </c:pt>
                <c:pt idx="171">
                  <c:v>44195</c:v>
                </c:pt>
                <c:pt idx="172">
                  <c:v>44194</c:v>
                </c:pt>
                <c:pt idx="173">
                  <c:v>44193</c:v>
                </c:pt>
                <c:pt idx="174">
                  <c:v>44189</c:v>
                </c:pt>
                <c:pt idx="175">
                  <c:v>44188</c:v>
                </c:pt>
                <c:pt idx="176">
                  <c:v>44187</c:v>
                </c:pt>
                <c:pt idx="177">
                  <c:v>44186</c:v>
                </c:pt>
                <c:pt idx="178">
                  <c:v>44183</c:v>
                </c:pt>
                <c:pt idx="179">
                  <c:v>44182</c:v>
                </c:pt>
                <c:pt idx="180">
                  <c:v>44181</c:v>
                </c:pt>
                <c:pt idx="181">
                  <c:v>44180</c:v>
                </c:pt>
                <c:pt idx="182">
                  <c:v>44179</c:v>
                </c:pt>
                <c:pt idx="183">
                  <c:v>44176</c:v>
                </c:pt>
                <c:pt idx="184">
                  <c:v>44175</c:v>
                </c:pt>
                <c:pt idx="185">
                  <c:v>44174</c:v>
                </c:pt>
                <c:pt idx="186">
                  <c:v>44173</c:v>
                </c:pt>
                <c:pt idx="187">
                  <c:v>44172</c:v>
                </c:pt>
                <c:pt idx="188">
                  <c:v>44169</c:v>
                </c:pt>
                <c:pt idx="189">
                  <c:v>44168</c:v>
                </c:pt>
                <c:pt idx="190">
                  <c:v>44167</c:v>
                </c:pt>
                <c:pt idx="191">
                  <c:v>44166</c:v>
                </c:pt>
                <c:pt idx="192">
                  <c:v>44165</c:v>
                </c:pt>
                <c:pt idx="193">
                  <c:v>44162</c:v>
                </c:pt>
                <c:pt idx="194">
                  <c:v>44161</c:v>
                </c:pt>
                <c:pt idx="195">
                  <c:v>44160</c:v>
                </c:pt>
                <c:pt idx="196">
                  <c:v>44159</c:v>
                </c:pt>
                <c:pt idx="197">
                  <c:v>44158</c:v>
                </c:pt>
                <c:pt idx="198">
                  <c:v>44155</c:v>
                </c:pt>
                <c:pt idx="199">
                  <c:v>44154</c:v>
                </c:pt>
                <c:pt idx="200">
                  <c:v>44153</c:v>
                </c:pt>
                <c:pt idx="201">
                  <c:v>44152</c:v>
                </c:pt>
                <c:pt idx="202">
                  <c:v>44151</c:v>
                </c:pt>
                <c:pt idx="203">
                  <c:v>44148</c:v>
                </c:pt>
                <c:pt idx="204">
                  <c:v>44147</c:v>
                </c:pt>
                <c:pt idx="205">
                  <c:v>44146</c:v>
                </c:pt>
                <c:pt idx="206">
                  <c:v>44145</c:v>
                </c:pt>
                <c:pt idx="207">
                  <c:v>44144</c:v>
                </c:pt>
                <c:pt idx="208">
                  <c:v>44141</c:v>
                </c:pt>
                <c:pt idx="209">
                  <c:v>44140</c:v>
                </c:pt>
                <c:pt idx="210">
                  <c:v>44139</c:v>
                </c:pt>
                <c:pt idx="211">
                  <c:v>44138</c:v>
                </c:pt>
                <c:pt idx="212">
                  <c:v>44137</c:v>
                </c:pt>
                <c:pt idx="213">
                  <c:v>44134</c:v>
                </c:pt>
                <c:pt idx="214">
                  <c:v>44133</c:v>
                </c:pt>
                <c:pt idx="215">
                  <c:v>44132</c:v>
                </c:pt>
                <c:pt idx="216">
                  <c:v>44131</c:v>
                </c:pt>
                <c:pt idx="217">
                  <c:v>44130</c:v>
                </c:pt>
                <c:pt idx="218">
                  <c:v>44127</c:v>
                </c:pt>
                <c:pt idx="219">
                  <c:v>44126</c:v>
                </c:pt>
                <c:pt idx="220">
                  <c:v>44125</c:v>
                </c:pt>
                <c:pt idx="221">
                  <c:v>44124</c:v>
                </c:pt>
                <c:pt idx="222">
                  <c:v>44123</c:v>
                </c:pt>
                <c:pt idx="223">
                  <c:v>44120</c:v>
                </c:pt>
                <c:pt idx="224">
                  <c:v>44119</c:v>
                </c:pt>
                <c:pt idx="225">
                  <c:v>44118</c:v>
                </c:pt>
                <c:pt idx="226">
                  <c:v>44117</c:v>
                </c:pt>
                <c:pt idx="227">
                  <c:v>44116</c:v>
                </c:pt>
                <c:pt idx="228">
                  <c:v>44113</c:v>
                </c:pt>
                <c:pt idx="229">
                  <c:v>44112</c:v>
                </c:pt>
                <c:pt idx="230">
                  <c:v>44111</c:v>
                </c:pt>
                <c:pt idx="231">
                  <c:v>44110</c:v>
                </c:pt>
                <c:pt idx="232">
                  <c:v>44109</c:v>
                </c:pt>
                <c:pt idx="233">
                  <c:v>44106</c:v>
                </c:pt>
                <c:pt idx="234">
                  <c:v>44105</c:v>
                </c:pt>
                <c:pt idx="235">
                  <c:v>44104</c:v>
                </c:pt>
                <c:pt idx="236">
                  <c:v>44103</c:v>
                </c:pt>
                <c:pt idx="237">
                  <c:v>44102</c:v>
                </c:pt>
                <c:pt idx="238">
                  <c:v>44099</c:v>
                </c:pt>
                <c:pt idx="239">
                  <c:v>44098</c:v>
                </c:pt>
                <c:pt idx="240">
                  <c:v>44097</c:v>
                </c:pt>
                <c:pt idx="241">
                  <c:v>44096</c:v>
                </c:pt>
                <c:pt idx="242">
                  <c:v>44095</c:v>
                </c:pt>
                <c:pt idx="243">
                  <c:v>44092</c:v>
                </c:pt>
                <c:pt idx="244">
                  <c:v>44091</c:v>
                </c:pt>
                <c:pt idx="245">
                  <c:v>44090</c:v>
                </c:pt>
                <c:pt idx="246">
                  <c:v>44089</c:v>
                </c:pt>
                <c:pt idx="247">
                  <c:v>44088</c:v>
                </c:pt>
                <c:pt idx="248">
                  <c:v>44085</c:v>
                </c:pt>
                <c:pt idx="249">
                  <c:v>44084</c:v>
                </c:pt>
                <c:pt idx="250">
                  <c:v>44083</c:v>
                </c:pt>
                <c:pt idx="251">
                  <c:v>44082</c:v>
                </c:pt>
                <c:pt idx="252">
                  <c:v>44081</c:v>
                </c:pt>
                <c:pt idx="253">
                  <c:v>44078</c:v>
                </c:pt>
                <c:pt idx="254">
                  <c:v>44077</c:v>
                </c:pt>
                <c:pt idx="255">
                  <c:v>44076</c:v>
                </c:pt>
                <c:pt idx="256">
                  <c:v>44075</c:v>
                </c:pt>
                <c:pt idx="257">
                  <c:v>44074</c:v>
                </c:pt>
                <c:pt idx="258">
                  <c:v>44071</c:v>
                </c:pt>
                <c:pt idx="259">
                  <c:v>44070</c:v>
                </c:pt>
                <c:pt idx="260">
                  <c:v>44069</c:v>
                </c:pt>
                <c:pt idx="261">
                  <c:v>44068</c:v>
                </c:pt>
                <c:pt idx="262">
                  <c:v>44067</c:v>
                </c:pt>
                <c:pt idx="263">
                  <c:v>44064</c:v>
                </c:pt>
                <c:pt idx="264">
                  <c:v>44063</c:v>
                </c:pt>
                <c:pt idx="265">
                  <c:v>44062</c:v>
                </c:pt>
                <c:pt idx="266">
                  <c:v>44061</c:v>
                </c:pt>
                <c:pt idx="267">
                  <c:v>44060</c:v>
                </c:pt>
                <c:pt idx="268">
                  <c:v>44057</c:v>
                </c:pt>
                <c:pt idx="269">
                  <c:v>44056</c:v>
                </c:pt>
                <c:pt idx="270">
                  <c:v>44055</c:v>
                </c:pt>
                <c:pt idx="271">
                  <c:v>44054</c:v>
                </c:pt>
                <c:pt idx="272">
                  <c:v>44053</c:v>
                </c:pt>
                <c:pt idx="273">
                  <c:v>44050</c:v>
                </c:pt>
                <c:pt idx="274">
                  <c:v>44049</c:v>
                </c:pt>
                <c:pt idx="275">
                  <c:v>44048</c:v>
                </c:pt>
                <c:pt idx="276">
                  <c:v>44047</c:v>
                </c:pt>
                <c:pt idx="277">
                  <c:v>44046</c:v>
                </c:pt>
                <c:pt idx="278">
                  <c:v>44043</c:v>
                </c:pt>
                <c:pt idx="279">
                  <c:v>44042</c:v>
                </c:pt>
                <c:pt idx="280">
                  <c:v>44041</c:v>
                </c:pt>
                <c:pt idx="281">
                  <c:v>44040</c:v>
                </c:pt>
                <c:pt idx="282">
                  <c:v>44039</c:v>
                </c:pt>
                <c:pt idx="283">
                  <c:v>44036</c:v>
                </c:pt>
                <c:pt idx="284">
                  <c:v>44035</c:v>
                </c:pt>
                <c:pt idx="285">
                  <c:v>44034</c:v>
                </c:pt>
                <c:pt idx="286">
                  <c:v>44033</c:v>
                </c:pt>
                <c:pt idx="287">
                  <c:v>44032</c:v>
                </c:pt>
                <c:pt idx="288">
                  <c:v>44029</c:v>
                </c:pt>
                <c:pt idx="289">
                  <c:v>44028</c:v>
                </c:pt>
                <c:pt idx="290">
                  <c:v>44027</c:v>
                </c:pt>
                <c:pt idx="291">
                  <c:v>44026</c:v>
                </c:pt>
                <c:pt idx="292">
                  <c:v>44025</c:v>
                </c:pt>
                <c:pt idx="293">
                  <c:v>44022</c:v>
                </c:pt>
                <c:pt idx="294">
                  <c:v>44021</c:v>
                </c:pt>
                <c:pt idx="295">
                  <c:v>44020</c:v>
                </c:pt>
                <c:pt idx="296">
                  <c:v>44019</c:v>
                </c:pt>
                <c:pt idx="297">
                  <c:v>44018</c:v>
                </c:pt>
                <c:pt idx="298">
                  <c:v>44015</c:v>
                </c:pt>
                <c:pt idx="299">
                  <c:v>44014</c:v>
                </c:pt>
                <c:pt idx="300">
                  <c:v>44013</c:v>
                </c:pt>
                <c:pt idx="301">
                  <c:v>44012</c:v>
                </c:pt>
                <c:pt idx="302">
                  <c:v>44011</c:v>
                </c:pt>
                <c:pt idx="303">
                  <c:v>44008</c:v>
                </c:pt>
                <c:pt idx="304">
                  <c:v>44007</c:v>
                </c:pt>
                <c:pt idx="305">
                  <c:v>44006</c:v>
                </c:pt>
                <c:pt idx="306">
                  <c:v>44005</c:v>
                </c:pt>
                <c:pt idx="307">
                  <c:v>44004</c:v>
                </c:pt>
                <c:pt idx="308">
                  <c:v>44001</c:v>
                </c:pt>
                <c:pt idx="309">
                  <c:v>44000</c:v>
                </c:pt>
                <c:pt idx="310">
                  <c:v>43999</c:v>
                </c:pt>
                <c:pt idx="311">
                  <c:v>43998</c:v>
                </c:pt>
                <c:pt idx="312">
                  <c:v>43997</c:v>
                </c:pt>
                <c:pt idx="313">
                  <c:v>43994</c:v>
                </c:pt>
                <c:pt idx="314">
                  <c:v>43993</c:v>
                </c:pt>
                <c:pt idx="315">
                  <c:v>43992</c:v>
                </c:pt>
                <c:pt idx="316">
                  <c:v>43991</c:v>
                </c:pt>
                <c:pt idx="317">
                  <c:v>43990</c:v>
                </c:pt>
                <c:pt idx="318">
                  <c:v>43987</c:v>
                </c:pt>
                <c:pt idx="319">
                  <c:v>43986</c:v>
                </c:pt>
                <c:pt idx="320">
                  <c:v>43985</c:v>
                </c:pt>
                <c:pt idx="321">
                  <c:v>43984</c:v>
                </c:pt>
                <c:pt idx="322">
                  <c:v>43983</c:v>
                </c:pt>
                <c:pt idx="323">
                  <c:v>43980</c:v>
                </c:pt>
                <c:pt idx="324">
                  <c:v>43979</c:v>
                </c:pt>
                <c:pt idx="325">
                  <c:v>43978</c:v>
                </c:pt>
                <c:pt idx="326">
                  <c:v>43977</c:v>
                </c:pt>
                <c:pt idx="327">
                  <c:v>43976</c:v>
                </c:pt>
                <c:pt idx="328">
                  <c:v>43973</c:v>
                </c:pt>
                <c:pt idx="329">
                  <c:v>43972</c:v>
                </c:pt>
                <c:pt idx="330">
                  <c:v>43971</c:v>
                </c:pt>
                <c:pt idx="331">
                  <c:v>43970</c:v>
                </c:pt>
                <c:pt idx="332">
                  <c:v>43969</c:v>
                </c:pt>
                <c:pt idx="333">
                  <c:v>43966</c:v>
                </c:pt>
                <c:pt idx="334">
                  <c:v>43965</c:v>
                </c:pt>
                <c:pt idx="335">
                  <c:v>43964</c:v>
                </c:pt>
                <c:pt idx="336">
                  <c:v>43963</c:v>
                </c:pt>
                <c:pt idx="337">
                  <c:v>43962</c:v>
                </c:pt>
                <c:pt idx="338">
                  <c:v>43959</c:v>
                </c:pt>
                <c:pt idx="339">
                  <c:v>43958</c:v>
                </c:pt>
                <c:pt idx="340">
                  <c:v>43957</c:v>
                </c:pt>
                <c:pt idx="341">
                  <c:v>43956</c:v>
                </c:pt>
                <c:pt idx="342">
                  <c:v>43955</c:v>
                </c:pt>
                <c:pt idx="343">
                  <c:v>43951</c:v>
                </c:pt>
                <c:pt idx="344">
                  <c:v>43950</c:v>
                </c:pt>
                <c:pt idx="345">
                  <c:v>43949</c:v>
                </c:pt>
                <c:pt idx="346">
                  <c:v>43948</c:v>
                </c:pt>
                <c:pt idx="347">
                  <c:v>43945</c:v>
                </c:pt>
                <c:pt idx="348">
                  <c:v>43944</c:v>
                </c:pt>
                <c:pt idx="349">
                  <c:v>43943</c:v>
                </c:pt>
                <c:pt idx="350">
                  <c:v>43942</c:v>
                </c:pt>
                <c:pt idx="351">
                  <c:v>43941</c:v>
                </c:pt>
                <c:pt idx="352">
                  <c:v>43938</c:v>
                </c:pt>
                <c:pt idx="353">
                  <c:v>43937</c:v>
                </c:pt>
                <c:pt idx="354">
                  <c:v>43936</c:v>
                </c:pt>
                <c:pt idx="355">
                  <c:v>43935</c:v>
                </c:pt>
                <c:pt idx="356">
                  <c:v>43930</c:v>
                </c:pt>
                <c:pt idx="357">
                  <c:v>43929</c:v>
                </c:pt>
                <c:pt idx="358">
                  <c:v>43928</c:v>
                </c:pt>
                <c:pt idx="359">
                  <c:v>43927</c:v>
                </c:pt>
                <c:pt idx="360">
                  <c:v>43924</c:v>
                </c:pt>
                <c:pt idx="361">
                  <c:v>43923</c:v>
                </c:pt>
                <c:pt idx="362">
                  <c:v>43922</c:v>
                </c:pt>
                <c:pt idx="363">
                  <c:v>43921</c:v>
                </c:pt>
                <c:pt idx="364">
                  <c:v>43920</c:v>
                </c:pt>
                <c:pt idx="365">
                  <c:v>43917</c:v>
                </c:pt>
                <c:pt idx="366">
                  <c:v>43916</c:v>
                </c:pt>
                <c:pt idx="367">
                  <c:v>43915</c:v>
                </c:pt>
                <c:pt idx="368">
                  <c:v>43914</c:v>
                </c:pt>
                <c:pt idx="369">
                  <c:v>43913</c:v>
                </c:pt>
                <c:pt idx="370">
                  <c:v>43910</c:v>
                </c:pt>
                <c:pt idx="371">
                  <c:v>43909</c:v>
                </c:pt>
                <c:pt idx="372">
                  <c:v>43908</c:v>
                </c:pt>
                <c:pt idx="373">
                  <c:v>43907</c:v>
                </c:pt>
                <c:pt idx="374">
                  <c:v>43906</c:v>
                </c:pt>
                <c:pt idx="375">
                  <c:v>43903</c:v>
                </c:pt>
                <c:pt idx="376">
                  <c:v>43902</c:v>
                </c:pt>
                <c:pt idx="377">
                  <c:v>43901</c:v>
                </c:pt>
                <c:pt idx="378">
                  <c:v>43900</c:v>
                </c:pt>
                <c:pt idx="379">
                  <c:v>43899</c:v>
                </c:pt>
                <c:pt idx="380">
                  <c:v>43896</c:v>
                </c:pt>
                <c:pt idx="381">
                  <c:v>43895</c:v>
                </c:pt>
                <c:pt idx="382">
                  <c:v>43894</c:v>
                </c:pt>
                <c:pt idx="383">
                  <c:v>43893</c:v>
                </c:pt>
                <c:pt idx="384">
                  <c:v>43892</c:v>
                </c:pt>
                <c:pt idx="385">
                  <c:v>43889</c:v>
                </c:pt>
                <c:pt idx="386">
                  <c:v>43888</c:v>
                </c:pt>
                <c:pt idx="387">
                  <c:v>43887</c:v>
                </c:pt>
                <c:pt idx="388">
                  <c:v>43886</c:v>
                </c:pt>
                <c:pt idx="389">
                  <c:v>43885</c:v>
                </c:pt>
                <c:pt idx="390">
                  <c:v>43882</c:v>
                </c:pt>
                <c:pt idx="391">
                  <c:v>43881</c:v>
                </c:pt>
                <c:pt idx="392">
                  <c:v>43880</c:v>
                </c:pt>
                <c:pt idx="393">
                  <c:v>43879</c:v>
                </c:pt>
                <c:pt idx="394">
                  <c:v>43878</c:v>
                </c:pt>
                <c:pt idx="395">
                  <c:v>43875</c:v>
                </c:pt>
                <c:pt idx="396">
                  <c:v>43874</c:v>
                </c:pt>
                <c:pt idx="397">
                  <c:v>43873</c:v>
                </c:pt>
                <c:pt idx="398">
                  <c:v>43872</c:v>
                </c:pt>
                <c:pt idx="399">
                  <c:v>43871</c:v>
                </c:pt>
                <c:pt idx="400">
                  <c:v>43868</c:v>
                </c:pt>
                <c:pt idx="401">
                  <c:v>43867</c:v>
                </c:pt>
                <c:pt idx="402">
                  <c:v>43866</c:v>
                </c:pt>
                <c:pt idx="403">
                  <c:v>43865</c:v>
                </c:pt>
                <c:pt idx="404">
                  <c:v>43864</c:v>
                </c:pt>
                <c:pt idx="405">
                  <c:v>43861</c:v>
                </c:pt>
                <c:pt idx="406">
                  <c:v>43860</c:v>
                </c:pt>
                <c:pt idx="407">
                  <c:v>43859</c:v>
                </c:pt>
                <c:pt idx="408">
                  <c:v>43858</c:v>
                </c:pt>
                <c:pt idx="409">
                  <c:v>43857</c:v>
                </c:pt>
                <c:pt idx="410">
                  <c:v>43854</c:v>
                </c:pt>
                <c:pt idx="411">
                  <c:v>43853</c:v>
                </c:pt>
                <c:pt idx="412">
                  <c:v>43852</c:v>
                </c:pt>
                <c:pt idx="413">
                  <c:v>43851</c:v>
                </c:pt>
                <c:pt idx="414">
                  <c:v>43850</c:v>
                </c:pt>
                <c:pt idx="415">
                  <c:v>43847</c:v>
                </c:pt>
                <c:pt idx="416">
                  <c:v>43846</c:v>
                </c:pt>
                <c:pt idx="417">
                  <c:v>43845</c:v>
                </c:pt>
                <c:pt idx="418">
                  <c:v>43844</c:v>
                </c:pt>
                <c:pt idx="419">
                  <c:v>43843</c:v>
                </c:pt>
                <c:pt idx="420">
                  <c:v>43840</c:v>
                </c:pt>
                <c:pt idx="421">
                  <c:v>43839</c:v>
                </c:pt>
                <c:pt idx="422">
                  <c:v>43838</c:v>
                </c:pt>
                <c:pt idx="423">
                  <c:v>43837</c:v>
                </c:pt>
                <c:pt idx="424">
                  <c:v>43836</c:v>
                </c:pt>
                <c:pt idx="425">
                  <c:v>43833</c:v>
                </c:pt>
                <c:pt idx="426">
                  <c:v>43832</c:v>
                </c:pt>
              </c:numCache>
            </c:numRef>
          </c:cat>
          <c:val>
            <c:numRef>
              <c:f>'[Hartije od vrednosti na medjunarodnom trzistu SAJT.xlsx]EUROBOND 2029 offline'!$B$31:$B$457</c:f>
              <c:numCache>
                <c:formatCode>#,##0.000</c:formatCode>
                <c:ptCount val="427"/>
                <c:pt idx="0">
                  <c:v>101.904</c:v>
                </c:pt>
                <c:pt idx="1">
                  <c:v>101.75700000000001</c:v>
                </c:pt>
                <c:pt idx="2">
                  <c:v>101.789</c:v>
                </c:pt>
                <c:pt idx="3">
                  <c:v>101.69799999999999</c:v>
                </c:pt>
                <c:pt idx="4">
                  <c:v>101.73</c:v>
                </c:pt>
                <c:pt idx="5">
                  <c:v>101.753</c:v>
                </c:pt>
                <c:pt idx="6">
                  <c:v>101.706</c:v>
                </c:pt>
                <c:pt idx="7">
                  <c:v>101.69499999999999</c:v>
                </c:pt>
                <c:pt idx="8">
                  <c:v>101.678</c:v>
                </c:pt>
                <c:pt idx="9">
                  <c:v>101.70699999999999</c:v>
                </c:pt>
                <c:pt idx="10">
                  <c:v>101.705</c:v>
                </c:pt>
                <c:pt idx="11">
                  <c:v>101.702</c:v>
                </c:pt>
                <c:pt idx="12">
                  <c:v>101.732</c:v>
                </c:pt>
                <c:pt idx="13">
                  <c:v>101.73699999999999</c:v>
                </c:pt>
                <c:pt idx="14">
                  <c:v>101.733</c:v>
                </c:pt>
                <c:pt idx="15">
                  <c:v>101.77200000000001</c:v>
                </c:pt>
                <c:pt idx="16">
                  <c:v>101.818</c:v>
                </c:pt>
                <c:pt idx="17">
                  <c:v>101.839</c:v>
                </c:pt>
                <c:pt idx="18">
                  <c:v>101.941</c:v>
                </c:pt>
                <c:pt idx="19">
                  <c:v>101.721</c:v>
                </c:pt>
                <c:pt idx="20">
                  <c:v>101.628</c:v>
                </c:pt>
                <c:pt idx="21">
                  <c:v>101.496</c:v>
                </c:pt>
                <c:pt idx="22">
                  <c:v>101.352</c:v>
                </c:pt>
                <c:pt idx="23">
                  <c:v>101.342</c:v>
                </c:pt>
                <c:pt idx="24">
                  <c:v>101.31699999999999</c:v>
                </c:pt>
                <c:pt idx="25">
                  <c:v>101.307</c:v>
                </c:pt>
                <c:pt idx="26">
                  <c:v>101.31100000000001</c:v>
                </c:pt>
                <c:pt idx="27">
                  <c:v>101.309</c:v>
                </c:pt>
                <c:pt idx="28">
                  <c:v>101.27</c:v>
                </c:pt>
                <c:pt idx="29">
                  <c:v>101.221</c:v>
                </c:pt>
                <c:pt idx="30">
                  <c:v>101.206</c:v>
                </c:pt>
                <c:pt idx="31">
                  <c:v>101.18</c:v>
                </c:pt>
                <c:pt idx="32">
                  <c:v>101.193</c:v>
                </c:pt>
                <c:pt idx="33">
                  <c:v>101.148</c:v>
                </c:pt>
                <c:pt idx="34">
                  <c:v>101.092</c:v>
                </c:pt>
                <c:pt idx="35">
                  <c:v>101.084</c:v>
                </c:pt>
                <c:pt idx="36">
                  <c:v>101.077</c:v>
                </c:pt>
                <c:pt idx="37">
                  <c:v>101.06</c:v>
                </c:pt>
                <c:pt idx="38">
                  <c:v>101.04900000000001</c:v>
                </c:pt>
                <c:pt idx="39">
                  <c:v>101.068</c:v>
                </c:pt>
                <c:pt idx="40">
                  <c:v>101.014</c:v>
                </c:pt>
                <c:pt idx="41">
                  <c:v>101.023</c:v>
                </c:pt>
                <c:pt idx="42">
                  <c:v>101.014</c:v>
                </c:pt>
                <c:pt idx="43">
                  <c:v>100.977</c:v>
                </c:pt>
                <c:pt idx="44">
                  <c:v>100.93899999999999</c:v>
                </c:pt>
                <c:pt idx="45">
                  <c:v>100.875</c:v>
                </c:pt>
                <c:pt idx="46">
                  <c:v>100.85299999999999</c:v>
                </c:pt>
                <c:pt idx="47">
                  <c:v>100.834</c:v>
                </c:pt>
                <c:pt idx="48">
                  <c:v>100.825</c:v>
                </c:pt>
                <c:pt idx="49">
                  <c:v>100.8</c:v>
                </c:pt>
                <c:pt idx="50">
                  <c:v>100.738</c:v>
                </c:pt>
                <c:pt idx="51">
                  <c:v>100.821</c:v>
                </c:pt>
                <c:pt idx="52">
                  <c:v>100.824</c:v>
                </c:pt>
                <c:pt idx="53">
                  <c:v>100.81</c:v>
                </c:pt>
                <c:pt idx="54">
                  <c:v>100.965</c:v>
                </c:pt>
                <c:pt idx="55">
                  <c:v>100.889</c:v>
                </c:pt>
                <c:pt idx="56">
                  <c:v>101.02200000000001</c:v>
                </c:pt>
                <c:pt idx="57">
                  <c:v>100.988</c:v>
                </c:pt>
                <c:pt idx="58">
                  <c:v>100.63800000000001</c:v>
                </c:pt>
                <c:pt idx="59">
                  <c:v>100.502</c:v>
                </c:pt>
                <c:pt idx="60">
                  <c:v>100.276</c:v>
                </c:pt>
                <c:pt idx="61">
                  <c:v>100.054</c:v>
                </c:pt>
                <c:pt idx="62">
                  <c:v>100.021</c:v>
                </c:pt>
                <c:pt idx="63">
                  <c:v>99.953000000000003</c:v>
                </c:pt>
                <c:pt idx="64">
                  <c:v>99.92</c:v>
                </c:pt>
                <c:pt idx="65">
                  <c:v>99.869</c:v>
                </c:pt>
                <c:pt idx="66">
                  <c:v>99.834999999999994</c:v>
                </c:pt>
                <c:pt idx="67">
                  <c:v>99.826999999999998</c:v>
                </c:pt>
                <c:pt idx="68">
                  <c:v>99.805999999999997</c:v>
                </c:pt>
                <c:pt idx="69">
                  <c:v>99.623999999999995</c:v>
                </c:pt>
                <c:pt idx="70">
                  <c:v>99.421999999999997</c:v>
                </c:pt>
                <c:pt idx="71">
                  <c:v>99.36</c:v>
                </c:pt>
                <c:pt idx="72">
                  <c:v>99.322000000000003</c:v>
                </c:pt>
                <c:pt idx="73">
                  <c:v>99.18</c:v>
                </c:pt>
                <c:pt idx="74">
                  <c:v>99.11</c:v>
                </c:pt>
                <c:pt idx="75">
                  <c:v>99.325999999999993</c:v>
                </c:pt>
                <c:pt idx="76">
                  <c:v>99.566000000000003</c:v>
                </c:pt>
                <c:pt idx="77">
                  <c:v>99.623000000000005</c:v>
                </c:pt>
                <c:pt idx="78">
                  <c:v>99.613</c:v>
                </c:pt>
                <c:pt idx="79">
                  <c:v>99.802000000000007</c:v>
                </c:pt>
                <c:pt idx="80">
                  <c:v>100.02800000000001</c:v>
                </c:pt>
                <c:pt idx="81">
                  <c:v>100.127</c:v>
                </c:pt>
                <c:pt idx="82">
                  <c:v>100.045</c:v>
                </c:pt>
                <c:pt idx="83">
                  <c:v>99.811999999999998</c:v>
                </c:pt>
                <c:pt idx="84">
                  <c:v>99.507000000000005</c:v>
                </c:pt>
                <c:pt idx="85">
                  <c:v>99.272999999999996</c:v>
                </c:pt>
                <c:pt idx="86">
                  <c:v>99.24</c:v>
                </c:pt>
                <c:pt idx="87">
                  <c:v>99.231999999999999</c:v>
                </c:pt>
                <c:pt idx="88">
                  <c:v>99.295000000000002</c:v>
                </c:pt>
                <c:pt idx="89">
                  <c:v>99.433999999999997</c:v>
                </c:pt>
                <c:pt idx="90">
                  <c:v>99.902000000000001</c:v>
                </c:pt>
                <c:pt idx="91">
                  <c:v>100.05800000000001</c:v>
                </c:pt>
                <c:pt idx="92">
                  <c:v>100.235</c:v>
                </c:pt>
                <c:pt idx="93">
                  <c:v>100.28</c:v>
                </c:pt>
                <c:pt idx="94">
                  <c:v>100.404</c:v>
                </c:pt>
                <c:pt idx="95">
                  <c:v>100.486</c:v>
                </c:pt>
                <c:pt idx="96">
                  <c:v>100.649</c:v>
                </c:pt>
                <c:pt idx="97">
                  <c:v>100.63800000000001</c:v>
                </c:pt>
                <c:pt idx="98">
                  <c:v>100.65</c:v>
                </c:pt>
                <c:pt idx="99">
                  <c:v>100.69</c:v>
                </c:pt>
                <c:pt idx="100">
                  <c:v>100.676</c:v>
                </c:pt>
                <c:pt idx="101">
                  <c:v>100.721</c:v>
                </c:pt>
                <c:pt idx="102">
                  <c:v>100.703</c:v>
                </c:pt>
                <c:pt idx="103">
                  <c:v>100.703</c:v>
                </c:pt>
                <c:pt idx="104">
                  <c:v>100.65900000000001</c:v>
                </c:pt>
                <c:pt idx="105">
                  <c:v>100.55500000000001</c:v>
                </c:pt>
                <c:pt idx="106">
                  <c:v>100.477</c:v>
                </c:pt>
                <c:pt idx="107">
                  <c:v>100.36</c:v>
                </c:pt>
                <c:pt idx="108">
                  <c:v>100.36</c:v>
                </c:pt>
                <c:pt idx="109">
                  <c:v>100.505</c:v>
                </c:pt>
                <c:pt idx="110">
                  <c:v>100.53700000000001</c:v>
                </c:pt>
                <c:pt idx="111">
                  <c:v>100.55500000000001</c:v>
                </c:pt>
                <c:pt idx="112">
                  <c:v>100.58199999999999</c:v>
                </c:pt>
                <c:pt idx="113">
                  <c:v>100.57</c:v>
                </c:pt>
                <c:pt idx="114">
                  <c:v>100.562</c:v>
                </c:pt>
                <c:pt idx="115">
                  <c:v>100.539</c:v>
                </c:pt>
                <c:pt idx="116">
                  <c:v>100.54</c:v>
                </c:pt>
                <c:pt idx="117">
                  <c:v>100.664</c:v>
                </c:pt>
                <c:pt idx="118">
                  <c:v>100.74</c:v>
                </c:pt>
                <c:pt idx="119">
                  <c:v>100.64700000000001</c:v>
                </c:pt>
                <c:pt idx="120">
                  <c:v>100.58799999999999</c:v>
                </c:pt>
                <c:pt idx="121">
                  <c:v>100.696</c:v>
                </c:pt>
                <c:pt idx="122">
                  <c:v>100.206</c:v>
                </c:pt>
                <c:pt idx="123">
                  <c:v>100.15900000000001</c:v>
                </c:pt>
                <c:pt idx="124">
                  <c:v>100.045</c:v>
                </c:pt>
                <c:pt idx="125">
                  <c:v>100.42400000000001</c:v>
                </c:pt>
                <c:pt idx="126">
                  <c:v>100.626</c:v>
                </c:pt>
                <c:pt idx="127">
                  <c:v>100.738</c:v>
                </c:pt>
                <c:pt idx="128">
                  <c:v>100.88500000000001</c:v>
                </c:pt>
                <c:pt idx="129">
                  <c:v>100.764</c:v>
                </c:pt>
                <c:pt idx="130">
                  <c:v>100.538</c:v>
                </c:pt>
                <c:pt idx="131">
                  <c:v>100.685</c:v>
                </c:pt>
                <c:pt idx="132">
                  <c:v>100.908</c:v>
                </c:pt>
                <c:pt idx="133">
                  <c:v>101.477</c:v>
                </c:pt>
                <c:pt idx="134">
                  <c:v>101.51600000000001</c:v>
                </c:pt>
                <c:pt idx="135">
                  <c:v>101.768</c:v>
                </c:pt>
                <c:pt idx="136">
                  <c:v>101.979</c:v>
                </c:pt>
                <c:pt idx="137">
                  <c:v>102.078</c:v>
                </c:pt>
                <c:pt idx="138">
                  <c:v>102.425</c:v>
                </c:pt>
                <c:pt idx="139">
                  <c:v>102.676</c:v>
                </c:pt>
                <c:pt idx="140">
                  <c:v>102.98099999999999</c:v>
                </c:pt>
                <c:pt idx="141">
                  <c:v>103.119</c:v>
                </c:pt>
                <c:pt idx="142">
                  <c:v>103.16500000000001</c:v>
                </c:pt>
                <c:pt idx="143">
                  <c:v>103.212</c:v>
                </c:pt>
                <c:pt idx="144">
                  <c:v>103.27800000000001</c:v>
                </c:pt>
                <c:pt idx="145">
                  <c:v>103.322</c:v>
                </c:pt>
                <c:pt idx="146">
                  <c:v>103.11799999999999</c:v>
                </c:pt>
                <c:pt idx="147">
                  <c:v>102.902</c:v>
                </c:pt>
                <c:pt idx="148">
                  <c:v>102.81699999999999</c:v>
                </c:pt>
                <c:pt idx="149">
                  <c:v>102.752</c:v>
                </c:pt>
                <c:pt idx="150">
                  <c:v>102.55</c:v>
                </c:pt>
                <c:pt idx="151">
                  <c:v>102.455</c:v>
                </c:pt>
                <c:pt idx="152">
                  <c:v>102.35599999999999</c:v>
                </c:pt>
                <c:pt idx="153">
                  <c:v>102.43899999999999</c:v>
                </c:pt>
                <c:pt idx="154">
                  <c:v>102.447</c:v>
                </c:pt>
                <c:pt idx="155">
                  <c:v>102.465</c:v>
                </c:pt>
                <c:pt idx="156">
                  <c:v>102.598</c:v>
                </c:pt>
                <c:pt idx="157">
                  <c:v>102.90600000000001</c:v>
                </c:pt>
                <c:pt idx="158">
                  <c:v>103.13</c:v>
                </c:pt>
                <c:pt idx="159">
                  <c:v>103.304</c:v>
                </c:pt>
                <c:pt idx="160">
                  <c:v>103.447</c:v>
                </c:pt>
                <c:pt idx="161">
                  <c:v>103.63</c:v>
                </c:pt>
                <c:pt idx="162">
                  <c:v>103.47799999999999</c:v>
                </c:pt>
                <c:pt idx="163">
                  <c:v>103.28400000000001</c:v>
                </c:pt>
                <c:pt idx="164">
                  <c:v>103.79900000000001</c:v>
                </c:pt>
                <c:pt idx="165">
                  <c:v>103.91500000000001</c:v>
                </c:pt>
                <c:pt idx="166">
                  <c:v>104.008</c:v>
                </c:pt>
                <c:pt idx="167">
                  <c:v>104.358</c:v>
                </c:pt>
                <c:pt idx="168">
                  <c:v>104.553</c:v>
                </c:pt>
                <c:pt idx="169">
                  <c:v>104.53100000000001</c:v>
                </c:pt>
                <c:pt idx="170">
                  <c:v>103.643</c:v>
                </c:pt>
                <c:pt idx="171">
                  <c:v>103.54</c:v>
                </c:pt>
                <c:pt idx="172">
                  <c:v>103.48699999999999</c:v>
                </c:pt>
                <c:pt idx="173">
                  <c:v>103.43899999999999</c:v>
                </c:pt>
                <c:pt idx="174">
                  <c:v>103.33799999999999</c:v>
                </c:pt>
                <c:pt idx="175">
                  <c:v>103.355</c:v>
                </c:pt>
                <c:pt idx="176">
                  <c:v>103.31699999999999</c:v>
                </c:pt>
                <c:pt idx="177">
                  <c:v>103.42700000000001</c:v>
                </c:pt>
                <c:pt idx="178">
                  <c:v>103.423</c:v>
                </c:pt>
                <c:pt idx="179">
                  <c:v>103.214</c:v>
                </c:pt>
                <c:pt idx="180">
                  <c:v>102.93300000000001</c:v>
                </c:pt>
                <c:pt idx="181">
                  <c:v>102.75700000000001</c:v>
                </c:pt>
                <c:pt idx="182">
                  <c:v>102.636</c:v>
                </c:pt>
                <c:pt idx="183">
                  <c:v>102.551</c:v>
                </c:pt>
                <c:pt idx="184">
                  <c:v>102.486</c:v>
                </c:pt>
                <c:pt idx="185">
                  <c:v>102.376</c:v>
                </c:pt>
                <c:pt idx="186">
                  <c:v>102.23099999999999</c:v>
                </c:pt>
                <c:pt idx="187">
                  <c:v>102.185</c:v>
                </c:pt>
                <c:pt idx="188">
                  <c:v>102.033</c:v>
                </c:pt>
                <c:pt idx="189">
                  <c:v>101.89700000000001</c:v>
                </c:pt>
                <c:pt idx="190">
                  <c:v>101.446</c:v>
                </c:pt>
                <c:pt idx="191">
                  <c:v>101.276</c:v>
                </c:pt>
                <c:pt idx="192">
                  <c:v>101.32299999999999</c:v>
                </c:pt>
                <c:pt idx="193">
                  <c:v>101.306</c:v>
                </c:pt>
                <c:pt idx="194">
                  <c:v>101.292</c:v>
                </c:pt>
                <c:pt idx="195">
                  <c:v>101.288</c:v>
                </c:pt>
                <c:pt idx="196">
                  <c:v>101.20099999999999</c:v>
                </c:pt>
                <c:pt idx="197">
                  <c:v>100.663</c:v>
                </c:pt>
                <c:pt idx="198">
                  <c:v>100.081</c:v>
                </c:pt>
                <c:pt idx="199">
                  <c:v>100.072</c:v>
                </c:pt>
                <c:pt idx="200">
                  <c:v>99.995999999999995</c:v>
                </c:pt>
                <c:pt idx="201">
                  <c:v>99.962999999999994</c:v>
                </c:pt>
                <c:pt idx="202">
                  <c:v>99.933999999999997</c:v>
                </c:pt>
                <c:pt idx="203">
                  <c:v>99.853999999999999</c:v>
                </c:pt>
                <c:pt idx="204">
                  <c:v>99.873999999999995</c:v>
                </c:pt>
                <c:pt idx="205">
                  <c:v>99.959000000000003</c:v>
                </c:pt>
                <c:pt idx="206">
                  <c:v>99.945999999999998</c:v>
                </c:pt>
                <c:pt idx="207">
                  <c:v>99.957999999999998</c:v>
                </c:pt>
                <c:pt idx="208">
                  <c:v>99.671000000000006</c:v>
                </c:pt>
                <c:pt idx="209">
                  <c:v>99.625</c:v>
                </c:pt>
                <c:pt idx="210">
                  <c:v>98.581999999999994</c:v>
                </c:pt>
                <c:pt idx="211">
                  <c:v>98.052000000000007</c:v>
                </c:pt>
                <c:pt idx="212">
                  <c:v>97.748000000000005</c:v>
                </c:pt>
                <c:pt idx="213">
                  <c:v>97.742000000000004</c:v>
                </c:pt>
                <c:pt idx="214">
                  <c:v>97.793999999999997</c:v>
                </c:pt>
                <c:pt idx="215">
                  <c:v>97.872</c:v>
                </c:pt>
                <c:pt idx="216">
                  <c:v>98.433000000000007</c:v>
                </c:pt>
                <c:pt idx="217">
                  <c:v>98.536000000000001</c:v>
                </c:pt>
                <c:pt idx="218">
                  <c:v>98.778999999999996</c:v>
                </c:pt>
                <c:pt idx="219">
                  <c:v>98.596000000000004</c:v>
                </c:pt>
                <c:pt idx="220">
                  <c:v>98.558000000000007</c:v>
                </c:pt>
                <c:pt idx="221">
                  <c:v>98.61</c:v>
                </c:pt>
                <c:pt idx="222">
                  <c:v>98.68</c:v>
                </c:pt>
                <c:pt idx="223">
                  <c:v>98.47</c:v>
                </c:pt>
                <c:pt idx="224">
                  <c:v>98.179000000000002</c:v>
                </c:pt>
                <c:pt idx="225">
                  <c:v>98.185000000000002</c:v>
                </c:pt>
                <c:pt idx="226">
                  <c:v>98.123999999999995</c:v>
                </c:pt>
                <c:pt idx="227">
                  <c:v>97.706999999999994</c:v>
                </c:pt>
                <c:pt idx="228">
                  <c:v>97.606999999999999</c:v>
                </c:pt>
                <c:pt idx="229">
                  <c:v>97.424999999999997</c:v>
                </c:pt>
                <c:pt idx="230">
                  <c:v>97.02</c:v>
                </c:pt>
                <c:pt idx="231">
                  <c:v>97.006</c:v>
                </c:pt>
                <c:pt idx="232">
                  <c:v>96.88</c:v>
                </c:pt>
                <c:pt idx="233">
                  <c:v>96.850999999999999</c:v>
                </c:pt>
                <c:pt idx="234">
                  <c:v>96.843999999999994</c:v>
                </c:pt>
                <c:pt idx="235">
                  <c:v>96.781000000000006</c:v>
                </c:pt>
                <c:pt idx="236">
                  <c:v>96.908000000000001</c:v>
                </c:pt>
                <c:pt idx="237">
                  <c:v>97.247</c:v>
                </c:pt>
                <c:pt idx="238">
                  <c:v>97.278000000000006</c:v>
                </c:pt>
                <c:pt idx="239">
                  <c:v>97.332999999999998</c:v>
                </c:pt>
                <c:pt idx="240">
                  <c:v>97.694000000000003</c:v>
                </c:pt>
                <c:pt idx="241">
                  <c:v>97.798000000000002</c:v>
                </c:pt>
                <c:pt idx="242">
                  <c:v>97.962999999999994</c:v>
                </c:pt>
                <c:pt idx="243">
                  <c:v>98.263999999999996</c:v>
                </c:pt>
                <c:pt idx="244">
                  <c:v>98.281999999999996</c:v>
                </c:pt>
                <c:pt idx="245">
                  <c:v>98.346000000000004</c:v>
                </c:pt>
                <c:pt idx="246">
                  <c:v>98.328000000000003</c:v>
                </c:pt>
                <c:pt idx="247">
                  <c:v>98.051000000000002</c:v>
                </c:pt>
                <c:pt idx="248">
                  <c:v>97.906000000000006</c:v>
                </c:pt>
                <c:pt idx="249">
                  <c:v>97.789000000000001</c:v>
                </c:pt>
                <c:pt idx="250">
                  <c:v>97.724000000000004</c:v>
                </c:pt>
                <c:pt idx="251">
                  <c:v>97.67</c:v>
                </c:pt>
                <c:pt idx="252">
                  <c:v>97.683000000000007</c:v>
                </c:pt>
                <c:pt idx="253">
                  <c:v>97.593000000000004</c:v>
                </c:pt>
                <c:pt idx="254">
                  <c:v>97.468999999999994</c:v>
                </c:pt>
                <c:pt idx="255">
                  <c:v>97.204999999999998</c:v>
                </c:pt>
                <c:pt idx="256">
                  <c:v>96.962999999999994</c:v>
                </c:pt>
                <c:pt idx="257">
                  <c:v>96.850999999999999</c:v>
                </c:pt>
                <c:pt idx="258">
                  <c:v>96.825000000000003</c:v>
                </c:pt>
                <c:pt idx="259">
                  <c:v>96.838999999999999</c:v>
                </c:pt>
                <c:pt idx="260">
                  <c:v>96.786000000000001</c:v>
                </c:pt>
                <c:pt idx="261">
                  <c:v>96.82</c:v>
                </c:pt>
                <c:pt idx="262">
                  <c:v>96.808000000000007</c:v>
                </c:pt>
                <c:pt idx="263">
                  <c:v>96.777000000000001</c:v>
                </c:pt>
                <c:pt idx="264">
                  <c:v>96.754000000000005</c:v>
                </c:pt>
                <c:pt idx="265">
                  <c:v>96.742000000000004</c:v>
                </c:pt>
                <c:pt idx="266">
                  <c:v>96.713999999999999</c:v>
                </c:pt>
                <c:pt idx="267">
                  <c:v>96.784999999999997</c:v>
                </c:pt>
                <c:pt idx="268">
                  <c:v>96.683999999999997</c:v>
                </c:pt>
                <c:pt idx="269">
                  <c:v>96.724000000000004</c:v>
                </c:pt>
                <c:pt idx="270">
                  <c:v>96.582999999999998</c:v>
                </c:pt>
                <c:pt idx="271">
                  <c:v>96.623999999999995</c:v>
                </c:pt>
                <c:pt idx="272">
                  <c:v>96.611000000000004</c:v>
                </c:pt>
                <c:pt idx="273">
                  <c:v>96.527000000000001</c:v>
                </c:pt>
                <c:pt idx="274">
                  <c:v>96.353999999999999</c:v>
                </c:pt>
                <c:pt idx="275">
                  <c:v>96.183000000000007</c:v>
                </c:pt>
                <c:pt idx="276">
                  <c:v>95.938999999999993</c:v>
                </c:pt>
                <c:pt idx="277">
                  <c:v>95.846000000000004</c:v>
                </c:pt>
                <c:pt idx="278">
                  <c:v>95.846999999999994</c:v>
                </c:pt>
                <c:pt idx="279">
                  <c:v>95.888000000000005</c:v>
                </c:pt>
                <c:pt idx="280">
                  <c:v>96.102000000000004</c:v>
                </c:pt>
                <c:pt idx="281">
                  <c:v>96.111999999999995</c:v>
                </c:pt>
                <c:pt idx="282">
                  <c:v>96.227000000000004</c:v>
                </c:pt>
                <c:pt idx="283">
                  <c:v>96.316000000000003</c:v>
                </c:pt>
                <c:pt idx="284">
                  <c:v>96.650999999999996</c:v>
                </c:pt>
                <c:pt idx="285">
                  <c:v>95.927000000000007</c:v>
                </c:pt>
                <c:pt idx="286">
                  <c:v>95.506</c:v>
                </c:pt>
                <c:pt idx="287">
                  <c:v>95.135999999999996</c:v>
                </c:pt>
                <c:pt idx="288">
                  <c:v>94.844999999999999</c:v>
                </c:pt>
                <c:pt idx="289">
                  <c:v>94.637</c:v>
                </c:pt>
                <c:pt idx="290">
                  <c:v>94.551000000000002</c:v>
                </c:pt>
                <c:pt idx="291">
                  <c:v>94.430999999999997</c:v>
                </c:pt>
                <c:pt idx="292">
                  <c:v>94.551000000000002</c:v>
                </c:pt>
                <c:pt idx="293">
                  <c:v>94.563999999999993</c:v>
                </c:pt>
                <c:pt idx="294">
                  <c:v>94.915999999999997</c:v>
                </c:pt>
                <c:pt idx="295">
                  <c:v>95.16</c:v>
                </c:pt>
                <c:pt idx="296">
                  <c:v>95.218000000000004</c:v>
                </c:pt>
                <c:pt idx="297">
                  <c:v>94.891999999999996</c:v>
                </c:pt>
                <c:pt idx="298">
                  <c:v>94.453999999999994</c:v>
                </c:pt>
                <c:pt idx="299">
                  <c:v>94.405000000000001</c:v>
                </c:pt>
                <c:pt idx="300">
                  <c:v>94.111000000000004</c:v>
                </c:pt>
                <c:pt idx="301">
                  <c:v>94.006</c:v>
                </c:pt>
                <c:pt idx="302">
                  <c:v>93.915999999999997</c:v>
                </c:pt>
                <c:pt idx="303">
                  <c:v>93.92</c:v>
                </c:pt>
                <c:pt idx="304">
                  <c:v>93.852000000000004</c:v>
                </c:pt>
                <c:pt idx="305">
                  <c:v>93.944999999999993</c:v>
                </c:pt>
                <c:pt idx="306">
                  <c:v>94.024000000000001</c:v>
                </c:pt>
                <c:pt idx="307">
                  <c:v>93.947000000000003</c:v>
                </c:pt>
                <c:pt idx="308">
                  <c:v>93.798000000000002</c:v>
                </c:pt>
                <c:pt idx="309">
                  <c:v>93.748999999999995</c:v>
                </c:pt>
                <c:pt idx="310">
                  <c:v>93.725999999999999</c:v>
                </c:pt>
                <c:pt idx="311">
                  <c:v>93.623000000000005</c:v>
                </c:pt>
                <c:pt idx="312">
                  <c:v>92.88</c:v>
                </c:pt>
                <c:pt idx="313">
                  <c:v>93.358000000000004</c:v>
                </c:pt>
                <c:pt idx="314">
                  <c:v>93.394000000000005</c:v>
                </c:pt>
                <c:pt idx="315">
                  <c:v>93.739000000000004</c:v>
                </c:pt>
                <c:pt idx="316">
                  <c:v>94.284999999999997</c:v>
                </c:pt>
                <c:pt idx="317">
                  <c:v>94.605000000000004</c:v>
                </c:pt>
                <c:pt idx="318">
                  <c:v>94.513000000000005</c:v>
                </c:pt>
                <c:pt idx="319">
                  <c:v>94.554000000000002</c:v>
                </c:pt>
                <c:pt idx="320">
                  <c:v>95.084000000000003</c:v>
                </c:pt>
                <c:pt idx="321">
                  <c:v>95.004999999999995</c:v>
                </c:pt>
                <c:pt idx="322">
                  <c:v>94.716999999999999</c:v>
                </c:pt>
                <c:pt idx="323">
                  <c:v>94.171000000000006</c:v>
                </c:pt>
                <c:pt idx="324">
                  <c:v>92.135000000000005</c:v>
                </c:pt>
                <c:pt idx="325">
                  <c:v>90.239000000000004</c:v>
                </c:pt>
                <c:pt idx="326">
                  <c:v>89.108000000000004</c:v>
                </c:pt>
                <c:pt idx="327">
                  <c:v>88.587000000000003</c:v>
                </c:pt>
                <c:pt idx="328">
                  <c:v>88.634</c:v>
                </c:pt>
                <c:pt idx="329">
                  <c:v>88.551000000000002</c:v>
                </c:pt>
                <c:pt idx="330">
                  <c:v>88.421999999999997</c:v>
                </c:pt>
                <c:pt idx="331">
                  <c:v>88.138000000000005</c:v>
                </c:pt>
                <c:pt idx="332">
                  <c:v>87.869</c:v>
                </c:pt>
                <c:pt idx="333">
                  <c:v>87.762</c:v>
                </c:pt>
                <c:pt idx="334">
                  <c:v>88.045000000000002</c:v>
                </c:pt>
                <c:pt idx="335">
                  <c:v>88.603999999999999</c:v>
                </c:pt>
                <c:pt idx="336">
                  <c:v>88.662000000000006</c:v>
                </c:pt>
                <c:pt idx="337">
                  <c:v>88.623999999999995</c:v>
                </c:pt>
                <c:pt idx="338">
                  <c:v>88.218000000000004</c:v>
                </c:pt>
                <c:pt idx="339">
                  <c:v>88.138000000000005</c:v>
                </c:pt>
                <c:pt idx="340">
                  <c:v>87.275999999999996</c:v>
                </c:pt>
                <c:pt idx="341">
                  <c:v>87.171999999999997</c:v>
                </c:pt>
                <c:pt idx="342">
                  <c:v>86.376999999999995</c:v>
                </c:pt>
                <c:pt idx="343">
                  <c:v>86.600999999999999</c:v>
                </c:pt>
                <c:pt idx="344">
                  <c:v>86.638000000000005</c:v>
                </c:pt>
                <c:pt idx="345">
                  <c:v>86.790999999999997</c:v>
                </c:pt>
                <c:pt idx="346">
                  <c:v>86.938999999999993</c:v>
                </c:pt>
                <c:pt idx="347">
                  <c:v>87.341999999999999</c:v>
                </c:pt>
                <c:pt idx="348">
                  <c:v>87.51</c:v>
                </c:pt>
                <c:pt idx="349">
                  <c:v>88.275999999999996</c:v>
                </c:pt>
                <c:pt idx="350">
                  <c:v>88.608999999999995</c:v>
                </c:pt>
                <c:pt idx="351">
                  <c:v>88.975999999999999</c:v>
                </c:pt>
                <c:pt idx="352">
                  <c:v>89.498000000000005</c:v>
                </c:pt>
                <c:pt idx="353">
                  <c:v>90.158000000000001</c:v>
                </c:pt>
                <c:pt idx="354">
                  <c:v>90.275999999999996</c:v>
                </c:pt>
                <c:pt idx="355">
                  <c:v>90.263999999999996</c:v>
                </c:pt>
                <c:pt idx="356">
                  <c:v>90.108000000000004</c:v>
                </c:pt>
                <c:pt idx="357">
                  <c:v>90.209000000000003</c:v>
                </c:pt>
                <c:pt idx="358">
                  <c:v>90.411000000000001</c:v>
                </c:pt>
                <c:pt idx="359">
                  <c:v>90.480999999999995</c:v>
                </c:pt>
                <c:pt idx="360">
                  <c:v>90.543999999999997</c:v>
                </c:pt>
                <c:pt idx="361">
                  <c:v>90.706999999999994</c:v>
                </c:pt>
                <c:pt idx="362">
                  <c:v>91.501999999999995</c:v>
                </c:pt>
                <c:pt idx="363">
                  <c:v>91.85</c:v>
                </c:pt>
                <c:pt idx="364">
                  <c:v>92.350999999999999</c:v>
                </c:pt>
                <c:pt idx="365">
                  <c:v>93.363</c:v>
                </c:pt>
                <c:pt idx="366">
                  <c:v>93.795000000000002</c:v>
                </c:pt>
                <c:pt idx="367">
                  <c:v>94.085999999999999</c:v>
                </c:pt>
                <c:pt idx="368">
                  <c:v>94.245999999999995</c:v>
                </c:pt>
                <c:pt idx="369">
                  <c:v>94.825000000000003</c:v>
                </c:pt>
                <c:pt idx="370">
                  <c:v>95.622</c:v>
                </c:pt>
                <c:pt idx="371">
                  <c:v>95.989000000000004</c:v>
                </c:pt>
                <c:pt idx="372">
                  <c:v>96.578000000000003</c:v>
                </c:pt>
                <c:pt idx="373">
                  <c:v>97.566000000000003</c:v>
                </c:pt>
                <c:pt idx="374">
                  <c:v>98.021000000000001</c:v>
                </c:pt>
                <c:pt idx="375">
                  <c:v>99.558999999999997</c:v>
                </c:pt>
                <c:pt idx="376">
                  <c:v>100.426</c:v>
                </c:pt>
                <c:pt idx="377">
                  <c:v>102.181</c:v>
                </c:pt>
                <c:pt idx="378">
                  <c:v>102.611</c:v>
                </c:pt>
                <c:pt idx="379">
                  <c:v>102.723</c:v>
                </c:pt>
                <c:pt idx="380">
                  <c:v>103.623</c:v>
                </c:pt>
                <c:pt idx="381">
                  <c:v>103.971</c:v>
                </c:pt>
                <c:pt idx="382">
                  <c:v>104.337</c:v>
                </c:pt>
                <c:pt idx="383">
                  <c:v>103.456</c:v>
                </c:pt>
                <c:pt idx="384">
                  <c:v>102.399</c:v>
                </c:pt>
                <c:pt idx="385">
                  <c:v>102.867</c:v>
                </c:pt>
                <c:pt idx="386">
                  <c:v>104.017</c:v>
                </c:pt>
                <c:pt idx="387">
                  <c:v>104.669</c:v>
                </c:pt>
                <c:pt idx="388">
                  <c:v>104.98399999999999</c:v>
                </c:pt>
                <c:pt idx="389">
                  <c:v>105.072</c:v>
                </c:pt>
                <c:pt idx="390">
                  <c:v>105.208</c:v>
                </c:pt>
                <c:pt idx="391">
                  <c:v>105.13500000000001</c:v>
                </c:pt>
                <c:pt idx="392">
                  <c:v>104.947</c:v>
                </c:pt>
                <c:pt idx="393">
                  <c:v>104.77500000000001</c:v>
                </c:pt>
                <c:pt idx="394">
                  <c:v>104.651</c:v>
                </c:pt>
                <c:pt idx="395">
                  <c:v>104.65</c:v>
                </c:pt>
                <c:pt idx="396">
                  <c:v>104.61499999999999</c:v>
                </c:pt>
                <c:pt idx="397">
                  <c:v>104.374</c:v>
                </c:pt>
                <c:pt idx="398">
                  <c:v>104.28100000000001</c:v>
                </c:pt>
                <c:pt idx="399">
                  <c:v>104.181</c:v>
                </c:pt>
                <c:pt idx="400">
                  <c:v>104.114</c:v>
                </c:pt>
                <c:pt idx="401">
                  <c:v>103.789</c:v>
                </c:pt>
                <c:pt idx="402">
                  <c:v>103.23699999999999</c:v>
                </c:pt>
                <c:pt idx="403">
                  <c:v>103.051</c:v>
                </c:pt>
                <c:pt idx="404">
                  <c:v>103.02800000000001</c:v>
                </c:pt>
                <c:pt idx="405">
                  <c:v>102.714</c:v>
                </c:pt>
                <c:pt idx="406">
                  <c:v>102.47799999999999</c:v>
                </c:pt>
                <c:pt idx="407">
                  <c:v>102.399</c:v>
                </c:pt>
                <c:pt idx="408">
                  <c:v>102.188</c:v>
                </c:pt>
                <c:pt idx="409">
                  <c:v>102.054</c:v>
                </c:pt>
                <c:pt idx="410">
                  <c:v>102.021</c:v>
                </c:pt>
                <c:pt idx="411">
                  <c:v>101.955</c:v>
                </c:pt>
                <c:pt idx="412">
                  <c:v>101.87</c:v>
                </c:pt>
                <c:pt idx="413">
                  <c:v>101.857</c:v>
                </c:pt>
                <c:pt idx="414">
                  <c:v>101.872</c:v>
                </c:pt>
                <c:pt idx="415">
                  <c:v>101.88</c:v>
                </c:pt>
                <c:pt idx="416">
                  <c:v>101.88500000000001</c:v>
                </c:pt>
                <c:pt idx="417">
                  <c:v>101.922</c:v>
                </c:pt>
                <c:pt idx="418">
                  <c:v>102.03100000000001</c:v>
                </c:pt>
                <c:pt idx="419">
                  <c:v>102.05</c:v>
                </c:pt>
                <c:pt idx="420">
                  <c:v>102.131</c:v>
                </c:pt>
                <c:pt idx="421">
                  <c:v>102.08</c:v>
                </c:pt>
                <c:pt idx="422">
                  <c:v>102.114</c:v>
                </c:pt>
                <c:pt idx="423">
                  <c:v>102.108</c:v>
                </c:pt>
                <c:pt idx="424">
                  <c:v>102.072</c:v>
                </c:pt>
                <c:pt idx="425">
                  <c:v>102.1</c:v>
                </c:pt>
                <c:pt idx="426">
                  <c:v>102.018</c:v>
                </c:pt>
              </c:numCache>
            </c:numRef>
          </c:val>
          <c:extLst>
            <c:ext xmlns:c16="http://schemas.microsoft.com/office/drawing/2014/chart" uri="{C3380CC4-5D6E-409C-BE32-E72D297353CC}">
              <c16:uniqueId val="{00000000-2E67-4D30-86A8-4220086BECCA}"/>
            </c:ext>
          </c:extLst>
        </c:ser>
        <c:dLbls>
          <c:showLegendKey val="0"/>
          <c:showVal val="0"/>
          <c:showCatName val="0"/>
          <c:showSerName val="0"/>
          <c:showPercent val="0"/>
          <c:showBubbleSize val="0"/>
        </c:dLbls>
        <c:axId val="1377858048"/>
        <c:axId val="1377860224"/>
      </c:areaChart>
      <c:lineChart>
        <c:grouping val="standard"/>
        <c:varyColors val="0"/>
        <c:ser>
          <c:idx val="1"/>
          <c:order val="1"/>
          <c:tx>
            <c:strRef>
              <c:f>'[Hartije od vrednosti na medjunarodnom trzistu SAJT.xlsx]EUROBOND 2029 offline'!$C$4</c:f>
              <c:strCache>
                <c:ptCount val="1"/>
                <c:pt idx="0">
                  <c:v>Срењни принос до доспећа</c:v>
                </c:pt>
              </c:strCache>
            </c:strRef>
          </c:tx>
          <c:marker>
            <c:symbol val="none"/>
          </c:marker>
          <c:dLbls>
            <c:dLbl>
              <c:idx val="41"/>
              <c:layout>
                <c:manualLayout>
                  <c:x val="-6.4560820624546114E-2"/>
                  <c:y val="-3.919753086419753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E67-4D30-86A8-4220086BECCA}"/>
                </c:ext>
              </c:extLst>
            </c:dLbl>
            <c:spPr>
              <a:noFill/>
              <a:ln>
                <a:noFill/>
              </a:ln>
              <a:effectLst/>
            </c:spPr>
            <c:txPr>
              <a:bodyPr wrap="square" lIns="38100" tIns="19050" rIns="38100" bIns="19050" anchor="ctr">
                <a:spAutoFit/>
              </a:bodyPr>
              <a:lstStyle/>
              <a:p>
                <a:pPr>
                  <a:defRPr b="1"/>
                </a:pPr>
                <a:endParaRPr lang="en-US"/>
              </a:p>
            </c:txPr>
            <c:showLegendKey val="0"/>
            <c:showVal val="0"/>
            <c:showCatName val="0"/>
            <c:showSerName val="0"/>
            <c:showPercent val="0"/>
            <c:showBubbleSize val="0"/>
            <c:extLst>
              <c:ext xmlns:c15="http://schemas.microsoft.com/office/drawing/2012/chart" uri="{CE6537A1-D6FC-4f65-9D91-7224C49458BB}">
                <c15:showLeaderLines val="0"/>
              </c:ext>
            </c:extLst>
          </c:dLbls>
          <c:cat>
            <c:numRef>
              <c:f>'[Hartije od vrednosti na medjunarodnom trzistu SAJT.xlsx]EUROBOND 2029 offline'!$A$31:$A$457</c:f>
              <c:numCache>
                <c:formatCode>dd\/mm\/yy</c:formatCode>
                <c:ptCount val="427"/>
                <c:pt idx="0">
                  <c:v>44439</c:v>
                </c:pt>
                <c:pt idx="1">
                  <c:v>44438</c:v>
                </c:pt>
                <c:pt idx="2">
                  <c:v>44435</c:v>
                </c:pt>
                <c:pt idx="3">
                  <c:v>44434</c:v>
                </c:pt>
                <c:pt idx="4">
                  <c:v>44433</c:v>
                </c:pt>
                <c:pt idx="5">
                  <c:v>44432</c:v>
                </c:pt>
                <c:pt idx="6">
                  <c:v>44431</c:v>
                </c:pt>
                <c:pt idx="7">
                  <c:v>44428</c:v>
                </c:pt>
                <c:pt idx="8">
                  <c:v>44427</c:v>
                </c:pt>
                <c:pt idx="9">
                  <c:v>44426</c:v>
                </c:pt>
                <c:pt idx="10">
                  <c:v>44425</c:v>
                </c:pt>
                <c:pt idx="11">
                  <c:v>44424</c:v>
                </c:pt>
                <c:pt idx="12">
                  <c:v>44421</c:v>
                </c:pt>
                <c:pt idx="13">
                  <c:v>44420</c:v>
                </c:pt>
                <c:pt idx="14">
                  <c:v>44419</c:v>
                </c:pt>
                <c:pt idx="15">
                  <c:v>44418</c:v>
                </c:pt>
                <c:pt idx="16">
                  <c:v>44417</c:v>
                </c:pt>
                <c:pt idx="17">
                  <c:v>44414</c:v>
                </c:pt>
                <c:pt idx="18">
                  <c:v>44413</c:v>
                </c:pt>
                <c:pt idx="19">
                  <c:v>44412</c:v>
                </c:pt>
                <c:pt idx="20">
                  <c:v>44411</c:v>
                </c:pt>
                <c:pt idx="21">
                  <c:v>44410</c:v>
                </c:pt>
                <c:pt idx="22">
                  <c:v>44407</c:v>
                </c:pt>
                <c:pt idx="23">
                  <c:v>44406</c:v>
                </c:pt>
                <c:pt idx="24">
                  <c:v>44405</c:v>
                </c:pt>
                <c:pt idx="25">
                  <c:v>44404</c:v>
                </c:pt>
                <c:pt idx="26">
                  <c:v>44403</c:v>
                </c:pt>
                <c:pt idx="27">
                  <c:v>44400</c:v>
                </c:pt>
                <c:pt idx="28">
                  <c:v>44399</c:v>
                </c:pt>
                <c:pt idx="29">
                  <c:v>44398</c:v>
                </c:pt>
                <c:pt idx="30">
                  <c:v>44397</c:v>
                </c:pt>
                <c:pt idx="31">
                  <c:v>44396</c:v>
                </c:pt>
                <c:pt idx="32">
                  <c:v>44393</c:v>
                </c:pt>
                <c:pt idx="33">
                  <c:v>44392</c:v>
                </c:pt>
                <c:pt idx="34">
                  <c:v>44391</c:v>
                </c:pt>
                <c:pt idx="35">
                  <c:v>44390</c:v>
                </c:pt>
                <c:pt idx="36">
                  <c:v>44389</c:v>
                </c:pt>
                <c:pt idx="37">
                  <c:v>44386</c:v>
                </c:pt>
                <c:pt idx="38">
                  <c:v>44385</c:v>
                </c:pt>
                <c:pt idx="39">
                  <c:v>44384</c:v>
                </c:pt>
                <c:pt idx="40">
                  <c:v>44383</c:v>
                </c:pt>
                <c:pt idx="41">
                  <c:v>44382</c:v>
                </c:pt>
                <c:pt idx="42">
                  <c:v>44379</c:v>
                </c:pt>
                <c:pt idx="43">
                  <c:v>44378</c:v>
                </c:pt>
                <c:pt idx="44">
                  <c:v>44377</c:v>
                </c:pt>
                <c:pt idx="45">
                  <c:v>44376</c:v>
                </c:pt>
                <c:pt idx="46">
                  <c:v>44375</c:v>
                </c:pt>
                <c:pt idx="47">
                  <c:v>44372</c:v>
                </c:pt>
                <c:pt idx="48">
                  <c:v>44371</c:v>
                </c:pt>
                <c:pt idx="49">
                  <c:v>44370</c:v>
                </c:pt>
                <c:pt idx="50">
                  <c:v>44369</c:v>
                </c:pt>
                <c:pt idx="51">
                  <c:v>44368</c:v>
                </c:pt>
                <c:pt idx="52">
                  <c:v>44365</c:v>
                </c:pt>
                <c:pt idx="53">
                  <c:v>44364</c:v>
                </c:pt>
                <c:pt idx="54">
                  <c:v>44363</c:v>
                </c:pt>
                <c:pt idx="55">
                  <c:v>44362</c:v>
                </c:pt>
                <c:pt idx="56">
                  <c:v>44361</c:v>
                </c:pt>
                <c:pt idx="57">
                  <c:v>44358</c:v>
                </c:pt>
                <c:pt idx="58">
                  <c:v>44357</c:v>
                </c:pt>
                <c:pt idx="59">
                  <c:v>44356</c:v>
                </c:pt>
                <c:pt idx="60">
                  <c:v>44355</c:v>
                </c:pt>
                <c:pt idx="61">
                  <c:v>44354</c:v>
                </c:pt>
                <c:pt idx="62">
                  <c:v>44351</c:v>
                </c:pt>
                <c:pt idx="63">
                  <c:v>44350</c:v>
                </c:pt>
                <c:pt idx="64">
                  <c:v>44349</c:v>
                </c:pt>
                <c:pt idx="65">
                  <c:v>44348</c:v>
                </c:pt>
                <c:pt idx="66">
                  <c:v>44347</c:v>
                </c:pt>
                <c:pt idx="67">
                  <c:v>44344</c:v>
                </c:pt>
                <c:pt idx="68">
                  <c:v>44343</c:v>
                </c:pt>
                <c:pt idx="69">
                  <c:v>44342</c:v>
                </c:pt>
                <c:pt idx="70">
                  <c:v>44341</c:v>
                </c:pt>
                <c:pt idx="71">
                  <c:v>44340</c:v>
                </c:pt>
                <c:pt idx="72">
                  <c:v>44337</c:v>
                </c:pt>
                <c:pt idx="73">
                  <c:v>44336</c:v>
                </c:pt>
                <c:pt idx="74">
                  <c:v>44335</c:v>
                </c:pt>
                <c:pt idx="75">
                  <c:v>44334</c:v>
                </c:pt>
                <c:pt idx="76">
                  <c:v>44333</c:v>
                </c:pt>
                <c:pt idx="77">
                  <c:v>44330</c:v>
                </c:pt>
                <c:pt idx="78">
                  <c:v>44329</c:v>
                </c:pt>
                <c:pt idx="79">
                  <c:v>44328</c:v>
                </c:pt>
                <c:pt idx="80">
                  <c:v>44327</c:v>
                </c:pt>
                <c:pt idx="81">
                  <c:v>44326</c:v>
                </c:pt>
                <c:pt idx="82">
                  <c:v>44323</c:v>
                </c:pt>
                <c:pt idx="83">
                  <c:v>44322</c:v>
                </c:pt>
                <c:pt idx="84">
                  <c:v>44321</c:v>
                </c:pt>
                <c:pt idx="85">
                  <c:v>44320</c:v>
                </c:pt>
                <c:pt idx="86">
                  <c:v>44319</c:v>
                </c:pt>
                <c:pt idx="87">
                  <c:v>44316</c:v>
                </c:pt>
                <c:pt idx="88">
                  <c:v>44315</c:v>
                </c:pt>
                <c:pt idx="89">
                  <c:v>44314</c:v>
                </c:pt>
                <c:pt idx="90">
                  <c:v>44313</c:v>
                </c:pt>
                <c:pt idx="91">
                  <c:v>44312</c:v>
                </c:pt>
                <c:pt idx="92">
                  <c:v>44309</c:v>
                </c:pt>
                <c:pt idx="93">
                  <c:v>44308</c:v>
                </c:pt>
                <c:pt idx="94">
                  <c:v>44307</c:v>
                </c:pt>
                <c:pt idx="95">
                  <c:v>44306</c:v>
                </c:pt>
                <c:pt idx="96">
                  <c:v>44305</c:v>
                </c:pt>
                <c:pt idx="97">
                  <c:v>44302</c:v>
                </c:pt>
                <c:pt idx="98">
                  <c:v>44301</c:v>
                </c:pt>
                <c:pt idx="99">
                  <c:v>44300</c:v>
                </c:pt>
                <c:pt idx="100">
                  <c:v>44299</c:v>
                </c:pt>
                <c:pt idx="101">
                  <c:v>44298</c:v>
                </c:pt>
                <c:pt idx="102">
                  <c:v>44295</c:v>
                </c:pt>
                <c:pt idx="103">
                  <c:v>44294</c:v>
                </c:pt>
                <c:pt idx="104">
                  <c:v>44293</c:v>
                </c:pt>
                <c:pt idx="105">
                  <c:v>44292</c:v>
                </c:pt>
                <c:pt idx="106">
                  <c:v>44287</c:v>
                </c:pt>
                <c:pt idx="107">
                  <c:v>44286</c:v>
                </c:pt>
                <c:pt idx="108">
                  <c:v>44285</c:v>
                </c:pt>
                <c:pt idx="109">
                  <c:v>44284</c:v>
                </c:pt>
                <c:pt idx="110">
                  <c:v>44281</c:v>
                </c:pt>
                <c:pt idx="111">
                  <c:v>44280</c:v>
                </c:pt>
                <c:pt idx="112">
                  <c:v>44279</c:v>
                </c:pt>
                <c:pt idx="113">
                  <c:v>44278</c:v>
                </c:pt>
                <c:pt idx="114">
                  <c:v>44277</c:v>
                </c:pt>
                <c:pt idx="115">
                  <c:v>44274</c:v>
                </c:pt>
                <c:pt idx="116">
                  <c:v>44273</c:v>
                </c:pt>
                <c:pt idx="117">
                  <c:v>44272</c:v>
                </c:pt>
                <c:pt idx="118">
                  <c:v>44271</c:v>
                </c:pt>
                <c:pt idx="119">
                  <c:v>44270</c:v>
                </c:pt>
                <c:pt idx="120">
                  <c:v>44267</c:v>
                </c:pt>
                <c:pt idx="121">
                  <c:v>44266</c:v>
                </c:pt>
                <c:pt idx="122">
                  <c:v>44265</c:v>
                </c:pt>
                <c:pt idx="123">
                  <c:v>44264</c:v>
                </c:pt>
                <c:pt idx="124">
                  <c:v>44263</c:v>
                </c:pt>
                <c:pt idx="125">
                  <c:v>44260</c:v>
                </c:pt>
                <c:pt idx="126">
                  <c:v>44259</c:v>
                </c:pt>
                <c:pt idx="127">
                  <c:v>44258</c:v>
                </c:pt>
                <c:pt idx="128">
                  <c:v>44257</c:v>
                </c:pt>
                <c:pt idx="129">
                  <c:v>44256</c:v>
                </c:pt>
                <c:pt idx="130">
                  <c:v>44253</c:v>
                </c:pt>
                <c:pt idx="131">
                  <c:v>44252</c:v>
                </c:pt>
                <c:pt idx="132">
                  <c:v>44251</c:v>
                </c:pt>
                <c:pt idx="133">
                  <c:v>44250</c:v>
                </c:pt>
                <c:pt idx="134">
                  <c:v>44249</c:v>
                </c:pt>
                <c:pt idx="135">
                  <c:v>44246</c:v>
                </c:pt>
                <c:pt idx="136">
                  <c:v>44245</c:v>
                </c:pt>
                <c:pt idx="137">
                  <c:v>44244</c:v>
                </c:pt>
                <c:pt idx="138">
                  <c:v>44243</c:v>
                </c:pt>
                <c:pt idx="139">
                  <c:v>44242</c:v>
                </c:pt>
                <c:pt idx="140">
                  <c:v>44239</c:v>
                </c:pt>
                <c:pt idx="141">
                  <c:v>44238</c:v>
                </c:pt>
                <c:pt idx="142">
                  <c:v>44237</c:v>
                </c:pt>
                <c:pt idx="143">
                  <c:v>44236</c:v>
                </c:pt>
                <c:pt idx="144">
                  <c:v>44235</c:v>
                </c:pt>
                <c:pt idx="145">
                  <c:v>44232</c:v>
                </c:pt>
                <c:pt idx="146">
                  <c:v>44231</c:v>
                </c:pt>
                <c:pt idx="147">
                  <c:v>44230</c:v>
                </c:pt>
                <c:pt idx="148">
                  <c:v>44229</c:v>
                </c:pt>
                <c:pt idx="149">
                  <c:v>44228</c:v>
                </c:pt>
                <c:pt idx="150">
                  <c:v>44225</c:v>
                </c:pt>
                <c:pt idx="151">
                  <c:v>44224</c:v>
                </c:pt>
                <c:pt idx="152">
                  <c:v>44223</c:v>
                </c:pt>
                <c:pt idx="153">
                  <c:v>44222</c:v>
                </c:pt>
                <c:pt idx="154">
                  <c:v>44221</c:v>
                </c:pt>
                <c:pt idx="155">
                  <c:v>44218</c:v>
                </c:pt>
                <c:pt idx="156">
                  <c:v>44217</c:v>
                </c:pt>
                <c:pt idx="157">
                  <c:v>44216</c:v>
                </c:pt>
                <c:pt idx="158">
                  <c:v>44215</c:v>
                </c:pt>
                <c:pt idx="159">
                  <c:v>44214</c:v>
                </c:pt>
                <c:pt idx="160">
                  <c:v>44211</c:v>
                </c:pt>
                <c:pt idx="161">
                  <c:v>44210</c:v>
                </c:pt>
                <c:pt idx="162">
                  <c:v>44209</c:v>
                </c:pt>
                <c:pt idx="163">
                  <c:v>44208</c:v>
                </c:pt>
                <c:pt idx="164">
                  <c:v>44207</c:v>
                </c:pt>
                <c:pt idx="165">
                  <c:v>44204</c:v>
                </c:pt>
                <c:pt idx="166">
                  <c:v>44203</c:v>
                </c:pt>
                <c:pt idx="167">
                  <c:v>44202</c:v>
                </c:pt>
                <c:pt idx="168">
                  <c:v>44201</c:v>
                </c:pt>
                <c:pt idx="169">
                  <c:v>44200</c:v>
                </c:pt>
                <c:pt idx="170">
                  <c:v>44196</c:v>
                </c:pt>
                <c:pt idx="171">
                  <c:v>44195</c:v>
                </c:pt>
                <c:pt idx="172">
                  <c:v>44194</c:v>
                </c:pt>
                <c:pt idx="173">
                  <c:v>44193</c:v>
                </c:pt>
                <c:pt idx="174">
                  <c:v>44189</c:v>
                </c:pt>
                <c:pt idx="175">
                  <c:v>44188</c:v>
                </c:pt>
                <c:pt idx="176">
                  <c:v>44187</c:v>
                </c:pt>
                <c:pt idx="177">
                  <c:v>44186</c:v>
                </c:pt>
                <c:pt idx="178">
                  <c:v>44183</c:v>
                </c:pt>
                <c:pt idx="179">
                  <c:v>44182</c:v>
                </c:pt>
                <c:pt idx="180">
                  <c:v>44181</c:v>
                </c:pt>
                <c:pt idx="181">
                  <c:v>44180</c:v>
                </c:pt>
                <c:pt idx="182">
                  <c:v>44179</c:v>
                </c:pt>
                <c:pt idx="183">
                  <c:v>44176</c:v>
                </c:pt>
                <c:pt idx="184">
                  <c:v>44175</c:v>
                </c:pt>
                <c:pt idx="185">
                  <c:v>44174</c:v>
                </c:pt>
                <c:pt idx="186">
                  <c:v>44173</c:v>
                </c:pt>
                <c:pt idx="187">
                  <c:v>44172</c:v>
                </c:pt>
                <c:pt idx="188">
                  <c:v>44169</c:v>
                </c:pt>
                <c:pt idx="189">
                  <c:v>44168</c:v>
                </c:pt>
                <c:pt idx="190">
                  <c:v>44167</c:v>
                </c:pt>
                <c:pt idx="191">
                  <c:v>44166</c:v>
                </c:pt>
                <c:pt idx="192">
                  <c:v>44165</c:v>
                </c:pt>
                <c:pt idx="193">
                  <c:v>44162</c:v>
                </c:pt>
                <c:pt idx="194">
                  <c:v>44161</c:v>
                </c:pt>
                <c:pt idx="195">
                  <c:v>44160</c:v>
                </c:pt>
                <c:pt idx="196">
                  <c:v>44159</c:v>
                </c:pt>
                <c:pt idx="197">
                  <c:v>44158</c:v>
                </c:pt>
                <c:pt idx="198">
                  <c:v>44155</c:v>
                </c:pt>
                <c:pt idx="199">
                  <c:v>44154</c:v>
                </c:pt>
                <c:pt idx="200">
                  <c:v>44153</c:v>
                </c:pt>
                <c:pt idx="201">
                  <c:v>44152</c:v>
                </c:pt>
                <c:pt idx="202">
                  <c:v>44151</c:v>
                </c:pt>
                <c:pt idx="203">
                  <c:v>44148</c:v>
                </c:pt>
                <c:pt idx="204">
                  <c:v>44147</c:v>
                </c:pt>
                <c:pt idx="205">
                  <c:v>44146</c:v>
                </c:pt>
                <c:pt idx="206">
                  <c:v>44145</c:v>
                </c:pt>
                <c:pt idx="207">
                  <c:v>44144</c:v>
                </c:pt>
                <c:pt idx="208">
                  <c:v>44141</c:v>
                </c:pt>
                <c:pt idx="209">
                  <c:v>44140</c:v>
                </c:pt>
                <c:pt idx="210">
                  <c:v>44139</c:v>
                </c:pt>
                <c:pt idx="211">
                  <c:v>44138</c:v>
                </c:pt>
                <c:pt idx="212">
                  <c:v>44137</c:v>
                </c:pt>
                <c:pt idx="213">
                  <c:v>44134</c:v>
                </c:pt>
                <c:pt idx="214">
                  <c:v>44133</c:v>
                </c:pt>
                <c:pt idx="215">
                  <c:v>44132</c:v>
                </c:pt>
                <c:pt idx="216">
                  <c:v>44131</c:v>
                </c:pt>
                <c:pt idx="217">
                  <c:v>44130</c:v>
                </c:pt>
                <c:pt idx="218">
                  <c:v>44127</c:v>
                </c:pt>
                <c:pt idx="219">
                  <c:v>44126</c:v>
                </c:pt>
                <c:pt idx="220">
                  <c:v>44125</c:v>
                </c:pt>
                <c:pt idx="221">
                  <c:v>44124</c:v>
                </c:pt>
                <c:pt idx="222">
                  <c:v>44123</c:v>
                </c:pt>
                <c:pt idx="223">
                  <c:v>44120</c:v>
                </c:pt>
                <c:pt idx="224">
                  <c:v>44119</c:v>
                </c:pt>
                <c:pt idx="225">
                  <c:v>44118</c:v>
                </c:pt>
                <c:pt idx="226">
                  <c:v>44117</c:v>
                </c:pt>
                <c:pt idx="227">
                  <c:v>44116</c:v>
                </c:pt>
                <c:pt idx="228">
                  <c:v>44113</c:v>
                </c:pt>
                <c:pt idx="229">
                  <c:v>44112</c:v>
                </c:pt>
                <c:pt idx="230">
                  <c:v>44111</c:v>
                </c:pt>
                <c:pt idx="231">
                  <c:v>44110</c:v>
                </c:pt>
                <c:pt idx="232">
                  <c:v>44109</c:v>
                </c:pt>
                <c:pt idx="233">
                  <c:v>44106</c:v>
                </c:pt>
                <c:pt idx="234">
                  <c:v>44105</c:v>
                </c:pt>
                <c:pt idx="235">
                  <c:v>44104</c:v>
                </c:pt>
                <c:pt idx="236">
                  <c:v>44103</c:v>
                </c:pt>
                <c:pt idx="237">
                  <c:v>44102</c:v>
                </c:pt>
                <c:pt idx="238">
                  <c:v>44099</c:v>
                </c:pt>
                <c:pt idx="239">
                  <c:v>44098</c:v>
                </c:pt>
                <c:pt idx="240">
                  <c:v>44097</c:v>
                </c:pt>
                <c:pt idx="241">
                  <c:v>44096</c:v>
                </c:pt>
                <c:pt idx="242">
                  <c:v>44095</c:v>
                </c:pt>
                <c:pt idx="243">
                  <c:v>44092</c:v>
                </c:pt>
                <c:pt idx="244">
                  <c:v>44091</c:v>
                </c:pt>
                <c:pt idx="245">
                  <c:v>44090</c:v>
                </c:pt>
                <c:pt idx="246">
                  <c:v>44089</c:v>
                </c:pt>
                <c:pt idx="247">
                  <c:v>44088</c:v>
                </c:pt>
                <c:pt idx="248">
                  <c:v>44085</c:v>
                </c:pt>
                <c:pt idx="249">
                  <c:v>44084</c:v>
                </c:pt>
                <c:pt idx="250">
                  <c:v>44083</c:v>
                </c:pt>
                <c:pt idx="251">
                  <c:v>44082</c:v>
                </c:pt>
                <c:pt idx="252">
                  <c:v>44081</c:v>
                </c:pt>
                <c:pt idx="253">
                  <c:v>44078</c:v>
                </c:pt>
                <c:pt idx="254">
                  <c:v>44077</c:v>
                </c:pt>
                <c:pt idx="255">
                  <c:v>44076</c:v>
                </c:pt>
                <c:pt idx="256">
                  <c:v>44075</c:v>
                </c:pt>
                <c:pt idx="257">
                  <c:v>44074</c:v>
                </c:pt>
                <c:pt idx="258">
                  <c:v>44071</c:v>
                </c:pt>
                <c:pt idx="259">
                  <c:v>44070</c:v>
                </c:pt>
                <c:pt idx="260">
                  <c:v>44069</c:v>
                </c:pt>
                <c:pt idx="261">
                  <c:v>44068</c:v>
                </c:pt>
                <c:pt idx="262">
                  <c:v>44067</c:v>
                </c:pt>
                <c:pt idx="263">
                  <c:v>44064</c:v>
                </c:pt>
                <c:pt idx="264">
                  <c:v>44063</c:v>
                </c:pt>
                <c:pt idx="265">
                  <c:v>44062</c:v>
                </c:pt>
                <c:pt idx="266">
                  <c:v>44061</c:v>
                </c:pt>
                <c:pt idx="267">
                  <c:v>44060</c:v>
                </c:pt>
                <c:pt idx="268">
                  <c:v>44057</c:v>
                </c:pt>
                <c:pt idx="269">
                  <c:v>44056</c:v>
                </c:pt>
                <c:pt idx="270">
                  <c:v>44055</c:v>
                </c:pt>
                <c:pt idx="271">
                  <c:v>44054</c:v>
                </c:pt>
                <c:pt idx="272">
                  <c:v>44053</c:v>
                </c:pt>
                <c:pt idx="273">
                  <c:v>44050</c:v>
                </c:pt>
                <c:pt idx="274">
                  <c:v>44049</c:v>
                </c:pt>
                <c:pt idx="275">
                  <c:v>44048</c:v>
                </c:pt>
                <c:pt idx="276">
                  <c:v>44047</c:v>
                </c:pt>
                <c:pt idx="277">
                  <c:v>44046</c:v>
                </c:pt>
                <c:pt idx="278">
                  <c:v>44043</c:v>
                </c:pt>
                <c:pt idx="279">
                  <c:v>44042</c:v>
                </c:pt>
                <c:pt idx="280">
                  <c:v>44041</c:v>
                </c:pt>
                <c:pt idx="281">
                  <c:v>44040</c:v>
                </c:pt>
                <c:pt idx="282">
                  <c:v>44039</c:v>
                </c:pt>
                <c:pt idx="283">
                  <c:v>44036</c:v>
                </c:pt>
                <c:pt idx="284">
                  <c:v>44035</c:v>
                </c:pt>
                <c:pt idx="285">
                  <c:v>44034</c:v>
                </c:pt>
                <c:pt idx="286">
                  <c:v>44033</c:v>
                </c:pt>
                <c:pt idx="287">
                  <c:v>44032</c:v>
                </c:pt>
                <c:pt idx="288">
                  <c:v>44029</c:v>
                </c:pt>
                <c:pt idx="289">
                  <c:v>44028</c:v>
                </c:pt>
                <c:pt idx="290">
                  <c:v>44027</c:v>
                </c:pt>
                <c:pt idx="291">
                  <c:v>44026</c:v>
                </c:pt>
                <c:pt idx="292">
                  <c:v>44025</c:v>
                </c:pt>
                <c:pt idx="293">
                  <c:v>44022</c:v>
                </c:pt>
                <c:pt idx="294">
                  <c:v>44021</c:v>
                </c:pt>
                <c:pt idx="295">
                  <c:v>44020</c:v>
                </c:pt>
                <c:pt idx="296">
                  <c:v>44019</c:v>
                </c:pt>
                <c:pt idx="297">
                  <c:v>44018</c:v>
                </c:pt>
                <c:pt idx="298">
                  <c:v>44015</c:v>
                </c:pt>
                <c:pt idx="299">
                  <c:v>44014</c:v>
                </c:pt>
                <c:pt idx="300">
                  <c:v>44013</c:v>
                </c:pt>
                <c:pt idx="301">
                  <c:v>44012</c:v>
                </c:pt>
                <c:pt idx="302">
                  <c:v>44011</c:v>
                </c:pt>
                <c:pt idx="303">
                  <c:v>44008</c:v>
                </c:pt>
                <c:pt idx="304">
                  <c:v>44007</c:v>
                </c:pt>
                <c:pt idx="305">
                  <c:v>44006</c:v>
                </c:pt>
                <c:pt idx="306">
                  <c:v>44005</c:v>
                </c:pt>
                <c:pt idx="307">
                  <c:v>44004</c:v>
                </c:pt>
                <c:pt idx="308">
                  <c:v>44001</c:v>
                </c:pt>
                <c:pt idx="309">
                  <c:v>44000</c:v>
                </c:pt>
                <c:pt idx="310">
                  <c:v>43999</c:v>
                </c:pt>
                <c:pt idx="311">
                  <c:v>43998</c:v>
                </c:pt>
                <c:pt idx="312">
                  <c:v>43997</c:v>
                </c:pt>
                <c:pt idx="313">
                  <c:v>43994</c:v>
                </c:pt>
                <c:pt idx="314">
                  <c:v>43993</c:v>
                </c:pt>
                <c:pt idx="315">
                  <c:v>43992</c:v>
                </c:pt>
                <c:pt idx="316">
                  <c:v>43991</c:v>
                </c:pt>
                <c:pt idx="317">
                  <c:v>43990</c:v>
                </c:pt>
                <c:pt idx="318">
                  <c:v>43987</c:v>
                </c:pt>
                <c:pt idx="319">
                  <c:v>43986</c:v>
                </c:pt>
                <c:pt idx="320">
                  <c:v>43985</c:v>
                </c:pt>
                <c:pt idx="321">
                  <c:v>43984</c:v>
                </c:pt>
                <c:pt idx="322">
                  <c:v>43983</c:v>
                </c:pt>
                <c:pt idx="323">
                  <c:v>43980</c:v>
                </c:pt>
                <c:pt idx="324">
                  <c:v>43979</c:v>
                </c:pt>
                <c:pt idx="325">
                  <c:v>43978</c:v>
                </c:pt>
                <c:pt idx="326">
                  <c:v>43977</c:v>
                </c:pt>
                <c:pt idx="327">
                  <c:v>43976</c:v>
                </c:pt>
                <c:pt idx="328">
                  <c:v>43973</c:v>
                </c:pt>
                <c:pt idx="329">
                  <c:v>43972</c:v>
                </c:pt>
                <c:pt idx="330">
                  <c:v>43971</c:v>
                </c:pt>
                <c:pt idx="331">
                  <c:v>43970</c:v>
                </c:pt>
                <c:pt idx="332">
                  <c:v>43969</c:v>
                </c:pt>
                <c:pt idx="333">
                  <c:v>43966</c:v>
                </c:pt>
                <c:pt idx="334">
                  <c:v>43965</c:v>
                </c:pt>
                <c:pt idx="335">
                  <c:v>43964</c:v>
                </c:pt>
                <c:pt idx="336">
                  <c:v>43963</c:v>
                </c:pt>
                <c:pt idx="337">
                  <c:v>43962</c:v>
                </c:pt>
                <c:pt idx="338">
                  <c:v>43959</c:v>
                </c:pt>
                <c:pt idx="339">
                  <c:v>43958</c:v>
                </c:pt>
                <c:pt idx="340">
                  <c:v>43957</c:v>
                </c:pt>
                <c:pt idx="341">
                  <c:v>43956</c:v>
                </c:pt>
                <c:pt idx="342">
                  <c:v>43955</c:v>
                </c:pt>
                <c:pt idx="343">
                  <c:v>43951</c:v>
                </c:pt>
                <c:pt idx="344">
                  <c:v>43950</c:v>
                </c:pt>
                <c:pt idx="345">
                  <c:v>43949</c:v>
                </c:pt>
                <c:pt idx="346">
                  <c:v>43948</c:v>
                </c:pt>
                <c:pt idx="347">
                  <c:v>43945</c:v>
                </c:pt>
                <c:pt idx="348">
                  <c:v>43944</c:v>
                </c:pt>
                <c:pt idx="349">
                  <c:v>43943</c:v>
                </c:pt>
                <c:pt idx="350">
                  <c:v>43942</c:v>
                </c:pt>
                <c:pt idx="351">
                  <c:v>43941</c:v>
                </c:pt>
                <c:pt idx="352">
                  <c:v>43938</c:v>
                </c:pt>
                <c:pt idx="353">
                  <c:v>43937</c:v>
                </c:pt>
                <c:pt idx="354">
                  <c:v>43936</c:v>
                </c:pt>
                <c:pt idx="355">
                  <c:v>43935</c:v>
                </c:pt>
                <c:pt idx="356">
                  <c:v>43930</c:v>
                </c:pt>
                <c:pt idx="357">
                  <c:v>43929</c:v>
                </c:pt>
                <c:pt idx="358">
                  <c:v>43928</c:v>
                </c:pt>
                <c:pt idx="359">
                  <c:v>43927</c:v>
                </c:pt>
                <c:pt idx="360">
                  <c:v>43924</c:v>
                </c:pt>
                <c:pt idx="361">
                  <c:v>43923</c:v>
                </c:pt>
                <c:pt idx="362">
                  <c:v>43922</c:v>
                </c:pt>
                <c:pt idx="363">
                  <c:v>43921</c:v>
                </c:pt>
                <c:pt idx="364">
                  <c:v>43920</c:v>
                </c:pt>
                <c:pt idx="365">
                  <c:v>43917</c:v>
                </c:pt>
                <c:pt idx="366">
                  <c:v>43916</c:v>
                </c:pt>
                <c:pt idx="367">
                  <c:v>43915</c:v>
                </c:pt>
                <c:pt idx="368">
                  <c:v>43914</c:v>
                </c:pt>
                <c:pt idx="369">
                  <c:v>43913</c:v>
                </c:pt>
                <c:pt idx="370">
                  <c:v>43910</c:v>
                </c:pt>
                <c:pt idx="371">
                  <c:v>43909</c:v>
                </c:pt>
                <c:pt idx="372">
                  <c:v>43908</c:v>
                </c:pt>
                <c:pt idx="373">
                  <c:v>43907</c:v>
                </c:pt>
                <c:pt idx="374">
                  <c:v>43906</c:v>
                </c:pt>
                <c:pt idx="375">
                  <c:v>43903</c:v>
                </c:pt>
                <c:pt idx="376">
                  <c:v>43902</c:v>
                </c:pt>
                <c:pt idx="377">
                  <c:v>43901</c:v>
                </c:pt>
                <c:pt idx="378">
                  <c:v>43900</c:v>
                </c:pt>
                <c:pt idx="379">
                  <c:v>43899</c:v>
                </c:pt>
                <c:pt idx="380">
                  <c:v>43896</c:v>
                </c:pt>
                <c:pt idx="381">
                  <c:v>43895</c:v>
                </c:pt>
                <c:pt idx="382">
                  <c:v>43894</c:v>
                </c:pt>
                <c:pt idx="383">
                  <c:v>43893</c:v>
                </c:pt>
                <c:pt idx="384">
                  <c:v>43892</c:v>
                </c:pt>
                <c:pt idx="385">
                  <c:v>43889</c:v>
                </c:pt>
                <c:pt idx="386">
                  <c:v>43888</c:v>
                </c:pt>
                <c:pt idx="387">
                  <c:v>43887</c:v>
                </c:pt>
                <c:pt idx="388">
                  <c:v>43886</c:v>
                </c:pt>
                <c:pt idx="389">
                  <c:v>43885</c:v>
                </c:pt>
                <c:pt idx="390">
                  <c:v>43882</c:v>
                </c:pt>
                <c:pt idx="391">
                  <c:v>43881</c:v>
                </c:pt>
                <c:pt idx="392">
                  <c:v>43880</c:v>
                </c:pt>
                <c:pt idx="393">
                  <c:v>43879</c:v>
                </c:pt>
                <c:pt idx="394">
                  <c:v>43878</c:v>
                </c:pt>
                <c:pt idx="395">
                  <c:v>43875</c:v>
                </c:pt>
                <c:pt idx="396">
                  <c:v>43874</c:v>
                </c:pt>
                <c:pt idx="397">
                  <c:v>43873</c:v>
                </c:pt>
                <c:pt idx="398">
                  <c:v>43872</c:v>
                </c:pt>
                <c:pt idx="399">
                  <c:v>43871</c:v>
                </c:pt>
                <c:pt idx="400">
                  <c:v>43868</c:v>
                </c:pt>
                <c:pt idx="401">
                  <c:v>43867</c:v>
                </c:pt>
                <c:pt idx="402">
                  <c:v>43866</c:v>
                </c:pt>
                <c:pt idx="403">
                  <c:v>43865</c:v>
                </c:pt>
                <c:pt idx="404">
                  <c:v>43864</c:v>
                </c:pt>
                <c:pt idx="405">
                  <c:v>43861</c:v>
                </c:pt>
                <c:pt idx="406">
                  <c:v>43860</c:v>
                </c:pt>
                <c:pt idx="407">
                  <c:v>43859</c:v>
                </c:pt>
                <c:pt idx="408">
                  <c:v>43858</c:v>
                </c:pt>
                <c:pt idx="409">
                  <c:v>43857</c:v>
                </c:pt>
                <c:pt idx="410">
                  <c:v>43854</c:v>
                </c:pt>
                <c:pt idx="411">
                  <c:v>43853</c:v>
                </c:pt>
                <c:pt idx="412">
                  <c:v>43852</c:v>
                </c:pt>
                <c:pt idx="413">
                  <c:v>43851</c:v>
                </c:pt>
                <c:pt idx="414">
                  <c:v>43850</c:v>
                </c:pt>
                <c:pt idx="415">
                  <c:v>43847</c:v>
                </c:pt>
                <c:pt idx="416">
                  <c:v>43846</c:v>
                </c:pt>
                <c:pt idx="417">
                  <c:v>43845</c:v>
                </c:pt>
                <c:pt idx="418">
                  <c:v>43844</c:v>
                </c:pt>
                <c:pt idx="419">
                  <c:v>43843</c:v>
                </c:pt>
                <c:pt idx="420">
                  <c:v>43840</c:v>
                </c:pt>
                <c:pt idx="421">
                  <c:v>43839</c:v>
                </c:pt>
                <c:pt idx="422">
                  <c:v>43838</c:v>
                </c:pt>
                <c:pt idx="423">
                  <c:v>43837</c:v>
                </c:pt>
                <c:pt idx="424">
                  <c:v>43836</c:v>
                </c:pt>
                <c:pt idx="425">
                  <c:v>43833</c:v>
                </c:pt>
                <c:pt idx="426">
                  <c:v>43832</c:v>
                </c:pt>
              </c:numCache>
            </c:numRef>
          </c:cat>
          <c:val>
            <c:numRef>
              <c:f>'[Hartije od vrednosti na medjunarodnom trzistu SAJT.xlsx]EUROBOND 2029 offline'!$C$31:$C$457</c:f>
              <c:numCache>
                <c:formatCode>#,##0.000</c:formatCode>
                <c:ptCount val="427"/>
                <c:pt idx="0">
                  <c:v>1.2429999999999999</c:v>
                </c:pt>
                <c:pt idx="1">
                  <c:v>1.262</c:v>
                </c:pt>
                <c:pt idx="2">
                  <c:v>1.258</c:v>
                </c:pt>
                <c:pt idx="3">
                  <c:v>1.27</c:v>
                </c:pt>
                <c:pt idx="4">
                  <c:v>1.266</c:v>
                </c:pt>
                <c:pt idx="5">
                  <c:v>1.2629999999999999</c:v>
                </c:pt>
                <c:pt idx="6">
                  <c:v>1.27</c:v>
                </c:pt>
                <c:pt idx="7">
                  <c:v>1.2709999999999999</c:v>
                </c:pt>
                <c:pt idx="8">
                  <c:v>1.274</c:v>
                </c:pt>
                <c:pt idx="9">
                  <c:v>1.27</c:v>
                </c:pt>
                <c:pt idx="10">
                  <c:v>1.27</c:v>
                </c:pt>
                <c:pt idx="11">
                  <c:v>1.2709999999999999</c:v>
                </c:pt>
                <c:pt idx="12">
                  <c:v>1.2669999999999999</c:v>
                </c:pt>
                <c:pt idx="13">
                  <c:v>1.266</c:v>
                </c:pt>
                <c:pt idx="14">
                  <c:v>1.2669999999999999</c:v>
                </c:pt>
                <c:pt idx="15">
                  <c:v>1.262</c:v>
                </c:pt>
                <c:pt idx="16">
                  <c:v>1.256</c:v>
                </c:pt>
                <c:pt idx="17">
                  <c:v>1.2530000000000001</c:v>
                </c:pt>
                <c:pt idx="18">
                  <c:v>1.24</c:v>
                </c:pt>
                <c:pt idx="19">
                  <c:v>1.2690000000000001</c:v>
                </c:pt>
                <c:pt idx="20">
                  <c:v>1.282</c:v>
                </c:pt>
                <c:pt idx="21">
                  <c:v>1.2989999999999999</c:v>
                </c:pt>
                <c:pt idx="22">
                  <c:v>1.3180000000000001</c:v>
                </c:pt>
                <c:pt idx="23">
                  <c:v>1.32</c:v>
                </c:pt>
                <c:pt idx="24">
                  <c:v>1.323</c:v>
                </c:pt>
                <c:pt idx="25">
                  <c:v>1.325</c:v>
                </c:pt>
                <c:pt idx="26">
                  <c:v>1.3240000000000001</c:v>
                </c:pt>
                <c:pt idx="27">
                  <c:v>1.325</c:v>
                </c:pt>
                <c:pt idx="28">
                  <c:v>1.33</c:v>
                </c:pt>
                <c:pt idx="29">
                  <c:v>1.337</c:v>
                </c:pt>
                <c:pt idx="30">
                  <c:v>1.339</c:v>
                </c:pt>
                <c:pt idx="31">
                  <c:v>1.3420000000000001</c:v>
                </c:pt>
                <c:pt idx="32">
                  <c:v>1.34</c:v>
                </c:pt>
                <c:pt idx="33">
                  <c:v>1.3460000000000001</c:v>
                </c:pt>
                <c:pt idx="34">
                  <c:v>1.3540000000000001</c:v>
                </c:pt>
                <c:pt idx="35">
                  <c:v>1.355</c:v>
                </c:pt>
                <c:pt idx="36">
                  <c:v>1.3559999999999999</c:v>
                </c:pt>
                <c:pt idx="37">
                  <c:v>1.3580000000000001</c:v>
                </c:pt>
                <c:pt idx="38">
                  <c:v>1.3599999999999999</c:v>
                </c:pt>
                <c:pt idx="39">
                  <c:v>1.3580000000000001</c:v>
                </c:pt>
                <c:pt idx="40">
                  <c:v>1.365</c:v>
                </c:pt>
                <c:pt idx="41">
                  <c:v>1.3639999999999999</c:v>
                </c:pt>
                <c:pt idx="42">
                  <c:v>1.365</c:v>
                </c:pt>
                <c:pt idx="43">
                  <c:v>1.37</c:v>
                </c:pt>
                <c:pt idx="44">
                  <c:v>1.375</c:v>
                </c:pt>
                <c:pt idx="45">
                  <c:v>1.383</c:v>
                </c:pt>
                <c:pt idx="46">
                  <c:v>1.3860000000000001</c:v>
                </c:pt>
                <c:pt idx="47">
                  <c:v>1.389</c:v>
                </c:pt>
                <c:pt idx="48">
                  <c:v>1.3900000000000001</c:v>
                </c:pt>
                <c:pt idx="49">
                  <c:v>1.3940000000000001</c:v>
                </c:pt>
                <c:pt idx="50">
                  <c:v>1.4020000000000001</c:v>
                </c:pt>
                <c:pt idx="51">
                  <c:v>1.391</c:v>
                </c:pt>
                <c:pt idx="52">
                  <c:v>1.391</c:v>
                </c:pt>
                <c:pt idx="53">
                  <c:v>1.3919999999999999</c:v>
                </c:pt>
                <c:pt idx="54">
                  <c:v>1.3719999999999999</c:v>
                </c:pt>
                <c:pt idx="55">
                  <c:v>1.3820000000000001</c:v>
                </c:pt>
                <c:pt idx="56">
                  <c:v>1.365</c:v>
                </c:pt>
                <c:pt idx="57">
                  <c:v>1.369</c:v>
                </c:pt>
                <c:pt idx="58">
                  <c:v>1.415</c:v>
                </c:pt>
                <c:pt idx="59">
                  <c:v>1.4330000000000001</c:v>
                </c:pt>
                <c:pt idx="60">
                  <c:v>1.4630000000000001</c:v>
                </c:pt>
                <c:pt idx="61">
                  <c:v>1.4929999999999999</c:v>
                </c:pt>
                <c:pt idx="62">
                  <c:v>1.4969999999999999</c:v>
                </c:pt>
                <c:pt idx="63">
                  <c:v>1.506</c:v>
                </c:pt>
                <c:pt idx="64">
                  <c:v>1.5110000000000001</c:v>
                </c:pt>
                <c:pt idx="65">
                  <c:v>1.5169999999999999</c:v>
                </c:pt>
                <c:pt idx="66">
                  <c:v>1.522</c:v>
                </c:pt>
                <c:pt idx="67">
                  <c:v>1.5230000000000001</c:v>
                </c:pt>
                <c:pt idx="68">
                  <c:v>1.526</c:v>
                </c:pt>
                <c:pt idx="69">
                  <c:v>1.55</c:v>
                </c:pt>
                <c:pt idx="70">
                  <c:v>1.577</c:v>
                </c:pt>
                <c:pt idx="71">
                  <c:v>1.585</c:v>
                </c:pt>
                <c:pt idx="72">
                  <c:v>1.5899999999999999</c:v>
                </c:pt>
                <c:pt idx="73">
                  <c:v>1.609</c:v>
                </c:pt>
                <c:pt idx="74">
                  <c:v>1.6179999999999999</c:v>
                </c:pt>
                <c:pt idx="75">
                  <c:v>1.589</c:v>
                </c:pt>
                <c:pt idx="76">
                  <c:v>1.5569999999999999</c:v>
                </c:pt>
                <c:pt idx="77">
                  <c:v>1.55</c:v>
                </c:pt>
                <c:pt idx="78">
                  <c:v>1.5510000000000002</c:v>
                </c:pt>
                <c:pt idx="79">
                  <c:v>1.526</c:v>
                </c:pt>
                <c:pt idx="80">
                  <c:v>1.496</c:v>
                </c:pt>
                <c:pt idx="81">
                  <c:v>1.4830000000000001</c:v>
                </c:pt>
                <c:pt idx="82">
                  <c:v>1.494</c:v>
                </c:pt>
                <c:pt idx="83">
                  <c:v>1.5249999999999999</c:v>
                </c:pt>
                <c:pt idx="84">
                  <c:v>1.5649999999999999</c:v>
                </c:pt>
                <c:pt idx="85">
                  <c:v>1.5960000000000001</c:v>
                </c:pt>
                <c:pt idx="86">
                  <c:v>1.6</c:v>
                </c:pt>
                <c:pt idx="87">
                  <c:v>1.601</c:v>
                </c:pt>
                <c:pt idx="88">
                  <c:v>1.593</c:v>
                </c:pt>
                <c:pt idx="89">
                  <c:v>1.5739999999999998</c:v>
                </c:pt>
                <c:pt idx="90">
                  <c:v>1.5129999999999999</c:v>
                </c:pt>
                <c:pt idx="91">
                  <c:v>1.492</c:v>
                </c:pt>
                <c:pt idx="92">
                  <c:v>1.4689999999999999</c:v>
                </c:pt>
                <c:pt idx="93">
                  <c:v>1.4630000000000001</c:v>
                </c:pt>
                <c:pt idx="94">
                  <c:v>1.4470000000000001</c:v>
                </c:pt>
                <c:pt idx="95">
                  <c:v>1.4359999999999999</c:v>
                </c:pt>
                <c:pt idx="96">
                  <c:v>1.415</c:v>
                </c:pt>
                <c:pt idx="97">
                  <c:v>1.417</c:v>
                </c:pt>
                <c:pt idx="98">
                  <c:v>1.415</c:v>
                </c:pt>
                <c:pt idx="99">
                  <c:v>1.41</c:v>
                </c:pt>
                <c:pt idx="100">
                  <c:v>1.4119999999999999</c:v>
                </c:pt>
                <c:pt idx="101">
                  <c:v>1.4060000000000001</c:v>
                </c:pt>
                <c:pt idx="102">
                  <c:v>1.4079999999999999</c:v>
                </c:pt>
                <c:pt idx="103">
                  <c:v>1.4079999999999999</c:v>
                </c:pt>
                <c:pt idx="104">
                  <c:v>1.4139999999999999</c:v>
                </c:pt>
                <c:pt idx="105">
                  <c:v>1.4279999999999999</c:v>
                </c:pt>
                <c:pt idx="106">
                  <c:v>1.4379999999999999</c:v>
                </c:pt>
                <c:pt idx="107">
                  <c:v>1.4530000000000001</c:v>
                </c:pt>
                <c:pt idx="108">
                  <c:v>1.4530000000000001</c:v>
                </c:pt>
                <c:pt idx="109">
                  <c:v>1.4339999999999999</c:v>
                </c:pt>
                <c:pt idx="110">
                  <c:v>1.43</c:v>
                </c:pt>
                <c:pt idx="111">
                  <c:v>1.4279999999999999</c:v>
                </c:pt>
                <c:pt idx="112">
                  <c:v>1.4239999999999999</c:v>
                </c:pt>
                <c:pt idx="113">
                  <c:v>1.4259999999999999</c:v>
                </c:pt>
                <c:pt idx="114">
                  <c:v>1.427</c:v>
                </c:pt>
                <c:pt idx="115">
                  <c:v>1.43</c:v>
                </c:pt>
                <c:pt idx="116">
                  <c:v>1.43</c:v>
                </c:pt>
                <c:pt idx="117">
                  <c:v>1.4139999999999999</c:v>
                </c:pt>
                <c:pt idx="118">
                  <c:v>1.4039999999999999</c:v>
                </c:pt>
                <c:pt idx="119">
                  <c:v>1.4159999999999999</c:v>
                </c:pt>
                <c:pt idx="120">
                  <c:v>1.4239999999999999</c:v>
                </c:pt>
                <c:pt idx="121">
                  <c:v>1.41</c:v>
                </c:pt>
                <c:pt idx="122">
                  <c:v>1.4729999999999999</c:v>
                </c:pt>
                <c:pt idx="123">
                  <c:v>1.4790000000000001</c:v>
                </c:pt>
                <c:pt idx="124">
                  <c:v>1.494</c:v>
                </c:pt>
                <c:pt idx="125">
                  <c:v>1.4450000000000001</c:v>
                </c:pt>
                <c:pt idx="126">
                  <c:v>1.419</c:v>
                </c:pt>
                <c:pt idx="127">
                  <c:v>1.405</c:v>
                </c:pt>
                <c:pt idx="128">
                  <c:v>1.3860000000000001</c:v>
                </c:pt>
                <c:pt idx="129">
                  <c:v>1.4020000000000001</c:v>
                </c:pt>
                <c:pt idx="130">
                  <c:v>1.431</c:v>
                </c:pt>
                <c:pt idx="131">
                  <c:v>1.4119999999999999</c:v>
                </c:pt>
                <c:pt idx="132">
                  <c:v>1.3839999999999999</c:v>
                </c:pt>
                <c:pt idx="133">
                  <c:v>1.3109999999999999</c:v>
                </c:pt>
                <c:pt idx="134">
                  <c:v>1.3069999999999999</c:v>
                </c:pt>
                <c:pt idx="135">
                  <c:v>1.2749999999999999</c:v>
                </c:pt>
                <c:pt idx="136">
                  <c:v>1.248</c:v>
                </c:pt>
                <c:pt idx="137">
                  <c:v>1.236</c:v>
                </c:pt>
                <c:pt idx="138">
                  <c:v>1.1930000000000001</c:v>
                </c:pt>
                <c:pt idx="139">
                  <c:v>1.1619999999999999</c:v>
                </c:pt>
                <c:pt idx="140">
                  <c:v>1.1240000000000001</c:v>
                </c:pt>
                <c:pt idx="141">
                  <c:v>1.107</c:v>
                </c:pt>
                <c:pt idx="142">
                  <c:v>1.1020000000000001</c:v>
                </c:pt>
                <c:pt idx="143">
                  <c:v>1.0960000000000001</c:v>
                </c:pt>
                <c:pt idx="144">
                  <c:v>1.0880000000000001</c:v>
                </c:pt>
                <c:pt idx="145">
                  <c:v>1.083</c:v>
                </c:pt>
                <c:pt idx="146">
                  <c:v>1.1080000000000001</c:v>
                </c:pt>
                <c:pt idx="147">
                  <c:v>1.135</c:v>
                </c:pt>
                <c:pt idx="148">
                  <c:v>1.1459999999999999</c:v>
                </c:pt>
                <c:pt idx="149">
                  <c:v>1.1539999999999999</c:v>
                </c:pt>
                <c:pt idx="150">
                  <c:v>1.179</c:v>
                </c:pt>
                <c:pt idx="151">
                  <c:v>1.1910000000000001</c:v>
                </c:pt>
                <c:pt idx="152">
                  <c:v>1.2030000000000001</c:v>
                </c:pt>
                <c:pt idx="153">
                  <c:v>1.1930000000000001</c:v>
                </c:pt>
                <c:pt idx="154">
                  <c:v>1.1919999999999999</c:v>
                </c:pt>
                <c:pt idx="155">
                  <c:v>1.19</c:v>
                </c:pt>
                <c:pt idx="156">
                  <c:v>1.1739999999999999</c:v>
                </c:pt>
                <c:pt idx="157">
                  <c:v>1.1360000000000001</c:v>
                </c:pt>
                <c:pt idx="158">
                  <c:v>1.109</c:v>
                </c:pt>
                <c:pt idx="159">
                  <c:v>1.087</c:v>
                </c:pt>
                <c:pt idx="160">
                  <c:v>1.07</c:v>
                </c:pt>
                <c:pt idx="161">
                  <c:v>1.048</c:v>
                </c:pt>
                <c:pt idx="162">
                  <c:v>1.0669999999999999</c:v>
                </c:pt>
                <c:pt idx="163">
                  <c:v>1.091</c:v>
                </c:pt>
                <c:pt idx="164">
                  <c:v>1.028</c:v>
                </c:pt>
                <c:pt idx="165">
                  <c:v>1.014</c:v>
                </c:pt>
                <c:pt idx="166">
                  <c:v>1.0029999999999999</c:v>
                </c:pt>
                <c:pt idx="167">
                  <c:v>0.96099999999999997</c:v>
                </c:pt>
                <c:pt idx="168">
                  <c:v>0.93799999999999994</c:v>
                </c:pt>
                <c:pt idx="169">
                  <c:v>0.94099999999999995</c:v>
                </c:pt>
                <c:pt idx="170">
                  <c:v>1.048</c:v>
                </c:pt>
                <c:pt idx="171">
                  <c:v>1.0609999999999999</c:v>
                </c:pt>
                <c:pt idx="172">
                  <c:v>1.0680000000000001</c:v>
                </c:pt>
                <c:pt idx="173">
                  <c:v>1.0740000000000001</c:v>
                </c:pt>
                <c:pt idx="174">
                  <c:v>1.0860000000000001</c:v>
                </c:pt>
                <c:pt idx="175">
                  <c:v>1.0840000000000001</c:v>
                </c:pt>
                <c:pt idx="176">
                  <c:v>1.089</c:v>
                </c:pt>
                <c:pt idx="177">
                  <c:v>1.0760000000000001</c:v>
                </c:pt>
                <c:pt idx="178">
                  <c:v>1.077</c:v>
                </c:pt>
                <c:pt idx="179">
                  <c:v>1.1020000000000001</c:v>
                </c:pt>
                <c:pt idx="180">
                  <c:v>1.137</c:v>
                </c:pt>
                <c:pt idx="181">
                  <c:v>1.1579999999999999</c:v>
                </c:pt>
                <c:pt idx="182">
                  <c:v>1.173</c:v>
                </c:pt>
                <c:pt idx="183">
                  <c:v>1.1839999999999999</c:v>
                </c:pt>
                <c:pt idx="184">
                  <c:v>1.1919999999999999</c:v>
                </c:pt>
                <c:pt idx="185">
                  <c:v>1.2050000000000001</c:v>
                </c:pt>
                <c:pt idx="186">
                  <c:v>1.2230000000000001</c:v>
                </c:pt>
                <c:pt idx="187">
                  <c:v>1.2290000000000001</c:v>
                </c:pt>
                <c:pt idx="188">
                  <c:v>1.2469999999999999</c:v>
                </c:pt>
                <c:pt idx="189">
                  <c:v>1.264</c:v>
                </c:pt>
                <c:pt idx="190">
                  <c:v>1.32</c:v>
                </c:pt>
                <c:pt idx="191">
                  <c:v>1.341</c:v>
                </c:pt>
                <c:pt idx="192">
                  <c:v>1.335</c:v>
                </c:pt>
                <c:pt idx="193">
                  <c:v>1.337</c:v>
                </c:pt>
                <c:pt idx="194">
                  <c:v>1.339</c:v>
                </c:pt>
                <c:pt idx="195">
                  <c:v>1.34</c:v>
                </c:pt>
                <c:pt idx="196">
                  <c:v>1.351</c:v>
                </c:pt>
                <c:pt idx="197">
                  <c:v>1.417</c:v>
                </c:pt>
                <c:pt idx="198">
                  <c:v>1.49</c:v>
                </c:pt>
                <c:pt idx="199">
                  <c:v>1.4910000000000001</c:v>
                </c:pt>
                <c:pt idx="200">
                  <c:v>1.5</c:v>
                </c:pt>
                <c:pt idx="201">
                  <c:v>1.504</c:v>
                </c:pt>
                <c:pt idx="202">
                  <c:v>1.508</c:v>
                </c:pt>
                <c:pt idx="203">
                  <c:v>1.518</c:v>
                </c:pt>
                <c:pt idx="204">
                  <c:v>1.5150000000000001</c:v>
                </c:pt>
                <c:pt idx="205">
                  <c:v>1.5049999999999999</c:v>
                </c:pt>
                <c:pt idx="206">
                  <c:v>1.506</c:v>
                </c:pt>
                <c:pt idx="207">
                  <c:v>1.5049999999999999</c:v>
                </c:pt>
                <c:pt idx="208">
                  <c:v>1.5409999999999999</c:v>
                </c:pt>
                <c:pt idx="209">
                  <c:v>1.546</c:v>
                </c:pt>
                <c:pt idx="210">
                  <c:v>1.677</c:v>
                </c:pt>
                <c:pt idx="211">
                  <c:v>1.7450000000000001</c:v>
                </c:pt>
                <c:pt idx="212">
                  <c:v>1.7829999999999999</c:v>
                </c:pt>
                <c:pt idx="213">
                  <c:v>1.784</c:v>
                </c:pt>
                <c:pt idx="214">
                  <c:v>1.7770000000000001</c:v>
                </c:pt>
                <c:pt idx="215">
                  <c:v>1.7669999999999999</c:v>
                </c:pt>
                <c:pt idx="216">
                  <c:v>1.696</c:v>
                </c:pt>
                <c:pt idx="217">
                  <c:v>1.6830000000000001</c:v>
                </c:pt>
                <c:pt idx="218">
                  <c:v>1.6520000000000001</c:v>
                </c:pt>
                <c:pt idx="219">
                  <c:v>1.675</c:v>
                </c:pt>
                <c:pt idx="220">
                  <c:v>1.6800000000000002</c:v>
                </c:pt>
                <c:pt idx="221">
                  <c:v>1.673</c:v>
                </c:pt>
                <c:pt idx="222">
                  <c:v>1.6640000000000001</c:v>
                </c:pt>
                <c:pt idx="223">
                  <c:v>1.6909999999999998</c:v>
                </c:pt>
                <c:pt idx="224">
                  <c:v>1.7269999999999999</c:v>
                </c:pt>
                <c:pt idx="225">
                  <c:v>1.726</c:v>
                </c:pt>
                <c:pt idx="226">
                  <c:v>1.734</c:v>
                </c:pt>
                <c:pt idx="227">
                  <c:v>1.7869999999999999</c:v>
                </c:pt>
                <c:pt idx="228">
                  <c:v>1.7989999999999999</c:v>
                </c:pt>
                <c:pt idx="229">
                  <c:v>1.8220000000000001</c:v>
                </c:pt>
                <c:pt idx="230">
                  <c:v>1.8740000000000001</c:v>
                </c:pt>
                <c:pt idx="231">
                  <c:v>1.875</c:v>
                </c:pt>
                <c:pt idx="232">
                  <c:v>1.891</c:v>
                </c:pt>
                <c:pt idx="233">
                  <c:v>1.895</c:v>
                </c:pt>
                <c:pt idx="234">
                  <c:v>1.8959999999999999</c:v>
                </c:pt>
                <c:pt idx="235">
                  <c:v>1.903</c:v>
                </c:pt>
                <c:pt idx="236">
                  <c:v>1.887</c:v>
                </c:pt>
                <c:pt idx="237">
                  <c:v>1.8439999999999999</c:v>
                </c:pt>
                <c:pt idx="238">
                  <c:v>1.8399999999999999</c:v>
                </c:pt>
                <c:pt idx="239">
                  <c:v>1.833</c:v>
                </c:pt>
                <c:pt idx="240">
                  <c:v>1.7869999999999999</c:v>
                </c:pt>
                <c:pt idx="241">
                  <c:v>1.774</c:v>
                </c:pt>
                <c:pt idx="242">
                  <c:v>1.7530000000000001</c:v>
                </c:pt>
                <c:pt idx="243">
                  <c:v>1.7149999999999999</c:v>
                </c:pt>
                <c:pt idx="244">
                  <c:v>1.7130000000000001</c:v>
                </c:pt>
                <c:pt idx="245">
                  <c:v>1.704</c:v>
                </c:pt>
                <c:pt idx="246">
                  <c:v>1.7069999999999999</c:v>
                </c:pt>
                <c:pt idx="247">
                  <c:v>1.7410000000000001</c:v>
                </c:pt>
                <c:pt idx="248">
                  <c:v>1.7589999999999999</c:v>
                </c:pt>
                <c:pt idx="249">
                  <c:v>1.774</c:v>
                </c:pt>
                <c:pt idx="250">
                  <c:v>1.782</c:v>
                </c:pt>
                <c:pt idx="251">
                  <c:v>1.788</c:v>
                </c:pt>
                <c:pt idx="252">
                  <c:v>1.7869999999999999</c:v>
                </c:pt>
                <c:pt idx="253">
                  <c:v>1.798</c:v>
                </c:pt>
                <c:pt idx="254">
                  <c:v>1.8140000000000001</c:v>
                </c:pt>
                <c:pt idx="255">
                  <c:v>1.8460000000000001</c:v>
                </c:pt>
                <c:pt idx="256">
                  <c:v>1.877</c:v>
                </c:pt>
                <c:pt idx="257">
                  <c:v>1.891</c:v>
                </c:pt>
                <c:pt idx="258">
                  <c:v>1.8940000000000001</c:v>
                </c:pt>
                <c:pt idx="259">
                  <c:v>1.8919999999999999</c:v>
                </c:pt>
                <c:pt idx="260">
                  <c:v>1.899</c:v>
                </c:pt>
                <c:pt idx="261">
                  <c:v>1.8940000000000001</c:v>
                </c:pt>
                <c:pt idx="262">
                  <c:v>1.8959999999999999</c:v>
                </c:pt>
                <c:pt idx="263">
                  <c:v>1.899</c:v>
                </c:pt>
                <c:pt idx="264">
                  <c:v>1.9020000000000001</c:v>
                </c:pt>
                <c:pt idx="265">
                  <c:v>1.903</c:v>
                </c:pt>
                <c:pt idx="266">
                  <c:v>1.907</c:v>
                </c:pt>
                <c:pt idx="267">
                  <c:v>1.8980000000000001</c:v>
                </c:pt>
                <c:pt idx="268">
                  <c:v>1.9100000000000001</c:v>
                </c:pt>
                <c:pt idx="269">
                  <c:v>1.905</c:v>
                </c:pt>
                <c:pt idx="270">
                  <c:v>1.923</c:v>
                </c:pt>
                <c:pt idx="271">
                  <c:v>1.917</c:v>
                </c:pt>
                <c:pt idx="272">
                  <c:v>1.919</c:v>
                </c:pt>
                <c:pt idx="273">
                  <c:v>1.929</c:v>
                </c:pt>
                <c:pt idx="274">
                  <c:v>1.9510000000000001</c:v>
                </c:pt>
                <c:pt idx="275">
                  <c:v>1.972</c:v>
                </c:pt>
                <c:pt idx="276">
                  <c:v>2.0030000000000001</c:v>
                </c:pt>
                <c:pt idx="277">
                  <c:v>2.0150000000000001</c:v>
                </c:pt>
                <c:pt idx="278">
                  <c:v>2.0150000000000001</c:v>
                </c:pt>
                <c:pt idx="279">
                  <c:v>2.0089999999999999</c:v>
                </c:pt>
                <c:pt idx="280">
                  <c:v>1.982</c:v>
                </c:pt>
                <c:pt idx="281">
                  <c:v>1.98</c:v>
                </c:pt>
                <c:pt idx="282">
                  <c:v>1.966</c:v>
                </c:pt>
                <c:pt idx="283">
                  <c:v>1.954</c:v>
                </c:pt>
                <c:pt idx="284">
                  <c:v>1.9119999999999999</c:v>
                </c:pt>
                <c:pt idx="285">
                  <c:v>2.0030000000000001</c:v>
                </c:pt>
                <c:pt idx="286">
                  <c:v>2.056</c:v>
                </c:pt>
                <c:pt idx="287">
                  <c:v>2.1030000000000002</c:v>
                </c:pt>
                <c:pt idx="288">
                  <c:v>2.14</c:v>
                </c:pt>
                <c:pt idx="289">
                  <c:v>2.1669999999999998</c:v>
                </c:pt>
                <c:pt idx="290">
                  <c:v>2.177</c:v>
                </c:pt>
                <c:pt idx="291">
                  <c:v>2.1920000000000002</c:v>
                </c:pt>
                <c:pt idx="292">
                  <c:v>2.177</c:v>
                </c:pt>
                <c:pt idx="293">
                  <c:v>2.1749999999999998</c:v>
                </c:pt>
                <c:pt idx="294">
                  <c:v>2.13</c:v>
                </c:pt>
                <c:pt idx="295">
                  <c:v>2.0979999999999999</c:v>
                </c:pt>
                <c:pt idx="296">
                  <c:v>2.09</c:v>
                </c:pt>
                <c:pt idx="297">
                  <c:v>2.1320000000000001</c:v>
                </c:pt>
                <c:pt idx="298">
                  <c:v>2.1880000000000002</c:v>
                </c:pt>
                <c:pt idx="299">
                  <c:v>2.194</c:v>
                </c:pt>
                <c:pt idx="300">
                  <c:v>2.2309999999999999</c:v>
                </c:pt>
                <c:pt idx="301">
                  <c:v>2.2439999999999998</c:v>
                </c:pt>
                <c:pt idx="302">
                  <c:v>2.2560000000000002</c:v>
                </c:pt>
                <c:pt idx="303">
                  <c:v>2.2549999999999999</c:v>
                </c:pt>
                <c:pt idx="304">
                  <c:v>2.2629999999999999</c:v>
                </c:pt>
                <c:pt idx="305">
                  <c:v>2.2509999999999999</c:v>
                </c:pt>
                <c:pt idx="306">
                  <c:v>2.2400000000000002</c:v>
                </c:pt>
                <c:pt idx="307">
                  <c:v>2.25</c:v>
                </c:pt>
                <c:pt idx="308">
                  <c:v>2.2690000000000001</c:v>
                </c:pt>
                <c:pt idx="309">
                  <c:v>2.2749999999999999</c:v>
                </c:pt>
                <c:pt idx="310">
                  <c:v>2.2770000000000001</c:v>
                </c:pt>
                <c:pt idx="311">
                  <c:v>2.29</c:v>
                </c:pt>
                <c:pt idx="312">
                  <c:v>2.3860000000000001</c:v>
                </c:pt>
                <c:pt idx="313">
                  <c:v>2.3239999999999998</c:v>
                </c:pt>
                <c:pt idx="314">
                  <c:v>2.319</c:v>
                </c:pt>
                <c:pt idx="315">
                  <c:v>2.274</c:v>
                </c:pt>
                <c:pt idx="316">
                  <c:v>2.2040000000000002</c:v>
                </c:pt>
                <c:pt idx="317">
                  <c:v>2.1629999999999998</c:v>
                </c:pt>
                <c:pt idx="318">
                  <c:v>2.1749999999999998</c:v>
                </c:pt>
                <c:pt idx="319">
                  <c:v>2.169</c:v>
                </c:pt>
                <c:pt idx="320">
                  <c:v>2.1019999999999999</c:v>
                </c:pt>
                <c:pt idx="321">
                  <c:v>2.1110000000000002</c:v>
                </c:pt>
                <c:pt idx="322">
                  <c:v>2.1480000000000001</c:v>
                </c:pt>
                <c:pt idx="323">
                  <c:v>2.2170000000000001</c:v>
                </c:pt>
                <c:pt idx="324">
                  <c:v>2.4790000000000001</c:v>
                </c:pt>
                <c:pt idx="325">
                  <c:v>2.7279999999999998</c:v>
                </c:pt>
                <c:pt idx="326">
                  <c:v>2.88</c:v>
                </c:pt>
                <c:pt idx="327">
                  <c:v>2.9510000000000001</c:v>
                </c:pt>
                <c:pt idx="328">
                  <c:v>2.944</c:v>
                </c:pt>
                <c:pt idx="329">
                  <c:v>2.9550000000000001</c:v>
                </c:pt>
                <c:pt idx="330">
                  <c:v>2.9710000000000001</c:v>
                </c:pt>
                <c:pt idx="331">
                  <c:v>3.01</c:v>
                </c:pt>
                <c:pt idx="332">
                  <c:v>3.0459999999999998</c:v>
                </c:pt>
                <c:pt idx="333">
                  <c:v>3.06</c:v>
                </c:pt>
                <c:pt idx="334">
                  <c:v>3.0209999999999999</c:v>
                </c:pt>
                <c:pt idx="335">
                  <c:v>2.9430000000000001</c:v>
                </c:pt>
                <c:pt idx="336">
                  <c:v>2.9350000000000001</c:v>
                </c:pt>
                <c:pt idx="337">
                  <c:v>2.94</c:v>
                </c:pt>
                <c:pt idx="338">
                  <c:v>2.9950000000000001</c:v>
                </c:pt>
                <c:pt idx="339">
                  <c:v>3.0049999999999999</c:v>
                </c:pt>
                <c:pt idx="340">
                  <c:v>3.1219999999999999</c:v>
                </c:pt>
                <c:pt idx="341">
                  <c:v>3.1360000000000001</c:v>
                </c:pt>
                <c:pt idx="342">
                  <c:v>3.246</c:v>
                </c:pt>
                <c:pt idx="343">
                  <c:v>3.214</c:v>
                </c:pt>
                <c:pt idx="344">
                  <c:v>3.2090000000000001</c:v>
                </c:pt>
                <c:pt idx="345">
                  <c:v>3.1859999999999999</c:v>
                </c:pt>
                <c:pt idx="346">
                  <c:v>3.165</c:v>
                </c:pt>
                <c:pt idx="347">
                  <c:v>3.109</c:v>
                </c:pt>
                <c:pt idx="348">
                  <c:v>3.085</c:v>
                </c:pt>
                <c:pt idx="349">
                  <c:v>2.9790000000000001</c:v>
                </c:pt>
                <c:pt idx="350">
                  <c:v>2.9340000000000002</c:v>
                </c:pt>
                <c:pt idx="351">
                  <c:v>2.8839999999999999</c:v>
                </c:pt>
                <c:pt idx="352">
                  <c:v>2.8140000000000001</c:v>
                </c:pt>
                <c:pt idx="353">
                  <c:v>2.726</c:v>
                </c:pt>
                <c:pt idx="354">
                  <c:v>2.7090000000000001</c:v>
                </c:pt>
                <c:pt idx="355">
                  <c:v>2.71</c:v>
                </c:pt>
                <c:pt idx="356">
                  <c:v>2.73</c:v>
                </c:pt>
                <c:pt idx="357">
                  <c:v>2.7170000000000001</c:v>
                </c:pt>
                <c:pt idx="358">
                  <c:v>2.6879999999999997</c:v>
                </c:pt>
                <c:pt idx="359">
                  <c:v>2.6790000000000003</c:v>
                </c:pt>
                <c:pt idx="360">
                  <c:v>2.67</c:v>
                </c:pt>
                <c:pt idx="361">
                  <c:v>2.649</c:v>
                </c:pt>
                <c:pt idx="362">
                  <c:v>2.544</c:v>
                </c:pt>
                <c:pt idx="363">
                  <c:v>2.4990000000000001</c:v>
                </c:pt>
                <c:pt idx="364">
                  <c:v>2.4340000000000002</c:v>
                </c:pt>
                <c:pt idx="365">
                  <c:v>2.306</c:v>
                </c:pt>
                <c:pt idx="366">
                  <c:v>2.2509999999999999</c:v>
                </c:pt>
                <c:pt idx="367">
                  <c:v>2.214</c:v>
                </c:pt>
                <c:pt idx="368">
                  <c:v>2.194</c:v>
                </c:pt>
                <c:pt idx="369">
                  <c:v>2.121</c:v>
                </c:pt>
                <c:pt idx="370">
                  <c:v>2.0230000000000001</c:v>
                </c:pt>
                <c:pt idx="371">
                  <c:v>1.978</c:v>
                </c:pt>
                <c:pt idx="372">
                  <c:v>1.9060000000000001</c:v>
                </c:pt>
                <c:pt idx="373">
                  <c:v>1.7869999999999999</c:v>
                </c:pt>
                <c:pt idx="374">
                  <c:v>1.7330000000000001</c:v>
                </c:pt>
                <c:pt idx="375">
                  <c:v>1.5510000000000002</c:v>
                </c:pt>
                <c:pt idx="376">
                  <c:v>1.45</c:v>
                </c:pt>
                <c:pt idx="377">
                  <c:v>1.25</c:v>
                </c:pt>
                <c:pt idx="378">
                  <c:v>1.2010000000000001</c:v>
                </c:pt>
                <c:pt idx="379">
                  <c:v>1.1890000000000001</c:v>
                </c:pt>
                <c:pt idx="380">
                  <c:v>1.0880000000000001</c:v>
                </c:pt>
                <c:pt idx="381">
                  <c:v>1.0489999999999999</c:v>
                </c:pt>
                <c:pt idx="382">
                  <c:v>1.0089999999999999</c:v>
                </c:pt>
                <c:pt idx="383">
                  <c:v>1.107</c:v>
                </c:pt>
                <c:pt idx="384">
                  <c:v>1.226</c:v>
                </c:pt>
                <c:pt idx="385">
                  <c:v>1.173</c:v>
                </c:pt>
                <c:pt idx="386">
                  <c:v>1.0449999999999999</c:v>
                </c:pt>
                <c:pt idx="387">
                  <c:v>0.97399999999999998</c:v>
                </c:pt>
                <c:pt idx="388">
                  <c:v>0.93899999999999995</c:v>
                </c:pt>
                <c:pt idx="389">
                  <c:v>0.93</c:v>
                </c:pt>
                <c:pt idx="390">
                  <c:v>0.91500000000000004</c:v>
                </c:pt>
                <c:pt idx="391">
                  <c:v>0.92300000000000004</c:v>
                </c:pt>
                <c:pt idx="392">
                  <c:v>0.94399999999999995</c:v>
                </c:pt>
                <c:pt idx="393">
                  <c:v>0.96299999999999997</c:v>
                </c:pt>
                <c:pt idx="394">
                  <c:v>0.97699999999999998</c:v>
                </c:pt>
                <c:pt idx="395">
                  <c:v>0.97699999999999998</c:v>
                </c:pt>
                <c:pt idx="396">
                  <c:v>0.98099999999999998</c:v>
                </c:pt>
                <c:pt idx="397">
                  <c:v>1.008</c:v>
                </c:pt>
                <c:pt idx="398">
                  <c:v>1.018</c:v>
                </c:pt>
                <c:pt idx="399">
                  <c:v>1.0289999999999999</c:v>
                </c:pt>
                <c:pt idx="400">
                  <c:v>1.0369999999999999</c:v>
                </c:pt>
                <c:pt idx="401">
                  <c:v>1.073</c:v>
                </c:pt>
                <c:pt idx="402">
                  <c:v>1.1339999999999999</c:v>
                </c:pt>
                <c:pt idx="403">
                  <c:v>1.155</c:v>
                </c:pt>
                <c:pt idx="404">
                  <c:v>1.1579999999999999</c:v>
                </c:pt>
                <c:pt idx="405">
                  <c:v>1.1930000000000001</c:v>
                </c:pt>
                <c:pt idx="406">
                  <c:v>1.2190000000000001</c:v>
                </c:pt>
                <c:pt idx="407">
                  <c:v>1.228</c:v>
                </c:pt>
                <c:pt idx="408">
                  <c:v>1.252</c:v>
                </c:pt>
                <c:pt idx="409">
                  <c:v>1.2669999999999999</c:v>
                </c:pt>
                <c:pt idx="410">
                  <c:v>1.2709999999999999</c:v>
                </c:pt>
                <c:pt idx="411">
                  <c:v>1.278</c:v>
                </c:pt>
                <c:pt idx="412">
                  <c:v>1.288</c:v>
                </c:pt>
                <c:pt idx="413">
                  <c:v>1.2889999999999999</c:v>
                </c:pt>
                <c:pt idx="414">
                  <c:v>1.288</c:v>
                </c:pt>
                <c:pt idx="415">
                  <c:v>1.2869999999999999</c:v>
                </c:pt>
                <c:pt idx="416">
                  <c:v>1.286</c:v>
                </c:pt>
                <c:pt idx="417">
                  <c:v>1.282</c:v>
                </c:pt>
                <c:pt idx="418">
                  <c:v>1.27</c:v>
                </c:pt>
                <c:pt idx="419">
                  <c:v>1.268</c:v>
                </c:pt>
                <c:pt idx="420">
                  <c:v>1.2589999999999999</c:v>
                </c:pt>
                <c:pt idx="421">
                  <c:v>1.2650000000000001</c:v>
                </c:pt>
                <c:pt idx="422">
                  <c:v>1.2610000000000001</c:v>
                </c:pt>
                <c:pt idx="423">
                  <c:v>1.262</c:v>
                </c:pt>
                <c:pt idx="424">
                  <c:v>1.266</c:v>
                </c:pt>
                <c:pt idx="425">
                  <c:v>1.2629999999999999</c:v>
                </c:pt>
                <c:pt idx="426">
                  <c:v>1.272</c:v>
                </c:pt>
              </c:numCache>
            </c:numRef>
          </c:val>
          <c:smooth val="0"/>
          <c:extLst>
            <c:ext xmlns:c16="http://schemas.microsoft.com/office/drawing/2014/chart" uri="{C3380CC4-5D6E-409C-BE32-E72D297353CC}">
              <c16:uniqueId val="{00000002-2E67-4D30-86A8-4220086BECCA}"/>
            </c:ext>
          </c:extLst>
        </c:ser>
        <c:dLbls>
          <c:showLegendKey val="0"/>
          <c:showVal val="0"/>
          <c:showCatName val="0"/>
          <c:showSerName val="0"/>
          <c:showPercent val="0"/>
          <c:showBubbleSize val="0"/>
        </c:dLbls>
        <c:marker val="1"/>
        <c:smooth val="0"/>
        <c:axId val="1377871648"/>
        <c:axId val="1377861312"/>
      </c:lineChart>
      <c:dateAx>
        <c:axId val="1377858048"/>
        <c:scaling>
          <c:orientation val="minMax"/>
          <c:min val="44074"/>
        </c:scaling>
        <c:delete val="0"/>
        <c:axPos val="b"/>
        <c:numFmt formatCode="dd\/mm\/yy" sourceLinked="1"/>
        <c:majorTickMark val="out"/>
        <c:minorTickMark val="none"/>
        <c:tickLblPos val="nextTo"/>
        <c:txPr>
          <a:bodyPr rot="-2700000"/>
          <a:lstStyle/>
          <a:p>
            <a:pPr>
              <a:defRPr sz="700">
                <a:latin typeface="Calibri" panose="020F0502020204030204" pitchFamily="34" charset="0"/>
              </a:defRPr>
            </a:pPr>
            <a:endParaRPr lang="en-US"/>
          </a:p>
        </c:txPr>
        <c:crossAx val="1377860224"/>
        <c:crosses val="autoZero"/>
        <c:auto val="1"/>
        <c:lblOffset val="100"/>
        <c:baseTimeUnit val="days"/>
        <c:majorUnit val="1"/>
        <c:majorTimeUnit val="months"/>
      </c:dateAx>
      <c:valAx>
        <c:axId val="1377860224"/>
        <c:scaling>
          <c:orientation val="minMax"/>
          <c:max val="110"/>
          <c:min val="96"/>
        </c:scaling>
        <c:delete val="0"/>
        <c:axPos val="l"/>
        <c:numFmt formatCode="#,##0\ [$€-407]" sourceLinked="0"/>
        <c:majorTickMark val="out"/>
        <c:minorTickMark val="none"/>
        <c:tickLblPos val="nextTo"/>
        <c:txPr>
          <a:bodyPr/>
          <a:lstStyle/>
          <a:p>
            <a:pPr>
              <a:defRPr sz="800">
                <a:latin typeface="+mn-lt"/>
              </a:defRPr>
            </a:pPr>
            <a:endParaRPr lang="en-US"/>
          </a:p>
        </c:txPr>
        <c:crossAx val="1377858048"/>
        <c:crosses val="autoZero"/>
        <c:crossBetween val="between"/>
        <c:majorUnit val="2"/>
      </c:valAx>
      <c:valAx>
        <c:axId val="1377861312"/>
        <c:scaling>
          <c:orientation val="minMax"/>
          <c:max val="2"/>
          <c:min val="0.70000000000000007"/>
        </c:scaling>
        <c:delete val="0"/>
        <c:axPos val="r"/>
        <c:numFmt formatCode="#,##0.00" sourceLinked="0"/>
        <c:majorTickMark val="out"/>
        <c:minorTickMark val="none"/>
        <c:tickLblPos val="nextTo"/>
        <c:txPr>
          <a:bodyPr/>
          <a:lstStyle/>
          <a:p>
            <a:pPr>
              <a:defRPr sz="800">
                <a:latin typeface="Calibri" panose="020F0502020204030204" pitchFamily="34" charset="0"/>
              </a:defRPr>
            </a:pPr>
            <a:endParaRPr lang="en-US"/>
          </a:p>
        </c:txPr>
        <c:crossAx val="1377871648"/>
        <c:crosses val="max"/>
        <c:crossBetween val="between"/>
        <c:majorUnit val="0.30000000000000032"/>
      </c:valAx>
      <c:dateAx>
        <c:axId val="1377871648"/>
        <c:scaling>
          <c:orientation val="minMax"/>
        </c:scaling>
        <c:delete val="1"/>
        <c:axPos val="b"/>
        <c:numFmt formatCode="dd\/mm\/yy" sourceLinked="1"/>
        <c:majorTickMark val="out"/>
        <c:minorTickMark val="none"/>
        <c:tickLblPos val="none"/>
        <c:crossAx val="1377861312"/>
        <c:crosses val="autoZero"/>
        <c:auto val="1"/>
        <c:lblOffset val="100"/>
        <c:baseTimeUnit val="days"/>
      </c:dateAx>
    </c:plotArea>
    <c:legend>
      <c:legendPos val="r"/>
      <c:layout>
        <c:manualLayout>
          <c:xMode val="edge"/>
          <c:yMode val="edge"/>
          <c:x val="1.7178842228054825E-2"/>
          <c:y val="0.89154729152831813"/>
          <c:w val="0.88763670166229225"/>
          <c:h val="5.8636790718044229E-2"/>
        </c:manualLayout>
      </c:layout>
      <c:overlay val="0"/>
      <c:txPr>
        <a:bodyPr/>
        <a:lstStyle/>
        <a:p>
          <a:pPr>
            <a:defRPr sz="700">
              <a:latin typeface="Calibri" panose="020F0502020204030204" pitchFamily="34" charset="0"/>
            </a:defRPr>
          </a:pPr>
          <a:endParaRPr lang="en-US"/>
        </a:p>
      </c:txPr>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en-US"/>
    </a:p>
  </c:tx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3.8138138138138135E-2"/>
          <c:y val="0.17162162162162162"/>
          <c:w val="0.91418918918918923"/>
          <c:h val="0.72349849849849845"/>
        </c:manualLayout>
      </c:layout>
      <c:barChart>
        <c:barDir val="col"/>
        <c:grouping val="clustered"/>
        <c:varyColors val="0"/>
        <c:ser>
          <c:idx val="0"/>
          <c:order val="0"/>
          <c:tx>
            <c:strRef>
              <c:f>'Osn. makroekon. agregati'!$B$6</c:f>
              <c:strCache>
                <c:ptCount val="1"/>
                <c:pt idx="0">
                  <c:v>Дефицит текућег рачуна, % БДП</c:v>
                </c:pt>
              </c:strCache>
            </c:strRef>
          </c:tx>
          <c:spPr>
            <a:solidFill>
              <a:schemeClr val="accent1"/>
            </a:solidFill>
            <a:ln>
              <a:noFill/>
            </a:ln>
            <a:effectLst/>
          </c:spPr>
          <c:invertIfNegative val="0"/>
          <c:dPt>
            <c:idx val="0"/>
            <c:invertIfNegative val="0"/>
            <c:bubble3D val="0"/>
            <c:spPr>
              <a:solidFill>
                <a:srgbClr val="29489A"/>
              </a:solidFill>
              <a:ln>
                <a:noFill/>
              </a:ln>
              <a:effectLst/>
            </c:spPr>
            <c:extLst>
              <c:ext xmlns:c16="http://schemas.microsoft.com/office/drawing/2014/chart" uri="{C3380CC4-5D6E-409C-BE32-E72D297353CC}">
                <c16:uniqueId val="{00000001-F2A5-4CBB-96F6-C1219D09EDD2}"/>
              </c:ext>
            </c:extLst>
          </c:dPt>
          <c:dPt>
            <c:idx val="1"/>
            <c:invertIfNegative val="0"/>
            <c:bubble3D val="0"/>
            <c:spPr>
              <a:solidFill>
                <a:srgbClr val="ED1C24"/>
              </a:solidFill>
              <a:ln>
                <a:noFill/>
              </a:ln>
              <a:effectLst/>
            </c:spPr>
            <c:extLst>
              <c:ext xmlns:c16="http://schemas.microsoft.com/office/drawing/2014/chart" uri="{C3380CC4-5D6E-409C-BE32-E72D297353CC}">
                <c16:uniqueId val="{00000003-F2A5-4CBB-96F6-C1219D09EDD2}"/>
              </c:ext>
            </c:extLst>
          </c:dPt>
          <c:dLbls>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rgbClr val="29489A"/>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2A5-4CBB-96F6-C1219D09EDD2}"/>
                </c:ext>
              </c:extLst>
            </c:dLbl>
            <c:dLbl>
              <c:idx val="1"/>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rgbClr val="ED1C24"/>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F2A5-4CBB-96F6-C1219D09EDD2}"/>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('Osn. makroekon. agregati'!$E$6,'Osn. makroekon. agregati'!$F$6)</c:f>
              <c:numCache>
                <c:formatCode>0.0</c:formatCode>
                <c:ptCount val="2"/>
                <c:pt idx="0">
                  <c:v>-5.3</c:v>
                </c:pt>
                <c:pt idx="1">
                  <c:v>-4.2</c:v>
                </c:pt>
              </c:numCache>
            </c:numRef>
          </c:val>
          <c:extLst>
            <c:ext xmlns:c16="http://schemas.microsoft.com/office/drawing/2014/chart" uri="{C3380CC4-5D6E-409C-BE32-E72D297353CC}">
              <c16:uniqueId val="{00000004-F2A5-4CBB-96F6-C1219D09EDD2}"/>
            </c:ext>
          </c:extLst>
        </c:ser>
        <c:dLbls>
          <c:showLegendKey val="0"/>
          <c:showVal val="0"/>
          <c:showCatName val="0"/>
          <c:showSerName val="0"/>
          <c:showPercent val="0"/>
          <c:showBubbleSize val="0"/>
        </c:dLbls>
        <c:gapWidth val="15"/>
        <c:axId val="1768831680"/>
        <c:axId val="1768853440"/>
      </c:barChart>
      <c:catAx>
        <c:axId val="1768831680"/>
        <c:scaling>
          <c:orientation val="minMax"/>
        </c:scaling>
        <c:delete val="0"/>
        <c:axPos val="b"/>
        <c:title>
          <c:tx>
            <c:rich>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r>
                  <a:rPr lang="en-US" b="1"/>
                  <a:t>2022</a:t>
                </a:r>
              </a:p>
            </c:rich>
          </c:tx>
          <c:layout>
            <c:manualLayout>
              <c:xMode val="edge"/>
              <c:yMode val="edge"/>
              <c:x val="0.37948348348348349"/>
              <c:y val="7.3190476190476209E-3"/>
            </c:manualLayout>
          </c:layout>
          <c:overlay val="0"/>
          <c:spPr>
            <a:noFill/>
            <a:ln>
              <a:noFill/>
            </a:ln>
            <a:effectLst/>
          </c:spPr>
          <c:txPr>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en-US"/>
            </a:p>
          </c:txPr>
        </c:title>
        <c:majorTickMark val="none"/>
        <c:minorTickMark val="none"/>
        <c:tickLblPos val="none"/>
        <c:spPr>
          <a:noFill/>
          <a:ln w="12700" cap="flat" cmpd="sng" algn="ctr">
            <a:solidFill>
              <a:srgbClr val="898989"/>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68853440"/>
        <c:crossesAt val="0"/>
        <c:auto val="1"/>
        <c:lblAlgn val="ctr"/>
        <c:lblOffset val="100"/>
        <c:noMultiLvlLbl val="0"/>
      </c:catAx>
      <c:valAx>
        <c:axId val="1768853440"/>
        <c:scaling>
          <c:orientation val="minMax"/>
          <c:max val="0"/>
          <c:min val="-8"/>
        </c:scaling>
        <c:delete val="0"/>
        <c:axPos val="l"/>
        <c:numFmt formatCode="0.0" sourceLinked="1"/>
        <c:majorTickMark val="out"/>
        <c:minorTickMark val="none"/>
        <c:tickLblPos val="none"/>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68831680"/>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n-US"/>
    </a:p>
  </c:txPr>
  <c:externalData r:id="rId4">
    <c:autoUpdate val="0"/>
  </c:externalData>
  <c:userShapes r:id="rId5"/>
</c:chartSpace>
</file>

<file path=word/charts/chart7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3825127087872185"/>
          <c:y val="0.14146379853095489"/>
          <c:w val="0.80728885257806826"/>
          <c:h val="0.63021301154249731"/>
        </c:manualLayout>
      </c:layout>
      <c:areaChart>
        <c:grouping val="standard"/>
        <c:varyColors val="0"/>
        <c:ser>
          <c:idx val="0"/>
          <c:order val="0"/>
          <c:tx>
            <c:strRef>
              <c:f>'EUROBOND 2027 offline'!$B$4</c:f>
              <c:strCache>
                <c:ptCount val="1"/>
                <c:pt idx="0">
                  <c:v>Цена на затварању</c:v>
                </c:pt>
              </c:strCache>
            </c:strRef>
          </c:tx>
          <c:spPr>
            <a:ln w="25400">
              <a:noFill/>
            </a:ln>
          </c:spPr>
          <c:cat>
            <c:numRef>
              <c:f>'EUROBOND 2027 offline'!$A$31:$A$366</c:f>
              <c:numCache>
                <c:formatCode>dd\/mm\/yy</c:formatCode>
                <c:ptCount val="336"/>
                <c:pt idx="0">
                  <c:v>44439</c:v>
                </c:pt>
                <c:pt idx="1">
                  <c:v>44438</c:v>
                </c:pt>
                <c:pt idx="2">
                  <c:v>44435</c:v>
                </c:pt>
                <c:pt idx="3">
                  <c:v>44434</c:v>
                </c:pt>
                <c:pt idx="4">
                  <c:v>44433</c:v>
                </c:pt>
                <c:pt idx="5">
                  <c:v>44432</c:v>
                </c:pt>
                <c:pt idx="6">
                  <c:v>44431</c:v>
                </c:pt>
                <c:pt idx="7">
                  <c:v>44428</c:v>
                </c:pt>
                <c:pt idx="8">
                  <c:v>44427</c:v>
                </c:pt>
                <c:pt idx="9">
                  <c:v>44426</c:v>
                </c:pt>
                <c:pt idx="10">
                  <c:v>44425</c:v>
                </c:pt>
                <c:pt idx="11">
                  <c:v>44424</c:v>
                </c:pt>
                <c:pt idx="12">
                  <c:v>44421</c:v>
                </c:pt>
                <c:pt idx="13">
                  <c:v>44420</c:v>
                </c:pt>
                <c:pt idx="14">
                  <c:v>44419</c:v>
                </c:pt>
                <c:pt idx="15">
                  <c:v>44418</c:v>
                </c:pt>
                <c:pt idx="16">
                  <c:v>44417</c:v>
                </c:pt>
                <c:pt idx="17">
                  <c:v>44414</c:v>
                </c:pt>
                <c:pt idx="18">
                  <c:v>44413</c:v>
                </c:pt>
                <c:pt idx="19">
                  <c:v>44412</c:v>
                </c:pt>
                <c:pt idx="20">
                  <c:v>44411</c:v>
                </c:pt>
                <c:pt idx="21">
                  <c:v>44410</c:v>
                </c:pt>
                <c:pt idx="22">
                  <c:v>44407</c:v>
                </c:pt>
                <c:pt idx="23">
                  <c:v>44406</c:v>
                </c:pt>
                <c:pt idx="24">
                  <c:v>44405</c:v>
                </c:pt>
                <c:pt idx="25">
                  <c:v>44404</c:v>
                </c:pt>
                <c:pt idx="26">
                  <c:v>44403</c:v>
                </c:pt>
                <c:pt idx="27">
                  <c:v>44400</c:v>
                </c:pt>
                <c:pt idx="28">
                  <c:v>44399</c:v>
                </c:pt>
                <c:pt idx="29">
                  <c:v>44398</c:v>
                </c:pt>
                <c:pt idx="30">
                  <c:v>44397</c:v>
                </c:pt>
                <c:pt idx="31">
                  <c:v>44396</c:v>
                </c:pt>
                <c:pt idx="32">
                  <c:v>44393</c:v>
                </c:pt>
                <c:pt idx="33">
                  <c:v>44392</c:v>
                </c:pt>
                <c:pt idx="34">
                  <c:v>44391</c:v>
                </c:pt>
                <c:pt idx="35">
                  <c:v>44390</c:v>
                </c:pt>
                <c:pt idx="36">
                  <c:v>44389</c:v>
                </c:pt>
                <c:pt idx="37">
                  <c:v>44386</c:v>
                </c:pt>
                <c:pt idx="38">
                  <c:v>44385</c:v>
                </c:pt>
                <c:pt idx="39">
                  <c:v>44384</c:v>
                </c:pt>
                <c:pt idx="40">
                  <c:v>44383</c:v>
                </c:pt>
                <c:pt idx="41">
                  <c:v>44382</c:v>
                </c:pt>
                <c:pt idx="42">
                  <c:v>44379</c:v>
                </c:pt>
                <c:pt idx="43">
                  <c:v>44378</c:v>
                </c:pt>
                <c:pt idx="44">
                  <c:v>44377</c:v>
                </c:pt>
                <c:pt idx="45">
                  <c:v>44376</c:v>
                </c:pt>
                <c:pt idx="46">
                  <c:v>44375</c:v>
                </c:pt>
                <c:pt idx="47">
                  <c:v>44372</c:v>
                </c:pt>
                <c:pt idx="48">
                  <c:v>44371</c:v>
                </c:pt>
                <c:pt idx="49">
                  <c:v>44370</c:v>
                </c:pt>
                <c:pt idx="50">
                  <c:v>44369</c:v>
                </c:pt>
                <c:pt idx="51">
                  <c:v>44368</c:v>
                </c:pt>
                <c:pt idx="52">
                  <c:v>44365</c:v>
                </c:pt>
                <c:pt idx="53">
                  <c:v>44364</c:v>
                </c:pt>
                <c:pt idx="54">
                  <c:v>44363</c:v>
                </c:pt>
                <c:pt idx="55">
                  <c:v>44362</c:v>
                </c:pt>
                <c:pt idx="56">
                  <c:v>44361</c:v>
                </c:pt>
                <c:pt idx="57">
                  <c:v>44358</c:v>
                </c:pt>
                <c:pt idx="58">
                  <c:v>44357</c:v>
                </c:pt>
                <c:pt idx="59">
                  <c:v>44356</c:v>
                </c:pt>
                <c:pt idx="60">
                  <c:v>44355</c:v>
                </c:pt>
                <c:pt idx="61">
                  <c:v>44354</c:v>
                </c:pt>
                <c:pt idx="62">
                  <c:v>44351</c:v>
                </c:pt>
                <c:pt idx="63">
                  <c:v>44350</c:v>
                </c:pt>
                <c:pt idx="64">
                  <c:v>44349</c:v>
                </c:pt>
                <c:pt idx="65">
                  <c:v>44348</c:v>
                </c:pt>
                <c:pt idx="66">
                  <c:v>44347</c:v>
                </c:pt>
                <c:pt idx="67">
                  <c:v>44344</c:v>
                </c:pt>
                <c:pt idx="68">
                  <c:v>44343</c:v>
                </c:pt>
                <c:pt idx="69">
                  <c:v>44342</c:v>
                </c:pt>
                <c:pt idx="70">
                  <c:v>44341</c:v>
                </c:pt>
                <c:pt idx="71">
                  <c:v>44340</c:v>
                </c:pt>
                <c:pt idx="72">
                  <c:v>44337</c:v>
                </c:pt>
                <c:pt idx="73">
                  <c:v>44336</c:v>
                </c:pt>
                <c:pt idx="74">
                  <c:v>44335</c:v>
                </c:pt>
                <c:pt idx="75">
                  <c:v>44334</c:v>
                </c:pt>
                <c:pt idx="76">
                  <c:v>44333</c:v>
                </c:pt>
                <c:pt idx="77">
                  <c:v>44330</c:v>
                </c:pt>
                <c:pt idx="78">
                  <c:v>44329</c:v>
                </c:pt>
                <c:pt idx="79">
                  <c:v>44328</c:v>
                </c:pt>
                <c:pt idx="80">
                  <c:v>44327</c:v>
                </c:pt>
                <c:pt idx="81">
                  <c:v>44326</c:v>
                </c:pt>
                <c:pt idx="82">
                  <c:v>44323</c:v>
                </c:pt>
                <c:pt idx="83">
                  <c:v>44322</c:v>
                </c:pt>
                <c:pt idx="84">
                  <c:v>44321</c:v>
                </c:pt>
                <c:pt idx="85">
                  <c:v>44320</c:v>
                </c:pt>
                <c:pt idx="86">
                  <c:v>44319</c:v>
                </c:pt>
                <c:pt idx="87">
                  <c:v>44316</c:v>
                </c:pt>
                <c:pt idx="88">
                  <c:v>44315</c:v>
                </c:pt>
                <c:pt idx="89">
                  <c:v>44314</c:v>
                </c:pt>
                <c:pt idx="90">
                  <c:v>44313</c:v>
                </c:pt>
                <c:pt idx="91">
                  <c:v>44312</c:v>
                </c:pt>
                <c:pt idx="92">
                  <c:v>44309</c:v>
                </c:pt>
                <c:pt idx="93">
                  <c:v>44308</c:v>
                </c:pt>
                <c:pt idx="94">
                  <c:v>44307</c:v>
                </c:pt>
                <c:pt idx="95">
                  <c:v>44306</c:v>
                </c:pt>
                <c:pt idx="96">
                  <c:v>44305</c:v>
                </c:pt>
                <c:pt idx="97">
                  <c:v>44302</c:v>
                </c:pt>
                <c:pt idx="98">
                  <c:v>44301</c:v>
                </c:pt>
                <c:pt idx="99">
                  <c:v>44300</c:v>
                </c:pt>
                <c:pt idx="100">
                  <c:v>44299</c:v>
                </c:pt>
                <c:pt idx="101">
                  <c:v>44298</c:v>
                </c:pt>
                <c:pt idx="102">
                  <c:v>44295</c:v>
                </c:pt>
                <c:pt idx="103">
                  <c:v>44294</c:v>
                </c:pt>
                <c:pt idx="104">
                  <c:v>44293</c:v>
                </c:pt>
                <c:pt idx="105">
                  <c:v>44292</c:v>
                </c:pt>
                <c:pt idx="106">
                  <c:v>44287</c:v>
                </c:pt>
                <c:pt idx="107">
                  <c:v>44286</c:v>
                </c:pt>
                <c:pt idx="108">
                  <c:v>44285</c:v>
                </c:pt>
                <c:pt idx="109">
                  <c:v>44284</c:v>
                </c:pt>
                <c:pt idx="110">
                  <c:v>44281</c:v>
                </c:pt>
                <c:pt idx="111">
                  <c:v>44280</c:v>
                </c:pt>
                <c:pt idx="112">
                  <c:v>44279</c:v>
                </c:pt>
                <c:pt idx="113">
                  <c:v>44278</c:v>
                </c:pt>
                <c:pt idx="114">
                  <c:v>44277</c:v>
                </c:pt>
                <c:pt idx="115">
                  <c:v>44274</c:v>
                </c:pt>
                <c:pt idx="116">
                  <c:v>44273</c:v>
                </c:pt>
                <c:pt idx="117">
                  <c:v>44272</c:v>
                </c:pt>
                <c:pt idx="118">
                  <c:v>44271</c:v>
                </c:pt>
                <c:pt idx="119">
                  <c:v>44270</c:v>
                </c:pt>
                <c:pt idx="120">
                  <c:v>44267</c:v>
                </c:pt>
                <c:pt idx="121">
                  <c:v>44266</c:v>
                </c:pt>
                <c:pt idx="122">
                  <c:v>44265</c:v>
                </c:pt>
                <c:pt idx="123">
                  <c:v>44264</c:v>
                </c:pt>
                <c:pt idx="124">
                  <c:v>44263</c:v>
                </c:pt>
                <c:pt idx="125">
                  <c:v>44260</c:v>
                </c:pt>
                <c:pt idx="126">
                  <c:v>44259</c:v>
                </c:pt>
                <c:pt idx="127">
                  <c:v>44258</c:v>
                </c:pt>
                <c:pt idx="128">
                  <c:v>44257</c:v>
                </c:pt>
                <c:pt idx="129">
                  <c:v>44256</c:v>
                </c:pt>
                <c:pt idx="130">
                  <c:v>44253</c:v>
                </c:pt>
                <c:pt idx="131">
                  <c:v>44252</c:v>
                </c:pt>
                <c:pt idx="132">
                  <c:v>44251</c:v>
                </c:pt>
                <c:pt idx="133">
                  <c:v>44250</c:v>
                </c:pt>
                <c:pt idx="134">
                  <c:v>44249</c:v>
                </c:pt>
                <c:pt idx="135">
                  <c:v>44246</c:v>
                </c:pt>
                <c:pt idx="136">
                  <c:v>44245</c:v>
                </c:pt>
                <c:pt idx="137">
                  <c:v>44244</c:v>
                </c:pt>
                <c:pt idx="138">
                  <c:v>44243</c:v>
                </c:pt>
                <c:pt idx="139">
                  <c:v>44242</c:v>
                </c:pt>
                <c:pt idx="140">
                  <c:v>44239</c:v>
                </c:pt>
                <c:pt idx="141">
                  <c:v>44238</c:v>
                </c:pt>
                <c:pt idx="142">
                  <c:v>44237</c:v>
                </c:pt>
                <c:pt idx="143">
                  <c:v>44236</c:v>
                </c:pt>
                <c:pt idx="144">
                  <c:v>44235</c:v>
                </c:pt>
                <c:pt idx="145">
                  <c:v>44232</c:v>
                </c:pt>
                <c:pt idx="146">
                  <c:v>44231</c:v>
                </c:pt>
                <c:pt idx="147">
                  <c:v>44230</c:v>
                </c:pt>
                <c:pt idx="148">
                  <c:v>44229</c:v>
                </c:pt>
                <c:pt idx="149">
                  <c:v>44228</c:v>
                </c:pt>
                <c:pt idx="150">
                  <c:v>44225</c:v>
                </c:pt>
                <c:pt idx="151">
                  <c:v>44224</c:v>
                </c:pt>
                <c:pt idx="152">
                  <c:v>44223</c:v>
                </c:pt>
                <c:pt idx="153">
                  <c:v>44222</c:v>
                </c:pt>
                <c:pt idx="154">
                  <c:v>44221</c:v>
                </c:pt>
                <c:pt idx="155">
                  <c:v>44218</c:v>
                </c:pt>
                <c:pt idx="156">
                  <c:v>44217</c:v>
                </c:pt>
                <c:pt idx="157">
                  <c:v>44216</c:v>
                </c:pt>
                <c:pt idx="158">
                  <c:v>44215</c:v>
                </c:pt>
                <c:pt idx="159">
                  <c:v>44214</c:v>
                </c:pt>
                <c:pt idx="160">
                  <c:v>44211</c:v>
                </c:pt>
                <c:pt idx="161">
                  <c:v>44210</c:v>
                </c:pt>
                <c:pt idx="162">
                  <c:v>44209</c:v>
                </c:pt>
                <c:pt idx="163">
                  <c:v>44208</c:v>
                </c:pt>
                <c:pt idx="164">
                  <c:v>44207</c:v>
                </c:pt>
                <c:pt idx="165">
                  <c:v>44204</c:v>
                </c:pt>
                <c:pt idx="166">
                  <c:v>44203</c:v>
                </c:pt>
                <c:pt idx="167">
                  <c:v>44202</c:v>
                </c:pt>
                <c:pt idx="168">
                  <c:v>44201</c:v>
                </c:pt>
                <c:pt idx="169">
                  <c:v>44200</c:v>
                </c:pt>
                <c:pt idx="170">
                  <c:v>44196</c:v>
                </c:pt>
                <c:pt idx="171">
                  <c:v>44195</c:v>
                </c:pt>
                <c:pt idx="172">
                  <c:v>44194</c:v>
                </c:pt>
                <c:pt idx="173">
                  <c:v>44193</c:v>
                </c:pt>
                <c:pt idx="174">
                  <c:v>44189</c:v>
                </c:pt>
                <c:pt idx="175">
                  <c:v>44188</c:v>
                </c:pt>
                <c:pt idx="176">
                  <c:v>44187</c:v>
                </c:pt>
                <c:pt idx="177">
                  <c:v>44186</c:v>
                </c:pt>
                <c:pt idx="178">
                  <c:v>44183</c:v>
                </c:pt>
                <c:pt idx="179">
                  <c:v>44182</c:v>
                </c:pt>
                <c:pt idx="180">
                  <c:v>44181</c:v>
                </c:pt>
                <c:pt idx="181">
                  <c:v>44180</c:v>
                </c:pt>
                <c:pt idx="182">
                  <c:v>44179</c:v>
                </c:pt>
                <c:pt idx="183">
                  <c:v>44176</c:v>
                </c:pt>
                <c:pt idx="184">
                  <c:v>44175</c:v>
                </c:pt>
                <c:pt idx="185">
                  <c:v>44174</c:v>
                </c:pt>
                <c:pt idx="186">
                  <c:v>44173</c:v>
                </c:pt>
                <c:pt idx="187">
                  <c:v>44172</c:v>
                </c:pt>
                <c:pt idx="188">
                  <c:v>44169</c:v>
                </c:pt>
                <c:pt idx="189">
                  <c:v>44168</c:v>
                </c:pt>
                <c:pt idx="190">
                  <c:v>44167</c:v>
                </c:pt>
                <c:pt idx="191">
                  <c:v>44166</c:v>
                </c:pt>
                <c:pt idx="192">
                  <c:v>44165</c:v>
                </c:pt>
                <c:pt idx="193">
                  <c:v>44162</c:v>
                </c:pt>
                <c:pt idx="194">
                  <c:v>44161</c:v>
                </c:pt>
                <c:pt idx="195">
                  <c:v>44160</c:v>
                </c:pt>
                <c:pt idx="196">
                  <c:v>44159</c:v>
                </c:pt>
                <c:pt idx="197">
                  <c:v>44158</c:v>
                </c:pt>
                <c:pt idx="198">
                  <c:v>44155</c:v>
                </c:pt>
                <c:pt idx="199">
                  <c:v>44154</c:v>
                </c:pt>
                <c:pt idx="200">
                  <c:v>44153</c:v>
                </c:pt>
                <c:pt idx="201">
                  <c:v>44152</c:v>
                </c:pt>
                <c:pt idx="202">
                  <c:v>44151</c:v>
                </c:pt>
                <c:pt idx="203">
                  <c:v>44148</c:v>
                </c:pt>
                <c:pt idx="204">
                  <c:v>44147</c:v>
                </c:pt>
                <c:pt idx="205">
                  <c:v>44146</c:v>
                </c:pt>
                <c:pt idx="206">
                  <c:v>44145</c:v>
                </c:pt>
                <c:pt idx="207">
                  <c:v>44144</c:v>
                </c:pt>
                <c:pt idx="208">
                  <c:v>44141</c:v>
                </c:pt>
                <c:pt idx="209">
                  <c:v>44140</c:v>
                </c:pt>
                <c:pt idx="210">
                  <c:v>44139</c:v>
                </c:pt>
                <c:pt idx="211">
                  <c:v>44138</c:v>
                </c:pt>
                <c:pt idx="212">
                  <c:v>44137</c:v>
                </c:pt>
                <c:pt idx="213">
                  <c:v>44134</c:v>
                </c:pt>
                <c:pt idx="214">
                  <c:v>44133</c:v>
                </c:pt>
                <c:pt idx="215">
                  <c:v>44132</c:v>
                </c:pt>
                <c:pt idx="216">
                  <c:v>44131</c:v>
                </c:pt>
                <c:pt idx="217">
                  <c:v>44130</c:v>
                </c:pt>
                <c:pt idx="218">
                  <c:v>44127</c:v>
                </c:pt>
                <c:pt idx="219">
                  <c:v>44126</c:v>
                </c:pt>
                <c:pt idx="220">
                  <c:v>44125</c:v>
                </c:pt>
                <c:pt idx="221">
                  <c:v>44124</c:v>
                </c:pt>
                <c:pt idx="222">
                  <c:v>44123</c:v>
                </c:pt>
                <c:pt idx="223">
                  <c:v>44120</c:v>
                </c:pt>
                <c:pt idx="224">
                  <c:v>44119</c:v>
                </c:pt>
                <c:pt idx="225">
                  <c:v>44118</c:v>
                </c:pt>
                <c:pt idx="226">
                  <c:v>44117</c:v>
                </c:pt>
                <c:pt idx="227">
                  <c:v>44116</c:v>
                </c:pt>
                <c:pt idx="228">
                  <c:v>44113</c:v>
                </c:pt>
                <c:pt idx="229">
                  <c:v>44112</c:v>
                </c:pt>
                <c:pt idx="230">
                  <c:v>44111</c:v>
                </c:pt>
                <c:pt idx="231">
                  <c:v>44110</c:v>
                </c:pt>
                <c:pt idx="232">
                  <c:v>44109</c:v>
                </c:pt>
                <c:pt idx="233">
                  <c:v>44106</c:v>
                </c:pt>
                <c:pt idx="234">
                  <c:v>44105</c:v>
                </c:pt>
                <c:pt idx="235">
                  <c:v>44104</c:v>
                </c:pt>
                <c:pt idx="236">
                  <c:v>44103</c:v>
                </c:pt>
                <c:pt idx="237">
                  <c:v>44102</c:v>
                </c:pt>
                <c:pt idx="238">
                  <c:v>44099</c:v>
                </c:pt>
                <c:pt idx="239">
                  <c:v>44098</c:v>
                </c:pt>
                <c:pt idx="240">
                  <c:v>44097</c:v>
                </c:pt>
                <c:pt idx="241">
                  <c:v>44096</c:v>
                </c:pt>
                <c:pt idx="242">
                  <c:v>44095</c:v>
                </c:pt>
                <c:pt idx="243">
                  <c:v>44092</c:v>
                </c:pt>
                <c:pt idx="244">
                  <c:v>44091</c:v>
                </c:pt>
                <c:pt idx="245">
                  <c:v>44090</c:v>
                </c:pt>
                <c:pt idx="246">
                  <c:v>44089</c:v>
                </c:pt>
                <c:pt idx="247">
                  <c:v>44088</c:v>
                </c:pt>
                <c:pt idx="248">
                  <c:v>44085</c:v>
                </c:pt>
                <c:pt idx="249">
                  <c:v>44084</c:v>
                </c:pt>
                <c:pt idx="250">
                  <c:v>44083</c:v>
                </c:pt>
                <c:pt idx="251">
                  <c:v>44082</c:v>
                </c:pt>
                <c:pt idx="252">
                  <c:v>44081</c:v>
                </c:pt>
                <c:pt idx="253">
                  <c:v>44078</c:v>
                </c:pt>
                <c:pt idx="254">
                  <c:v>44077</c:v>
                </c:pt>
                <c:pt idx="255">
                  <c:v>44076</c:v>
                </c:pt>
                <c:pt idx="256">
                  <c:v>44075</c:v>
                </c:pt>
                <c:pt idx="257">
                  <c:v>44074</c:v>
                </c:pt>
                <c:pt idx="258">
                  <c:v>44071</c:v>
                </c:pt>
                <c:pt idx="259">
                  <c:v>44070</c:v>
                </c:pt>
                <c:pt idx="260">
                  <c:v>44069</c:v>
                </c:pt>
                <c:pt idx="261">
                  <c:v>44068</c:v>
                </c:pt>
                <c:pt idx="262">
                  <c:v>44067</c:v>
                </c:pt>
                <c:pt idx="263">
                  <c:v>44064</c:v>
                </c:pt>
                <c:pt idx="264">
                  <c:v>44063</c:v>
                </c:pt>
                <c:pt idx="265">
                  <c:v>44062</c:v>
                </c:pt>
                <c:pt idx="266">
                  <c:v>44061</c:v>
                </c:pt>
                <c:pt idx="267">
                  <c:v>44060</c:v>
                </c:pt>
                <c:pt idx="268">
                  <c:v>44057</c:v>
                </c:pt>
                <c:pt idx="269">
                  <c:v>44056</c:v>
                </c:pt>
                <c:pt idx="270">
                  <c:v>44055</c:v>
                </c:pt>
                <c:pt idx="271">
                  <c:v>44054</c:v>
                </c:pt>
                <c:pt idx="272">
                  <c:v>44053</c:v>
                </c:pt>
                <c:pt idx="273">
                  <c:v>44050</c:v>
                </c:pt>
                <c:pt idx="274">
                  <c:v>44049</c:v>
                </c:pt>
                <c:pt idx="275">
                  <c:v>44048</c:v>
                </c:pt>
                <c:pt idx="276">
                  <c:v>44047</c:v>
                </c:pt>
                <c:pt idx="277">
                  <c:v>44046</c:v>
                </c:pt>
                <c:pt idx="278">
                  <c:v>44043</c:v>
                </c:pt>
                <c:pt idx="279">
                  <c:v>44042</c:v>
                </c:pt>
                <c:pt idx="280">
                  <c:v>44041</c:v>
                </c:pt>
                <c:pt idx="281">
                  <c:v>44040</c:v>
                </c:pt>
                <c:pt idx="282">
                  <c:v>44039</c:v>
                </c:pt>
                <c:pt idx="283">
                  <c:v>44036</c:v>
                </c:pt>
                <c:pt idx="284">
                  <c:v>44035</c:v>
                </c:pt>
                <c:pt idx="285">
                  <c:v>44034</c:v>
                </c:pt>
                <c:pt idx="286">
                  <c:v>44033</c:v>
                </c:pt>
                <c:pt idx="287">
                  <c:v>44032</c:v>
                </c:pt>
                <c:pt idx="288">
                  <c:v>44029</c:v>
                </c:pt>
                <c:pt idx="289">
                  <c:v>44028</c:v>
                </c:pt>
                <c:pt idx="290">
                  <c:v>44027</c:v>
                </c:pt>
                <c:pt idx="291">
                  <c:v>44026</c:v>
                </c:pt>
                <c:pt idx="292">
                  <c:v>44025</c:v>
                </c:pt>
                <c:pt idx="293">
                  <c:v>44022</c:v>
                </c:pt>
                <c:pt idx="294">
                  <c:v>44021</c:v>
                </c:pt>
                <c:pt idx="295">
                  <c:v>44020</c:v>
                </c:pt>
                <c:pt idx="296">
                  <c:v>44019</c:v>
                </c:pt>
                <c:pt idx="297">
                  <c:v>44018</c:v>
                </c:pt>
                <c:pt idx="298">
                  <c:v>44015</c:v>
                </c:pt>
                <c:pt idx="299">
                  <c:v>44014</c:v>
                </c:pt>
                <c:pt idx="300">
                  <c:v>44013</c:v>
                </c:pt>
                <c:pt idx="301">
                  <c:v>44012</c:v>
                </c:pt>
                <c:pt idx="302">
                  <c:v>44011</c:v>
                </c:pt>
                <c:pt idx="303">
                  <c:v>44008</c:v>
                </c:pt>
                <c:pt idx="304">
                  <c:v>44007</c:v>
                </c:pt>
                <c:pt idx="305">
                  <c:v>44006</c:v>
                </c:pt>
                <c:pt idx="306">
                  <c:v>44005</c:v>
                </c:pt>
                <c:pt idx="307">
                  <c:v>44004</c:v>
                </c:pt>
                <c:pt idx="308">
                  <c:v>44001</c:v>
                </c:pt>
                <c:pt idx="309">
                  <c:v>44000</c:v>
                </c:pt>
                <c:pt idx="310">
                  <c:v>43999</c:v>
                </c:pt>
                <c:pt idx="311">
                  <c:v>43998</c:v>
                </c:pt>
                <c:pt idx="312">
                  <c:v>43997</c:v>
                </c:pt>
                <c:pt idx="313">
                  <c:v>43994</c:v>
                </c:pt>
                <c:pt idx="314">
                  <c:v>43993</c:v>
                </c:pt>
                <c:pt idx="315">
                  <c:v>43992</c:v>
                </c:pt>
                <c:pt idx="316">
                  <c:v>43991</c:v>
                </c:pt>
                <c:pt idx="317">
                  <c:v>43990</c:v>
                </c:pt>
                <c:pt idx="318">
                  <c:v>43987</c:v>
                </c:pt>
                <c:pt idx="319">
                  <c:v>43986</c:v>
                </c:pt>
                <c:pt idx="320">
                  <c:v>43985</c:v>
                </c:pt>
                <c:pt idx="321">
                  <c:v>43984</c:v>
                </c:pt>
                <c:pt idx="322">
                  <c:v>43983</c:v>
                </c:pt>
                <c:pt idx="323">
                  <c:v>43980</c:v>
                </c:pt>
                <c:pt idx="324">
                  <c:v>43979</c:v>
                </c:pt>
                <c:pt idx="325">
                  <c:v>43978</c:v>
                </c:pt>
                <c:pt idx="326">
                  <c:v>43977</c:v>
                </c:pt>
                <c:pt idx="327">
                  <c:v>43976</c:v>
                </c:pt>
                <c:pt idx="328">
                  <c:v>43973</c:v>
                </c:pt>
                <c:pt idx="329">
                  <c:v>43972</c:v>
                </c:pt>
                <c:pt idx="330">
                  <c:v>43971</c:v>
                </c:pt>
                <c:pt idx="331">
                  <c:v>43970</c:v>
                </c:pt>
                <c:pt idx="332">
                  <c:v>43969</c:v>
                </c:pt>
                <c:pt idx="333">
                  <c:v>43966</c:v>
                </c:pt>
                <c:pt idx="334">
                  <c:v>43965</c:v>
                </c:pt>
                <c:pt idx="335">
                  <c:v>43964</c:v>
                </c:pt>
              </c:numCache>
            </c:numRef>
          </c:cat>
          <c:val>
            <c:numRef>
              <c:f>'EUROBOND 2027 offline'!$B$31:$B$366</c:f>
              <c:numCache>
                <c:formatCode>#,##0.000</c:formatCode>
                <c:ptCount val="336"/>
                <c:pt idx="0">
                  <c:v>111.858</c:v>
                </c:pt>
                <c:pt idx="1">
                  <c:v>111.69499999999999</c:v>
                </c:pt>
                <c:pt idx="2">
                  <c:v>111.72499999999999</c:v>
                </c:pt>
                <c:pt idx="3">
                  <c:v>111.649</c:v>
                </c:pt>
                <c:pt idx="4">
                  <c:v>111.696</c:v>
                </c:pt>
                <c:pt idx="5">
                  <c:v>111.70699999999999</c:v>
                </c:pt>
                <c:pt idx="6">
                  <c:v>111.685</c:v>
                </c:pt>
                <c:pt idx="7">
                  <c:v>111.669</c:v>
                </c:pt>
                <c:pt idx="8">
                  <c:v>111.646</c:v>
                </c:pt>
                <c:pt idx="9">
                  <c:v>111.65300000000001</c:v>
                </c:pt>
                <c:pt idx="10">
                  <c:v>111.629</c:v>
                </c:pt>
                <c:pt idx="11">
                  <c:v>111.633</c:v>
                </c:pt>
                <c:pt idx="12">
                  <c:v>111.637</c:v>
                </c:pt>
                <c:pt idx="13">
                  <c:v>111.652</c:v>
                </c:pt>
                <c:pt idx="14">
                  <c:v>111.642</c:v>
                </c:pt>
                <c:pt idx="15">
                  <c:v>111.715</c:v>
                </c:pt>
                <c:pt idx="16">
                  <c:v>111.785</c:v>
                </c:pt>
                <c:pt idx="17">
                  <c:v>111.78</c:v>
                </c:pt>
                <c:pt idx="18">
                  <c:v>111.807</c:v>
                </c:pt>
                <c:pt idx="19">
                  <c:v>111.73699999999999</c:v>
                </c:pt>
                <c:pt idx="20">
                  <c:v>111.666</c:v>
                </c:pt>
                <c:pt idx="21">
                  <c:v>111.59</c:v>
                </c:pt>
                <c:pt idx="22">
                  <c:v>111.566</c:v>
                </c:pt>
                <c:pt idx="23">
                  <c:v>111.54300000000001</c:v>
                </c:pt>
                <c:pt idx="24">
                  <c:v>111.54300000000001</c:v>
                </c:pt>
                <c:pt idx="25">
                  <c:v>111.56399999999999</c:v>
                </c:pt>
                <c:pt idx="26">
                  <c:v>111.551</c:v>
                </c:pt>
                <c:pt idx="27">
                  <c:v>111.551</c:v>
                </c:pt>
                <c:pt idx="28">
                  <c:v>111.52500000000001</c:v>
                </c:pt>
                <c:pt idx="29">
                  <c:v>111.51300000000001</c:v>
                </c:pt>
                <c:pt idx="30">
                  <c:v>111.505</c:v>
                </c:pt>
                <c:pt idx="31">
                  <c:v>111.482</c:v>
                </c:pt>
                <c:pt idx="32">
                  <c:v>111.498</c:v>
                </c:pt>
                <c:pt idx="33">
                  <c:v>111.47799999999999</c:v>
                </c:pt>
                <c:pt idx="34">
                  <c:v>111.432</c:v>
                </c:pt>
                <c:pt idx="35">
                  <c:v>111.452</c:v>
                </c:pt>
                <c:pt idx="36">
                  <c:v>111.46299999999999</c:v>
                </c:pt>
                <c:pt idx="37">
                  <c:v>111.459</c:v>
                </c:pt>
                <c:pt idx="38">
                  <c:v>111.468</c:v>
                </c:pt>
                <c:pt idx="39">
                  <c:v>111.476</c:v>
                </c:pt>
                <c:pt idx="40">
                  <c:v>111.464</c:v>
                </c:pt>
                <c:pt idx="41">
                  <c:v>111.467</c:v>
                </c:pt>
                <c:pt idx="42">
                  <c:v>111.46899999999999</c:v>
                </c:pt>
                <c:pt idx="43">
                  <c:v>111.459</c:v>
                </c:pt>
                <c:pt idx="44">
                  <c:v>111.411</c:v>
                </c:pt>
                <c:pt idx="45">
                  <c:v>111.39400000000001</c:v>
                </c:pt>
                <c:pt idx="46">
                  <c:v>111.366</c:v>
                </c:pt>
                <c:pt idx="47">
                  <c:v>111.34</c:v>
                </c:pt>
                <c:pt idx="48">
                  <c:v>111.348</c:v>
                </c:pt>
                <c:pt idx="49">
                  <c:v>111.35599999999999</c:v>
                </c:pt>
                <c:pt idx="50">
                  <c:v>111.345</c:v>
                </c:pt>
                <c:pt idx="51">
                  <c:v>111.417</c:v>
                </c:pt>
                <c:pt idx="52">
                  <c:v>111.458</c:v>
                </c:pt>
                <c:pt idx="53">
                  <c:v>111.43300000000001</c:v>
                </c:pt>
                <c:pt idx="54">
                  <c:v>111.56399999999999</c:v>
                </c:pt>
                <c:pt idx="55">
                  <c:v>111.53400000000001</c:v>
                </c:pt>
                <c:pt idx="56">
                  <c:v>111.64</c:v>
                </c:pt>
                <c:pt idx="57">
                  <c:v>111.626</c:v>
                </c:pt>
                <c:pt idx="58">
                  <c:v>111.443</c:v>
                </c:pt>
                <c:pt idx="59">
                  <c:v>111.372</c:v>
                </c:pt>
                <c:pt idx="60">
                  <c:v>111.214</c:v>
                </c:pt>
                <c:pt idx="61">
                  <c:v>111.06399999999999</c:v>
                </c:pt>
                <c:pt idx="62">
                  <c:v>111.051</c:v>
                </c:pt>
                <c:pt idx="63">
                  <c:v>111.023</c:v>
                </c:pt>
                <c:pt idx="64">
                  <c:v>111.004</c:v>
                </c:pt>
                <c:pt idx="65">
                  <c:v>110.96299999999999</c:v>
                </c:pt>
                <c:pt idx="66">
                  <c:v>110.964</c:v>
                </c:pt>
                <c:pt idx="67">
                  <c:v>110.935</c:v>
                </c:pt>
                <c:pt idx="68">
                  <c:v>110.932</c:v>
                </c:pt>
                <c:pt idx="69">
                  <c:v>110.84</c:v>
                </c:pt>
                <c:pt idx="70">
                  <c:v>110.685</c:v>
                </c:pt>
                <c:pt idx="71">
                  <c:v>110.621</c:v>
                </c:pt>
                <c:pt idx="72">
                  <c:v>110.572</c:v>
                </c:pt>
                <c:pt idx="73">
                  <c:v>110.402</c:v>
                </c:pt>
                <c:pt idx="74">
                  <c:v>110.19799999999999</c:v>
                </c:pt>
                <c:pt idx="75">
                  <c:v>110.334</c:v>
                </c:pt>
                <c:pt idx="76">
                  <c:v>110.53100000000001</c:v>
                </c:pt>
                <c:pt idx="77">
                  <c:v>110.54900000000001</c:v>
                </c:pt>
                <c:pt idx="78">
                  <c:v>110.521</c:v>
                </c:pt>
                <c:pt idx="79">
                  <c:v>110.623</c:v>
                </c:pt>
                <c:pt idx="80">
                  <c:v>110.735</c:v>
                </c:pt>
                <c:pt idx="81">
                  <c:v>110.80800000000001</c:v>
                </c:pt>
                <c:pt idx="82">
                  <c:v>110.758</c:v>
                </c:pt>
                <c:pt idx="83">
                  <c:v>110.625</c:v>
                </c:pt>
                <c:pt idx="84">
                  <c:v>110.349</c:v>
                </c:pt>
                <c:pt idx="85">
                  <c:v>110.21299999999999</c:v>
                </c:pt>
                <c:pt idx="86">
                  <c:v>110.232</c:v>
                </c:pt>
                <c:pt idx="87">
                  <c:v>110.205</c:v>
                </c:pt>
                <c:pt idx="88">
                  <c:v>110.235</c:v>
                </c:pt>
                <c:pt idx="89">
                  <c:v>110.32899999999999</c:v>
                </c:pt>
                <c:pt idx="90">
                  <c:v>110.6</c:v>
                </c:pt>
                <c:pt idx="91">
                  <c:v>110.65</c:v>
                </c:pt>
                <c:pt idx="92">
                  <c:v>110.753</c:v>
                </c:pt>
                <c:pt idx="93">
                  <c:v>110.764</c:v>
                </c:pt>
                <c:pt idx="94">
                  <c:v>110.782</c:v>
                </c:pt>
                <c:pt idx="95">
                  <c:v>110.883</c:v>
                </c:pt>
                <c:pt idx="96">
                  <c:v>111.01900000000001</c:v>
                </c:pt>
                <c:pt idx="97">
                  <c:v>111.044</c:v>
                </c:pt>
                <c:pt idx="98">
                  <c:v>111.086</c:v>
                </c:pt>
                <c:pt idx="99">
                  <c:v>111.084</c:v>
                </c:pt>
                <c:pt idx="100">
                  <c:v>111.099</c:v>
                </c:pt>
                <c:pt idx="101">
                  <c:v>111.133</c:v>
                </c:pt>
                <c:pt idx="102">
                  <c:v>111.145</c:v>
                </c:pt>
                <c:pt idx="103">
                  <c:v>111.173</c:v>
                </c:pt>
                <c:pt idx="104">
                  <c:v>111.14700000000001</c:v>
                </c:pt>
                <c:pt idx="105">
                  <c:v>111.078</c:v>
                </c:pt>
                <c:pt idx="106">
                  <c:v>111.029</c:v>
                </c:pt>
                <c:pt idx="107">
                  <c:v>110.92</c:v>
                </c:pt>
                <c:pt idx="108">
                  <c:v>110.93300000000001</c:v>
                </c:pt>
                <c:pt idx="109">
                  <c:v>111.014</c:v>
                </c:pt>
                <c:pt idx="110">
                  <c:v>111.032</c:v>
                </c:pt>
                <c:pt idx="111">
                  <c:v>111.056</c:v>
                </c:pt>
                <c:pt idx="112">
                  <c:v>111.03100000000001</c:v>
                </c:pt>
                <c:pt idx="113">
                  <c:v>111.00700000000001</c:v>
                </c:pt>
                <c:pt idx="114">
                  <c:v>111.008</c:v>
                </c:pt>
                <c:pt idx="115">
                  <c:v>110.98699999999999</c:v>
                </c:pt>
                <c:pt idx="116">
                  <c:v>111.004</c:v>
                </c:pt>
                <c:pt idx="117">
                  <c:v>111.08799999999999</c:v>
                </c:pt>
                <c:pt idx="118">
                  <c:v>111.13800000000001</c:v>
                </c:pt>
                <c:pt idx="119">
                  <c:v>111.07299999999999</c:v>
                </c:pt>
                <c:pt idx="120">
                  <c:v>111.005</c:v>
                </c:pt>
                <c:pt idx="121">
                  <c:v>111.18300000000001</c:v>
                </c:pt>
                <c:pt idx="122">
                  <c:v>110.694</c:v>
                </c:pt>
                <c:pt idx="123">
                  <c:v>110.621</c:v>
                </c:pt>
                <c:pt idx="124">
                  <c:v>110.578</c:v>
                </c:pt>
                <c:pt idx="125">
                  <c:v>110.86199999999999</c:v>
                </c:pt>
                <c:pt idx="126">
                  <c:v>111.035</c:v>
                </c:pt>
                <c:pt idx="127">
                  <c:v>111.11199999999999</c:v>
                </c:pt>
                <c:pt idx="128">
                  <c:v>111.191</c:v>
                </c:pt>
                <c:pt idx="129">
                  <c:v>111.084</c:v>
                </c:pt>
                <c:pt idx="130">
                  <c:v>110.88500000000001</c:v>
                </c:pt>
                <c:pt idx="131">
                  <c:v>110.962</c:v>
                </c:pt>
                <c:pt idx="132">
                  <c:v>111.08</c:v>
                </c:pt>
                <c:pt idx="133">
                  <c:v>111.20099999999999</c:v>
                </c:pt>
                <c:pt idx="134">
                  <c:v>111.259</c:v>
                </c:pt>
                <c:pt idx="135">
                  <c:v>111.486</c:v>
                </c:pt>
                <c:pt idx="136">
                  <c:v>111.703</c:v>
                </c:pt>
                <c:pt idx="137">
                  <c:v>111.78</c:v>
                </c:pt>
                <c:pt idx="138">
                  <c:v>111.95</c:v>
                </c:pt>
                <c:pt idx="139">
                  <c:v>112.078</c:v>
                </c:pt>
                <c:pt idx="140">
                  <c:v>112.215</c:v>
                </c:pt>
                <c:pt idx="141">
                  <c:v>112.277</c:v>
                </c:pt>
                <c:pt idx="142">
                  <c:v>112.229</c:v>
                </c:pt>
                <c:pt idx="143">
                  <c:v>112.254</c:v>
                </c:pt>
                <c:pt idx="144">
                  <c:v>112.321</c:v>
                </c:pt>
                <c:pt idx="145">
                  <c:v>112.361</c:v>
                </c:pt>
                <c:pt idx="146">
                  <c:v>112.238</c:v>
                </c:pt>
                <c:pt idx="147">
                  <c:v>112.104</c:v>
                </c:pt>
                <c:pt idx="148">
                  <c:v>112.05200000000001</c:v>
                </c:pt>
                <c:pt idx="149">
                  <c:v>112.004</c:v>
                </c:pt>
                <c:pt idx="150">
                  <c:v>111.91500000000001</c:v>
                </c:pt>
                <c:pt idx="151">
                  <c:v>111.89700000000001</c:v>
                </c:pt>
                <c:pt idx="152">
                  <c:v>111.721</c:v>
                </c:pt>
                <c:pt idx="153">
                  <c:v>111.738</c:v>
                </c:pt>
                <c:pt idx="154">
                  <c:v>111.752</c:v>
                </c:pt>
                <c:pt idx="155">
                  <c:v>111.777</c:v>
                </c:pt>
                <c:pt idx="156">
                  <c:v>111.899</c:v>
                </c:pt>
                <c:pt idx="157">
                  <c:v>111.995</c:v>
                </c:pt>
                <c:pt idx="158">
                  <c:v>112.089</c:v>
                </c:pt>
                <c:pt idx="159">
                  <c:v>112.111</c:v>
                </c:pt>
                <c:pt idx="160">
                  <c:v>112.233</c:v>
                </c:pt>
                <c:pt idx="161">
                  <c:v>112.33199999999999</c:v>
                </c:pt>
                <c:pt idx="162">
                  <c:v>112.249</c:v>
                </c:pt>
                <c:pt idx="163">
                  <c:v>112.169</c:v>
                </c:pt>
                <c:pt idx="164">
                  <c:v>112.578</c:v>
                </c:pt>
                <c:pt idx="165">
                  <c:v>112.685</c:v>
                </c:pt>
                <c:pt idx="166">
                  <c:v>112.755</c:v>
                </c:pt>
                <c:pt idx="167">
                  <c:v>112.93300000000001</c:v>
                </c:pt>
                <c:pt idx="168">
                  <c:v>112.952</c:v>
                </c:pt>
                <c:pt idx="169">
                  <c:v>112.977</c:v>
                </c:pt>
                <c:pt idx="170">
                  <c:v>112.633</c:v>
                </c:pt>
                <c:pt idx="171">
                  <c:v>112.524</c:v>
                </c:pt>
                <c:pt idx="172">
                  <c:v>112.498</c:v>
                </c:pt>
                <c:pt idx="173">
                  <c:v>112.399</c:v>
                </c:pt>
                <c:pt idx="174">
                  <c:v>112.47499999999999</c:v>
                </c:pt>
                <c:pt idx="175">
                  <c:v>112.411</c:v>
                </c:pt>
                <c:pt idx="176">
                  <c:v>112.387</c:v>
                </c:pt>
                <c:pt idx="177">
                  <c:v>112.426</c:v>
                </c:pt>
                <c:pt idx="178">
                  <c:v>112.414</c:v>
                </c:pt>
                <c:pt idx="179">
                  <c:v>112.32599999999999</c:v>
                </c:pt>
                <c:pt idx="180">
                  <c:v>112.173</c:v>
                </c:pt>
                <c:pt idx="181">
                  <c:v>112.127</c:v>
                </c:pt>
                <c:pt idx="182">
                  <c:v>112.05200000000001</c:v>
                </c:pt>
                <c:pt idx="183">
                  <c:v>112.053</c:v>
                </c:pt>
                <c:pt idx="184">
                  <c:v>112.04600000000001</c:v>
                </c:pt>
                <c:pt idx="185">
                  <c:v>112.065</c:v>
                </c:pt>
                <c:pt idx="186">
                  <c:v>112.035</c:v>
                </c:pt>
                <c:pt idx="187">
                  <c:v>112.01</c:v>
                </c:pt>
                <c:pt idx="188">
                  <c:v>112.006</c:v>
                </c:pt>
                <c:pt idx="189">
                  <c:v>111.871</c:v>
                </c:pt>
                <c:pt idx="190">
                  <c:v>111.824</c:v>
                </c:pt>
                <c:pt idx="191">
                  <c:v>111.879</c:v>
                </c:pt>
                <c:pt idx="192">
                  <c:v>111.94199999999999</c:v>
                </c:pt>
                <c:pt idx="193">
                  <c:v>111.898</c:v>
                </c:pt>
                <c:pt idx="194">
                  <c:v>111.902</c:v>
                </c:pt>
                <c:pt idx="195">
                  <c:v>111.887</c:v>
                </c:pt>
                <c:pt idx="196">
                  <c:v>111.88800000000001</c:v>
                </c:pt>
                <c:pt idx="197">
                  <c:v>111.488</c:v>
                </c:pt>
                <c:pt idx="198">
                  <c:v>110.801</c:v>
                </c:pt>
                <c:pt idx="199">
                  <c:v>110.78</c:v>
                </c:pt>
                <c:pt idx="200">
                  <c:v>110.73699999999999</c:v>
                </c:pt>
                <c:pt idx="201">
                  <c:v>110.678</c:v>
                </c:pt>
                <c:pt idx="202">
                  <c:v>110.65900000000001</c:v>
                </c:pt>
                <c:pt idx="203">
                  <c:v>110.56</c:v>
                </c:pt>
                <c:pt idx="204">
                  <c:v>110.578</c:v>
                </c:pt>
                <c:pt idx="205">
                  <c:v>110.681</c:v>
                </c:pt>
                <c:pt idx="206">
                  <c:v>110.621</c:v>
                </c:pt>
                <c:pt idx="207">
                  <c:v>110.679</c:v>
                </c:pt>
                <c:pt idx="208">
                  <c:v>110.351</c:v>
                </c:pt>
                <c:pt idx="209">
                  <c:v>110.383</c:v>
                </c:pt>
                <c:pt idx="210">
                  <c:v>109.67700000000001</c:v>
                </c:pt>
                <c:pt idx="211">
                  <c:v>109.254</c:v>
                </c:pt>
                <c:pt idx="212">
                  <c:v>108.977</c:v>
                </c:pt>
                <c:pt idx="213">
                  <c:v>108.92400000000001</c:v>
                </c:pt>
                <c:pt idx="214">
                  <c:v>108.96299999999999</c:v>
                </c:pt>
                <c:pt idx="215">
                  <c:v>109.01900000000001</c:v>
                </c:pt>
                <c:pt idx="216">
                  <c:v>109.389</c:v>
                </c:pt>
                <c:pt idx="217">
                  <c:v>109.44499999999999</c:v>
                </c:pt>
                <c:pt idx="218">
                  <c:v>109.61199999999999</c:v>
                </c:pt>
                <c:pt idx="219">
                  <c:v>109.318</c:v>
                </c:pt>
                <c:pt idx="220">
                  <c:v>109.262</c:v>
                </c:pt>
                <c:pt idx="221">
                  <c:v>109.342</c:v>
                </c:pt>
                <c:pt idx="222">
                  <c:v>109.438</c:v>
                </c:pt>
                <c:pt idx="223">
                  <c:v>109.236</c:v>
                </c:pt>
                <c:pt idx="224">
                  <c:v>108.848</c:v>
                </c:pt>
                <c:pt idx="225">
                  <c:v>108.80200000000001</c:v>
                </c:pt>
                <c:pt idx="226">
                  <c:v>108.762</c:v>
                </c:pt>
                <c:pt idx="227">
                  <c:v>108.474</c:v>
                </c:pt>
                <c:pt idx="228">
                  <c:v>108.334</c:v>
                </c:pt>
                <c:pt idx="229">
                  <c:v>108.16</c:v>
                </c:pt>
                <c:pt idx="230">
                  <c:v>107.688</c:v>
                </c:pt>
                <c:pt idx="231">
                  <c:v>107.608</c:v>
                </c:pt>
                <c:pt idx="232">
                  <c:v>107.508</c:v>
                </c:pt>
                <c:pt idx="233">
                  <c:v>107.441</c:v>
                </c:pt>
                <c:pt idx="234">
                  <c:v>107.383</c:v>
                </c:pt>
                <c:pt idx="235">
                  <c:v>107.099</c:v>
                </c:pt>
                <c:pt idx="236">
                  <c:v>107.15900000000001</c:v>
                </c:pt>
                <c:pt idx="237">
                  <c:v>107.447</c:v>
                </c:pt>
                <c:pt idx="238">
                  <c:v>107.47</c:v>
                </c:pt>
                <c:pt idx="239">
                  <c:v>107.462</c:v>
                </c:pt>
                <c:pt idx="240">
                  <c:v>107.703</c:v>
                </c:pt>
                <c:pt idx="241">
                  <c:v>107.762</c:v>
                </c:pt>
                <c:pt idx="242">
                  <c:v>107.9</c:v>
                </c:pt>
                <c:pt idx="243">
                  <c:v>108.238</c:v>
                </c:pt>
                <c:pt idx="244">
                  <c:v>108.248</c:v>
                </c:pt>
                <c:pt idx="245">
                  <c:v>108.298</c:v>
                </c:pt>
                <c:pt idx="246">
                  <c:v>108.255</c:v>
                </c:pt>
                <c:pt idx="247">
                  <c:v>107.976</c:v>
                </c:pt>
                <c:pt idx="248">
                  <c:v>107.843</c:v>
                </c:pt>
                <c:pt idx="249">
                  <c:v>107.785</c:v>
                </c:pt>
                <c:pt idx="250">
                  <c:v>107.744</c:v>
                </c:pt>
                <c:pt idx="251">
                  <c:v>107.714</c:v>
                </c:pt>
                <c:pt idx="252">
                  <c:v>107.741</c:v>
                </c:pt>
                <c:pt idx="253">
                  <c:v>107.711</c:v>
                </c:pt>
                <c:pt idx="254">
                  <c:v>107.602</c:v>
                </c:pt>
                <c:pt idx="255">
                  <c:v>107.489</c:v>
                </c:pt>
                <c:pt idx="256">
                  <c:v>107.264</c:v>
                </c:pt>
                <c:pt idx="257">
                  <c:v>107.23099999999999</c:v>
                </c:pt>
                <c:pt idx="258">
                  <c:v>107.212</c:v>
                </c:pt>
                <c:pt idx="259">
                  <c:v>107.242</c:v>
                </c:pt>
                <c:pt idx="260">
                  <c:v>107.258</c:v>
                </c:pt>
                <c:pt idx="261">
                  <c:v>107.256</c:v>
                </c:pt>
                <c:pt idx="262">
                  <c:v>107.29600000000001</c:v>
                </c:pt>
                <c:pt idx="263">
                  <c:v>107.259</c:v>
                </c:pt>
                <c:pt idx="264">
                  <c:v>107.256</c:v>
                </c:pt>
                <c:pt idx="265">
                  <c:v>107.265</c:v>
                </c:pt>
                <c:pt idx="266">
                  <c:v>107.25</c:v>
                </c:pt>
                <c:pt idx="267">
                  <c:v>107.34099999999999</c:v>
                </c:pt>
                <c:pt idx="268">
                  <c:v>107.324</c:v>
                </c:pt>
                <c:pt idx="269">
                  <c:v>107.358</c:v>
                </c:pt>
                <c:pt idx="270">
                  <c:v>107.20099999999999</c:v>
                </c:pt>
                <c:pt idx="271">
                  <c:v>107.242</c:v>
                </c:pt>
                <c:pt idx="272">
                  <c:v>107.196</c:v>
                </c:pt>
                <c:pt idx="273">
                  <c:v>107.04</c:v>
                </c:pt>
                <c:pt idx="274">
                  <c:v>106.967</c:v>
                </c:pt>
                <c:pt idx="275">
                  <c:v>106.833</c:v>
                </c:pt>
                <c:pt idx="276">
                  <c:v>106.72499999999999</c:v>
                </c:pt>
                <c:pt idx="277">
                  <c:v>106.658</c:v>
                </c:pt>
                <c:pt idx="278">
                  <c:v>106.63</c:v>
                </c:pt>
                <c:pt idx="279">
                  <c:v>106.623</c:v>
                </c:pt>
                <c:pt idx="280">
                  <c:v>106.854</c:v>
                </c:pt>
                <c:pt idx="281">
                  <c:v>106.923</c:v>
                </c:pt>
                <c:pt idx="282">
                  <c:v>107.059</c:v>
                </c:pt>
                <c:pt idx="283">
                  <c:v>107.191</c:v>
                </c:pt>
                <c:pt idx="284">
                  <c:v>107.684</c:v>
                </c:pt>
                <c:pt idx="285">
                  <c:v>106.65900000000001</c:v>
                </c:pt>
                <c:pt idx="286">
                  <c:v>106.36799999999999</c:v>
                </c:pt>
                <c:pt idx="287">
                  <c:v>106.02200000000001</c:v>
                </c:pt>
                <c:pt idx="288">
                  <c:v>105.786</c:v>
                </c:pt>
                <c:pt idx="289">
                  <c:v>105.54300000000001</c:v>
                </c:pt>
                <c:pt idx="290">
                  <c:v>105.477</c:v>
                </c:pt>
                <c:pt idx="291">
                  <c:v>105.29300000000001</c:v>
                </c:pt>
                <c:pt idx="292">
                  <c:v>105.383</c:v>
                </c:pt>
                <c:pt idx="293">
                  <c:v>105.465</c:v>
                </c:pt>
                <c:pt idx="294">
                  <c:v>105.77800000000001</c:v>
                </c:pt>
                <c:pt idx="295">
                  <c:v>106.14100000000001</c:v>
                </c:pt>
                <c:pt idx="296">
                  <c:v>106.11</c:v>
                </c:pt>
                <c:pt idx="297">
                  <c:v>105.73099999999999</c:v>
                </c:pt>
                <c:pt idx="298">
                  <c:v>105.417</c:v>
                </c:pt>
                <c:pt idx="299">
                  <c:v>105.28400000000001</c:v>
                </c:pt>
                <c:pt idx="300">
                  <c:v>104.90300000000001</c:v>
                </c:pt>
                <c:pt idx="301">
                  <c:v>104.837</c:v>
                </c:pt>
                <c:pt idx="302">
                  <c:v>104.81699999999999</c:v>
                </c:pt>
                <c:pt idx="303">
                  <c:v>104.80500000000001</c:v>
                </c:pt>
                <c:pt idx="304">
                  <c:v>104.756</c:v>
                </c:pt>
                <c:pt idx="305">
                  <c:v>104.95</c:v>
                </c:pt>
                <c:pt idx="306">
                  <c:v>105.08799999999999</c:v>
                </c:pt>
                <c:pt idx="307">
                  <c:v>105.093</c:v>
                </c:pt>
                <c:pt idx="308">
                  <c:v>104.76300000000001</c:v>
                </c:pt>
                <c:pt idx="309">
                  <c:v>104.72499999999999</c:v>
                </c:pt>
                <c:pt idx="310">
                  <c:v>104.74299999999999</c:v>
                </c:pt>
                <c:pt idx="311">
                  <c:v>104.746</c:v>
                </c:pt>
                <c:pt idx="312">
                  <c:v>104.06100000000001</c:v>
                </c:pt>
                <c:pt idx="313">
                  <c:v>104.414</c:v>
                </c:pt>
                <c:pt idx="314">
                  <c:v>104.46</c:v>
                </c:pt>
                <c:pt idx="315">
                  <c:v>104.753</c:v>
                </c:pt>
                <c:pt idx="316">
                  <c:v>105.068</c:v>
                </c:pt>
                <c:pt idx="317">
                  <c:v>105.42700000000001</c:v>
                </c:pt>
                <c:pt idx="318">
                  <c:v>105.30500000000001</c:v>
                </c:pt>
                <c:pt idx="319">
                  <c:v>105.45</c:v>
                </c:pt>
                <c:pt idx="320">
                  <c:v>105.90300000000001</c:v>
                </c:pt>
                <c:pt idx="321">
                  <c:v>105.872</c:v>
                </c:pt>
                <c:pt idx="322">
                  <c:v>105.636</c:v>
                </c:pt>
                <c:pt idx="323">
                  <c:v>104.98699999999999</c:v>
                </c:pt>
                <c:pt idx="324">
                  <c:v>103.114</c:v>
                </c:pt>
                <c:pt idx="325">
                  <c:v>101.827</c:v>
                </c:pt>
                <c:pt idx="326">
                  <c:v>101.152</c:v>
                </c:pt>
                <c:pt idx="327">
                  <c:v>100.71</c:v>
                </c:pt>
                <c:pt idx="328">
                  <c:v>100.72499999999999</c:v>
                </c:pt>
                <c:pt idx="329">
                  <c:v>100.809</c:v>
                </c:pt>
                <c:pt idx="330">
                  <c:v>100.602</c:v>
                </c:pt>
                <c:pt idx="331">
                  <c:v>100.462</c:v>
                </c:pt>
                <c:pt idx="332">
                  <c:v>100.101</c:v>
                </c:pt>
                <c:pt idx="333">
                  <c:v>99.855999999999995</c:v>
                </c:pt>
                <c:pt idx="334">
                  <c:v>99.766000000000005</c:v>
                </c:pt>
                <c:pt idx="335">
                  <c:v>100.315</c:v>
                </c:pt>
              </c:numCache>
            </c:numRef>
          </c:val>
          <c:extLst>
            <c:ext xmlns:c16="http://schemas.microsoft.com/office/drawing/2014/chart" uri="{C3380CC4-5D6E-409C-BE32-E72D297353CC}">
              <c16:uniqueId val="{00000000-2E2D-4BBD-B3B3-FB3D2C62503B}"/>
            </c:ext>
          </c:extLst>
        </c:ser>
        <c:dLbls>
          <c:showLegendKey val="0"/>
          <c:showVal val="0"/>
          <c:showCatName val="0"/>
          <c:showSerName val="0"/>
          <c:showPercent val="0"/>
          <c:showBubbleSize val="0"/>
        </c:dLbls>
        <c:axId val="1377858048"/>
        <c:axId val="1377860224"/>
      </c:areaChart>
      <c:lineChart>
        <c:grouping val="standard"/>
        <c:varyColors val="0"/>
        <c:ser>
          <c:idx val="1"/>
          <c:order val="1"/>
          <c:tx>
            <c:strRef>
              <c:f>'EUROBOND 2027 offline'!$C$4</c:f>
              <c:strCache>
                <c:ptCount val="1"/>
                <c:pt idx="0">
                  <c:v>Срењни принос до доспећа</c:v>
                </c:pt>
              </c:strCache>
            </c:strRef>
          </c:tx>
          <c:marker>
            <c:symbol val="none"/>
          </c:marker>
          <c:cat>
            <c:numRef>
              <c:f>'EUROBOND 2027 offline'!$A$31:$A$366</c:f>
              <c:numCache>
                <c:formatCode>dd\/mm\/yy</c:formatCode>
                <c:ptCount val="336"/>
                <c:pt idx="0">
                  <c:v>44439</c:v>
                </c:pt>
                <c:pt idx="1">
                  <c:v>44438</c:v>
                </c:pt>
                <c:pt idx="2">
                  <c:v>44435</c:v>
                </c:pt>
                <c:pt idx="3">
                  <c:v>44434</c:v>
                </c:pt>
                <c:pt idx="4">
                  <c:v>44433</c:v>
                </c:pt>
                <c:pt idx="5">
                  <c:v>44432</c:v>
                </c:pt>
                <c:pt idx="6">
                  <c:v>44431</c:v>
                </c:pt>
                <c:pt idx="7">
                  <c:v>44428</c:v>
                </c:pt>
                <c:pt idx="8">
                  <c:v>44427</c:v>
                </c:pt>
                <c:pt idx="9">
                  <c:v>44426</c:v>
                </c:pt>
                <c:pt idx="10">
                  <c:v>44425</c:v>
                </c:pt>
                <c:pt idx="11">
                  <c:v>44424</c:v>
                </c:pt>
                <c:pt idx="12">
                  <c:v>44421</c:v>
                </c:pt>
                <c:pt idx="13">
                  <c:v>44420</c:v>
                </c:pt>
                <c:pt idx="14">
                  <c:v>44419</c:v>
                </c:pt>
                <c:pt idx="15">
                  <c:v>44418</c:v>
                </c:pt>
                <c:pt idx="16">
                  <c:v>44417</c:v>
                </c:pt>
                <c:pt idx="17">
                  <c:v>44414</c:v>
                </c:pt>
                <c:pt idx="18">
                  <c:v>44413</c:v>
                </c:pt>
                <c:pt idx="19">
                  <c:v>44412</c:v>
                </c:pt>
                <c:pt idx="20">
                  <c:v>44411</c:v>
                </c:pt>
                <c:pt idx="21">
                  <c:v>44410</c:v>
                </c:pt>
                <c:pt idx="22">
                  <c:v>44407</c:v>
                </c:pt>
                <c:pt idx="23">
                  <c:v>44406</c:v>
                </c:pt>
                <c:pt idx="24">
                  <c:v>44405</c:v>
                </c:pt>
                <c:pt idx="25">
                  <c:v>44404</c:v>
                </c:pt>
                <c:pt idx="26">
                  <c:v>44403</c:v>
                </c:pt>
                <c:pt idx="27">
                  <c:v>44400</c:v>
                </c:pt>
                <c:pt idx="28">
                  <c:v>44399</c:v>
                </c:pt>
                <c:pt idx="29">
                  <c:v>44398</c:v>
                </c:pt>
                <c:pt idx="30">
                  <c:v>44397</c:v>
                </c:pt>
                <c:pt idx="31">
                  <c:v>44396</c:v>
                </c:pt>
                <c:pt idx="32">
                  <c:v>44393</c:v>
                </c:pt>
                <c:pt idx="33">
                  <c:v>44392</c:v>
                </c:pt>
                <c:pt idx="34">
                  <c:v>44391</c:v>
                </c:pt>
                <c:pt idx="35">
                  <c:v>44390</c:v>
                </c:pt>
                <c:pt idx="36">
                  <c:v>44389</c:v>
                </c:pt>
                <c:pt idx="37">
                  <c:v>44386</c:v>
                </c:pt>
                <c:pt idx="38">
                  <c:v>44385</c:v>
                </c:pt>
                <c:pt idx="39">
                  <c:v>44384</c:v>
                </c:pt>
                <c:pt idx="40">
                  <c:v>44383</c:v>
                </c:pt>
                <c:pt idx="41">
                  <c:v>44382</c:v>
                </c:pt>
                <c:pt idx="42">
                  <c:v>44379</c:v>
                </c:pt>
                <c:pt idx="43">
                  <c:v>44378</c:v>
                </c:pt>
                <c:pt idx="44">
                  <c:v>44377</c:v>
                </c:pt>
                <c:pt idx="45">
                  <c:v>44376</c:v>
                </c:pt>
                <c:pt idx="46">
                  <c:v>44375</c:v>
                </c:pt>
                <c:pt idx="47">
                  <c:v>44372</c:v>
                </c:pt>
                <c:pt idx="48">
                  <c:v>44371</c:v>
                </c:pt>
                <c:pt idx="49">
                  <c:v>44370</c:v>
                </c:pt>
                <c:pt idx="50">
                  <c:v>44369</c:v>
                </c:pt>
                <c:pt idx="51">
                  <c:v>44368</c:v>
                </c:pt>
                <c:pt idx="52">
                  <c:v>44365</c:v>
                </c:pt>
                <c:pt idx="53">
                  <c:v>44364</c:v>
                </c:pt>
                <c:pt idx="54">
                  <c:v>44363</c:v>
                </c:pt>
                <c:pt idx="55">
                  <c:v>44362</c:v>
                </c:pt>
                <c:pt idx="56">
                  <c:v>44361</c:v>
                </c:pt>
                <c:pt idx="57">
                  <c:v>44358</c:v>
                </c:pt>
                <c:pt idx="58">
                  <c:v>44357</c:v>
                </c:pt>
                <c:pt idx="59">
                  <c:v>44356</c:v>
                </c:pt>
                <c:pt idx="60">
                  <c:v>44355</c:v>
                </c:pt>
                <c:pt idx="61">
                  <c:v>44354</c:v>
                </c:pt>
                <c:pt idx="62">
                  <c:v>44351</c:v>
                </c:pt>
                <c:pt idx="63">
                  <c:v>44350</c:v>
                </c:pt>
                <c:pt idx="64">
                  <c:v>44349</c:v>
                </c:pt>
                <c:pt idx="65">
                  <c:v>44348</c:v>
                </c:pt>
                <c:pt idx="66">
                  <c:v>44347</c:v>
                </c:pt>
                <c:pt idx="67">
                  <c:v>44344</c:v>
                </c:pt>
                <c:pt idx="68">
                  <c:v>44343</c:v>
                </c:pt>
                <c:pt idx="69">
                  <c:v>44342</c:v>
                </c:pt>
                <c:pt idx="70">
                  <c:v>44341</c:v>
                </c:pt>
                <c:pt idx="71">
                  <c:v>44340</c:v>
                </c:pt>
                <c:pt idx="72">
                  <c:v>44337</c:v>
                </c:pt>
                <c:pt idx="73">
                  <c:v>44336</c:v>
                </c:pt>
                <c:pt idx="74">
                  <c:v>44335</c:v>
                </c:pt>
                <c:pt idx="75">
                  <c:v>44334</c:v>
                </c:pt>
                <c:pt idx="76">
                  <c:v>44333</c:v>
                </c:pt>
                <c:pt idx="77">
                  <c:v>44330</c:v>
                </c:pt>
                <c:pt idx="78">
                  <c:v>44329</c:v>
                </c:pt>
                <c:pt idx="79">
                  <c:v>44328</c:v>
                </c:pt>
                <c:pt idx="80">
                  <c:v>44327</c:v>
                </c:pt>
                <c:pt idx="81">
                  <c:v>44326</c:v>
                </c:pt>
                <c:pt idx="82">
                  <c:v>44323</c:v>
                </c:pt>
                <c:pt idx="83">
                  <c:v>44322</c:v>
                </c:pt>
                <c:pt idx="84">
                  <c:v>44321</c:v>
                </c:pt>
                <c:pt idx="85">
                  <c:v>44320</c:v>
                </c:pt>
                <c:pt idx="86">
                  <c:v>44319</c:v>
                </c:pt>
                <c:pt idx="87">
                  <c:v>44316</c:v>
                </c:pt>
                <c:pt idx="88">
                  <c:v>44315</c:v>
                </c:pt>
                <c:pt idx="89">
                  <c:v>44314</c:v>
                </c:pt>
                <c:pt idx="90">
                  <c:v>44313</c:v>
                </c:pt>
                <c:pt idx="91">
                  <c:v>44312</c:v>
                </c:pt>
                <c:pt idx="92">
                  <c:v>44309</c:v>
                </c:pt>
                <c:pt idx="93">
                  <c:v>44308</c:v>
                </c:pt>
                <c:pt idx="94">
                  <c:v>44307</c:v>
                </c:pt>
                <c:pt idx="95">
                  <c:v>44306</c:v>
                </c:pt>
                <c:pt idx="96">
                  <c:v>44305</c:v>
                </c:pt>
                <c:pt idx="97">
                  <c:v>44302</c:v>
                </c:pt>
                <c:pt idx="98">
                  <c:v>44301</c:v>
                </c:pt>
                <c:pt idx="99">
                  <c:v>44300</c:v>
                </c:pt>
                <c:pt idx="100">
                  <c:v>44299</c:v>
                </c:pt>
                <c:pt idx="101">
                  <c:v>44298</c:v>
                </c:pt>
                <c:pt idx="102">
                  <c:v>44295</c:v>
                </c:pt>
                <c:pt idx="103">
                  <c:v>44294</c:v>
                </c:pt>
                <c:pt idx="104">
                  <c:v>44293</c:v>
                </c:pt>
                <c:pt idx="105">
                  <c:v>44292</c:v>
                </c:pt>
                <c:pt idx="106">
                  <c:v>44287</c:v>
                </c:pt>
                <c:pt idx="107">
                  <c:v>44286</c:v>
                </c:pt>
                <c:pt idx="108">
                  <c:v>44285</c:v>
                </c:pt>
                <c:pt idx="109">
                  <c:v>44284</c:v>
                </c:pt>
                <c:pt idx="110">
                  <c:v>44281</c:v>
                </c:pt>
                <c:pt idx="111">
                  <c:v>44280</c:v>
                </c:pt>
                <c:pt idx="112">
                  <c:v>44279</c:v>
                </c:pt>
                <c:pt idx="113">
                  <c:v>44278</c:v>
                </c:pt>
                <c:pt idx="114">
                  <c:v>44277</c:v>
                </c:pt>
                <c:pt idx="115">
                  <c:v>44274</c:v>
                </c:pt>
                <c:pt idx="116">
                  <c:v>44273</c:v>
                </c:pt>
                <c:pt idx="117">
                  <c:v>44272</c:v>
                </c:pt>
                <c:pt idx="118">
                  <c:v>44271</c:v>
                </c:pt>
                <c:pt idx="119">
                  <c:v>44270</c:v>
                </c:pt>
                <c:pt idx="120">
                  <c:v>44267</c:v>
                </c:pt>
                <c:pt idx="121">
                  <c:v>44266</c:v>
                </c:pt>
                <c:pt idx="122">
                  <c:v>44265</c:v>
                </c:pt>
                <c:pt idx="123">
                  <c:v>44264</c:v>
                </c:pt>
                <c:pt idx="124">
                  <c:v>44263</c:v>
                </c:pt>
                <c:pt idx="125">
                  <c:v>44260</c:v>
                </c:pt>
                <c:pt idx="126">
                  <c:v>44259</c:v>
                </c:pt>
                <c:pt idx="127">
                  <c:v>44258</c:v>
                </c:pt>
                <c:pt idx="128">
                  <c:v>44257</c:v>
                </c:pt>
                <c:pt idx="129">
                  <c:v>44256</c:v>
                </c:pt>
                <c:pt idx="130">
                  <c:v>44253</c:v>
                </c:pt>
                <c:pt idx="131">
                  <c:v>44252</c:v>
                </c:pt>
                <c:pt idx="132">
                  <c:v>44251</c:v>
                </c:pt>
                <c:pt idx="133">
                  <c:v>44250</c:v>
                </c:pt>
                <c:pt idx="134">
                  <c:v>44249</c:v>
                </c:pt>
                <c:pt idx="135">
                  <c:v>44246</c:v>
                </c:pt>
                <c:pt idx="136">
                  <c:v>44245</c:v>
                </c:pt>
                <c:pt idx="137">
                  <c:v>44244</c:v>
                </c:pt>
                <c:pt idx="138">
                  <c:v>44243</c:v>
                </c:pt>
                <c:pt idx="139">
                  <c:v>44242</c:v>
                </c:pt>
                <c:pt idx="140">
                  <c:v>44239</c:v>
                </c:pt>
                <c:pt idx="141">
                  <c:v>44238</c:v>
                </c:pt>
                <c:pt idx="142">
                  <c:v>44237</c:v>
                </c:pt>
                <c:pt idx="143">
                  <c:v>44236</c:v>
                </c:pt>
                <c:pt idx="144">
                  <c:v>44235</c:v>
                </c:pt>
                <c:pt idx="145">
                  <c:v>44232</c:v>
                </c:pt>
                <c:pt idx="146">
                  <c:v>44231</c:v>
                </c:pt>
                <c:pt idx="147">
                  <c:v>44230</c:v>
                </c:pt>
                <c:pt idx="148">
                  <c:v>44229</c:v>
                </c:pt>
                <c:pt idx="149">
                  <c:v>44228</c:v>
                </c:pt>
                <c:pt idx="150">
                  <c:v>44225</c:v>
                </c:pt>
                <c:pt idx="151">
                  <c:v>44224</c:v>
                </c:pt>
                <c:pt idx="152">
                  <c:v>44223</c:v>
                </c:pt>
                <c:pt idx="153">
                  <c:v>44222</c:v>
                </c:pt>
                <c:pt idx="154">
                  <c:v>44221</c:v>
                </c:pt>
                <c:pt idx="155">
                  <c:v>44218</c:v>
                </c:pt>
                <c:pt idx="156">
                  <c:v>44217</c:v>
                </c:pt>
                <c:pt idx="157">
                  <c:v>44216</c:v>
                </c:pt>
                <c:pt idx="158">
                  <c:v>44215</c:v>
                </c:pt>
                <c:pt idx="159">
                  <c:v>44214</c:v>
                </c:pt>
                <c:pt idx="160">
                  <c:v>44211</c:v>
                </c:pt>
                <c:pt idx="161">
                  <c:v>44210</c:v>
                </c:pt>
                <c:pt idx="162">
                  <c:v>44209</c:v>
                </c:pt>
                <c:pt idx="163">
                  <c:v>44208</c:v>
                </c:pt>
                <c:pt idx="164">
                  <c:v>44207</c:v>
                </c:pt>
                <c:pt idx="165">
                  <c:v>44204</c:v>
                </c:pt>
                <c:pt idx="166">
                  <c:v>44203</c:v>
                </c:pt>
                <c:pt idx="167">
                  <c:v>44202</c:v>
                </c:pt>
                <c:pt idx="168">
                  <c:v>44201</c:v>
                </c:pt>
                <c:pt idx="169">
                  <c:v>44200</c:v>
                </c:pt>
                <c:pt idx="170">
                  <c:v>44196</c:v>
                </c:pt>
                <c:pt idx="171">
                  <c:v>44195</c:v>
                </c:pt>
                <c:pt idx="172">
                  <c:v>44194</c:v>
                </c:pt>
                <c:pt idx="173">
                  <c:v>44193</c:v>
                </c:pt>
                <c:pt idx="174">
                  <c:v>44189</c:v>
                </c:pt>
                <c:pt idx="175">
                  <c:v>44188</c:v>
                </c:pt>
                <c:pt idx="176">
                  <c:v>44187</c:v>
                </c:pt>
                <c:pt idx="177">
                  <c:v>44186</c:v>
                </c:pt>
                <c:pt idx="178">
                  <c:v>44183</c:v>
                </c:pt>
                <c:pt idx="179">
                  <c:v>44182</c:v>
                </c:pt>
                <c:pt idx="180">
                  <c:v>44181</c:v>
                </c:pt>
                <c:pt idx="181">
                  <c:v>44180</c:v>
                </c:pt>
                <c:pt idx="182">
                  <c:v>44179</c:v>
                </c:pt>
                <c:pt idx="183">
                  <c:v>44176</c:v>
                </c:pt>
                <c:pt idx="184">
                  <c:v>44175</c:v>
                </c:pt>
                <c:pt idx="185">
                  <c:v>44174</c:v>
                </c:pt>
                <c:pt idx="186">
                  <c:v>44173</c:v>
                </c:pt>
                <c:pt idx="187">
                  <c:v>44172</c:v>
                </c:pt>
                <c:pt idx="188">
                  <c:v>44169</c:v>
                </c:pt>
                <c:pt idx="189">
                  <c:v>44168</c:v>
                </c:pt>
                <c:pt idx="190">
                  <c:v>44167</c:v>
                </c:pt>
                <c:pt idx="191">
                  <c:v>44166</c:v>
                </c:pt>
                <c:pt idx="192">
                  <c:v>44165</c:v>
                </c:pt>
                <c:pt idx="193">
                  <c:v>44162</c:v>
                </c:pt>
                <c:pt idx="194">
                  <c:v>44161</c:v>
                </c:pt>
                <c:pt idx="195">
                  <c:v>44160</c:v>
                </c:pt>
                <c:pt idx="196">
                  <c:v>44159</c:v>
                </c:pt>
                <c:pt idx="197">
                  <c:v>44158</c:v>
                </c:pt>
                <c:pt idx="198">
                  <c:v>44155</c:v>
                </c:pt>
                <c:pt idx="199">
                  <c:v>44154</c:v>
                </c:pt>
                <c:pt idx="200">
                  <c:v>44153</c:v>
                </c:pt>
                <c:pt idx="201">
                  <c:v>44152</c:v>
                </c:pt>
                <c:pt idx="202">
                  <c:v>44151</c:v>
                </c:pt>
                <c:pt idx="203">
                  <c:v>44148</c:v>
                </c:pt>
                <c:pt idx="204">
                  <c:v>44147</c:v>
                </c:pt>
                <c:pt idx="205">
                  <c:v>44146</c:v>
                </c:pt>
                <c:pt idx="206">
                  <c:v>44145</c:v>
                </c:pt>
                <c:pt idx="207">
                  <c:v>44144</c:v>
                </c:pt>
                <c:pt idx="208">
                  <c:v>44141</c:v>
                </c:pt>
                <c:pt idx="209">
                  <c:v>44140</c:v>
                </c:pt>
                <c:pt idx="210">
                  <c:v>44139</c:v>
                </c:pt>
                <c:pt idx="211">
                  <c:v>44138</c:v>
                </c:pt>
                <c:pt idx="212">
                  <c:v>44137</c:v>
                </c:pt>
                <c:pt idx="213">
                  <c:v>44134</c:v>
                </c:pt>
                <c:pt idx="214">
                  <c:v>44133</c:v>
                </c:pt>
                <c:pt idx="215">
                  <c:v>44132</c:v>
                </c:pt>
                <c:pt idx="216">
                  <c:v>44131</c:v>
                </c:pt>
                <c:pt idx="217">
                  <c:v>44130</c:v>
                </c:pt>
                <c:pt idx="218">
                  <c:v>44127</c:v>
                </c:pt>
                <c:pt idx="219">
                  <c:v>44126</c:v>
                </c:pt>
                <c:pt idx="220">
                  <c:v>44125</c:v>
                </c:pt>
                <c:pt idx="221">
                  <c:v>44124</c:v>
                </c:pt>
                <c:pt idx="222">
                  <c:v>44123</c:v>
                </c:pt>
                <c:pt idx="223">
                  <c:v>44120</c:v>
                </c:pt>
                <c:pt idx="224">
                  <c:v>44119</c:v>
                </c:pt>
                <c:pt idx="225">
                  <c:v>44118</c:v>
                </c:pt>
                <c:pt idx="226">
                  <c:v>44117</c:v>
                </c:pt>
                <c:pt idx="227">
                  <c:v>44116</c:v>
                </c:pt>
                <c:pt idx="228">
                  <c:v>44113</c:v>
                </c:pt>
                <c:pt idx="229">
                  <c:v>44112</c:v>
                </c:pt>
                <c:pt idx="230">
                  <c:v>44111</c:v>
                </c:pt>
                <c:pt idx="231">
                  <c:v>44110</c:v>
                </c:pt>
                <c:pt idx="232">
                  <c:v>44109</c:v>
                </c:pt>
                <c:pt idx="233">
                  <c:v>44106</c:v>
                </c:pt>
                <c:pt idx="234">
                  <c:v>44105</c:v>
                </c:pt>
                <c:pt idx="235">
                  <c:v>44104</c:v>
                </c:pt>
                <c:pt idx="236">
                  <c:v>44103</c:v>
                </c:pt>
                <c:pt idx="237">
                  <c:v>44102</c:v>
                </c:pt>
                <c:pt idx="238">
                  <c:v>44099</c:v>
                </c:pt>
                <c:pt idx="239">
                  <c:v>44098</c:v>
                </c:pt>
                <c:pt idx="240">
                  <c:v>44097</c:v>
                </c:pt>
                <c:pt idx="241">
                  <c:v>44096</c:v>
                </c:pt>
                <c:pt idx="242">
                  <c:v>44095</c:v>
                </c:pt>
                <c:pt idx="243">
                  <c:v>44092</c:v>
                </c:pt>
                <c:pt idx="244">
                  <c:v>44091</c:v>
                </c:pt>
                <c:pt idx="245">
                  <c:v>44090</c:v>
                </c:pt>
                <c:pt idx="246">
                  <c:v>44089</c:v>
                </c:pt>
                <c:pt idx="247">
                  <c:v>44088</c:v>
                </c:pt>
                <c:pt idx="248">
                  <c:v>44085</c:v>
                </c:pt>
                <c:pt idx="249">
                  <c:v>44084</c:v>
                </c:pt>
                <c:pt idx="250">
                  <c:v>44083</c:v>
                </c:pt>
                <c:pt idx="251">
                  <c:v>44082</c:v>
                </c:pt>
                <c:pt idx="252">
                  <c:v>44081</c:v>
                </c:pt>
                <c:pt idx="253">
                  <c:v>44078</c:v>
                </c:pt>
                <c:pt idx="254">
                  <c:v>44077</c:v>
                </c:pt>
                <c:pt idx="255">
                  <c:v>44076</c:v>
                </c:pt>
                <c:pt idx="256">
                  <c:v>44075</c:v>
                </c:pt>
                <c:pt idx="257">
                  <c:v>44074</c:v>
                </c:pt>
                <c:pt idx="258">
                  <c:v>44071</c:v>
                </c:pt>
                <c:pt idx="259">
                  <c:v>44070</c:v>
                </c:pt>
                <c:pt idx="260">
                  <c:v>44069</c:v>
                </c:pt>
                <c:pt idx="261">
                  <c:v>44068</c:v>
                </c:pt>
                <c:pt idx="262">
                  <c:v>44067</c:v>
                </c:pt>
                <c:pt idx="263">
                  <c:v>44064</c:v>
                </c:pt>
                <c:pt idx="264">
                  <c:v>44063</c:v>
                </c:pt>
                <c:pt idx="265">
                  <c:v>44062</c:v>
                </c:pt>
                <c:pt idx="266">
                  <c:v>44061</c:v>
                </c:pt>
                <c:pt idx="267">
                  <c:v>44060</c:v>
                </c:pt>
                <c:pt idx="268">
                  <c:v>44057</c:v>
                </c:pt>
                <c:pt idx="269">
                  <c:v>44056</c:v>
                </c:pt>
                <c:pt idx="270">
                  <c:v>44055</c:v>
                </c:pt>
                <c:pt idx="271">
                  <c:v>44054</c:v>
                </c:pt>
                <c:pt idx="272">
                  <c:v>44053</c:v>
                </c:pt>
                <c:pt idx="273">
                  <c:v>44050</c:v>
                </c:pt>
                <c:pt idx="274">
                  <c:v>44049</c:v>
                </c:pt>
                <c:pt idx="275">
                  <c:v>44048</c:v>
                </c:pt>
                <c:pt idx="276">
                  <c:v>44047</c:v>
                </c:pt>
                <c:pt idx="277">
                  <c:v>44046</c:v>
                </c:pt>
                <c:pt idx="278">
                  <c:v>44043</c:v>
                </c:pt>
                <c:pt idx="279">
                  <c:v>44042</c:v>
                </c:pt>
                <c:pt idx="280">
                  <c:v>44041</c:v>
                </c:pt>
                <c:pt idx="281">
                  <c:v>44040</c:v>
                </c:pt>
                <c:pt idx="282">
                  <c:v>44039</c:v>
                </c:pt>
                <c:pt idx="283">
                  <c:v>44036</c:v>
                </c:pt>
                <c:pt idx="284">
                  <c:v>44035</c:v>
                </c:pt>
                <c:pt idx="285">
                  <c:v>44034</c:v>
                </c:pt>
                <c:pt idx="286">
                  <c:v>44033</c:v>
                </c:pt>
                <c:pt idx="287">
                  <c:v>44032</c:v>
                </c:pt>
                <c:pt idx="288">
                  <c:v>44029</c:v>
                </c:pt>
                <c:pt idx="289">
                  <c:v>44028</c:v>
                </c:pt>
                <c:pt idx="290">
                  <c:v>44027</c:v>
                </c:pt>
                <c:pt idx="291">
                  <c:v>44026</c:v>
                </c:pt>
                <c:pt idx="292">
                  <c:v>44025</c:v>
                </c:pt>
                <c:pt idx="293">
                  <c:v>44022</c:v>
                </c:pt>
                <c:pt idx="294">
                  <c:v>44021</c:v>
                </c:pt>
                <c:pt idx="295">
                  <c:v>44020</c:v>
                </c:pt>
                <c:pt idx="296">
                  <c:v>44019</c:v>
                </c:pt>
                <c:pt idx="297">
                  <c:v>44018</c:v>
                </c:pt>
                <c:pt idx="298">
                  <c:v>44015</c:v>
                </c:pt>
                <c:pt idx="299">
                  <c:v>44014</c:v>
                </c:pt>
                <c:pt idx="300">
                  <c:v>44013</c:v>
                </c:pt>
                <c:pt idx="301">
                  <c:v>44012</c:v>
                </c:pt>
                <c:pt idx="302">
                  <c:v>44011</c:v>
                </c:pt>
                <c:pt idx="303">
                  <c:v>44008</c:v>
                </c:pt>
                <c:pt idx="304">
                  <c:v>44007</c:v>
                </c:pt>
                <c:pt idx="305">
                  <c:v>44006</c:v>
                </c:pt>
                <c:pt idx="306">
                  <c:v>44005</c:v>
                </c:pt>
                <c:pt idx="307">
                  <c:v>44004</c:v>
                </c:pt>
                <c:pt idx="308">
                  <c:v>44001</c:v>
                </c:pt>
                <c:pt idx="309">
                  <c:v>44000</c:v>
                </c:pt>
                <c:pt idx="310">
                  <c:v>43999</c:v>
                </c:pt>
                <c:pt idx="311">
                  <c:v>43998</c:v>
                </c:pt>
                <c:pt idx="312">
                  <c:v>43997</c:v>
                </c:pt>
                <c:pt idx="313">
                  <c:v>43994</c:v>
                </c:pt>
                <c:pt idx="314">
                  <c:v>43993</c:v>
                </c:pt>
                <c:pt idx="315">
                  <c:v>43992</c:v>
                </c:pt>
                <c:pt idx="316">
                  <c:v>43991</c:v>
                </c:pt>
                <c:pt idx="317">
                  <c:v>43990</c:v>
                </c:pt>
                <c:pt idx="318">
                  <c:v>43987</c:v>
                </c:pt>
                <c:pt idx="319">
                  <c:v>43986</c:v>
                </c:pt>
                <c:pt idx="320">
                  <c:v>43985</c:v>
                </c:pt>
                <c:pt idx="321">
                  <c:v>43984</c:v>
                </c:pt>
                <c:pt idx="322">
                  <c:v>43983</c:v>
                </c:pt>
                <c:pt idx="323">
                  <c:v>43980</c:v>
                </c:pt>
                <c:pt idx="324">
                  <c:v>43979</c:v>
                </c:pt>
                <c:pt idx="325">
                  <c:v>43978</c:v>
                </c:pt>
                <c:pt idx="326">
                  <c:v>43977</c:v>
                </c:pt>
                <c:pt idx="327">
                  <c:v>43976</c:v>
                </c:pt>
                <c:pt idx="328">
                  <c:v>43973</c:v>
                </c:pt>
                <c:pt idx="329">
                  <c:v>43972</c:v>
                </c:pt>
                <c:pt idx="330">
                  <c:v>43971</c:v>
                </c:pt>
                <c:pt idx="331">
                  <c:v>43970</c:v>
                </c:pt>
                <c:pt idx="332">
                  <c:v>43969</c:v>
                </c:pt>
                <c:pt idx="333">
                  <c:v>43966</c:v>
                </c:pt>
                <c:pt idx="334">
                  <c:v>43965</c:v>
                </c:pt>
                <c:pt idx="335">
                  <c:v>43964</c:v>
                </c:pt>
              </c:numCache>
            </c:numRef>
          </c:cat>
          <c:val>
            <c:numRef>
              <c:f>'EUROBOND 2027 offline'!$C$31:$C$366</c:f>
              <c:numCache>
                <c:formatCode>#,##0.000</c:formatCode>
                <c:ptCount val="336"/>
                <c:pt idx="0">
                  <c:v>0.97499999999999998</c:v>
                </c:pt>
                <c:pt idx="1">
                  <c:v>1.004</c:v>
                </c:pt>
                <c:pt idx="2">
                  <c:v>0.999</c:v>
                </c:pt>
                <c:pt idx="3">
                  <c:v>1.0129999999999999</c:v>
                </c:pt>
                <c:pt idx="4">
                  <c:v>1.008</c:v>
                </c:pt>
                <c:pt idx="5">
                  <c:v>1.0069999999999999</c:v>
                </c:pt>
                <c:pt idx="6">
                  <c:v>1.012</c:v>
                </c:pt>
                <c:pt idx="7">
                  <c:v>1.0149999999999999</c:v>
                </c:pt>
                <c:pt idx="8">
                  <c:v>1.02</c:v>
                </c:pt>
                <c:pt idx="9">
                  <c:v>1.022</c:v>
                </c:pt>
                <c:pt idx="10">
                  <c:v>1.0269999999999999</c:v>
                </c:pt>
                <c:pt idx="11">
                  <c:v>1.0269999999999999</c:v>
                </c:pt>
                <c:pt idx="12">
                  <c:v>1.0269999999999999</c:v>
                </c:pt>
                <c:pt idx="13">
                  <c:v>1.026</c:v>
                </c:pt>
                <c:pt idx="14">
                  <c:v>1.03</c:v>
                </c:pt>
                <c:pt idx="15">
                  <c:v>1.0189999999999999</c:v>
                </c:pt>
                <c:pt idx="16">
                  <c:v>1.008</c:v>
                </c:pt>
                <c:pt idx="17">
                  <c:v>1.01</c:v>
                </c:pt>
                <c:pt idx="18">
                  <c:v>1.006</c:v>
                </c:pt>
                <c:pt idx="19">
                  <c:v>1.02</c:v>
                </c:pt>
                <c:pt idx="20">
                  <c:v>1.0329999999999999</c:v>
                </c:pt>
                <c:pt idx="21">
                  <c:v>1.0469999999999999</c:v>
                </c:pt>
                <c:pt idx="22">
                  <c:v>1.052</c:v>
                </c:pt>
                <c:pt idx="23">
                  <c:v>1.0569999999999999</c:v>
                </c:pt>
                <c:pt idx="24">
                  <c:v>1.0589999999999999</c:v>
                </c:pt>
                <c:pt idx="25">
                  <c:v>1.0569999999999999</c:v>
                </c:pt>
                <c:pt idx="26">
                  <c:v>1.06</c:v>
                </c:pt>
                <c:pt idx="27">
                  <c:v>1.0609999999999999</c:v>
                </c:pt>
                <c:pt idx="28">
                  <c:v>1.0660000000000001</c:v>
                </c:pt>
                <c:pt idx="29">
                  <c:v>1.07</c:v>
                </c:pt>
                <c:pt idx="30">
                  <c:v>1.073</c:v>
                </c:pt>
                <c:pt idx="31">
                  <c:v>1.077</c:v>
                </c:pt>
                <c:pt idx="32">
                  <c:v>1.0760000000000001</c:v>
                </c:pt>
                <c:pt idx="33">
                  <c:v>1.08</c:v>
                </c:pt>
                <c:pt idx="34">
                  <c:v>1.0900000000000001</c:v>
                </c:pt>
                <c:pt idx="35">
                  <c:v>1.0880000000000001</c:v>
                </c:pt>
                <c:pt idx="36">
                  <c:v>1.087</c:v>
                </c:pt>
                <c:pt idx="37">
                  <c:v>1.0880000000000001</c:v>
                </c:pt>
                <c:pt idx="38">
                  <c:v>1.0880000000000001</c:v>
                </c:pt>
                <c:pt idx="39">
                  <c:v>1.089</c:v>
                </c:pt>
                <c:pt idx="40">
                  <c:v>1.0920000000000001</c:v>
                </c:pt>
                <c:pt idx="41">
                  <c:v>1.0920000000000001</c:v>
                </c:pt>
                <c:pt idx="42">
                  <c:v>1.093</c:v>
                </c:pt>
                <c:pt idx="43">
                  <c:v>1.095</c:v>
                </c:pt>
                <c:pt idx="44">
                  <c:v>1.1060000000000001</c:v>
                </c:pt>
                <c:pt idx="45">
                  <c:v>1.109</c:v>
                </c:pt>
                <c:pt idx="46">
                  <c:v>1.115</c:v>
                </c:pt>
                <c:pt idx="47">
                  <c:v>1.1200000000000001</c:v>
                </c:pt>
                <c:pt idx="48">
                  <c:v>1.1200000000000001</c:v>
                </c:pt>
                <c:pt idx="49">
                  <c:v>1.121</c:v>
                </c:pt>
                <c:pt idx="50">
                  <c:v>1.123</c:v>
                </c:pt>
                <c:pt idx="51">
                  <c:v>1.1120000000000001</c:v>
                </c:pt>
                <c:pt idx="52">
                  <c:v>1.107</c:v>
                </c:pt>
                <c:pt idx="53">
                  <c:v>1.111</c:v>
                </c:pt>
                <c:pt idx="54">
                  <c:v>1.093</c:v>
                </c:pt>
                <c:pt idx="55">
                  <c:v>1.0980000000000001</c:v>
                </c:pt>
                <c:pt idx="56">
                  <c:v>1.0820000000000001</c:v>
                </c:pt>
                <c:pt idx="57">
                  <c:v>1.085</c:v>
                </c:pt>
                <c:pt idx="58">
                  <c:v>1.1160000000000001</c:v>
                </c:pt>
                <c:pt idx="59">
                  <c:v>1.1299999999999999</c:v>
                </c:pt>
                <c:pt idx="60">
                  <c:v>1.157</c:v>
                </c:pt>
                <c:pt idx="61">
                  <c:v>1.1819999999999999</c:v>
                </c:pt>
                <c:pt idx="62">
                  <c:v>1.1850000000000001</c:v>
                </c:pt>
                <c:pt idx="63">
                  <c:v>1.1910000000000001</c:v>
                </c:pt>
                <c:pt idx="64">
                  <c:v>1.196</c:v>
                </c:pt>
                <c:pt idx="65">
                  <c:v>1.204</c:v>
                </c:pt>
                <c:pt idx="66">
                  <c:v>1.204</c:v>
                </c:pt>
                <c:pt idx="67">
                  <c:v>1.21</c:v>
                </c:pt>
                <c:pt idx="68">
                  <c:v>1.2110000000000001</c:v>
                </c:pt>
                <c:pt idx="69">
                  <c:v>1.2290000000000001</c:v>
                </c:pt>
                <c:pt idx="70">
                  <c:v>1.2549999999999999</c:v>
                </c:pt>
                <c:pt idx="71">
                  <c:v>1.266</c:v>
                </c:pt>
                <c:pt idx="72">
                  <c:v>1.2749999999999999</c:v>
                </c:pt>
                <c:pt idx="73">
                  <c:v>1.304</c:v>
                </c:pt>
                <c:pt idx="74">
                  <c:v>1.34</c:v>
                </c:pt>
                <c:pt idx="75">
                  <c:v>1.3180000000000001</c:v>
                </c:pt>
                <c:pt idx="76">
                  <c:v>1.2869999999999999</c:v>
                </c:pt>
                <c:pt idx="77">
                  <c:v>1.284</c:v>
                </c:pt>
                <c:pt idx="78">
                  <c:v>1.29</c:v>
                </c:pt>
                <c:pt idx="79">
                  <c:v>1.2749999999999999</c:v>
                </c:pt>
                <c:pt idx="80">
                  <c:v>1.258</c:v>
                </c:pt>
                <c:pt idx="81">
                  <c:v>1.2469999999999999</c:v>
                </c:pt>
                <c:pt idx="82">
                  <c:v>1.256</c:v>
                </c:pt>
                <c:pt idx="83">
                  <c:v>1.278</c:v>
                </c:pt>
                <c:pt idx="84">
                  <c:v>1.3260000000000001</c:v>
                </c:pt>
                <c:pt idx="85">
                  <c:v>1.349</c:v>
                </c:pt>
                <c:pt idx="86">
                  <c:v>1.3460000000000001</c:v>
                </c:pt>
                <c:pt idx="87">
                  <c:v>1.351</c:v>
                </c:pt>
                <c:pt idx="88">
                  <c:v>1.347</c:v>
                </c:pt>
                <c:pt idx="89">
                  <c:v>1.3340000000000001</c:v>
                </c:pt>
                <c:pt idx="90">
                  <c:v>1.29</c:v>
                </c:pt>
                <c:pt idx="91">
                  <c:v>1.2829999999999999</c:v>
                </c:pt>
                <c:pt idx="92">
                  <c:v>1.2669999999999999</c:v>
                </c:pt>
                <c:pt idx="93">
                  <c:v>1.266</c:v>
                </c:pt>
                <c:pt idx="94">
                  <c:v>1.2650000000000001</c:v>
                </c:pt>
                <c:pt idx="95">
                  <c:v>1.25</c:v>
                </c:pt>
                <c:pt idx="96">
                  <c:v>1.2290000000000001</c:v>
                </c:pt>
                <c:pt idx="97">
                  <c:v>1.2250000000000001</c:v>
                </c:pt>
                <c:pt idx="98">
                  <c:v>1.2190000000000001</c:v>
                </c:pt>
                <c:pt idx="99">
                  <c:v>1.222</c:v>
                </c:pt>
                <c:pt idx="100">
                  <c:v>1.22</c:v>
                </c:pt>
                <c:pt idx="101">
                  <c:v>1.216</c:v>
                </c:pt>
                <c:pt idx="102">
                  <c:v>1.214</c:v>
                </c:pt>
                <c:pt idx="103">
                  <c:v>1.2110000000000001</c:v>
                </c:pt>
                <c:pt idx="104">
                  <c:v>1.2170000000000001</c:v>
                </c:pt>
                <c:pt idx="105">
                  <c:v>1.2290000000000001</c:v>
                </c:pt>
                <c:pt idx="106">
                  <c:v>1.238</c:v>
                </c:pt>
                <c:pt idx="107">
                  <c:v>1.256</c:v>
                </c:pt>
                <c:pt idx="108">
                  <c:v>1.258</c:v>
                </c:pt>
                <c:pt idx="109">
                  <c:v>1.2450000000000001</c:v>
                </c:pt>
                <c:pt idx="110">
                  <c:v>1.2429999999999999</c:v>
                </c:pt>
                <c:pt idx="111">
                  <c:v>1.24</c:v>
                </c:pt>
                <c:pt idx="112">
                  <c:v>1.246</c:v>
                </c:pt>
                <c:pt idx="113">
                  <c:v>1.2509999999999999</c:v>
                </c:pt>
                <c:pt idx="114">
                  <c:v>1.252</c:v>
                </c:pt>
                <c:pt idx="115">
                  <c:v>1.256</c:v>
                </c:pt>
                <c:pt idx="116">
                  <c:v>1.254</c:v>
                </c:pt>
                <c:pt idx="117">
                  <c:v>1.2429999999999999</c:v>
                </c:pt>
                <c:pt idx="118">
                  <c:v>1.2349999999999999</c:v>
                </c:pt>
                <c:pt idx="119">
                  <c:v>1.246</c:v>
                </c:pt>
                <c:pt idx="120">
                  <c:v>1.258</c:v>
                </c:pt>
                <c:pt idx="121">
                  <c:v>1.23</c:v>
                </c:pt>
                <c:pt idx="122">
                  <c:v>1.31</c:v>
                </c:pt>
                <c:pt idx="123">
                  <c:v>1.323</c:v>
                </c:pt>
                <c:pt idx="124">
                  <c:v>1.33</c:v>
                </c:pt>
                <c:pt idx="125">
                  <c:v>1.286</c:v>
                </c:pt>
                <c:pt idx="126">
                  <c:v>1.2589999999999999</c:v>
                </c:pt>
                <c:pt idx="127">
                  <c:v>1.2490000000000001</c:v>
                </c:pt>
                <c:pt idx="128">
                  <c:v>1.2370000000000001</c:v>
                </c:pt>
                <c:pt idx="129">
                  <c:v>1.2549999999999999</c:v>
                </c:pt>
                <c:pt idx="130">
                  <c:v>1.2869999999999999</c:v>
                </c:pt>
                <c:pt idx="131">
                  <c:v>1.276</c:v>
                </c:pt>
                <c:pt idx="132">
                  <c:v>1.2589999999999999</c:v>
                </c:pt>
                <c:pt idx="133">
                  <c:v>1.2410000000000001</c:v>
                </c:pt>
                <c:pt idx="134">
                  <c:v>1.2330000000000001</c:v>
                </c:pt>
                <c:pt idx="135">
                  <c:v>1.198</c:v>
                </c:pt>
                <c:pt idx="136">
                  <c:v>1.1639999999999999</c:v>
                </c:pt>
                <c:pt idx="137">
                  <c:v>1.155</c:v>
                </c:pt>
                <c:pt idx="138">
                  <c:v>1.129</c:v>
                </c:pt>
                <c:pt idx="139">
                  <c:v>1.1100000000000001</c:v>
                </c:pt>
                <c:pt idx="140">
                  <c:v>1.089</c:v>
                </c:pt>
                <c:pt idx="141">
                  <c:v>1.081</c:v>
                </c:pt>
                <c:pt idx="142">
                  <c:v>1.0900000000000001</c:v>
                </c:pt>
                <c:pt idx="143">
                  <c:v>1.087</c:v>
                </c:pt>
                <c:pt idx="144">
                  <c:v>1.0780000000000001</c:v>
                </c:pt>
                <c:pt idx="145">
                  <c:v>1.0720000000000001</c:v>
                </c:pt>
                <c:pt idx="146">
                  <c:v>1.0920000000000001</c:v>
                </c:pt>
                <c:pt idx="147">
                  <c:v>1.115</c:v>
                </c:pt>
                <c:pt idx="148">
                  <c:v>1.1240000000000001</c:v>
                </c:pt>
                <c:pt idx="149">
                  <c:v>1.1320000000000001</c:v>
                </c:pt>
                <c:pt idx="150">
                  <c:v>1.147</c:v>
                </c:pt>
                <c:pt idx="151">
                  <c:v>1.151</c:v>
                </c:pt>
                <c:pt idx="152">
                  <c:v>1.18</c:v>
                </c:pt>
                <c:pt idx="153">
                  <c:v>1.1779999999999999</c:v>
                </c:pt>
                <c:pt idx="154">
                  <c:v>1.177</c:v>
                </c:pt>
                <c:pt idx="155">
                  <c:v>1.1739999999999999</c:v>
                </c:pt>
                <c:pt idx="156">
                  <c:v>1.1559999999999999</c:v>
                </c:pt>
                <c:pt idx="157">
                  <c:v>1.143</c:v>
                </c:pt>
                <c:pt idx="158">
                  <c:v>1.129</c:v>
                </c:pt>
                <c:pt idx="159">
                  <c:v>1.127</c:v>
                </c:pt>
                <c:pt idx="160">
                  <c:v>1.109</c:v>
                </c:pt>
                <c:pt idx="161">
                  <c:v>1.0940000000000001</c:v>
                </c:pt>
                <c:pt idx="162">
                  <c:v>1.109</c:v>
                </c:pt>
                <c:pt idx="163">
                  <c:v>1.123</c:v>
                </c:pt>
                <c:pt idx="164">
                  <c:v>1.0609999999999999</c:v>
                </c:pt>
                <c:pt idx="165">
                  <c:v>1.0449999999999999</c:v>
                </c:pt>
                <c:pt idx="166">
                  <c:v>1.0349999999999999</c:v>
                </c:pt>
                <c:pt idx="167">
                  <c:v>1.0109999999999999</c:v>
                </c:pt>
                <c:pt idx="168">
                  <c:v>1.0089999999999999</c:v>
                </c:pt>
                <c:pt idx="169">
                  <c:v>1.006</c:v>
                </c:pt>
                <c:pt idx="170">
                  <c:v>1.0589999999999999</c:v>
                </c:pt>
                <c:pt idx="171">
                  <c:v>1.0760000000000001</c:v>
                </c:pt>
                <c:pt idx="172">
                  <c:v>1.083</c:v>
                </c:pt>
                <c:pt idx="173">
                  <c:v>1.099</c:v>
                </c:pt>
                <c:pt idx="174">
                  <c:v>1.0880000000000001</c:v>
                </c:pt>
                <c:pt idx="175">
                  <c:v>1.099</c:v>
                </c:pt>
                <c:pt idx="176">
                  <c:v>1.1060000000000001</c:v>
                </c:pt>
                <c:pt idx="177">
                  <c:v>1.1000000000000001</c:v>
                </c:pt>
                <c:pt idx="178">
                  <c:v>1.103</c:v>
                </c:pt>
                <c:pt idx="179">
                  <c:v>1.117</c:v>
                </c:pt>
                <c:pt idx="180">
                  <c:v>1.143</c:v>
                </c:pt>
                <c:pt idx="181">
                  <c:v>1.1499999999999999</c:v>
                </c:pt>
                <c:pt idx="182">
                  <c:v>1.163</c:v>
                </c:pt>
                <c:pt idx="183">
                  <c:v>1.163</c:v>
                </c:pt>
                <c:pt idx="184">
                  <c:v>1.165</c:v>
                </c:pt>
                <c:pt idx="185">
                  <c:v>1.1639999999999999</c:v>
                </c:pt>
                <c:pt idx="186">
                  <c:v>1.17</c:v>
                </c:pt>
                <c:pt idx="187">
                  <c:v>1.1739999999999999</c:v>
                </c:pt>
                <c:pt idx="188">
                  <c:v>1.1759999999999999</c:v>
                </c:pt>
                <c:pt idx="189">
                  <c:v>1.1970000000000001</c:v>
                </c:pt>
                <c:pt idx="190">
                  <c:v>1.206</c:v>
                </c:pt>
                <c:pt idx="191">
                  <c:v>1.198</c:v>
                </c:pt>
                <c:pt idx="192">
                  <c:v>1.19</c:v>
                </c:pt>
                <c:pt idx="193">
                  <c:v>1.1970000000000001</c:v>
                </c:pt>
                <c:pt idx="194">
                  <c:v>1.1970000000000001</c:v>
                </c:pt>
                <c:pt idx="195">
                  <c:v>1.202</c:v>
                </c:pt>
                <c:pt idx="196">
                  <c:v>1.202</c:v>
                </c:pt>
                <c:pt idx="197">
                  <c:v>1.2629999999999999</c:v>
                </c:pt>
                <c:pt idx="198">
                  <c:v>1.369</c:v>
                </c:pt>
                <c:pt idx="199">
                  <c:v>1.373</c:v>
                </c:pt>
                <c:pt idx="200">
                  <c:v>1.381</c:v>
                </c:pt>
                <c:pt idx="201">
                  <c:v>1.391</c:v>
                </c:pt>
                <c:pt idx="202">
                  <c:v>1.3940000000000001</c:v>
                </c:pt>
                <c:pt idx="203">
                  <c:v>1.41</c:v>
                </c:pt>
                <c:pt idx="204">
                  <c:v>1.4079999999999999</c:v>
                </c:pt>
                <c:pt idx="205">
                  <c:v>1.3940000000000001</c:v>
                </c:pt>
                <c:pt idx="206">
                  <c:v>1.4039999999999999</c:v>
                </c:pt>
                <c:pt idx="207">
                  <c:v>1.3959999999999999</c:v>
                </c:pt>
                <c:pt idx="208">
                  <c:v>1.446</c:v>
                </c:pt>
                <c:pt idx="209">
                  <c:v>1.4419999999999999</c:v>
                </c:pt>
                <c:pt idx="210">
                  <c:v>1.552</c:v>
                </c:pt>
                <c:pt idx="211">
                  <c:v>1.6179999999999999</c:v>
                </c:pt>
                <c:pt idx="212">
                  <c:v>1.661</c:v>
                </c:pt>
                <c:pt idx="213">
                  <c:v>1.67</c:v>
                </c:pt>
                <c:pt idx="214">
                  <c:v>1.6640000000000001</c:v>
                </c:pt>
                <c:pt idx="215">
                  <c:v>1.657</c:v>
                </c:pt>
                <c:pt idx="216">
                  <c:v>1.601</c:v>
                </c:pt>
                <c:pt idx="217">
                  <c:v>1.593</c:v>
                </c:pt>
                <c:pt idx="218">
                  <c:v>1.5680000000000001</c:v>
                </c:pt>
                <c:pt idx="219">
                  <c:v>1.6139999999999999</c:v>
                </c:pt>
                <c:pt idx="220">
                  <c:v>1.6240000000000001</c:v>
                </c:pt>
                <c:pt idx="221">
                  <c:v>1.6120000000000001</c:v>
                </c:pt>
                <c:pt idx="222">
                  <c:v>1.5979999999999999</c:v>
                </c:pt>
                <c:pt idx="223">
                  <c:v>1.63</c:v>
                </c:pt>
                <c:pt idx="224">
                  <c:v>1.69</c:v>
                </c:pt>
                <c:pt idx="225">
                  <c:v>1.698</c:v>
                </c:pt>
                <c:pt idx="226">
                  <c:v>1.7050000000000001</c:v>
                </c:pt>
                <c:pt idx="227">
                  <c:v>1.75</c:v>
                </c:pt>
                <c:pt idx="228">
                  <c:v>1.772</c:v>
                </c:pt>
                <c:pt idx="229">
                  <c:v>1.8</c:v>
                </c:pt>
                <c:pt idx="230">
                  <c:v>1.8740000000000001</c:v>
                </c:pt>
                <c:pt idx="231">
                  <c:v>1.887</c:v>
                </c:pt>
                <c:pt idx="232">
                  <c:v>1.903</c:v>
                </c:pt>
                <c:pt idx="233">
                  <c:v>1.9140000000000001</c:v>
                </c:pt>
                <c:pt idx="234">
                  <c:v>1.923</c:v>
                </c:pt>
                <c:pt idx="235">
                  <c:v>1.9689999999999999</c:v>
                </c:pt>
                <c:pt idx="236">
                  <c:v>1.96</c:v>
                </c:pt>
                <c:pt idx="237">
                  <c:v>1.9159999999999999</c:v>
                </c:pt>
                <c:pt idx="238">
                  <c:v>1.913</c:v>
                </c:pt>
                <c:pt idx="239">
                  <c:v>1.9140000000000001</c:v>
                </c:pt>
                <c:pt idx="240">
                  <c:v>1.8780000000000001</c:v>
                </c:pt>
                <c:pt idx="241">
                  <c:v>1.87</c:v>
                </c:pt>
                <c:pt idx="242">
                  <c:v>1.849</c:v>
                </c:pt>
                <c:pt idx="243">
                  <c:v>1.7970000000000002</c:v>
                </c:pt>
                <c:pt idx="244">
                  <c:v>1.796</c:v>
                </c:pt>
                <c:pt idx="245">
                  <c:v>1.79</c:v>
                </c:pt>
                <c:pt idx="246">
                  <c:v>1.7970000000000002</c:v>
                </c:pt>
                <c:pt idx="247">
                  <c:v>1.841</c:v>
                </c:pt>
                <c:pt idx="248">
                  <c:v>1.861</c:v>
                </c:pt>
                <c:pt idx="249">
                  <c:v>1.871</c:v>
                </c:pt>
                <c:pt idx="250">
                  <c:v>1.879</c:v>
                </c:pt>
                <c:pt idx="251">
                  <c:v>1.8839999999999999</c:v>
                </c:pt>
                <c:pt idx="252">
                  <c:v>1.88</c:v>
                </c:pt>
                <c:pt idx="253">
                  <c:v>1.885</c:v>
                </c:pt>
                <c:pt idx="254">
                  <c:v>1.9020000000000001</c:v>
                </c:pt>
                <c:pt idx="255">
                  <c:v>1.921</c:v>
                </c:pt>
                <c:pt idx="256">
                  <c:v>1.956</c:v>
                </c:pt>
                <c:pt idx="257">
                  <c:v>1.9609999999999999</c:v>
                </c:pt>
                <c:pt idx="258">
                  <c:v>1.9649999999999999</c:v>
                </c:pt>
                <c:pt idx="259">
                  <c:v>1.9609999999999999</c:v>
                </c:pt>
                <c:pt idx="260">
                  <c:v>1.9590000000000001</c:v>
                </c:pt>
                <c:pt idx="261">
                  <c:v>1.96</c:v>
                </c:pt>
                <c:pt idx="262">
                  <c:v>1.9550000000000001</c:v>
                </c:pt>
                <c:pt idx="263">
                  <c:v>1.9609999999999999</c:v>
                </c:pt>
                <c:pt idx="264">
                  <c:v>1.962</c:v>
                </c:pt>
                <c:pt idx="265">
                  <c:v>1.9609999999999999</c:v>
                </c:pt>
                <c:pt idx="266">
                  <c:v>1.964</c:v>
                </c:pt>
                <c:pt idx="267">
                  <c:v>1.9510000000000001</c:v>
                </c:pt>
                <c:pt idx="268">
                  <c:v>1.954</c:v>
                </c:pt>
                <c:pt idx="269">
                  <c:v>1.9489999999999998</c:v>
                </c:pt>
                <c:pt idx="270">
                  <c:v>1.974</c:v>
                </c:pt>
                <c:pt idx="271">
                  <c:v>1.968</c:v>
                </c:pt>
                <c:pt idx="272">
                  <c:v>1.976</c:v>
                </c:pt>
                <c:pt idx="273">
                  <c:v>2</c:v>
                </c:pt>
                <c:pt idx="274">
                  <c:v>2.012</c:v>
                </c:pt>
                <c:pt idx="275">
                  <c:v>2.0339999999999998</c:v>
                </c:pt>
                <c:pt idx="276">
                  <c:v>2.0499999999999998</c:v>
                </c:pt>
                <c:pt idx="277">
                  <c:v>2.0609999999999999</c:v>
                </c:pt>
                <c:pt idx="278">
                  <c:v>2.0659999999999998</c:v>
                </c:pt>
                <c:pt idx="279">
                  <c:v>2.0670000000000002</c:v>
                </c:pt>
                <c:pt idx="280">
                  <c:v>2.0329999999999999</c:v>
                </c:pt>
                <c:pt idx="281">
                  <c:v>2.0230000000000001</c:v>
                </c:pt>
                <c:pt idx="282">
                  <c:v>2.0030000000000001</c:v>
                </c:pt>
                <c:pt idx="283">
                  <c:v>1.9830000000000001</c:v>
                </c:pt>
                <c:pt idx="284">
                  <c:v>1.909</c:v>
                </c:pt>
                <c:pt idx="285">
                  <c:v>2.0659999999999998</c:v>
                </c:pt>
                <c:pt idx="286">
                  <c:v>2.1110000000000002</c:v>
                </c:pt>
                <c:pt idx="287">
                  <c:v>2.1640000000000001</c:v>
                </c:pt>
                <c:pt idx="288">
                  <c:v>2.2010000000000001</c:v>
                </c:pt>
                <c:pt idx="289">
                  <c:v>2.2389999999999999</c:v>
                </c:pt>
                <c:pt idx="290">
                  <c:v>2.25</c:v>
                </c:pt>
                <c:pt idx="291">
                  <c:v>2.2789999999999999</c:v>
                </c:pt>
                <c:pt idx="292">
                  <c:v>2.2650000000000001</c:v>
                </c:pt>
                <c:pt idx="293">
                  <c:v>2.2530000000000001</c:v>
                </c:pt>
                <c:pt idx="294">
                  <c:v>2.2050000000000001</c:v>
                </c:pt>
                <c:pt idx="295">
                  <c:v>2.15</c:v>
                </c:pt>
                <c:pt idx="296">
                  <c:v>2.1549999999999998</c:v>
                </c:pt>
                <c:pt idx="297">
                  <c:v>2.214</c:v>
                </c:pt>
                <c:pt idx="298">
                  <c:v>2.262</c:v>
                </c:pt>
                <c:pt idx="299">
                  <c:v>2.2829999999999999</c:v>
                </c:pt>
                <c:pt idx="300">
                  <c:v>2.343</c:v>
                </c:pt>
                <c:pt idx="301">
                  <c:v>2.3529999999999998</c:v>
                </c:pt>
                <c:pt idx="302">
                  <c:v>2.3570000000000002</c:v>
                </c:pt>
                <c:pt idx="303">
                  <c:v>2.359</c:v>
                </c:pt>
                <c:pt idx="304">
                  <c:v>2.367</c:v>
                </c:pt>
                <c:pt idx="305">
                  <c:v>2.3380000000000001</c:v>
                </c:pt>
                <c:pt idx="306">
                  <c:v>2.3170000000000002</c:v>
                </c:pt>
                <c:pt idx="307">
                  <c:v>2.3159999999999998</c:v>
                </c:pt>
                <c:pt idx="308">
                  <c:v>2.367</c:v>
                </c:pt>
                <c:pt idx="309">
                  <c:v>2.3740000000000001</c:v>
                </c:pt>
                <c:pt idx="310">
                  <c:v>2.3719999999999999</c:v>
                </c:pt>
                <c:pt idx="311">
                  <c:v>2.371</c:v>
                </c:pt>
                <c:pt idx="312">
                  <c:v>2.4779999999999998</c:v>
                </c:pt>
                <c:pt idx="313">
                  <c:v>2.423</c:v>
                </c:pt>
                <c:pt idx="314">
                  <c:v>2.4159999999999999</c:v>
                </c:pt>
                <c:pt idx="315">
                  <c:v>2.3719999999999999</c:v>
                </c:pt>
                <c:pt idx="316">
                  <c:v>2.3239999999999998</c:v>
                </c:pt>
                <c:pt idx="317">
                  <c:v>2.2690000000000001</c:v>
                </c:pt>
                <c:pt idx="318">
                  <c:v>2.2879999999999998</c:v>
                </c:pt>
                <c:pt idx="319">
                  <c:v>2.266</c:v>
                </c:pt>
                <c:pt idx="320">
                  <c:v>2.1989999999999998</c:v>
                </c:pt>
                <c:pt idx="321">
                  <c:v>2.2040000000000002</c:v>
                </c:pt>
                <c:pt idx="322">
                  <c:v>2.2400000000000002</c:v>
                </c:pt>
                <c:pt idx="323">
                  <c:v>2.339</c:v>
                </c:pt>
                <c:pt idx="324">
                  <c:v>2.629</c:v>
                </c:pt>
                <c:pt idx="325">
                  <c:v>2.8319999999999999</c:v>
                </c:pt>
                <c:pt idx="326">
                  <c:v>2.9390000000000001</c:v>
                </c:pt>
                <c:pt idx="327">
                  <c:v>3.01</c:v>
                </c:pt>
                <c:pt idx="328">
                  <c:v>3.008</c:v>
                </c:pt>
                <c:pt idx="329">
                  <c:v>2.9950000000000001</c:v>
                </c:pt>
                <c:pt idx="330">
                  <c:v>3.028</c:v>
                </c:pt>
                <c:pt idx="331">
                  <c:v>3.05</c:v>
                </c:pt>
                <c:pt idx="332">
                  <c:v>3.109</c:v>
                </c:pt>
                <c:pt idx="333">
                  <c:v>3.1480000000000001</c:v>
                </c:pt>
                <c:pt idx="334">
                  <c:v>3.1629999999999998</c:v>
                </c:pt>
                <c:pt idx="335">
                  <c:v>3.0739999999999998</c:v>
                </c:pt>
              </c:numCache>
            </c:numRef>
          </c:val>
          <c:smooth val="0"/>
          <c:extLst>
            <c:ext xmlns:c16="http://schemas.microsoft.com/office/drawing/2014/chart" uri="{C3380CC4-5D6E-409C-BE32-E72D297353CC}">
              <c16:uniqueId val="{00000001-2E2D-4BBD-B3B3-FB3D2C62503B}"/>
            </c:ext>
          </c:extLst>
        </c:ser>
        <c:dLbls>
          <c:showLegendKey val="0"/>
          <c:showVal val="0"/>
          <c:showCatName val="0"/>
          <c:showSerName val="0"/>
          <c:showPercent val="0"/>
          <c:showBubbleSize val="0"/>
        </c:dLbls>
        <c:marker val="1"/>
        <c:smooth val="0"/>
        <c:axId val="1377871648"/>
        <c:axId val="1377861312"/>
      </c:lineChart>
      <c:dateAx>
        <c:axId val="1377858048"/>
        <c:scaling>
          <c:orientation val="minMax"/>
          <c:min val="43982"/>
        </c:scaling>
        <c:delete val="0"/>
        <c:axPos val="b"/>
        <c:numFmt formatCode="dd\/mm\/yy" sourceLinked="1"/>
        <c:majorTickMark val="out"/>
        <c:minorTickMark val="none"/>
        <c:tickLblPos val="nextTo"/>
        <c:txPr>
          <a:bodyPr rot="-2700000"/>
          <a:lstStyle/>
          <a:p>
            <a:pPr>
              <a:defRPr sz="700">
                <a:latin typeface="Calibri" panose="020F0502020204030204" pitchFamily="34" charset="0"/>
              </a:defRPr>
            </a:pPr>
            <a:endParaRPr lang="en-US"/>
          </a:p>
        </c:txPr>
        <c:crossAx val="1377860224"/>
        <c:crosses val="autoZero"/>
        <c:auto val="1"/>
        <c:lblOffset val="100"/>
        <c:baseTimeUnit val="days"/>
        <c:majorUnit val="1"/>
        <c:majorTimeUnit val="months"/>
      </c:dateAx>
      <c:valAx>
        <c:axId val="1377860224"/>
        <c:scaling>
          <c:orientation val="minMax"/>
          <c:max val="120"/>
          <c:min val="90"/>
        </c:scaling>
        <c:delete val="0"/>
        <c:axPos val="l"/>
        <c:numFmt formatCode="#,##0\ [$€-407]" sourceLinked="0"/>
        <c:majorTickMark val="out"/>
        <c:minorTickMark val="none"/>
        <c:tickLblPos val="nextTo"/>
        <c:txPr>
          <a:bodyPr/>
          <a:lstStyle/>
          <a:p>
            <a:pPr>
              <a:defRPr sz="700">
                <a:latin typeface="+mn-lt"/>
              </a:defRPr>
            </a:pPr>
            <a:endParaRPr lang="en-US"/>
          </a:p>
        </c:txPr>
        <c:crossAx val="1377858048"/>
        <c:crosses val="autoZero"/>
        <c:crossBetween val="between"/>
        <c:majorUnit val="2"/>
      </c:valAx>
      <c:valAx>
        <c:axId val="1377861312"/>
        <c:scaling>
          <c:orientation val="minMax"/>
          <c:max val="3"/>
          <c:min val="0"/>
        </c:scaling>
        <c:delete val="0"/>
        <c:axPos val="r"/>
        <c:numFmt formatCode="#,##0.00" sourceLinked="0"/>
        <c:majorTickMark val="out"/>
        <c:minorTickMark val="none"/>
        <c:tickLblPos val="nextTo"/>
        <c:txPr>
          <a:bodyPr/>
          <a:lstStyle/>
          <a:p>
            <a:pPr>
              <a:defRPr sz="700">
                <a:latin typeface="Calibri" panose="020F0502020204030204" pitchFamily="34" charset="0"/>
              </a:defRPr>
            </a:pPr>
            <a:endParaRPr lang="en-US"/>
          </a:p>
        </c:txPr>
        <c:crossAx val="1377871648"/>
        <c:crosses val="max"/>
        <c:crossBetween val="between"/>
        <c:majorUnit val="0.30000000000000032"/>
      </c:valAx>
      <c:dateAx>
        <c:axId val="1377871648"/>
        <c:scaling>
          <c:orientation val="minMax"/>
        </c:scaling>
        <c:delete val="1"/>
        <c:axPos val="b"/>
        <c:numFmt formatCode="dd\/mm\/yy" sourceLinked="1"/>
        <c:majorTickMark val="out"/>
        <c:minorTickMark val="none"/>
        <c:tickLblPos val="none"/>
        <c:crossAx val="1377861312"/>
        <c:crosses val="autoZero"/>
        <c:auto val="1"/>
        <c:lblOffset val="100"/>
        <c:baseTimeUnit val="days"/>
      </c:dateAx>
    </c:plotArea>
    <c:legend>
      <c:legendPos val="r"/>
      <c:layout>
        <c:manualLayout>
          <c:xMode val="edge"/>
          <c:yMode val="edge"/>
          <c:x val="0"/>
          <c:y val="0.92678278851507201"/>
          <c:w val="1"/>
          <c:h val="7.2914446300273078E-2"/>
        </c:manualLayout>
      </c:layout>
      <c:overlay val="0"/>
      <c:txPr>
        <a:bodyPr/>
        <a:lstStyle/>
        <a:p>
          <a:pPr>
            <a:defRPr sz="700">
              <a:latin typeface="Calibri" panose="020F0502020204030204" pitchFamily="34" charset="0"/>
            </a:defRPr>
          </a:pPr>
          <a:endParaRPr lang="en-US"/>
        </a:p>
      </c:txPr>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en-US"/>
    </a:p>
  </c:txPr>
  <c:externalData r:id="rId1">
    <c:autoUpdate val="0"/>
  </c:externalData>
</c:chartSpace>
</file>

<file path=word/charts/chart7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6.6773420479302834E-2"/>
          <c:y val="0.1059268975166142"/>
          <c:w val="0.80728885257806826"/>
          <c:h val="0.6924024691358025"/>
        </c:manualLayout>
      </c:layout>
      <c:areaChart>
        <c:grouping val="standard"/>
        <c:varyColors val="0"/>
        <c:ser>
          <c:idx val="0"/>
          <c:order val="0"/>
          <c:tx>
            <c:strRef>
              <c:f>'EUROBOND 2030 offline'!$B$4</c:f>
              <c:strCache>
                <c:ptCount val="1"/>
                <c:pt idx="0">
                  <c:v>Цена на затварању</c:v>
                </c:pt>
              </c:strCache>
            </c:strRef>
          </c:tx>
          <c:spPr>
            <a:ln w="25400">
              <a:noFill/>
            </a:ln>
          </c:spPr>
          <c:cat>
            <c:numRef>
              <c:f>'EUROBOND 2030 offline'!$A$31:$A$223</c:f>
              <c:numCache>
                <c:formatCode>dd\/mm\/yy</c:formatCode>
                <c:ptCount val="193"/>
                <c:pt idx="0">
                  <c:v>44439</c:v>
                </c:pt>
                <c:pt idx="1">
                  <c:v>44438</c:v>
                </c:pt>
                <c:pt idx="2">
                  <c:v>44435</c:v>
                </c:pt>
                <c:pt idx="3">
                  <c:v>44434</c:v>
                </c:pt>
                <c:pt idx="4">
                  <c:v>44433</c:v>
                </c:pt>
                <c:pt idx="5">
                  <c:v>44432</c:v>
                </c:pt>
                <c:pt idx="6">
                  <c:v>44431</c:v>
                </c:pt>
                <c:pt idx="7">
                  <c:v>44428</c:v>
                </c:pt>
                <c:pt idx="8">
                  <c:v>44427</c:v>
                </c:pt>
                <c:pt idx="9">
                  <c:v>44426</c:v>
                </c:pt>
                <c:pt idx="10">
                  <c:v>44425</c:v>
                </c:pt>
                <c:pt idx="11">
                  <c:v>44424</c:v>
                </c:pt>
                <c:pt idx="12">
                  <c:v>44421</c:v>
                </c:pt>
                <c:pt idx="13">
                  <c:v>44420</c:v>
                </c:pt>
                <c:pt idx="14">
                  <c:v>44419</c:v>
                </c:pt>
                <c:pt idx="15">
                  <c:v>44418</c:v>
                </c:pt>
                <c:pt idx="16">
                  <c:v>44417</c:v>
                </c:pt>
                <c:pt idx="17">
                  <c:v>44414</c:v>
                </c:pt>
                <c:pt idx="18">
                  <c:v>44413</c:v>
                </c:pt>
                <c:pt idx="19">
                  <c:v>44412</c:v>
                </c:pt>
                <c:pt idx="20">
                  <c:v>44411</c:v>
                </c:pt>
                <c:pt idx="21">
                  <c:v>44410</c:v>
                </c:pt>
                <c:pt idx="22">
                  <c:v>44407</c:v>
                </c:pt>
                <c:pt idx="23">
                  <c:v>44406</c:v>
                </c:pt>
                <c:pt idx="24">
                  <c:v>44405</c:v>
                </c:pt>
                <c:pt idx="25">
                  <c:v>44404</c:v>
                </c:pt>
                <c:pt idx="26">
                  <c:v>44403</c:v>
                </c:pt>
                <c:pt idx="27">
                  <c:v>44400</c:v>
                </c:pt>
                <c:pt idx="28">
                  <c:v>44399</c:v>
                </c:pt>
                <c:pt idx="29">
                  <c:v>44398</c:v>
                </c:pt>
                <c:pt idx="30">
                  <c:v>44397</c:v>
                </c:pt>
                <c:pt idx="31">
                  <c:v>44396</c:v>
                </c:pt>
                <c:pt idx="32">
                  <c:v>44393</c:v>
                </c:pt>
                <c:pt idx="33">
                  <c:v>44392</c:v>
                </c:pt>
                <c:pt idx="34">
                  <c:v>44391</c:v>
                </c:pt>
                <c:pt idx="35">
                  <c:v>44390</c:v>
                </c:pt>
                <c:pt idx="36">
                  <c:v>44389</c:v>
                </c:pt>
                <c:pt idx="37">
                  <c:v>44386</c:v>
                </c:pt>
                <c:pt idx="38">
                  <c:v>44385</c:v>
                </c:pt>
                <c:pt idx="39">
                  <c:v>44384</c:v>
                </c:pt>
                <c:pt idx="40">
                  <c:v>44383</c:v>
                </c:pt>
                <c:pt idx="41">
                  <c:v>44382</c:v>
                </c:pt>
                <c:pt idx="42">
                  <c:v>44379</c:v>
                </c:pt>
                <c:pt idx="43">
                  <c:v>44378</c:v>
                </c:pt>
                <c:pt idx="44">
                  <c:v>44377</c:v>
                </c:pt>
                <c:pt idx="45">
                  <c:v>44376</c:v>
                </c:pt>
                <c:pt idx="46">
                  <c:v>44375</c:v>
                </c:pt>
                <c:pt idx="47">
                  <c:v>44372</c:v>
                </c:pt>
                <c:pt idx="48">
                  <c:v>44371</c:v>
                </c:pt>
                <c:pt idx="49">
                  <c:v>44370</c:v>
                </c:pt>
                <c:pt idx="50">
                  <c:v>44369</c:v>
                </c:pt>
                <c:pt idx="51">
                  <c:v>44368</c:v>
                </c:pt>
                <c:pt idx="52">
                  <c:v>44365</c:v>
                </c:pt>
                <c:pt idx="53">
                  <c:v>44364</c:v>
                </c:pt>
                <c:pt idx="54">
                  <c:v>44363</c:v>
                </c:pt>
                <c:pt idx="55">
                  <c:v>44362</c:v>
                </c:pt>
                <c:pt idx="56">
                  <c:v>44361</c:v>
                </c:pt>
                <c:pt idx="57">
                  <c:v>44358</c:v>
                </c:pt>
                <c:pt idx="58">
                  <c:v>44357</c:v>
                </c:pt>
                <c:pt idx="59">
                  <c:v>44356</c:v>
                </c:pt>
                <c:pt idx="60">
                  <c:v>44355</c:v>
                </c:pt>
                <c:pt idx="61">
                  <c:v>44354</c:v>
                </c:pt>
                <c:pt idx="62">
                  <c:v>44351</c:v>
                </c:pt>
                <c:pt idx="63">
                  <c:v>44350</c:v>
                </c:pt>
                <c:pt idx="64">
                  <c:v>44349</c:v>
                </c:pt>
                <c:pt idx="65">
                  <c:v>44348</c:v>
                </c:pt>
                <c:pt idx="66">
                  <c:v>44344</c:v>
                </c:pt>
                <c:pt idx="67">
                  <c:v>44343</c:v>
                </c:pt>
                <c:pt idx="68">
                  <c:v>44342</c:v>
                </c:pt>
                <c:pt idx="69">
                  <c:v>44341</c:v>
                </c:pt>
                <c:pt idx="70">
                  <c:v>44340</c:v>
                </c:pt>
                <c:pt idx="71">
                  <c:v>44337</c:v>
                </c:pt>
                <c:pt idx="72">
                  <c:v>44336</c:v>
                </c:pt>
                <c:pt idx="73">
                  <c:v>44335</c:v>
                </c:pt>
                <c:pt idx="74">
                  <c:v>44334</c:v>
                </c:pt>
                <c:pt idx="75">
                  <c:v>44333</c:v>
                </c:pt>
                <c:pt idx="76">
                  <c:v>44330</c:v>
                </c:pt>
                <c:pt idx="77">
                  <c:v>44329</c:v>
                </c:pt>
                <c:pt idx="78">
                  <c:v>44328</c:v>
                </c:pt>
                <c:pt idx="79">
                  <c:v>44327</c:v>
                </c:pt>
                <c:pt idx="80">
                  <c:v>44326</c:v>
                </c:pt>
                <c:pt idx="81">
                  <c:v>44323</c:v>
                </c:pt>
                <c:pt idx="82">
                  <c:v>44322</c:v>
                </c:pt>
                <c:pt idx="83">
                  <c:v>44321</c:v>
                </c:pt>
                <c:pt idx="84">
                  <c:v>44320</c:v>
                </c:pt>
                <c:pt idx="85">
                  <c:v>44316</c:v>
                </c:pt>
                <c:pt idx="86">
                  <c:v>44315</c:v>
                </c:pt>
                <c:pt idx="87">
                  <c:v>44314</c:v>
                </c:pt>
                <c:pt idx="88">
                  <c:v>44313</c:v>
                </c:pt>
                <c:pt idx="89">
                  <c:v>44312</c:v>
                </c:pt>
                <c:pt idx="90">
                  <c:v>44309</c:v>
                </c:pt>
                <c:pt idx="91">
                  <c:v>44308</c:v>
                </c:pt>
                <c:pt idx="92">
                  <c:v>44307</c:v>
                </c:pt>
                <c:pt idx="93">
                  <c:v>44306</c:v>
                </c:pt>
                <c:pt idx="94">
                  <c:v>44305</c:v>
                </c:pt>
                <c:pt idx="95">
                  <c:v>44302</c:v>
                </c:pt>
                <c:pt idx="96">
                  <c:v>44301</c:v>
                </c:pt>
                <c:pt idx="97">
                  <c:v>44300</c:v>
                </c:pt>
                <c:pt idx="98">
                  <c:v>44299</c:v>
                </c:pt>
                <c:pt idx="99">
                  <c:v>44298</c:v>
                </c:pt>
                <c:pt idx="100">
                  <c:v>44295</c:v>
                </c:pt>
                <c:pt idx="101">
                  <c:v>44294</c:v>
                </c:pt>
                <c:pt idx="102">
                  <c:v>44293</c:v>
                </c:pt>
                <c:pt idx="103">
                  <c:v>44292</c:v>
                </c:pt>
                <c:pt idx="104">
                  <c:v>44287</c:v>
                </c:pt>
                <c:pt idx="105">
                  <c:v>44286</c:v>
                </c:pt>
                <c:pt idx="106">
                  <c:v>44285</c:v>
                </c:pt>
                <c:pt idx="107">
                  <c:v>44284</c:v>
                </c:pt>
                <c:pt idx="108">
                  <c:v>44281</c:v>
                </c:pt>
                <c:pt idx="109">
                  <c:v>44280</c:v>
                </c:pt>
                <c:pt idx="110">
                  <c:v>44279</c:v>
                </c:pt>
                <c:pt idx="111">
                  <c:v>44278</c:v>
                </c:pt>
                <c:pt idx="112">
                  <c:v>44277</c:v>
                </c:pt>
                <c:pt idx="113">
                  <c:v>44274</c:v>
                </c:pt>
                <c:pt idx="114">
                  <c:v>44273</c:v>
                </c:pt>
                <c:pt idx="115">
                  <c:v>44272</c:v>
                </c:pt>
                <c:pt idx="116">
                  <c:v>44271</c:v>
                </c:pt>
                <c:pt idx="117">
                  <c:v>44270</c:v>
                </c:pt>
                <c:pt idx="118">
                  <c:v>44267</c:v>
                </c:pt>
                <c:pt idx="119">
                  <c:v>44266</c:v>
                </c:pt>
                <c:pt idx="120">
                  <c:v>44265</c:v>
                </c:pt>
                <c:pt idx="121">
                  <c:v>44264</c:v>
                </c:pt>
                <c:pt idx="122">
                  <c:v>44263</c:v>
                </c:pt>
                <c:pt idx="123">
                  <c:v>44260</c:v>
                </c:pt>
                <c:pt idx="124">
                  <c:v>44259</c:v>
                </c:pt>
                <c:pt idx="125">
                  <c:v>44258</c:v>
                </c:pt>
                <c:pt idx="126">
                  <c:v>44257</c:v>
                </c:pt>
                <c:pt idx="127">
                  <c:v>44256</c:v>
                </c:pt>
                <c:pt idx="128">
                  <c:v>44253</c:v>
                </c:pt>
                <c:pt idx="129">
                  <c:v>44252</c:v>
                </c:pt>
                <c:pt idx="130">
                  <c:v>44251</c:v>
                </c:pt>
                <c:pt idx="131">
                  <c:v>44250</c:v>
                </c:pt>
                <c:pt idx="132">
                  <c:v>44249</c:v>
                </c:pt>
                <c:pt idx="133">
                  <c:v>44246</c:v>
                </c:pt>
                <c:pt idx="134">
                  <c:v>44245</c:v>
                </c:pt>
                <c:pt idx="135">
                  <c:v>44244</c:v>
                </c:pt>
                <c:pt idx="136">
                  <c:v>44243</c:v>
                </c:pt>
                <c:pt idx="137">
                  <c:v>44242</c:v>
                </c:pt>
                <c:pt idx="138">
                  <c:v>44239</c:v>
                </c:pt>
                <c:pt idx="139">
                  <c:v>44238</c:v>
                </c:pt>
                <c:pt idx="140">
                  <c:v>44237</c:v>
                </c:pt>
                <c:pt idx="141">
                  <c:v>44236</c:v>
                </c:pt>
                <c:pt idx="142">
                  <c:v>44235</c:v>
                </c:pt>
                <c:pt idx="143">
                  <c:v>44232</c:v>
                </c:pt>
                <c:pt idx="144">
                  <c:v>44231</c:v>
                </c:pt>
                <c:pt idx="145">
                  <c:v>44230</c:v>
                </c:pt>
                <c:pt idx="146">
                  <c:v>44229</c:v>
                </c:pt>
                <c:pt idx="147">
                  <c:v>44228</c:v>
                </c:pt>
                <c:pt idx="148">
                  <c:v>44225</c:v>
                </c:pt>
                <c:pt idx="149">
                  <c:v>44224</c:v>
                </c:pt>
                <c:pt idx="150">
                  <c:v>44223</c:v>
                </c:pt>
                <c:pt idx="151">
                  <c:v>44222</c:v>
                </c:pt>
                <c:pt idx="152">
                  <c:v>44221</c:v>
                </c:pt>
                <c:pt idx="153">
                  <c:v>44218</c:v>
                </c:pt>
                <c:pt idx="154">
                  <c:v>44217</c:v>
                </c:pt>
                <c:pt idx="155">
                  <c:v>44216</c:v>
                </c:pt>
                <c:pt idx="156">
                  <c:v>44215</c:v>
                </c:pt>
                <c:pt idx="157">
                  <c:v>44214</c:v>
                </c:pt>
                <c:pt idx="158">
                  <c:v>44211</c:v>
                </c:pt>
                <c:pt idx="159">
                  <c:v>44210</c:v>
                </c:pt>
                <c:pt idx="160">
                  <c:v>44209</c:v>
                </c:pt>
                <c:pt idx="161">
                  <c:v>44208</c:v>
                </c:pt>
                <c:pt idx="162">
                  <c:v>44207</c:v>
                </c:pt>
                <c:pt idx="163">
                  <c:v>44204</c:v>
                </c:pt>
                <c:pt idx="164">
                  <c:v>44203</c:v>
                </c:pt>
                <c:pt idx="165">
                  <c:v>44202</c:v>
                </c:pt>
                <c:pt idx="166">
                  <c:v>44201</c:v>
                </c:pt>
                <c:pt idx="167">
                  <c:v>44200</c:v>
                </c:pt>
                <c:pt idx="168">
                  <c:v>44196</c:v>
                </c:pt>
                <c:pt idx="169">
                  <c:v>44195</c:v>
                </c:pt>
                <c:pt idx="170">
                  <c:v>44194</c:v>
                </c:pt>
                <c:pt idx="171">
                  <c:v>44193</c:v>
                </c:pt>
                <c:pt idx="172">
                  <c:v>44189</c:v>
                </c:pt>
                <c:pt idx="173">
                  <c:v>44188</c:v>
                </c:pt>
                <c:pt idx="174">
                  <c:v>44187</c:v>
                </c:pt>
                <c:pt idx="175">
                  <c:v>44186</c:v>
                </c:pt>
                <c:pt idx="176">
                  <c:v>44183</c:v>
                </c:pt>
                <c:pt idx="177">
                  <c:v>44182</c:v>
                </c:pt>
                <c:pt idx="178">
                  <c:v>44181</c:v>
                </c:pt>
                <c:pt idx="179">
                  <c:v>44180</c:v>
                </c:pt>
                <c:pt idx="180">
                  <c:v>44179</c:v>
                </c:pt>
                <c:pt idx="181">
                  <c:v>44176</c:v>
                </c:pt>
                <c:pt idx="182">
                  <c:v>44175</c:v>
                </c:pt>
                <c:pt idx="183">
                  <c:v>44174</c:v>
                </c:pt>
                <c:pt idx="184">
                  <c:v>44173</c:v>
                </c:pt>
                <c:pt idx="185">
                  <c:v>44172</c:v>
                </c:pt>
                <c:pt idx="186">
                  <c:v>44169</c:v>
                </c:pt>
                <c:pt idx="187">
                  <c:v>44168</c:v>
                </c:pt>
                <c:pt idx="188">
                  <c:v>44167</c:v>
                </c:pt>
                <c:pt idx="189">
                  <c:v>44166</c:v>
                </c:pt>
                <c:pt idx="190">
                  <c:v>44165</c:v>
                </c:pt>
                <c:pt idx="191">
                  <c:v>44162</c:v>
                </c:pt>
                <c:pt idx="192">
                  <c:v>44161</c:v>
                </c:pt>
              </c:numCache>
            </c:numRef>
          </c:cat>
          <c:val>
            <c:numRef>
              <c:f>'EUROBOND 2030 offline'!$B$31:$B$223</c:f>
              <c:numCache>
                <c:formatCode>#,##0.000</c:formatCode>
                <c:ptCount val="193"/>
                <c:pt idx="0">
                  <c:v>96.730999999999995</c:v>
                </c:pt>
                <c:pt idx="1">
                  <c:v>96.424999999999997</c:v>
                </c:pt>
                <c:pt idx="2">
                  <c:v>96.361999999999995</c:v>
                </c:pt>
                <c:pt idx="3">
                  <c:v>96.364000000000004</c:v>
                </c:pt>
                <c:pt idx="4">
                  <c:v>96.343000000000004</c:v>
                </c:pt>
                <c:pt idx="5">
                  <c:v>96.393000000000001</c:v>
                </c:pt>
                <c:pt idx="6">
                  <c:v>96.230999999999995</c:v>
                </c:pt>
                <c:pt idx="7">
                  <c:v>96.3</c:v>
                </c:pt>
                <c:pt idx="8">
                  <c:v>96.263000000000005</c:v>
                </c:pt>
                <c:pt idx="9">
                  <c:v>96.305000000000007</c:v>
                </c:pt>
                <c:pt idx="10">
                  <c:v>96.238</c:v>
                </c:pt>
                <c:pt idx="11">
                  <c:v>96.304000000000002</c:v>
                </c:pt>
                <c:pt idx="12">
                  <c:v>96.125</c:v>
                </c:pt>
                <c:pt idx="13">
                  <c:v>96.207999999999998</c:v>
                </c:pt>
                <c:pt idx="14">
                  <c:v>96.137</c:v>
                </c:pt>
                <c:pt idx="15">
                  <c:v>96.158000000000001</c:v>
                </c:pt>
                <c:pt idx="16">
                  <c:v>95.828000000000003</c:v>
                </c:pt>
                <c:pt idx="17">
                  <c:v>95.638000000000005</c:v>
                </c:pt>
                <c:pt idx="18">
                  <c:v>96.325999999999993</c:v>
                </c:pt>
                <c:pt idx="19">
                  <c:v>95.903000000000006</c:v>
                </c:pt>
                <c:pt idx="20">
                  <c:v>95.805999999999997</c:v>
                </c:pt>
                <c:pt idx="21">
                  <c:v>95.563000000000002</c:v>
                </c:pt>
                <c:pt idx="22">
                  <c:v>95.438000000000002</c:v>
                </c:pt>
                <c:pt idx="23">
                  <c:v>95.423000000000002</c:v>
                </c:pt>
                <c:pt idx="24">
                  <c:v>95.411000000000001</c:v>
                </c:pt>
                <c:pt idx="25">
                  <c:v>95.411000000000001</c:v>
                </c:pt>
                <c:pt idx="26">
                  <c:v>95.441000000000003</c:v>
                </c:pt>
                <c:pt idx="27">
                  <c:v>95.688000000000002</c:v>
                </c:pt>
                <c:pt idx="28">
                  <c:v>95.688000000000002</c:v>
                </c:pt>
                <c:pt idx="29">
                  <c:v>95.524000000000001</c:v>
                </c:pt>
                <c:pt idx="30">
                  <c:v>95.599000000000004</c:v>
                </c:pt>
                <c:pt idx="31">
                  <c:v>95.566000000000003</c:v>
                </c:pt>
                <c:pt idx="32">
                  <c:v>95.613</c:v>
                </c:pt>
                <c:pt idx="33">
                  <c:v>95.411000000000001</c:v>
                </c:pt>
                <c:pt idx="34">
                  <c:v>95.286000000000001</c:v>
                </c:pt>
                <c:pt idx="35">
                  <c:v>95.25</c:v>
                </c:pt>
                <c:pt idx="36">
                  <c:v>95.188000000000002</c:v>
                </c:pt>
                <c:pt idx="37">
                  <c:v>95.075000000000003</c:v>
                </c:pt>
                <c:pt idx="38">
                  <c:v>95.147000000000006</c:v>
                </c:pt>
                <c:pt idx="39">
                  <c:v>95.221000000000004</c:v>
                </c:pt>
                <c:pt idx="40">
                  <c:v>95.147000000000006</c:v>
                </c:pt>
                <c:pt idx="41">
                  <c:v>95.144000000000005</c:v>
                </c:pt>
                <c:pt idx="42">
                  <c:v>95.05</c:v>
                </c:pt>
                <c:pt idx="43">
                  <c:v>95</c:v>
                </c:pt>
                <c:pt idx="44">
                  <c:v>94.962000000000003</c:v>
                </c:pt>
                <c:pt idx="45">
                  <c:v>94.888000000000005</c:v>
                </c:pt>
                <c:pt idx="46">
                  <c:v>94.665999999999997</c:v>
                </c:pt>
                <c:pt idx="47">
                  <c:v>94.801000000000002</c:v>
                </c:pt>
                <c:pt idx="48">
                  <c:v>94.801000000000002</c:v>
                </c:pt>
                <c:pt idx="49">
                  <c:v>94.64</c:v>
                </c:pt>
                <c:pt idx="50">
                  <c:v>94.566999999999993</c:v>
                </c:pt>
                <c:pt idx="51">
                  <c:v>94.613</c:v>
                </c:pt>
                <c:pt idx="52">
                  <c:v>94.662000000000006</c:v>
                </c:pt>
                <c:pt idx="53">
                  <c:v>94.662000000000006</c:v>
                </c:pt>
                <c:pt idx="54">
                  <c:v>94.968999999999994</c:v>
                </c:pt>
                <c:pt idx="55">
                  <c:v>95.093999999999994</c:v>
                </c:pt>
                <c:pt idx="56">
                  <c:v>95.343999999999994</c:v>
                </c:pt>
                <c:pt idx="57">
                  <c:v>95.25</c:v>
                </c:pt>
                <c:pt idx="58">
                  <c:v>94.781000000000006</c:v>
                </c:pt>
                <c:pt idx="59">
                  <c:v>94.656000000000006</c:v>
                </c:pt>
                <c:pt idx="60">
                  <c:v>94.093999999999994</c:v>
                </c:pt>
                <c:pt idx="61">
                  <c:v>93.75</c:v>
                </c:pt>
                <c:pt idx="62">
                  <c:v>93.5</c:v>
                </c:pt>
                <c:pt idx="63">
                  <c:v>93.525000000000006</c:v>
                </c:pt>
                <c:pt idx="64">
                  <c:v>93.521000000000001</c:v>
                </c:pt>
                <c:pt idx="65">
                  <c:v>93.488</c:v>
                </c:pt>
                <c:pt idx="66">
                  <c:v>93.313000000000002</c:v>
                </c:pt>
                <c:pt idx="67">
                  <c:v>93.313000000000002</c:v>
                </c:pt>
                <c:pt idx="68">
                  <c:v>93.275000000000006</c:v>
                </c:pt>
                <c:pt idx="69">
                  <c:v>93.25</c:v>
                </c:pt>
                <c:pt idx="70">
                  <c:v>92.968999999999994</c:v>
                </c:pt>
                <c:pt idx="71">
                  <c:v>92.825000000000003</c:v>
                </c:pt>
                <c:pt idx="72">
                  <c:v>92.575000000000003</c:v>
                </c:pt>
                <c:pt idx="73">
                  <c:v>92.531999999999996</c:v>
                </c:pt>
                <c:pt idx="74">
                  <c:v>92.757000000000005</c:v>
                </c:pt>
                <c:pt idx="75">
                  <c:v>93.031999999999996</c:v>
                </c:pt>
                <c:pt idx="76">
                  <c:v>92.924999999999997</c:v>
                </c:pt>
                <c:pt idx="77">
                  <c:v>92.688000000000002</c:v>
                </c:pt>
                <c:pt idx="78">
                  <c:v>93.001999999999995</c:v>
                </c:pt>
                <c:pt idx="79">
                  <c:v>93.125</c:v>
                </c:pt>
                <c:pt idx="80">
                  <c:v>93.25</c:v>
                </c:pt>
                <c:pt idx="81">
                  <c:v>93.311999999999998</c:v>
                </c:pt>
                <c:pt idx="82">
                  <c:v>92.929000000000002</c:v>
                </c:pt>
                <c:pt idx="83">
                  <c:v>92.521000000000001</c:v>
                </c:pt>
                <c:pt idx="84">
                  <c:v>92.444000000000003</c:v>
                </c:pt>
                <c:pt idx="85">
                  <c:v>92.335999999999999</c:v>
                </c:pt>
                <c:pt idx="86">
                  <c:v>92.286000000000001</c:v>
                </c:pt>
                <c:pt idx="87">
                  <c:v>92.355999999999995</c:v>
                </c:pt>
                <c:pt idx="88">
                  <c:v>92.852000000000004</c:v>
                </c:pt>
                <c:pt idx="89">
                  <c:v>92.953999999999994</c:v>
                </c:pt>
                <c:pt idx="90">
                  <c:v>92.995000000000005</c:v>
                </c:pt>
                <c:pt idx="91">
                  <c:v>93.031000000000006</c:v>
                </c:pt>
                <c:pt idx="92">
                  <c:v>93.052000000000007</c:v>
                </c:pt>
                <c:pt idx="93">
                  <c:v>92.986999999999995</c:v>
                </c:pt>
                <c:pt idx="94">
                  <c:v>93.119</c:v>
                </c:pt>
                <c:pt idx="95">
                  <c:v>93.087999999999994</c:v>
                </c:pt>
                <c:pt idx="96">
                  <c:v>93.159000000000006</c:v>
                </c:pt>
                <c:pt idx="97">
                  <c:v>93.075000000000003</c:v>
                </c:pt>
                <c:pt idx="98">
                  <c:v>93.009</c:v>
                </c:pt>
                <c:pt idx="99">
                  <c:v>93.042000000000002</c:v>
                </c:pt>
                <c:pt idx="100">
                  <c:v>93.063000000000002</c:v>
                </c:pt>
                <c:pt idx="101">
                  <c:v>93.244</c:v>
                </c:pt>
                <c:pt idx="102">
                  <c:v>93.063000000000002</c:v>
                </c:pt>
                <c:pt idx="103">
                  <c:v>92.825000000000003</c:v>
                </c:pt>
                <c:pt idx="104">
                  <c:v>92.655000000000001</c:v>
                </c:pt>
                <c:pt idx="105">
                  <c:v>92.63</c:v>
                </c:pt>
                <c:pt idx="106">
                  <c:v>92.55</c:v>
                </c:pt>
                <c:pt idx="107">
                  <c:v>92.745999999999995</c:v>
                </c:pt>
                <c:pt idx="108">
                  <c:v>92.816999999999993</c:v>
                </c:pt>
                <c:pt idx="109">
                  <c:v>92.918000000000006</c:v>
                </c:pt>
                <c:pt idx="110">
                  <c:v>92.882999999999996</c:v>
                </c:pt>
                <c:pt idx="111">
                  <c:v>92.861999999999995</c:v>
                </c:pt>
                <c:pt idx="112">
                  <c:v>92.835999999999999</c:v>
                </c:pt>
                <c:pt idx="113">
                  <c:v>92.963999999999999</c:v>
                </c:pt>
                <c:pt idx="114">
                  <c:v>93.134</c:v>
                </c:pt>
                <c:pt idx="115">
                  <c:v>93.465000000000003</c:v>
                </c:pt>
                <c:pt idx="116">
                  <c:v>93.563999999999993</c:v>
                </c:pt>
                <c:pt idx="117">
                  <c:v>93.506</c:v>
                </c:pt>
                <c:pt idx="118">
                  <c:v>93.53</c:v>
                </c:pt>
                <c:pt idx="119">
                  <c:v>94.125</c:v>
                </c:pt>
                <c:pt idx="120">
                  <c:v>93.006</c:v>
                </c:pt>
                <c:pt idx="121">
                  <c:v>93.162000000000006</c:v>
                </c:pt>
                <c:pt idx="122">
                  <c:v>93.025000000000006</c:v>
                </c:pt>
                <c:pt idx="123">
                  <c:v>93.700999999999993</c:v>
                </c:pt>
                <c:pt idx="124">
                  <c:v>94.56</c:v>
                </c:pt>
                <c:pt idx="125">
                  <c:v>94.638000000000005</c:v>
                </c:pt>
                <c:pt idx="126">
                  <c:v>94.745999999999995</c:v>
                </c:pt>
                <c:pt idx="127">
                  <c:v>94.733000000000004</c:v>
                </c:pt>
                <c:pt idx="128">
                  <c:v>94.35</c:v>
                </c:pt>
                <c:pt idx="129">
                  <c:v>94.983000000000004</c:v>
                </c:pt>
                <c:pt idx="130">
                  <c:v>95.15</c:v>
                </c:pt>
                <c:pt idx="131">
                  <c:v>95.5</c:v>
                </c:pt>
                <c:pt idx="132">
                  <c:v>95.575000000000003</c:v>
                </c:pt>
                <c:pt idx="133">
                  <c:v>96.037000000000006</c:v>
                </c:pt>
                <c:pt idx="134">
                  <c:v>96.191999999999993</c:v>
                </c:pt>
                <c:pt idx="135">
                  <c:v>96.25</c:v>
                </c:pt>
                <c:pt idx="136">
                  <c:v>96.754000000000005</c:v>
                </c:pt>
                <c:pt idx="137">
                  <c:v>97.063000000000002</c:v>
                </c:pt>
                <c:pt idx="138">
                  <c:v>97.4</c:v>
                </c:pt>
                <c:pt idx="139">
                  <c:v>97.396000000000001</c:v>
                </c:pt>
                <c:pt idx="140">
                  <c:v>97.441999999999993</c:v>
                </c:pt>
                <c:pt idx="141">
                  <c:v>97.45</c:v>
                </c:pt>
                <c:pt idx="142">
                  <c:v>97.608000000000004</c:v>
                </c:pt>
                <c:pt idx="143">
                  <c:v>97.787000000000006</c:v>
                </c:pt>
                <c:pt idx="144">
                  <c:v>97.679000000000002</c:v>
                </c:pt>
                <c:pt idx="145">
                  <c:v>97.369</c:v>
                </c:pt>
                <c:pt idx="146">
                  <c:v>97.320999999999998</c:v>
                </c:pt>
                <c:pt idx="147">
                  <c:v>97.262</c:v>
                </c:pt>
                <c:pt idx="148">
                  <c:v>97.186999999999998</c:v>
                </c:pt>
                <c:pt idx="149">
                  <c:v>97.167000000000002</c:v>
                </c:pt>
                <c:pt idx="150">
                  <c:v>97.016999999999996</c:v>
                </c:pt>
                <c:pt idx="151">
                  <c:v>97.113</c:v>
                </c:pt>
                <c:pt idx="152">
                  <c:v>97.1</c:v>
                </c:pt>
                <c:pt idx="153">
                  <c:v>97.2</c:v>
                </c:pt>
                <c:pt idx="154">
                  <c:v>97.3</c:v>
                </c:pt>
                <c:pt idx="155">
                  <c:v>97.658000000000001</c:v>
                </c:pt>
                <c:pt idx="156">
                  <c:v>97.733000000000004</c:v>
                </c:pt>
                <c:pt idx="157">
                  <c:v>97.75</c:v>
                </c:pt>
                <c:pt idx="158">
                  <c:v>97.95</c:v>
                </c:pt>
                <c:pt idx="159">
                  <c:v>98.117000000000004</c:v>
                </c:pt>
                <c:pt idx="160">
                  <c:v>98.075000000000003</c:v>
                </c:pt>
                <c:pt idx="161">
                  <c:v>98.188000000000002</c:v>
                </c:pt>
                <c:pt idx="162">
                  <c:v>98.7</c:v>
                </c:pt>
                <c:pt idx="163">
                  <c:v>98.917000000000002</c:v>
                </c:pt>
                <c:pt idx="164">
                  <c:v>99</c:v>
                </c:pt>
                <c:pt idx="165">
                  <c:v>99.207999999999998</c:v>
                </c:pt>
                <c:pt idx="166">
                  <c:v>99.674999999999997</c:v>
                </c:pt>
                <c:pt idx="167">
                  <c:v>99.7</c:v>
                </c:pt>
                <c:pt idx="168">
                  <c:v>99.436999999999998</c:v>
                </c:pt>
                <c:pt idx="169">
                  <c:v>99.262</c:v>
                </c:pt>
                <c:pt idx="170">
                  <c:v>98.903000000000006</c:v>
                </c:pt>
                <c:pt idx="171">
                  <c:v>98.763000000000005</c:v>
                </c:pt>
                <c:pt idx="172">
                  <c:v>98.799000000000007</c:v>
                </c:pt>
                <c:pt idx="173">
                  <c:v>98.873999999999995</c:v>
                </c:pt>
                <c:pt idx="174">
                  <c:v>98.875</c:v>
                </c:pt>
                <c:pt idx="175">
                  <c:v>98.8</c:v>
                </c:pt>
                <c:pt idx="176">
                  <c:v>99.012</c:v>
                </c:pt>
                <c:pt idx="177">
                  <c:v>98.863</c:v>
                </c:pt>
                <c:pt idx="178">
                  <c:v>98.45</c:v>
                </c:pt>
                <c:pt idx="179">
                  <c:v>98.375</c:v>
                </c:pt>
                <c:pt idx="180">
                  <c:v>98.375</c:v>
                </c:pt>
                <c:pt idx="181">
                  <c:v>98.224999999999994</c:v>
                </c:pt>
                <c:pt idx="182">
                  <c:v>98.066999999999993</c:v>
                </c:pt>
                <c:pt idx="183">
                  <c:v>98.078999999999994</c:v>
                </c:pt>
                <c:pt idx="184">
                  <c:v>98.231999999999999</c:v>
                </c:pt>
                <c:pt idx="185">
                  <c:v>98.165000000000006</c:v>
                </c:pt>
                <c:pt idx="186">
                  <c:v>98.311999999999998</c:v>
                </c:pt>
                <c:pt idx="187">
                  <c:v>98.311999999999998</c:v>
                </c:pt>
                <c:pt idx="188">
                  <c:v>98.361999999999995</c:v>
                </c:pt>
                <c:pt idx="189">
                  <c:v>98.436999999999998</c:v>
                </c:pt>
                <c:pt idx="190">
                  <c:v>98.625</c:v>
                </c:pt>
                <c:pt idx="191">
                  <c:v>98.674999999999997</c:v>
                </c:pt>
                <c:pt idx="192">
                  <c:v>98.641999999999996</c:v>
                </c:pt>
              </c:numCache>
            </c:numRef>
          </c:val>
          <c:extLst>
            <c:ext xmlns:c16="http://schemas.microsoft.com/office/drawing/2014/chart" uri="{C3380CC4-5D6E-409C-BE32-E72D297353CC}">
              <c16:uniqueId val="{00000000-6D8D-487F-AFD2-C41687CCE549}"/>
            </c:ext>
          </c:extLst>
        </c:ser>
        <c:dLbls>
          <c:showLegendKey val="0"/>
          <c:showVal val="0"/>
          <c:showCatName val="0"/>
          <c:showSerName val="0"/>
          <c:showPercent val="0"/>
          <c:showBubbleSize val="0"/>
        </c:dLbls>
        <c:axId val="1258522352"/>
        <c:axId val="1258515280"/>
      </c:areaChart>
      <c:lineChart>
        <c:grouping val="standard"/>
        <c:varyColors val="0"/>
        <c:ser>
          <c:idx val="1"/>
          <c:order val="1"/>
          <c:tx>
            <c:strRef>
              <c:f>'EUROBOND 2030 offline'!$C$4</c:f>
              <c:strCache>
                <c:ptCount val="1"/>
                <c:pt idx="0">
                  <c:v>Срењни принос до доспећа</c:v>
                </c:pt>
              </c:strCache>
            </c:strRef>
          </c:tx>
          <c:marker>
            <c:symbol val="none"/>
          </c:marker>
          <c:cat>
            <c:numRef>
              <c:f>'EUROBOND 2030 offline'!$A$31:$A$223</c:f>
              <c:numCache>
                <c:formatCode>dd\/mm\/yy</c:formatCode>
                <c:ptCount val="193"/>
                <c:pt idx="0">
                  <c:v>44439</c:v>
                </c:pt>
                <c:pt idx="1">
                  <c:v>44438</c:v>
                </c:pt>
                <c:pt idx="2">
                  <c:v>44435</c:v>
                </c:pt>
                <c:pt idx="3">
                  <c:v>44434</c:v>
                </c:pt>
                <c:pt idx="4">
                  <c:v>44433</c:v>
                </c:pt>
                <c:pt idx="5">
                  <c:v>44432</c:v>
                </c:pt>
                <c:pt idx="6">
                  <c:v>44431</c:v>
                </c:pt>
                <c:pt idx="7">
                  <c:v>44428</c:v>
                </c:pt>
                <c:pt idx="8">
                  <c:v>44427</c:v>
                </c:pt>
                <c:pt idx="9">
                  <c:v>44426</c:v>
                </c:pt>
                <c:pt idx="10">
                  <c:v>44425</c:v>
                </c:pt>
                <c:pt idx="11">
                  <c:v>44424</c:v>
                </c:pt>
                <c:pt idx="12">
                  <c:v>44421</c:v>
                </c:pt>
                <c:pt idx="13">
                  <c:v>44420</c:v>
                </c:pt>
                <c:pt idx="14">
                  <c:v>44419</c:v>
                </c:pt>
                <c:pt idx="15">
                  <c:v>44418</c:v>
                </c:pt>
                <c:pt idx="16">
                  <c:v>44417</c:v>
                </c:pt>
                <c:pt idx="17">
                  <c:v>44414</c:v>
                </c:pt>
                <c:pt idx="18">
                  <c:v>44413</c:v>
                </c:pt>
                <c:pt idx="19">
                  <c:v>44412</c:v>
                </c:pt>
                <c:pt idx="20">
                  <c:v>44411</c:v>
                </c:pt>
                <c:pt idx="21">
                  <c:v>44410</c:v>
                </c:pt>
                <c:pt idx="22">
                  <c:v>44407</c:v>
                </c:pt>
                <c:pt idx="23">
                  <c:v>44406</c:v>
                </c:pt>
                <c:pt idx="24">
                  <c:v>44405</c:v>
                </c:pt>
                <c:pt idx="25">
                  <c:v>44404</c:v>
                </c:pt>
                <c:pt idx="26">
                  <c:v>44403</c:v>
                </c:pt>
                <c:pt idx="27">
                  <c:v>44400</c:v>
                </c:pt>
                <c:pt idx="28">
                  <c:v>44399</c:v>
                </c:pt>
                <c:pt idx="29">
                  <c:v>44398</c:v>
                </c:pt>
                <c:pt idx="30">
                  <c:v>44397</c:v>
                </c:pt>
                <c:pt idx="31">
                  <c:v>44396</c:v>
                </c:pt>
                <c:pt idx="32">
                  <c:v>44393</c:v>
                </c:pt>
                <c:pt idx="33">
                  <c:v>44392</c:v>
                </c:pt>
                <c:pt idx="34">
                  <c:v>44391</c:v>
                </c:pt>
                <c:pt idx="35">
                  <c:v>44390</c:v>
                </c:pt>
                <c:pt idx="36">
                  <c:v>44389</c:v>
                </c:pt>
                <c:pt idx="37">
                  <c:v>44386</c:v>
                </c:pt>
                <c:pt idx="38">
                  <c:v>44385</c:v>
                </c:pt>
                <c:pt idx="39">
                  <c:v>44384</c:v>
                </c:pt>
                <c:pt idx="40">
                  <c:v>44383</c:v>
                </c:pt>
                <c:pt idx="41">
                  <c:v>44382</c:v>
                </c:pt>
                <c:pt idx="42">
                  <c:v>44379</c:v>
                </c:pt>
                <c:pt idx="43">
                  <c:v>44378</c:v>
                </c:pt>
                <c:pt idx="44">
                  <c:v>44377</c:v>
                </c:pt>
                <c:pt idx="45">
                  <c:v>44376</c:v>
                </c:pt>
                <c:pt idx="46">
                  <c:v>44375</c:v>
                </c:pt>
                <c:pt idx="47">
                  <c:v>44372</c:v>
                </c:pt>
                <c:pt idx="48">
                  <c:v>44371</c:v>
                </c:pt>
                <c:pt idx="49">
                  <c:v>44370</c:v>
                </c:pt>
                <c:pt idx="50">
                  <c:v>44369</c:v>
                </c:pt>
                <c:pt idx="51">
                  <c:v>44368</c:v>
                </c:pt>
                <c:pt idx="52">
                  <c:v>44365</c:v>
                </c:pt>
                <c:pt idx="53">
                  <c:v>44364</c:v>
                </c:pt>
                <c:pt idx="54">
                  <c:v>44363</c:v>
                </c:pt>
                <c:pt idx="55">
                  <c:v>44362</c:v>
                </c:pt>
                <c:pt idx="56">
                  <c:v>44361</c:v>
                </c:pt>
                <c:pt idx="57">
                  <c:v>44358</c:v>
                </c:pt>
                <c:pt idx="58">
                  <c:v>44357</c:v>
                </c:pt>
                <c:pt idx="59">
                  <c:v>44356</c:v>
                </c:pt>
                <c:pt idx="60">
                  <c:v>44355</c:v>
                </c:pt>
                <c:pt idx="61">
                  <c:v>44354</c:v>
                </c:pt>
                <c:pt idx="62">
                  <c:v>44351</c:v>
                </c:pt>
                <c:pt idx="63">
                  <c:v>44350</c:v>
                </c:pt>
                <c:pt idx="64">
                  <c:v>44349</c:v>
                </c:pt>
                <c:pt idx="65">
                  <c:v>44348</c:v>
                </c:pt>
                <c:pt idx="66">
                  <c:v>44344</c:v>
                </c:pt>
                <c:pt idx="67">
                  <c:v>44343</c:v>
                </c:pt>
                <c:pt idx="68">
                  <c:v>44342</c:v>
                </c:pt>
                <c:pt idx="69">
                  <c:v>44341</c:v>
                </c:pt>
                <c:pt idx="70">
                  <c:v>44340</c:v>
                </c:pt>
                <c:pt idx="71">
                  <c:v>44337</c:v>
                </c:pt>
                <c:pt idx="72">
                  <c:v>44336</c:v>
                </c:pt>
                <c:pt idx="73">
                  <c:v>44335</c:v>
                </c:pt>
                <c:pt idx="74">
                  <c:v>44334</c:v>
                </c:pt>
                <c:pt idx="75">
                  <c:v>44333</c:v>
                </c:pt>
                <c:pt idx="76">
                  <c:v>44330</c:v>
                </c:pt>
                <c:pt idx="77">
                  <c:v>44329</c:v>
                </c:pt>
                <c:pt idx="78">
                  <c:v>44328</c:v>
                </c:pt>
                <c:pt idx="79">
                  <c:v>44327</c:v>
                </c:pt>
                <c:pt idx="80">
                  <c:v>44326</c:v>
                </c:pt>
                <c:pt idx="81">
                  <c:v>44323</c:v>
                </c:pt>
                <c:pt idx="82">
                  <c:v>44322</c:v>
                </c:pt>
                <c:pt idx="83">
                  <c:v>44321</c:v>
                </c:pt>
                <c:pt idx="84">
                  <c:v>44320</c:v>
                </c:pt>
                <c:pt idx="85">
                  <c:v>44316</c:v>
                </c:pt>
                <c:pt idx="86">
                  <c:v>44315</c:v>
                </c:pt>
                <c:pt idx="87">
                  <c:v>44314</c:v>
                </c:pt>
                <c:pt idx="88">
                  <c:v>44313</c:v>
                </c:pt>
                <c:pt idx="89">
                  <c:v>44312</c:v>
                </c:pt>
                <c:pt idx="90">
                  <c:v>44309</c:v>
                </c:pt>
                <c:pt idx="91">
                  <c:v>44308</c:v>
                </c:pt>
                <c:pt idx="92">
                  <c:v>44307</c:v>
                </c:pt>
                <c:pt idx="93">
                  <c:v>44306</c:v>
                </c:pt>
                <c:pt idx="94">
                  <c:v>44305</c:v>
                </c:pt>
                <c:pt idx="95">
                  <c:v>44302</c:v>
                </c:pt>
                <c:pt idx="96">
                  <c:v>44301</c:v>
                </c:pt>
                <c:pt idx="97">
                  <c:v>44300</c:v>
                </c:pt>
                <c:pt idx="98">
                  <c:v>44299</c:v>
                </c:pt>
                <c:pt idx="99">
                  <c:v>44298</c:v>
                </c:pt>
                <c:pt idx="100">
                  <c:v>44295</c:v>
                </c:pt>
                <c:pt idx="101">
                  <c:v>44294</c:v>
                </c:pt>
                <c:pt idx="102">
                  <c:v>44293</c:v>
                </c:pt>
                <c:pt idx="103">
                  <c:v>44292</c:v>
                </c:pt>
                <c:pt idx="104">
                  <c:v>44287</c:v>
                </c:pt>
                <c:pt idx="105">
                  <c:v>44286</c:v>
                </c:pt>
                <c:pt idx="106">
                  <c:v>44285</c:v>
                </c:pt>
                <c:pt idx="107">
                  <c:v>44284</c:v>
                </c:pt>
                <c:pt idx="108">
                  <c:v>44281</c:v>
                </c:pt>
                <c:pt idx="109">
                  <c:v>44280</c:v>
                </c:pt>
                <c:pt idx="110">
                  <c:v>44279</c:v>
                </c:pt>
                <c:pt idx="111">
                  <c:v>44278</c:v>
                </c:pt>
                <c:pt idx="112">
                  <c:v>44277</c:v>
                </c:pt>
                <c:pt idx="113">
                  <c:v>44274</c:v>
                </c:pt>
                <c:pt idx="114">
                  <c:v>44273</c:v>
                </c:pt>
                <c:pt idx="115">
                  <c:v>44272</c:v>
                </c:pt>
                <c:pt idx="116">
                  <c:v>44271</c:v>
                </c:pt>
                <c:pt idx="117">
                  <c:v>44270</c:v>
                </c:pt>
                <c:pt idx="118">
                  <c:v>44267</c:v>
                </c:pt>
                <c:pt idx="119">
                  <c:v>44266</c:v>
                </c:pt>
                <c:pt idx="120">
                  <c:v>44265</c:v>
                </c:pt>
                <c:pt idx="121">
                  <c:v>44264</c:v>
                </c:pt>
                <c:pt idx="122">
                  <c:v>44263</c:v>
                </c:pt>
                <c:pt idx="123">
                  <c:v>44260</c:v>
                </c:pt>
                <c:pt idx="124">
                  <c:v>44259</c:v>
                </c:pt>
                <c:pt idx="125">
                  <c:v>44258</c:v>
                </c:pt>
                <c:pt idx="126">
                  <c:v>44257</c:v>
                </c:pt>
                <c:pt idx="127">
                  <c:v>44256</c:v>
                </c:pt>
                <c:pt idx="128">
                  <c:v>44253</c:v>
                </c:pt>
                <c:pt idx="129">
                  <c:v>44252</c:v>
                </c:pt>
                <c:pt idx="130">
                  <c:v>44251</c:v>
                </c:pt>
                <c:pt idx="131">
                  <c:v>44250</c:v>
                </c:pt>
                <c:pt idx="132">
                  <c:v>44249</c:v>
                </c:pt>
                <c:pt idx="133">
                  <c:v>44246</c:v>
                </c:pt>
                <c:pt idx="134">
                  <c:v>44245</c:v>
                </c:pt>
                <c:pt idx="135">
                  <c:v>44244</c:v>
                </c:pt>
                <c:pt idx="136">
                  <c:v>44243</c:v>
                </c:pt>
                <c:pt idx="137">
                  <c:v>44242</c:v>
                </c:pt>
                <c:pt idx="138">
                  <c:v>44239</c:v>
                </c:pt>
                <c:pt idx="139">
                  <c:v>44238</c:v>
                </c:pt>
                <c:pt idx="140">
                  <c:v>44237</c:v>
                </c:pt>
                <c:pt idx="141">
                  <c:v>44236</c:v>
                </c:pt>
                <c:pt idx="142">
                  <c:v>44235</c:v>
                </c:pt>
                <c:pt idx="143">
                  <c:v>44232</c:v>
                </c:pt>
                <c:pt idx="144">
                  <c:v>44231</c:v>
                </c:pt>
                <c:pt idx="145">
                  <c:v>44230</c:v>
                </c:pt>
                <c:pt idx="146">
                  <c:v>44229</c:v>
                </c:pt>
                <c:pt idx="147">
                  <c:v>44228</c:v>
                </c:pt>
                <c:pt idx="148">
                  <c:v>44225</c:v>
                </c:pt>
                <c:pt idx="149">
                  <c:v>44224</c:v>
                </c:pt>
                <c:pt idx="150">
                  <c:v>44223</c:v>
                </c:pt>
                <c:pt idx="151">
                  <c:v>44222</c:v>
                </c:pt>
                <c:pt idx="152">
                  <c:v>44221</c:v>
                </c:pt>
                <c:pt idx="153">
                  <c:v>44218</c:v>
                </c:pt>
                <c:pt idx="154">
                  <c:v>44217</c:v>
                </c:pt>
                <c:pt idx="155">
                  <c:v>44216</c:v>
                </c:pt>
                <c:pt idx="156">
                  <c:v>44215</c:v>
                </c:pt>
                <c:pt idx="157">
                  <c:v>44214</c:v>
                </c:pt>
                <c:pt idx="158">
                  <c:v>44211</c:v>
                </c:pt>
                <c:pt idx="159">
                  <c:v>44210</c:v>
                </c:pt>
                <c:pt idx="160">
                  <c:v>44209</c:v>
                </c:pt>
                <c:pt idx="161">
                  <c:v>44208</c:v>
                </c:pt>
                <c:pt idx="162">
                  <c:v>44207</c:v>
                </c:pt>
                <c:pt idx="163">
                  <c:v>44204</c:v>
                </c:pt>
                <c:pt idx="164">
                  <c:v>44203</c:v>
                </c:pt>
                <c:pt idx="165">
                  <c:v>44202</c:v>
                </c:pt>
                <c:pt idx="166">
                  <c:v>44201</c:v>
                </c:pt>
                <c:pt idx="167">
                  <c:v>44200</c:v>
                </c:pt>
                <c:pt idx="168">
                  <c:v>44196</c:v>
                </c:pt>
                <c:pt idx="169">
                  <c:v>44195</c:v>
                </c:pt>
                <c:pt idx="170">
                  <c:v>44194</c:v>
                </c:pt>
                <c:pt idx="171">
                  <c:v>44193</c:v>
                </c:pt>
                <c:pt idx="172">
                  <c:v>44189</c:v>
                </c:pt>
                <c:pt idx="173">
                  <c:v>44188</c:v>
                </c:pt>
                <c:pt idx="174">
                  <c:v>44187</c:v>
                </c:pt>
                <c:pt idx="175">
                  <c:v>44186</c:v>
                </c:pt>
                <c:pt idx="176">
                  <c:v>44183</c:v>
                </c:pt>
                <c:pt idx="177">
                  <c:v>44182</c:v>
                </c:pt>
                <c:pt idx="178">
                  <c:v>44181</c:v>
                </c:pt>
                <c:pt idx="179">
                  <c:v>44180</c:v>
                </c:pt>
                <c:pt idx="180">
                  <c:v>44179</c:v>
                </c:pt>
                <c:pt idx="181">
                  <c:v>44176</c:v>
                </c:pt>
                <c:pt idx="182">
                  <c:v>44175</c:v>
                </c:pt>
                <c:pt idx="183">
                  <c:v>44174</c:v>
                </c:pt>
                <c:pt idx="184">
                  <c:v>44173</c:v>
                </c:pt>
                <c:pt idx="185">
                  <c:v>44172</c:v>
                </c:pt>
                <c:pt idx="186">
                  <c:v>44169</c:v>
                </c:pt>
                <c:pt idx="187">
                  <c:v>44168</c:v>
                </c:pt>
                <c:pt idx="188">
                  <c:v>44167</c:v>
                </c:pt>
                <c:pt idx="189">
                  <c:v>44166</c:v>
                </c:pt>
                <c:pt idx="190">
                  <c:v>44165</c:v>
                </c:pt>
                <c:pt idx="191">
                  <c:v>44162</c:v>
                </c:pt>
                <c:pt idx="192">
                  <c:v>44161</c:v>
                </c:pt>
              </c:numCache>
            </c:numRef>
          </c:cat>
          <c:val>
            <c:numRef>
              <c:f>'EUROBOND 2030 offline'!$C$31:$C$223</c:f>
              <c:numCache>
                <c:formatCode>#,##0.000</c:formatCode>
                <c:ptCount val="193"/>
                <c:pt idx="0">
                  <c:v>2.5230000000000001</c:v>
                </c:pt>
                <c:pt idx="1">
                  <c:v>2.5609999999999999</c:v>
                </c:pt>
                <c:pt idx="2">
                  <c:v>2.569</c:v>
                </c:pt>
                <c:pt idx="3">
                  <c:v>2.569</c:v>
                </c:pt>
                <c:pt idx="4">
                  <c:v>2.5709999999999997</c:v>
                </c:pt>
                <c:pt idx="5">
                  <c:v>2.5649999999999999</c:v>
                </c:pt>
                <c:pt idx="6">
                  <c:v>2.585</c:v>
                </c:pt>
                <c:pt idx="7">
                  <c:v>2.5760000000000001</c:v>
                </c:pt>
                <c:pt idx="8">
                  <c:v>2.581</c:v>
                </c:pt>
                <c:pt idx="9">
                  <c:v>2.5750000000000002</c:v>
                </c:pt>
                <c:pt idx="10">
                  <c:v>2.5830000000000002</c:v>
                </c:pt>
                <c:pt idx="11">
                  <c:v>2.5750000000000002</c:v>
                </c:pt>
                <c:pt idx="12">
                  <c:v>2.597</c:v>
                </c:pt>
                <c:pt idx="13">
                  <c:v>2.5869999999999997</c:v>
                </c:pt>
                <c:pt idx="14">
                  <c:v>2.5949999999999998</c:v>
                </c:pt>
                <c:pt idx="15">
                  <c:v>2.5920000000000001</c:v>
                </c:pt>
                <c:pt idx="16">
                  <c:v>2.633</c:v>
                </c:pt>
                <c:pt idx="17">
                  <c:v>2.657</c:v>
                </c:pt>
                <c:pt idx="18">
                  <c:v>2.5709999999999997</c:v>
                </c:pt>
                <c:pt idx="19">
                  <c:v>2.6230000000000002</c:v>
                </c:pt>
                <c:pt idx="20">
                  <c:v>2.6349999999999998</c:v>
                </c:pt>
                <c:pt idx="21">
                  <c:v>2.665</c:v>
                </c:pt>
                <c:pt idx="22">
                  <c:v>2.681</c:v>
                </c:pt>
                <c:pt idx="23">
                  <c:v>2.6829999999999998</c:v>
                </c:pt>
                <c:pt idx="24">
                  <c:v>2.6840000000000002</c:v>
                </c:pt>
                <c:pt idx="25">
                  <c:v>2.6840000000000002</c:v>
                </c:pt>
                <c:pt idx="26">
                  <c:v>2.68</c:v>
                </c:pt>
                <c:pt idx="27">
                  <c:v>2.649</c:v>
                </c:pt>
                <c:pt idx="28">
                  <c:v>2.649</c:v>
                </c:pt>
                <c:pt idx="29">
                  <c:v>2.669</c:v>
                </c:pt>
                <c:pt idx="30">
                  <c:v>2.6589999999999998</c:v>
                </c:pt>
                <c:pt idx="31">
                  <c:v>2.6630000000000003</c:v>
                </c:pt>
                <c:pt idx="32">
                  <c:v>2.657</c:v>
                </c:pt>
                <c:pt idx="33">
                  <c:v>2.6819999999999999</c:v>
                </c:pt>
                <c:pt idx="34">
                  <c:v>2.6970000000000001</c:v>
                </c:pt>
                <c:pt idx="35">
                  <c:v>2.702</c:v>
                </c:pt>
                <c:pt idx="36">
                  <c:v>2.7090000000000001</c:v>
                </c:pt>
                <c:pt idx="37">
                  <c:v>2.7229999999999999</c:v>
                </c:pt>
                <c:pt idx="38">
                  <c:v>2.714</c:v>
                </c:pt>
                <c:pt idx="39">
                  <c:v>2.7039999999999997</c:v>
                </c:pt>
                <c:pt idx="40">
                  <c:v>2.7130000000000001</c:v>
                </c:pt>
                <c:pt idx="41">
                  <c:v>2.714</c:v>
                </c:pt>
                <c:pt idx="42">
                  <c:v>2.7250000000000001</c:v>
                </c:pt>
                <c:pt idx="43">
                  <c:v>2.7309999999999999</c:v>
                </c:pt>
                <c:pt idx="44">
                  <c:v>2.7359999999999998</c:v>
                </c:pt>
                <c:pt idx="45">
                  <c:v>2.7450000000000001</c:v>
                </c:pt>
                <c:pt idx="46">
                  <c:v>2.7720000000000002</c:v>
                </c:pt>
                <c:pt idx="47">
                  <c:v>2.7549999999999999</c:v>
                </c:pt>
                <c:pt idx="48">
                  <c:v>2.7549999999999999</c:v>
                </c:pt>
                <c:pt idx="49">
                  <c:v>2.7749999999999999</c:v>
                </c:pt>
                <c:pt idx="50">
                  <c:v>2.7839999999999998</c:v>
                </c:pt>
                <c:pt idx="51">
                  <c:v>2.778</c:v>
                </c:pt>
                <c:pt idx="52">
                  <c:v>2.7709999999999999</c:v>
                </c:pt>
                <c:pt idx="53">
                  <c:v>2.7709999999999999</c:v>
                </c:pt>
                <c:pt idx="54">
                  <c:v>2.7320000000000002</c:v>
                </c:pt>
                <c:pt idx="55">
                  <c:v>2.7170000000000001</c:v>
                </c:pt>
                <c:pt idx="56">
                  <c:v>2.6859999999999999</c:v>
                </c:pt>
                <c:pt idx="57">
                  <c:v>2.6970000000000001</c:v>
                </c:pt>
                <c:pt idx="58">
                  <c:v>2.7549999999999999</c:v>
                </c:pt>
                <c:pt idx="59">
                  <c:v>2.77</c:v>
                </c:pt>
                <c:pt idx="60">
                  <c:v>2.84</c:v>
                </c:pt>
                <c:pt idx="61">
                  <c:v>2.883</c:v>
                </c:pt>
                <c:pt idx="62">
                  <c:v>2.915</c:v>
                </c:pt>
                <c:pt idx="63">
                  <c:v>2.911</c:v>
                </c:pt>
                <c:pt idx="64">
                  <c:v>2.911</c:v>
                </c:pt>
                <c:pt idx="65">
                  <c:v>2.915</c:v>
                </c:pt>
                <c:pt idx="66">
                  <c:v>2.9370000000000003</c:v>
                </c:pt>
                <c:pt idx="67">
                  <c:v>2.9370000000000003</c:v>
                </c:pt>
                <c:pt idx="68">
                  <c:v>2.9409999999999998</c:v>
                </c:pt>
                <c:pt idx="69">
                  <c:v>2.944</c:v>
                </c:pt>
                <c:pt idx="70">
                  <c:v>2.9790000000000001</c:v>
                </c:pt>
                <c:pt idx="71">
                  <c:v>2.9969999999999999</c:v>
                </c:pt>
                <c:pt idx="72">
                  <c:v>3.0289999999999999</c:v>
                </c:pt>
                <c:pt idx="73">
                  <c:v>3.0329999999999999</c:v>
                </c:pt>
                <c:pt idx="74">
                  <c:v>3.0049999999999999</c:v>
                </c:pt>
                <c:pt idx="75">
                  <c:v>2.9699999999999998</c:v>
                </c:pt>
                <c:pt idx="76">
                  <c:v>2.9830000000000001</c:v>
                </c:pt>
                <c:pt idx="77">
                  <c:v>3.0129999999999999</c:v>
                </c:pt>
                <c:pt idx="78">
                  <c:v>2.972</c:v>
                </c:pt>
                <c:pt idx="79">
                  <c:v>2.956</c:v>
                </c:pt>
                <c:pt idx="80">
                  <c:v>2.9409999999999998</c:v>
                </c:pt>
                <c:pt idx="81">
                  <c:v>2.9329999999999998</c:v>
                </c:pt>
                <c:pt idx="82">
                  <c:v>2.9809999999999999</c:v>
                </c:pt>
                <c:pt idx="83">
                  <c:v>3.0310000000000001</c:v>
                </c:pt>
                <c:pt idx="84">
                  <c:v>3.0409999999999999</c:v>
                </c:pt>
                <c:pt idx="85">
                  <c:v>3.0539999999999998</c:v>
                </c:pt>
                <c:pt idx="86">
                  <c:v>3.06</c:v>
                </c:pt>
                <c:pt idx="87">
                  <c:v>3.0510000000000002</c:v>
                </c:pt>
                <c:pt idx="88">
                  <c:v>2.988</c:v>
                </c:pt>
                <c:pt idx="89">
                  <c:v>2.9750000000000001</c:v>
                </c:pt>
                <c:pt idx="90">
                  <c:v>2.9689999999999999</c:v>
                </c:pt>
                <c:pt idx="91">
                  <c:v>2.9649999999999999</c:v>
                </c:pt>
                <c:pt idx="92">
                  <c:v>2.9609999999999999</c:v>
                </c:pt>
                <c:pt idx="93">
                  <c:v>2.9689999999999999</c:v>
                </c:pt>
                <c:pt idx="94">
                  <c:v>2.952</c:v>
                </c:pt>
                <c:pt idx="95">
                  <c:v>2.956</c:v>
                </c:pt>
                <c:pt idx="96">
                  <c:v>2.9470000000000001</c:v>
                </c:pt>
                <c:pt idx="97">
                  <c:v>2.9569999999999999</c:v>
                </c:pt>
                <c:pt idx="98">
                  <c:v>2.9649999999999999</c:v>
                </c:pt>
                <c:pt idx="99">
                  <c:v>2.96</c:v>
                </c:pt>
                <c:pt idx="100">
                  <c:v>2.9580000000000002</c:v>
                </c:pt>
                <c:pt idx="101">
                  <c:v>2.9350000000000001</c:v>
                </c:pt>
                <c:pt idx="102">
                  <c:v>2.9569999999999999</c:v>
                </c:pt>
                <c:pt idx="103">
                  <c:v>2.9859999999999998</c:v>
                </c:pt>
                <c:pt idx="104">
                  <c:v>3.0070000000000001</c:v>
                </c:pt>
                <c:pt idx="105">
                  <c:v>3.01</c:v>
                </c:pt>
                <c:pt idx="106">
                  <c:v>3.0190000000000001</c:v>
                </c:pt>
                <c:pt idx="107">
                  <c:v>2.9939999999999998</c:v>
                </c:pt>
                <c:pt idx="108">
                  <c:v>2.9859999999999998</c:v>
                </c:pt>
                <c:pt idx="109">
                  <c:v>2.9729999999999999</c:v>
                </c:pt>
                <c:pt idx="110">
                  <c:v>2.976</c:v>
                </c:pt>
                <c:pt idx="111">
                  <c:v>2.9790000000000001</c:v>
                </c:pt>
                <c:pt idx="112">
                  <c:v>2.9820000000000002</c:v>
                </c:pt>
                <c:pt idx="113">
                  <c:v>2.9660000000000002</c:v>
                </c:pt>
                <c:pt idx="114">
                  <c:v>2.944</c:v>
                </c:pt>
                <c:pt idx="115">
                  <c:v>2.903</c:v>
                </c:pt>
                <c:pt idx="116">
                  <c:v>2.89</c:v>
                </c:pt>
                <c:pt idx="117">
                  <c:v>2.8970000000000002</c:v>
                </c:pt>
                <c:pt idx="118">
                  <c:v>2.8940000000000001</c:v>
                </c:pt>
                <c:pt idx="119">
                  <c:v>2.8209999999999997</c:v>
                </c:pt>
                <c:pt idx="120">
                  <c:v>2.9580000000000002</c:v>
                </c:pt>
                <c:pt idx="121">
                  <c:v>2.9379999999999997</c:v>
                </c:pt>
                <c:pt idx="122">
                  <c:v>2.9550000000000001</c:v>
                </c:pt>
                <c:pt idx="123">
                  <c:v>2.8719999999999999</c:v>
                </c:pt>
                <c:pt idx="124">
                  <c:v>2.766</c:v>
                </c:pt>
                <c:pt idx="125">
                  <c:v>2.7560000000000002</c:v>
                </c:pt>
                <c:pt idx="126">
                  <c:v>2.7429999999999999</c:v>
                </c:pt>
                <c:pt idx="127">
                  <c:v>2.7439999999999998</c:v>
                </c:pt>
                <c:pt idx="128">
                  <c:v>2.7909999999999999</c:v>
                </c:pt>
                <c:pt idx="129">
                  <c:v>2.714</c:v>
                </c:pt>
                <c:pt idx="130">
                  <c:v>2.6930000000000001</c:v>
                </c:pt>
                <c:pt idx="131">
                  <c:v>2.6509999999999998</c:v>
                </c:pt>
                <c:pt idx="132">
                  <c:v>2.6419999999999999</c:v>
                </c:pt>
                <c:pt idx="133">
                  <c:v>2.5859999999999999</c:v>
                </c:pt>
                <c:pt idx="134">
                  <c:v>2.5680000000000001</c:v>
                </c:pt>
                <c:pt idx="135">
                  <c:v>2.5609999999999999</c:v>
                </c:pt>
                <c:pt idx="136">
                  <c:v>2.5009999999999999</c:v>
                </c:pt>
                <c:pt idx="137">
                  <c:v>2.464</c:v>
                </c:pt>
                <c:pt idx="138">
                  <c:v>2.4249999999999998</c:v>
                </c:pt>
                <c:pt idx="139">
                  <c:v>2.4249999999999998</c:v>
                </c:pt>
                <c:pt idx="140">
                  <c:v>2.42</c:v>
                </c:pt>
                <c:pt idx="141">
                  <c:v>2.4180000000000001</c:v>
                </c:pt>
                <c:pt idx="142">
                  <c:v>2.4</c:v>
                </c:pt>
                <c:pt idx="143">
                  <c:v>2.379</c:v>
                </c:pt>
                <c:pt idx="144">
                  <c:v>2.3919999999999999</c:v>
                </c:pt>
                <c:pt idx="145">
                  <c:v>2.4279999999999999</c:v>
                </c:pt>
                <c:pt idx="146">
                  <c:v>2.4329999999999998</c:v>
                </c:pt>
                <c:pt idx="147">
                  <c:v>2.44</c:v>
                </c:pt>
                <c:pt idx="148">
                  <c:v>2.4489999999999998</c:v>
                </c:pt>
                <c:pt idx="149">
                  <c:v>2.4510000000000001</c:v>
                </c:pt>
                <c:pt idx="150">
                  <c:v>2.468</c:v>
                </c:pt>
                <c:pt idx="151">
                  <c:v>2.4569999999999999</c:v>
                </c:pt>
                <c:pt idx="152">
                  <c:v>2.4580000000000002</c:v>
                </c:pt>
                <c:pt idx="153">
                  <c:v>2.4470000000000001</c:v>
                </c:pt>
                <c:pt idx="154">
                  <c:v>2.4350000000000001</c:v>
                </c:pt>
                <c:pt idx="155">
                  <c:v>2.3929999999999998</c:v>
                </c:pt>
                <c:pt idx="156">
                  <c:v>2.3839999999999999</c:v>
                </c:pt>
                <c:pt idx="157">
                  <c:v>2.3820000000000001</c:v>
                </c:pt>
                <c:pt idx="158">
                  <c:v>2.359</c:v>
                </c:pt>
                <c:pt idx="159">
                  <c:v>2.34</c:v>
                </c:pt>
                <c:pt idx="160">
                  <c:v>2.3439999999999999</c:v>
                </c:pt>
                <c:pt idx="161">
                  <c:v>2.331</c:v>
                </c:pt>
                <c:pt idx="162">
                  <c:v>2.2720000000000002</c:v>
                </c:pt>
                <c:pt idx="163">
                  <c:v>2.2480000000000002</c:v>
                </c:pt>
                <c:pt idx="164">
                  <c:v>2.238</c:v>
                </c:pt>
                <c:pt idx="165">
                  <c:v>2.214</c:v>
                </c:pt>
                <c:pt idx="166">
                  <c:v>2.1619999999999999</c:v>
                </c:pt>
                <c:pt idx="167">
                  <c:v>2.1589999999999998</c:v>
                </c:pt>
                <c:pt idx="168">
                  <c:v>2.1880000000000002</c:v>
                </c:pt>
                <c:pt idx="169">
                  <c:v>2.2080000000000002</c:v>
                </c:pt>
                <c:pt idx="170">
                  <c:v>2.2490000000000001</c:v>
                </c:pt>
                <c:pt idx="171">
                  <c:v>2.2650000000000001</c:v>
                </c:pt>
                <c:pt idx="172">
                  <c:v>2.2610000000000001</c:v>
                </c:pt>
                <c:pt idx="173">
                  <c:v>2.2519999999999998</c:v>
                </c:pt>
                <c:pt idx="174">
                  <c:v>2.2519999999999998</c:v>
                </c:pt>
                <c:pt idx="175">
                  <c:v>2.2599999999999998</c:v>
                </c:pt>
                <c:pt idx="176">
                  <c:v>2.2359999999999998</c:v>
                </c:pt>
                <c:pt idx="177">
                  <c:v>2.2530000000000001</c:v>
                </c:pt>
                <c:pt idx="178">
                  <c:v>2.2999999999999998</c:v>
                </c:pt>
                <c:pt idx="179">
                  <c:v>2.3090000000000002</c:v>
                </c:pt>
                <c:pt idx="180">
                  <c:v>2.3090000000000002</c:v>
                </c:pt>
                <c:pt idx="181">
                  <c:v>2.3260000000000001</c:v>
                </c:pt>
                <c:pt idx="182">
                  <c:v>2.3439999999999999</c:v>
                </c:pt>
                <c:pt idx="183">
                  <c:v>2.3420000000000001</c:v>
                </c:pt>
                <c:pt idx="184">
                  <c:v>2.3250000000000002</c:v>
                </c:pt>
                <c:pt idx="185">
                  <c:v>2.3319999999999999</c:v>
                </c:pt>
                <c:pt idx="186">
                  <c:v>2.3149999999999999</c:v>
                </c:pt>
                <c:pt idx="187">
                  <c:v>2.3149999999999999</c:v>
                </c:pt>
                <c:pt idx="188">
                  <c:v>2.31</c:v>
                </c:pt>
                <c:pt idx="189">
                  <c:v>2.3010000000000002</c:v>
                </c:pt>
                <c:pt idx="190">
                  <c:v>2.2800000000000002</c:v>
                </c:pt>
                <c:pt idx="191">
                  <c:v>2.274</c:v>
                </c:pt>
                <c:pt idx="192">
                  <c:v>2.278</c:v>
                </c:pt>
              </c:numCache>
            </c:numRef>
          </c:val>
          <c:smooth val="0"/>
          <c:extLst>
            <c:ext xmlns:c16="http://schemas.microsoft.com/office/drawing/2014/chart" uri="{C3380CC4-5D6E-409C-BE32-E72D297353CC}">
              <c16:uniqueId val="{00000001-6D8D-487F-AFD2-C41687CCE549}"/>
            </c:ext>
          </c:extLst>
        </c:ser>
        <c:dLbls>
          <c:showLegendKey val="0"/>
          <c:showVal val="0"/>
          <c:showCatName val="0"/>
          <c:showSerName val="0"/>
          <c:showPercent val="0"/>
          <c:showBubbleSize val="0"/>
        </c:dLbls>
        <c:marker val="1"/>
        <c:smooth val="0"/>
        <c:axId val="1258508208"/>
        <c:axId val="1258507664"/>
      </c:lineChart>
      <c:dateAx>
        <c:axId val="1258522352"/>
        <c:scaling>
          <c:orientation val="minMax"/>
          <c:min val="44165"/>
        </c:scaling>
        <c:delete val="0"/>
        <c:axPos val="b"/>
        <c:numFmt formatCode="dd\/mm\/yy" sourceLinked="1"/>
        <c:majorTickMark val="out"/>
        <c:minorTickMark val="none"/>
        <c:tickLblPos val="nextTo"/>
        <c:txPr>
          <a:bodyPr rot="-2700000"/>
          <a:lstStyle/>
          <a:p>
            <a:pPr>
              <a:defRPr sz="700">
                <a:latin typeface="Calibri" panose="020F0502020204030204" pitchFamily="34" charset="0"/>
              </a:defRPr>
            </a:pPr>
            <a:endParaRPr lang="en-US"/>
          </a:p>
        </c:txPr>
        <c:crossAx val="1258515280"/>
        <c:crosses val="autoZero"/>
        <c:auto val="1"/>
        <c:lblOffset val="100"/>
        <c:baseTimeUnit val="days"/>
        <c:majorUnit val="3"/>
        <c:majorTimeUnit val="months"/>
      </c:dateAx>
      <c:valAx>
        <c:axId val="1258515280"/>
        <c:scaling>
          <c:orientation val="minMax"/>
          <c:max val="100"/>
          <c:min val="90"/>
        </c:scaling>
        <c:delete val="0"/>
        <c:axPos val="l"/>
        <c:numFmt formatCode="#,##0\ [$$-409]" sourceLinked="0"/>
        <c:majorTickMark val="out"/>
        <c:minorTickMark val="none"/>
        <c:tickLblPos val="nextTo"/>
        <c:txPr>
          <a:bodyPr/>
          <a:lstStyle/>
          <a:p>
            <a:pPr>
              <a:defRPr sz="800">
                <a:latin typeface="+mn-lt"/>
              </a:defRPr>
            </a:pPr>
            <a:endParaRPr lang="en-US"/>
          </a:p>
        </c:txPr>
        <c:crossAx val="1258522352"/>
        <c:crosses val="autoZero"/>
        <c:crossBetween val="between"/>
        <c:majorUnit val="2"/>
      </c:valAx>
      <c:valAx>
        <c:axId val="1258507664"/>
        <c:scaling>
          <c:orientation val="minMax"/>
          <c:max val="4"/>
          <c:min val="1"/>
        </c:scaling>
        <c:delete val="0"/>
        <c:axPos val="r"/>
        <c:numFmt formatCode="#,##0.00" sourceLinked="0"/>
        <c:majorTickMark val="out"/>
        <c:minorTickMark val="none"/>
        <c:tickLblPos val="nextTo"/>
        <c:txPr>
          <a:bodyPr/>
          <a:lstStyle/>
          <a:p>
            <a:pPr>
              <a:defRPr sz="800">
                <a:latin typeface="Calibri" panose="020F0502020204030204" pitchFamily="34" charset="0"/>
              </a:defRPr>
            </a:pPr>
            <a:endParaRPr lang="en-US"/>
          </a:p>
        </c:txPr>
        <c:crossAx val="1258508208"/>
        <c:crosses val="max"/>
        <c:crossBetween val="between"/>
        <c:majorUnit val="0.30000000000000032"/>
      </c:valAx>
      <c:dateAx>
        <c:axId val="1258508208"/>
        <c:scaling>
          <c:orientation val="minMax"/>
        </c:scaling>
        <c:delete val="1"/>
        <c:axPos val="b"/>
        <c:numFmt formatCode="dd\/mm\/yy" sourceLinked="1"/>
        <c:majorTickMark val="out"/>
        <c:minorTickMark val="none"/>
        <c:tickLblPos val="none"/>
        <c:crossAx val="1258507664"/>
        <c:crosses val="autoZero"/>
        <c:auto val="1"/>
        <c:lblOffset val="100"/>
        <c:baseTimeUnit val="days"/>
      </c:dateAx>
    </c:plotArea>
    <c:legend>
      <c:legendPos val="r"/>
      <c:layout>
        <c:manualLayout>
          <c:xMode val="edge"/>
          <c:yMode val="edge"/>
          <c:x val="4.0404040404040407E-2"/>
          <c:y val="0.90127536257299679"/>
          <c:w val="0.9281705948372615"/>
          <c:h val="9.8421689493713077E-2"/>
        </c:manualLayout>
      </c:layout>
      <c:overlay val="0"/>
      <c:txPr>
        <a:bodyPr/>
        <a:lstStyle/>
        <a:p>
          <a:pPr>
            <a:defRPr sz="700">
              <a:latin typeface="Calibri" panose="020F0502020204030204" pitchFamily="34" charset="0"/>
            </a:defRPr>
          </a:pPr>
          <a:endParaRPr lang="en-US"/>
        </a:p>
      </c:txPr>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en-US"/>
    </a:p>
  </c:txPr>
  <c:externalData r:id="rId1">
    <c:autoUpdate val="0"/>
  </c:externalData>
</c:chartSpace>
</file>

<file path=word/charts/chart7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1384884077231522E-2"/>
          <c:y val="0.10592701089671445"/>
          <c:w val="0.80728885257806826"/>
          <c:h val="0.6924024691358025"/>
        </c:manualLayout>
      </c:layout>
      <c:areaChart>
        <c:grouping val="standard"/>
        <c:varyColors val="0"/>
        <c:ser>
          <c:idx val="0"/>
          <c:order val="0"/>
          <c:tx>
            <c:strRef>
              <c:f>'[Chart in Microsoft Word]EUROBOND 2033 offline'!$B$4</c:f>
              <c:strCache>
                <c:ptCount val="1"/>
                <c:pt idx="0">
                  <c:v>Цена на затварању</c:v>
                </c:pt>
              </c:strCache>
            </c:strRef>
          </c:tx>
          <c:spPr>
            <a:ln w="25400">
              <a:noFill/>
            </a:ln>
          </c:spPr>
          <c:cat>
            <c:numRef>
              <c:f>'[Chart in Microsoft Word]EUROBOND 2033 offline'!$A$31:$A$160</c:f>
              <c:numCache>
                <c:formatCode>dd\/mm\/yy</c:formatCode>
                <c:ptCount val="130"/>
                <c:pt idx="0">
                  <c:v>44439</c:v>
                </c:pt>
                <c:pt idx="1">
                  <c:v>44438</c:v>
                </c:pt>
                <c:pt idx="2">
                  <c:v>44435</c:v>
                </c:pt>
                <c:pt idx="3">
                  <c:v>44434</c:v>
                </c:pt>
                <c:pt idx="4">
                  <c:v>44433</c:v>
                </c:pt>
                <c:pt idx="5">
                  <c:v>44432</c:v>
                </c:pt>
                <c:pt idx="6">
                  <c:v>44431</c:v>
                </c:pt>
                <c:pt idx="7">
                  <c:v>44428</c:v>
                </c:pt>
                <c:pt idx="8">
                  <c:v>44427</c:v>
                </c:pt>
                <c:pt idx="9">
                  <c:v>44426</c:v>
                </c:pt>
                <c:pt idx="10">
                  <c:v>44425</c:v>
                </c:pt>
                <c:pt idx="11">
                  <c:v>44424</c:v>
                </c:pt>
                <c:pt idx="12">
                  <c:v>44421</c:v>
                </c:pt>
                <c:pt idx="13">
                  <c:v>44420</c:v>
                </c:pt>
                <c:pt idx="14">
                  <c:v>44419</c:v>
                </c:pt>
                <c:pt idx="15">
                  <c:v>44418</c:v>
                </c:pt>
                <c:pt idx="16">
                  <c:v>44417</c:v>
                </c:pt>
                <c:pt idx="17">
                  <c:v>44414</c:v>
                </c:pt>
                <c:pt idx="18">
                  <c:v>44413</c:v>
                </c:pt>
                <c:pt idx="19">
                  <c:v>44412</c:v>
                </c:pt>
                <c:pt idx="20">
                  <c:v>44411</c:v>
                </c:pt>
                <c:pt idx="21">
                  <c:v>44410</c:v>
                </c:pt>
                <c:pt idx="22">
                  <c:v>44407</c:v>
                </c:pt>
                <c:pt idx="23">
                  <c:v>44406</c:v>
                </c:pt>
                <c:pt idx="24">
                  <c:v>44405</c:v>
                </c:pt>
                <c:pt idx="25">
                  <c:v>44404</c:v>
                </c:pt>
                <c:pt idx="26">
                  <c:v>44403</c:v>
                </c:pt>
                <c:pt idx="27">
                  <c:v>44400</c:v>
                </c:pt>
                <c:pt idx="28">
                  <c:v>44399</c:v>
                </c:pt>
                <c:pt idx="29">
                  <c:v>44398</c:v>
                </c:pt>
                <c:pt idx="30">
                  <c:v>44397</c:v>
                </c:pt>
                <c:pt idx="31">
                  <c:v>44396</c:v>
                </c:pt>
                <c:pt idx="32">
                  <c:v>44393</c:v>
                </c:pt>
                <c:pt idx="33">
                  <c:v>44392</c:v>
                </c:pt>
                <c:pt idx="34">
                  <c:v>44391</c:v>
                </c:pt>
                <c:pt idx="35">
                  <c:v>44390</c:v>
                </c:pt>
                <c:pt idx="36">
                  <c:v>44389</c:v>
                </c:pt>
                <c:pt idx="37">
                  <c:v>44386</c:v>
                </c:pt>
                <c:pt idx="38">
                  <c:v>44385</c:v>
                </c:pt>
                <c:pt idx="39">
                  <c:v>44384</c:v>
                </c:pt>
                <c:pt idx="40">
                  <c:v>44383</c:v>
                </c:pt>
                <c:pt idx="41">
                  <c:v>44382</c:v>
                </c:pt>
                <c:pt idx="42">
                  <c:v>44379</c:v>
                </c:pt>
                <c:pt idx="43">
                  <c:v>44378</c:v>
                </c:pt>
                <c:pt idx="44">
                  <c:v>44377</c:v>
                </c:pt>
                <c:pt idx="45">
                  <c:v>44376</c:v>
                </c:pt>
                <c:pt idx="46">
                  <c:v>44375</c:v>
                </c:pt>
                <c:pt idx="47">
                  <c:v>44372</c:v>
                </c:pt>
                <c:pt idx="48">
                  <c:v>44371</c:v>
                </c:pt>
                <c:pt idx="49">
                  <c:v>44370</c:v>
                </c:pt>
                <c:pt idx="50">
                  <c:v>44369</c:v>
                </c:pt>
                <c:pt idx="51">
                  <c:v>44368</c:v>
                </c:pt>
                <c:pt idx="52">
                  <c:v>44365</c:v>
                </c:pt>
                <c:pt idx="53">
                  <c:v>44364</c:v>
                </c:pt>
                <c:pt idx="54">
                  <c:v>44363</c:v>
                </c:pt>
                <c:pt idx="55">
                  <c:v>44362</c:v>
                </c:pt>
                <c:pt idx="56">
                  <c:v>44361</c:v>
                </c:pt>
                <c:pt idx="57">
                  <c:v>44358</c:v>
                </c:pt>
                <c:pt idx="58">
                  <c:v>44357</c:v>
                </c:pt>
                <c:pt idx="59">
                  <c:v>44356</c:v>
                </c:pt>
                <c:pt idx="60">
                  <c:v>44355</c:v>
                </c:pt>
                <c:pt idx="61">
                  <c:v>44354</c:v>
                </c:pt>
                <c:pt idx="62">
                  <c:v>44351</c:v>
                </c:pt>
                <c:pt idx="63">
                  <c:v>44350</c:v>
                </c:pt>
                <c:pt idx="64">
                  <c:v>44349</c:v>
                </c:pt>
                <c:pt idx="65">
                  <c:v>44348</c:v>
                </c:pt>
                <c:pt idx="66">
                  <c:v>44347</c:v>
                </c:pt>
                <c:pt idx="67">
                  <c:v>44344</c:v>
                </c:pt>
                <c:pt idx="68">
                  <c:v>44343</c:v>
                </c:pt>
                <c:pt idx="69">
                  <c:v>44342</c:v>
                </c:pt>
                <c:pt idx="70">
                  <c:v>44341</c:v>
                </c:pt>
                <c:pt idx="71">
                  <c:v>44340</c:v>
                </c:pt>
                <c:pt idx="72">
                  <c:v>44337</c:v>
                </c:pt>
                <c:pt idx="73">
                  <c:v>44336</c:v>
                </c:pt>
                <c:pt idx="74">
                  <c:v>44335</c:v>
                </c:pt>
                <c:pt idx="75">
                  <c:v>44334</c:v>
                </c:pt>
                <c:pt idx="76">
                  <c:v>44333</c:v>
                </c:pt>
                <c:pt idx="77">
                  <c:v>44330</c:v>
                </c:pt>
                <c:pt idx="78">
                  <c:v>44329</c:v>
                </c:pt>
                <c:pt idx="79">
                  <c:v>44328</c:v>
                </c:pt>
                <c:pt idx="80">
                  <c:v>44327</c:v>
                </c:pt>
                <c:pt idx="81">
                  <c:v>44326</c:v>
                </c:pt>
                <c:pt idx="82">
                  <c:v>44323</c:v>
                </c:pt>
                <c:pt idx="83">
                  <c:v>44322</c:v>
                </c:pt>
                <c:pt idx="84">
                  <c:v>44321</c:v>
                </c:pt>
                <c:pt idx="85">
                  <c:v>44320</c:v>
                </c:pt>
                <c:pt idx="86">
                  <c:v>44319</c:v>
                </c:pt>
                <c:pt idx="87">
                  <c:v>44316</c:v>
                </c:pt>
                <c:pt idx="88">
                  <c:v>44315</c:v>
                </c:pt>
                <c:pt idx="89">
                  <c:v>44314</c:v>
                </c:pt>
                <c:pt idx="90">
                  <c:v>44313</c:v>
                </c:pt>
                <c:pt idx="91">
                  <c:v>44312</c:v>
                </c:pt>
                <c:pt idx="92">
                  <c:v>44309</c:v>
                </c:pt>
                <c:pt idx="93">
                  <c:v>44308</c:v>
                </c:pt>
                <c:pt idx="94">
                  <c:v>44307</c:v>
                </c:pt>
                <c:pt idx="95">
                  <c:v>44306</c:v>
                </c:pt>
                <c:pt idx="96">
                  <c:v>44305</c:v>
                </c:pt>
                <c:pt idx="97">
                  <c:v>44302</c:v>
                </c:pt>
                <c:pt idx="98">
                  <c:v>44301</c:v>
                </c:pt>
                <c:pt idx="99">
                  <c:v>44300</c:v>
                </c:pt>
                <c:pt idx="100">
                  <c:v>44299</c:v>
                </c:pt>
                <c:pt idx="101">
                  <c:v>44298</c:v>
                </c:pt>
                <c:pt idx="102">
                  <c:v>44295</c:v>
                </c:pt>
                <c:pt idx="103">
                  <c:v>44294</c:v>
                </c:pt>
                <c:pt idx="104">
                  <c:v>44293</c:v>
                </c:pt>
                <c:pt idx="105">
                  <c:v>44292</c:v>
                </c:pt>
                <c:pt idx="106">
                  <c:v>44287</c:v>
                </c:pt>
                <c:pt idx="107">
                  <c:v>44286</c:v>
                </c:pt>
                <c:pt idx="108">
                  <c:v>44285</c:v>
                </c:pt>
                <c:pt idx="109">
                  <c:v>44284</c:v>
                </c:pt>
                <c:pt idx="110">
                  <c:v>44281</c:v>
                </c:pt>
                <c:pt idx="111">
                  <c:v>44280</c:v>
                </c:pt>
                <c:pt idx="112">
                  <c:v>44279</c:v>
                </c:pt>
                <c:pt idx="113">
                  <c:v>44278</c:v>
                </c:pt>
                <c:pt idx="114">
                  <c:v>44277</c:v>
                </c:pt>
                <c:pt idx="115">
                  <c:v>44274</c:v>
                </c:pt>
                <c:pt idx="116">
                  <c:v>44273</c:v>
                </c:pt>
                <c:pt idx="117">
                  <c:v>44272</c:v>
                </c:pt>
                <c:pt idx="118">
                  <c:v>44271</c:v>
                </c:pt>
                <c:pt idx="119">
                  <c:v>44270</c:v>
                </c:pt>
                <c:pt idx="120">
                  <c:v>44267</c:v>
                </c:pt>
                <c:pt idx="121">
                  <c:v>44266</c:v>
                </c:pt>
                <c:pt idx="122">
                  <c:v>44265</c:v>
                </c:pt>
                <c:pt idx="123">
                  <c:v>44264</c:v>
                </c:pt>
                <c:pt idx="124">
                  <c:v>44263</c:v>
                </c:pt>
                <c:pt idx="125">
                  <c:v>44260</c:v>
                </c:pt>
                <c:pt idx="126">
                  <c:v>44259</c:v>
                </c:pt>
                <c:pt idx="127">
                  <c:v>44258</c:v>
                </c:pt>
                <c:pt idx="128">
                  <c:v>44257</c:v>
                </c:pt>
                <c:pt idx="129">
                  <c:v>44256</c:v>
                </c:pt>
              </c:numCache>
            </c:numRef>
          </c:cat>
          <c:val>
            <c:numRef>
              <c:f>'[Chart in Microsoft Word]EUROBOND 2033 offline'!$B$31:$B$160</c:f>
              <c:numCache>
                <c:formatCode>#,##0.000</c:formatCode>
                <c:ptCount val="130"/>
                <c:pt idx="0">
                  <c:v>99.331000000000003</c:v>
                </c:pt>
                <c:pt idx="1">
                  <c:v>99.269000000000005</c:v>
                </c:pt>
                <c:pt idx="2">
                  <c:v>99.227999999999994</c:v>
                </c:pt>
                <c:pt idx="3">
                  <c:v>99.179000000000002</c:v>
                </c:pt>
                <c:pt idx="4">
                  <c:v>99.293999999999997</c:v>
                </c:pt>
                <c:pt idx="5">
                  <c:v>99.375</c:v>
                </c:pt>
                <c:pt idx="6">
                  <c:v>99.283000000000001</c:v>
                </c:pt>
                <c:pt idx="7">
                  <c:v>99.284999999999997</c:v>
                </c:pt>
                <c:pt idx="8">
                  <c:v>99.268000000000001</c:v>
                </c:pt>
                <c:pt idx="9">
                  <c:v>99.254000000000005</c:v>
                </c:pt>
                <c:pt idx="10">
                  <c:v>99.233000000000004</c:v>
                </c:pt>
                <c:pt idx="11">
                  <c:v>99.222999999999999</c:v>
                </c:pt>
                <c:pt idx="12">
                  <c:v>99.153999999999996</c:v>
                </c:pt>
                <c:pt idx="13">
                  <c:v>99.143000000000001</c:v>
                </c:pt>
                <c:pt idx="14">
                  <c:v>99.131</c:v>
                </c:pt>
                <c:pt idx="15">
                  <c:v>99.188000000000002</c:v>
                </c:pt>
                <c:pt idx="16">
                  <c:v>99.123999999999995</c:v>
                </c:pt>
                <c:pt idx="17">
                  <c:v>99.146000000000001</c:v>
                </c:pt>
                <c:pt idx="18">
                  <c:v>99.341999999999999</c:v>
                </c:pt>
                <c:pt idx="19">
                  <c:v>99.100999999999999</c:v>
                </c:pt>
                <c:pt idx="20">
                  <c:v>98.938000000000002</c:v>
                </c:pt>
                <c:pt idx="21">
                  <c:v>98.677999999999997</c:v>
                </c:pt>
                <c:pt idx="22">
                  <c:v>98.605000000000004</c:v>
                </c:pt>
                <c:pt idx="23">
                  <c:v>98.572999999999993</c:v>
                </c:pt>
                <c:pt idx="24">
                  <c:v>98.501000000000005</c:v>
                </c:pt>
                <c:pt idx="25">
                  <c:v>98.510999999999996</c:v>
                </c:pt>
                <c:pt idx="26">
                  <c:v>98.442999999999998</c:v>
                </c:pt>
                <c:pt idx="27">
                  <c:v>98.387</c:v>
                </c:pt>
                <c:pt idx="28">
                  <c:v>98.350999999999999</c:v>
                </c:pt>
                <c:pt idx="29">
                  <c:v>98.293999999999997</c:v>
                </c:pt>
                <c:pt idx="30">
                  <c:v>98.269000000000005</c:v>
                </c:pt>
                <c:pt idx="31">
                  <c:v>98.236999999999995</c:v>
                </c:pt>
                <c:pt idx="32">
                  <c:v>98.242999999999995</c:v>
                </c:pt>
                <c:pt idx="33">
                  <c:v>98.188999999999993</c:v>
                </c:pt>
                <c:pt idx="34">
                  <c:v>98.06</c:v>
                </c:pt>
                <c:pt idx="35">
                  <c:v>98.082999999999998</c:v>
                </c:pt>
                <c:pt idx="36">
                  <c:v>98.076999999999998</c:v>
                </c:pt>
                <c:pt idx="37">
                  <c:v>98.061999999999998</c:v>
                </c:pt>
                <c:pt idx="38">
                  <c:v>98.093999999999994</c:v>
                </c:pt>
                <c:pt idx="39">
                  <c:v>98.066999999999993</c:v>
                </c:pt>
                <c:pt idx="40">
                  <c:v>98.034999999999997</c:v>
                </c:pt>
                <c:pt idx="41">
                  <c:v>98.094999999999999</c:v>
                </c:pt>
                <c:pt idx="42">
                  <c:v>98.097999999999999</c:v>
                </c:pt>
                <c:pt idx="43">
                  <c:v>98.094999999999999</c:v>
                </c:pt>
                <c:pt idx="44">
                  <c:v>98.100999999999999</c:v>
                </c:pt>
                <c:pt idx="45">
                  <c:v>97.984999999999999</c:v>
                </c:pt>
                <c:pt idx="46">
                  <c:v>97.950999999999993</c:v>
                </c:pt>
                <c:pt idx="47">
                  <c:v>97.950999999999993</c:v>
                </c:pt>
                <c:pt idx="48">
                  <c:v>97.91</c:v>
                </c:pt>
                <c:pt idx="49">
                  <c:v>97.847999999999999</c:v>
                </c:pt>
                <c:pt idx="50">
                  <c:v>97.662999999999997</c:v>
                </c:pt>
                <c:pt idx="51">
                  <c:v>97.802999999999997</c:v>
                </c:pt>
                <c:pt idx="52">
                  <c:v>97.887</c:v>
                </c:pt>
                <c:pt idx="53">
                  <c:v>97.819000000000003</c:v>
                </c:pt>
                <c:pt idx="54">
                  <c:v>98.025000000000006</c:v>
                </c:pt>
                <c:pt idx="55">
                  <c:v>97.980999999999995</c:v>
                </c:pt>
                <c:pt idx="56">
                  <c:v>98.123000000000005</c:v>
                </c:pt>
                <c:pt idx="57">
                  <c:v>98.06</c:v>
                </c:pt>
                <c:pt idx="58">
                  <c:v>97.802999999999997</c:v>
                </c:pt>
                <c:pt idx="59">
                  <c:v>97.692999999999998</c:v>
                </c:pt>
                <c:pt idx="60">
                  <c:v>97.388999999999996</c:v>
                </c:pt>
                <c:pt idx="61">
                  <c:v>97.046999999999997</c:v>
                </c:pt>
                <c:pt idx="62">
                  <c:v>96.944000000000003</c:v>
                </c:pt>
                <c:pt idx="63">
                  <c:v>96.906999999999996</c:v>
                </c:pt>
                <c:pt idx="64">
                  <c:v>96.861999999999995</c:v>
                </c:pt>
                <c:pt idx="65">
                  <c:v>96.781999999999996</c:v>
                </c:pt>
                <c:pt idx="66">
                  <c:v>96.703000000000003</c:v>
                </c:pt>
                <c:pt idx="67">
                  <c:v>96.716999999999999</c:v>
                </c:pt>
                <c:pt idx="68">
                  <c:v>96.635999999999996</c:v>
                </c:pt>
                <c:pt idx="69">
                  <c:v>96.447000000000003</c:v>
                </c:pt>
                <c:pt idx="70">
                  <c:v>96.293000000000006</c:v>
                </c:pt>
                <c:pt idx="71">
                  <c:v>96.230999999999995</c:v>
                </c:pt>
                <c:pt idx="72">
                  <c:v>96.122</c:v>
                </c:pt>
                <c:pt idx="73">
                  <c:v>95.927000000000007</c:v>
                </c:pt>
                <c:pt idx="74">
                  <c:v>95.921000000000006</c:v>
                </c:pt>
                <c:pt idx="75">
                  <c:v>96.177000000000007</c:v>
                </c:pt>
                <c:pt idx="76">
                  <c:v>96.489000000000004</c:v>
                </c:pt>
                <c:pt idx="77">
                  <c:v>96.57</c:v>
                </c:pt>
                <c:pt idx="78">
                  <c:v>96.516999999999996</c:v>
                </c:pt>
                <c:pt idx="79">
                  <c:v>96.774000000000001</c:v>
                </c:pt>
                <c:pt idx="80">
                  <c:v>97.090999999999994</c:v>
                </c:pt>
                <c:pt idx="81">
                  <c:v>97.245000000000005</c:v>
                </c:pt>
                <c:pt idx="82">
                  <c:v>97.141999999999996</c:v>
                </c:pt>
                <c:pt idx="83">
                  <c:v>96.974999999999994</c:v>
                </c:pt>
                <c:pt idx="84">
                  <c:v>96.688000000000002</c:v>
                </c:pt>
                <c:pt idx="85">
                  <c:v>96.484999999999999</c:v>
                </c:pt>
                <c:pt idx="86">
                  <c:v>96.555999999999997</c:v>
                </c:pt>
                <c:pt idx="87">
                  <c:v>96.522000000000006</c:v>
                </c:pt>
                <c:pt idx="88">
                  <c:v>96.569000000000003</c:v>
                </c:pt>
                <c:pt idx="89">
                  <c:v>96.731999999999999</c:v>
                </c:pt>
                <c:pt idx="90">
                  <c:v>97.203999999999994</c:v>
                </c:pt>
                <c:pt idx="91">
                  <c:v>97.353999999999999</c:v>
                </c:pt>
                <c:pt idx="92">
                  <c:v>97.459000000000003</c:v>
                </c:pt>
                <c:pt idx="93">
                  <c:v>97.483000000000004</c:v>
                </c:pt>
                <c:pt idx="94">
                  <c:v>97.531000000000006</c:v>
                </c:pt>
                <c:pt idx="95">
                  <c:v>97.57</c:v>
                </c:pt>
                <c:pt idx="96">
                  <c:v>97.751999999999995</c:v>
                </c:pt>
                <c:pt idx="97">
                  <c:v>97.706000000000003</c:v>
                </c:pt>
                <c:pt idx="98">
                  <c:v>97.712999999999994</c:v>
                </c:pt>
                <c:pt idx="99">
                  <c:v>97.637</c:v>
                </c:pt>
                <c:pt idx="100">
                  <c:v>97.613</c:v>
                </c:pt>
                <c:pt idx="101">
                  <c:v>97.665000000000006</c:v>
                </c:pt>
                <c:pt idx="102">
                  <c:v>97.613</c:v>
                </c:pt>
                <c:pt idx="103">
                  <c:v>97.709000000000003</c:v>
                </c:pt>
                <c:pt idx="104">
                  <c:v>97.635999999999996</c:v>
                </c:pt>
                <c:pt idx="105">
                  <c:v>97.536000000000001</c:v>
                </c:pt>
                <c:pt idx="106">
                  <c:v>97.447999999999993</c:v>
                </c:pt>
                <c:pt idx="107">
                  <c:v>97.201999999999998</c:v>
                </c:pt>
                <c:pt idx="108">
                  <c:v>97.168999999999997</c:v>
                </c:pt>
                <c:pt idx="109">
                  <c:v>97.317999999999998</c:v>
                </c:pt>
                <c:pt idx="110">
                  <c:v>97.35</c:v>
                </c:pt>
                <c:pt idx="111">
                  <c:v>97.391999999999996</c:v>
                </c:pt>
                <c:pt idx="112">
                  <c:v>97.382999999999996</c:v>
                </c:pt>
                <c:pt idx="113">
                  <c:v>97.331999999999994</c:v>
                </c:pt>
                <c:pt idx="114">
                  <c:v>97.287999999999997</c:v>
                </c:pt>
                <c:pt idx="115">
                  <c:v>97.266999999999996</c:v>
                </c:pt>
                <c:pt idx="116">
                  <c:v>97.311999999999998</c:v>
                </c:pt>
                <c:pt idx="117">
                  <c:v>97.498000000000005</c:v>
                </c:pt>
                <c:pt idx="118">
                  <c:v>97.619</c:v>
                </c:pt>
                <c:pt idx="119">
                  <c:v>97.429000000000002</c:v>
                </c:pt>
                <c:pt idx="120">
                  <c:v>97.281000000000006</c:v>
                </c:pt>
                <c:pt idx="121">
                  <c:v>97.484999999999999</c:v>
                </c:pt>
                <c:pt idx="122">
                  <c:v>96.765000000000001</c:v>
                </c:pt>
                <c:pt idx="123">
                  <c:v>96.650999999999996</c:v>
                </c:pt>
                <c:pt idx="124">
                  <c:v>96.552999999999997</c:v>
                </c:pt>
                <c:pt idx="125">
                  <c:v>96.938000000000002</c:v>
                </c:pt>
                <c:pt idx="126">
                  <c:v>97.224999999999994</c:v>
                </c:pt>
                <c:pt idx="127">
                  <c:v>97.382999999999996</c:v>
                </c:pt>
                <c:pt idx="128">
                  <c:v>97.575000000000003</c:v>
                </c:pt>
                <c:pt idx="129">
                  <c:v>97.358000000000004</c:v>
                </c:pt>
              </c:numCache>
            </c:numRef>
          </c:val>
          <c:extLst>
            <c:ext xmlns:c16="http://schemas.microsoft.com/office/drawing/2014/chart" uri="{C3380CC4-5D6E-409C-BE32-E72D297353CC}">
              <c16:uniqueId val="{00000000-0461-40CE-B09F-3C973AE2B8E2}"/>
            </c:ext>
          </c:extLst>
        </c:ser>
        <c:dLbls>
          <c:showLegendKey val="0"/>
          <c:showVal val="0"/>
          <c:showCatName val="0"/>
          <c:showSerName val="0"/>
          <c:showPercent val="0"/>
          <c:showBubbleSize val="0"/>
        </c:dLbls>
        <c:axId val="1258522352"/>
        <c:axId val="1258515280"/>
      </c:areaChart>
      <c:lineChart>
        <c:grouping val="standard"/>
        <c:varyColors val="0"/>
        <c:ser>
          <c:idx val="1"/>
          <c:order val="1"/>
          <c:tx>
            <c:strRef>
              <c:f>'[Chart in Microsoft Word]EUROBOND 2033 offline'!$C$4</c:f>
              <c:strCache>
                <c:ptCount val="1"/>
                <c:pt idx="0">
                  <c:v>Средњи принос до доспећа</c:v>
                </c:pt>
              </c:strCache>
            </c:strRef>
          </c:tx>
          <c:marker>
            <c:symbol val="none"/>
          </c:marker>
          <c:cat>
            <c:numRef>
              <c:f>'[Chart in Microsoft Word]EUROBOND 2033 offline'!$A$31:$A$160</c:f>
              <c:numCache>
                <c:formatCode>dd\/mm\/yy</c:formatCode>
                <c:ptCount val="130"/>
                <c:pt idx="0">
                  <c:v>44439</c:v>
                </c:pt>
                <c:pt idx="1">
                  <c:v>44438</c:v>
                </c:pt>
                <c:pt idx="2">
                  <c:v>44435</c:v>
                </c:pt>
                <c:pt idx="3">
                  <c:v>44434</c:v>
                </c:pt>
                <c:pt idx="4">
                  <c:v>44433</c:v>
                </c:pt>
                <c:pt idx="5">
                  <c:v>44432</c:v>
                </c:pt>
                <c:pt idx="6">
                  <c:v>44431</c:v>
                </c:pt>
                <c:pt idx="7">
                  <c:v>44428</c:v>
                </c:pt>
                <c:pt idx="8">
                  <c:v>44427</c:v>
                </c:pt>
                <c:pt idx="9">
                  <c:v>44426</c:v>
                </c:pt>
                <c:pt idx="10">
                  <c:v>44425</c:v>
                </c:pt>
                <c:pt idx="11">
                  <c:v>44424</c:v>
                </c:pt>
                <c:pt idx="12">
                  <c:v>44421</c:v>
                </c:pt>
                <c:pt idx="13">
                  <c:v>44420</c:v>
                </c:pt>
                <c:pt idx="14">
                  <c:v>44419</c:v>
                </c:pt>
                <c:pt idx="15">
                  <c:v>44418</c:v>
                </c:pt>
                <c:pt idx="16">
                  <c:v>44417</c:v>
                </c:pt>
                <c:pt idx="17">
                  <c:v>44414</c:v>
                </c:pt>
                <c:pt idx="18">
                  <c:v>44413</c:v>
                </c:pt>
                <c:pt idx="19">
                  <c:v>44412</c:v>
                </c:pt>
                <c:pt idx="20">
                  <c:v>44411</c:v>
                </c:pt>
                <c:pt idx="21">
                  <c:v>44410</c:v>
                </c:pt>
                <c:pt idx="22">
                  <c:v>44407</c:v>
                </c:pt>
                <c:pt idx="23">
                  <c:v>44406</c:v>
                </c:pt>
                <c:pt idx="24">
                  <c:v>44405</c:v>
                </c:pt>
                <c:pt idx="25">
                  <c:v>44404</c:v>
                </c:pt>
                <c:pt idx="26">
                  <c:v>44403</c:v>
                </c:pt>
                <c:pt idx="27">
                  <c:v>44400</c:v>
                </c:pt>
                <c:pt idx="28">
                  <c:v>44399</c:v>
                </c:pt>
                <c:pt idx="29">
                  <c:v>44398</c:v>
                </c:pt>
                <c:pt idx="30">
                  <c:v>44397</c:v>
                </c:pt>
                <c:pt idx="31">
                  <c:v>44396</c:v>
                </c:pt>
                <c:pt idx="32">
                  <c:v>44393</c:v>
                </c:pt>
                <c:pt idx="33">
                  <c:v>44392</c:v>
                </c:pt>
                <c:pt idx="34">
                  <c:v>44391</c:v>
                </c:pt>
                <c:pt idx="35">
                  <c:v>44390</c:v>
                </c:pt>
                <c:pt idx="36">
                  <c:v>44389</c:v>
                </c:pt>
                <c:pt idx="37">
                  <c:v>44386</c:v>
                </c:pt>
                <c:pt idx="38">
                  <c:v>44385</c:v>
                </c:pt>
                <c:pt idx="39">
                  <c:v>44384</c:v>
                </c:pt>
                <c:pt idx="40">
                  <c:v>44383</c:v>
                </c:pt>
                <c:pt idx="41">
                  <c:v>44382</c:v>
                </c:pt>
                <c:pt idx="42">
                  <c:v>44379</c:v>
                </c:pt>
                <c:pt idx="43">
                  <c:v>44378</c:v>
                </c:pt>
                <c:pt idx="44">
                  <c:v>44377</c:v>
                </c:pt>
                <c:pt idx="45">
                  <c:v>44376</c:v>
                </c:pt>
                <c:pt idx="46">
                  <c:v>44375</c:v>
                </c:pt>
                <c:pt idx="47">
                  <c:v>44372</c:v>
                </c:pt>
                <c:pt idx="48">
                  <c:v>44371</c:v>
                </c:pt>
                <c:pt idx="49">
                  <c:v>44370</c:v>
                </c:pt>
                <c:pt idx="50">
                  <c:v>44369</c:v>
                </c:pt>
                <c:pt idx="51">
                  <c:v>44368</c:v>
                </c:pt>
                <c:pt idx="52">
                  <c:v>44365</c:v>
                </c:pt>
                <c:pt idx="53">
                  <c:v>44364</c:v>
                </c:pt>
                <c:pt idx="54">
                  <c:v>44363</c:v>
                </c:pt>
                <c:pt idx="55">
                  <c:v>44362</c:v>
                </c:pt>
                <c:pt idx="56">
                  <c:v>44361</c:v>
                </c:pt>
                <c:pt idx="57">
                  <c:v>44358</c:v>
                </c:pt>
                <c:pt idx="58">
                  <c:v>44357</c:v>
                </c:pt>
                <c:pt idx="59">
                  <c:v>44356</c:v>
                </c:pt>
                <c:pt idx="60">
                  <c:v>44355</c:v>
                </c:pt>
                <c:pt idx="61">
                  <c:v>44354</c:v>
                </c:pt>
                <c:pt idx="62">
                  <c:v>44351</c:v>
                </c:pt>
                <c:pt idx="63">
                  <c:v>44350</c:v>
                </c:pt>
                <c:pt idx="64">
                  <c:v>44349</c:v>
                </c:pt>
                <c:pt idx="65">
                  <c:v>44348</c:v>
                </c:pt>
                <c:pt idx="66">
                  <c:v>44347</c:v>
                </c:pt>
                <c:pt idx="67">
                  <c:v>44344</c:v>
                </c:pt>
                <c:pt idx="68">
                  <c:v>44343</c:v>
                </c:pt>
                <c:pt idx="69">
                  <c:v>44342</c:v>
                </c:pt>
                <c:pt idx="70">
                  <c:v>44341</c:v>
                </c:pt>
                <c:pt idx="71">
                  <c:v>44340</c:v>
                </c:pt>
                <c:pt idx="72">
                  <c:v>44337</c:v>
                </c:pt>
                <c:pt idx="73">
                  <c:v>44336</c:v>
                </c:pt>
                <c:pt idx="74">
                  <c:v>44335</c:v>
                </c:pt>
                <c:pt idx="75">
                  <c:v>44334</c:v>
                </c:pt>
                <c:pt idx="76">
                  <c:v>44333</c:v>
                </c:pt>
                <c:pt idx="77">
                  <c:v>44330</c:v>
                </c:pt>
                <c:pt idx="78">
                  <c:v>44329</c:v>
                </c:pt>
                <c:pt idx="79">
                  <c:v>44328</c:v>
                </c:pt>
                <c:pt idx="80">
                  <c:v>44327</c:v>
                </c:pt>
                <c:pt idx="81">
                  <c:v>44326</c:v>
                </c:pt>
                <c:pt idx="82">
                  <c:v>44323</c:v>
                </c:pt>
                <c:pt idx="83">
                  <c:v>44322</c:v>
                </c:pt>
                <c:pt idx="84">
                  <c:v>44321</c:v>
                </c:pt>
                <c:pt idx="85">
                  <c:v>44320</c:v>
                </c:pt>
                <c:pt idx="86">
                  <c:v>44319</c:v>
                </c:pt>
                <c:pt idx="87">
                  <c:v>44316</c:v>
                </c:pt>
                <c:pt idx="88">
                  <c:v>44315</c:v>
                </c:pt>
                <c:pt idx="89">
                  <c:v>44314</c:v>
                </c:pt>
                <c:pt idx="90">
                  <c:v>44313</c:v>
                </c:pt>
                <c:pt idx="91">
                  <c:v>44312</c:v>
                </c:pt>
                <c:pt idx="92">
                  <c:v>44309</c:v>
                </c:pt>
                <c:pt idx="93">
                  <c:v>44308</c:v>
                </c:pt>
                <c:pt idx="94">
                  <c:v>44307</c:v>
                </c:pt>
                <c:pt idx="95">
                  <c:v>44306</c:v>
                </c:pt>
                <c:pt idx="96">
                  <c:v>44305</c:v>
                </c:pt>
                <c:pt idx="97">
                  <c:v>44302</c:v>
                </c:pt>
                <c:pt idx="98">
                  <c:v>44301</c:v>
                </c:pt>
                <c:pt idx="99">
                  <c:v>44300</c:v>
                </c:pt>
                <c:pt idx="100">
                  <c:v>44299</c:v>
                </c:pt>
                <c:pt idx="101">
                  <c:v>44298</c:v>
                </c:pt>
                <c:pt idx="102">
                  <c:v>44295</c:v>
                </c:pt>
                <c:pt idx="103">
                  <c:v>44294</c:v>
                </c:pt>
                <c:pt idx="104">
                  <c:v>44293</c:v>
                </c:pt>
                <c:pt idx="105">
                  <c:v>44292</c:v>
                </c:pt>
                <c:pt idx="106">
                  <c:v>44287</c:v>
                </c:pt>
                <c:pt idx="107">
                  <c:v>44286</c:v>
                </c:pt>
                <c:pt idx="108">
                  <c:v>44285</c:v>
                </c:pt>
                <c:pt idx="109">
                  <c:v>44284</c:v>
                </c:pt>
                <c:pt idx="110">
                  <c:v>44281</c:v>
                </c:pt>
                <c:pt idx="111">
                  <c:v>44280</c:v>
                </c:pt>
                <c:pt idx="112">
                  <c:v>44279</c:v>
                </c:pt>
                <c:pt idx="113">
                  <c:v>44278</c:v>
                </c:pt>
                <c:pt idx="114">
                  <c:v>44277</c:v>
                </c:pt>
                <c:pt idx="115">
                  <c:v>44274</c:v>
                </c:pt>
                <c:pt idx="116">
                  <c:v>44273</c:v>
                </c:pt>
                <c:pt idx="117">
                  <c:v>44272</c:v>
                </c:pt>
                <c:pt idx="118">
                  <c:v>44271</c:v>
                </c:pt>
                <c:pt idx="119">
                  <c:v>44270</c:v>
                </c:pt>
                <c:pt idx="120">
                  <c:v>44267</c:v>
                </c:pt>
                <c:pt idx="121">
                  <c:v>44266</c:v>
                </c:pt>
                <c:pt idx="122">
                  <c:v>44265</c:v>
                </c:pt>
                <c:pt idx="123">
                  <c:v>44264</c:v>
                </c:pt>
                <c:pt idx="124">
                  <c:v>44263</c:v>
                </c:pt>
                <c:pt idx="125">
                  <c:v>44260</c:v>
                </c:pt>
                <c:pt idx="126">
                  <c:v>44259</c:v>
                </c:pt>
                <c:pt idx="127">
                  <c:v>44258</c:v>
                </c:pt>
                <c:pt idx="128">
                  <c:v>44257</c:v>
                </c:pt>
                <c:pt idx="129">
                  <c:v>44256</c:v>
                </c:pt>
              </c:numCache>
            </c:numRef>
          </c:cat>
          <c:val>
            <c:numRef>
              <c:f>'[Chart in Microsoft Word]EUROBOND 2033 offline'!$C$31:$C$160</c:f>
              <c:numCache>
                <c:formatCode>#,##0.000</c:formatCode>
                <c:ptCount val="130"/>
                <c:pt idx="0">
                  <c:v>1.714</c:v>
                </c:pt>
                <c:pt idx="1">
                  <c:v>1.72</c:v>
                </c:pt>
                <c:pt idx="2">
                  <c:v>1.724</c:v>
                </c:pt>
                <c:pt idx="3">
                  <c:v>1.7290000000000001</c:v>
                </c:pt>
                <c:pt idx="4">
                  <c:v>1.718</c:v>
                </c:pt>
                <c:pt idx="5">
                  <c:v>1.71</c:v>
                </c:pt>
                <c:pt idx="6">
                  <c:v>1.7189999999999999</c:v>
                </c:pt>
                <c:pt idx="7">
                  <c:v>1.7189999999999999</c:v>
                </c:pt>
                <c:pt idx="8">
                  <c:v>1.72</c:v>
                </c:pt>
                <c:pt idx="9">
                  <c:v>1.722</c:v>
                </c:pt>
                <c:pt idx="10">
                  <c:v>1.724</c:v>
                </c:pt>
                <c:pt idx="11">
                  <c:v>1.724</c:v>
                </c:pt>
                <c:pt idx="12">
                  <c:v>1.7309999999999999</c:v>
                </c:pt>
                <c:pt idx="13">
                  <c:v>1.732</c:v>
                </c:pt>
                <c:pt idx="14">
                  <c:v>1.7330000000000001</c:v>
                </c:pt>
                <c:pt idx="15">
                  <c:v>1.728</c:v>
                </c:pt>
                <c:pt idx="16">
                  <c:v>1.734</c:v>
                </c:pt>
                <c:pt idx="17">
                  <c:v>1.732</c:v>
                </c:pt>
                <c:pt idx="18">
                  <c:v>1.7130000000000001</c:v>
                </c:pt>
                <c:pt idx="19">
                  <c:v>1.736</c:v>
                </c:pt>
                <c:pt idx="20">
                  <c:v>1.752</c:v>
                </c:pt>
                <c:pt idx="21">
                  <c:v>1.7770000000000001</c:v>
                </c:pt>
                <c:pt idx="22">
                  <c:v>1.784</c:v>
                </c:pt>
                <c:pt idx="23">
                  <c:v>1.7869999999999999</c:v>
                </c:pt>
                <c:pt idx="24">
                  <c:v>1.794</c:v>
                </c:pt>
                <c:pt idx="25">
                  <c:v>1.7930000000000001</c:v>
                </c:pt>
                <c:pt idx="26">
                  <c:v>1.8</c:v>
                </c:pt>
                <c:pt idx="27">
                  <c:v>1.8050000000000002</c:v>
                </c:pt>
                <c:pt idx="28">
                  <c:v>1.8080000000000001</c:v>
                </c:pt>
                <c:pt idx="29">
                  <c:v>1.8140000000000001</c:v>
                </c:pt>
                <c:pt idx="30">
                  <c:v>1.8159999999999998</c:v>
                </c:pt>
                <c:pt idx="31">
                  <c:v>1.819</c:v>
                </c:pt>
                <c:pt idx="32">
                  <c:v>1.819</c:v>
                </c:pt>
                <c:pt idx="33">
                  <c:v>1.8239999999999998</c:v>
                </c:pt>
                <c:pt idx="34">
                  <c:v>1.8359999999999999</c:v>
                </c:pt>
                <c:pt idx="35">
                  <c:v>1.8340000000000001</c:v>
                </c:pt>
                <c:pt idx="36">
                  <c:v>1.835</c:v>
                </c:pt>
                <c:pt idx="37">
                  <c:v>1.8359999999999999</c:v>
                </c:pt>
                <c:pt idx="38">
                  <c:v>1.833</c:v>
                </c:pt>
                <c:pt idx="39">
                  <c:v>1.835</c:v>
                </c:pt>
                <c:pt idx="40">
                  <c:v>1.839</c:v>
                </c:pt>
                <c:pt idx="41">
                  <c:v>1.833</c:v>
                </c:pt>
                <c:pt idx="42">
                  <c:v>1.8319999999999999</c:v>
                </c:pt>
                <c:pt idx="43">
                  <c:v>1.833</c:v>
                </c:pt>
                <c:pt idx="44">
                  <c:v>1.8319999999999999</c:v>
                </c:pt>
                <c:pt idx="45">
                  <c:v>1.843</c:v>
                </c:pt>
                <c:pt idx="46">
                  <c:v>1.8460000000000001</c:v>
                </c:pt>
                <c:pt idx="47">
                  <c:v>1.8460000000000001</c:v>
                </c:pt>
                <c:pt idx="48">
                  <c:v>1.85</c:v>
                </c:pt>
                <c:pt idx="49">
                  <c:v>1.8559999999999999</c:v>
                </c:pt>
                <c:pt idx="50">
                  <c:v>1.8740000000000001</c:v>
                </c:pt>
                <c:pt idx="51">
                  <c:v>1.8599999999999999</c:v>
                </c:pt>
                <c:pt idx="52">
                  <c:v>1.8519999999999999</c:v>
                </c:pt>
                <c:pt idx="53">
                  <c:v>1.859</c:v>
                </c:pt>
                <c:pt idx="54">
                  <c:v>1.839</c:v>
                </c:pt>
                <c:pt idx="55">
                  <c:v>1.843</c:v>
                </c:pt>
                <c:pt idx="56">
                  <c:v>1.829</c:v>
                </c:pt>
                <c:pt idx="57">
                  <c:v>1.835</c:v>
                </c:pt>
                <c:pt idx="58">
                  <c:v>1.8599999999999999</c:v>
                </c:pt>
                <c:pt idx="59">
                  <c:v>1.871</c:v>
                </c:pt>
                <c:pt idx="60">
                  <c:v>1.9</c:v>
                </c:pt>
                <c:pt idx="61">
                  <c:v>1.9330000000000001</c:v>
                </c:pt>
                <c:pt idx="62">
                  <c:v>1.9430000000000001</c:v>
                </c:pt>
                <c:pt idx="63">
                  <c:v>1.9470000000000001</c:v>
                </c:pt>
                <c:pt idx="64">
                  <c:v>1.9510000000000001</c:v>
                </c:pt>
                <c:pt idx="65">
                  <c:v>1.9590000000000001</c:v>
                </c:pt>
                <c:pt idx="66">
                  <c:v>1.9670000000000001</c:v>
                </c:pt>
                <c:pt idx="67">
                  <c:v>1.9649999999999999</c:v>
                </c:pt>
                <c:pt idx="68">
                  <c:v>1.9729999999999999</c:v>
                </c:pt>
                <c:pt idx="69">
                  <c:v>1.9910000000000001</c:v>
                </c:pt>
                <c:pt idx="70">
                  <c:v>2.0070000000000001</c:v>
                </c:pt>
                <c:pt idx="71">
                  <c:v>2.0129999999999999</c:v>
                </c:pt>
                <c:pt idx="72">
                  <c:v>2.0230000000000001</c:v>
                </c:pt>
                <c:pt idx="73">
                  <c:v>2.0419999999999998</c:v>
                </c:pt>
                <c:pt idx="74">
                  <c:v>2.0430000000000001</c:v>
                </c:pt>
                <c:pt idx="75">
                  <c:v>2.0169999999999999</c:v>
                </c:pt>
                <c:pt idx="76">
                  <c:v>1.9870000000000001</c:v>
                </c:pt>
                <c:pt idx="77">
                  <c:v>1.9790000000000001</c:v>
                </c:pt>
                <c:pt idx="78">
                  <c:v>1.984</c:v>
                </c:pt>
                <c:pt idx="79">
                  <c:v>1.9590000000000001</c:v>
                </c:pt>
                <c:pt idx="80">
                  <c:v>1.9279999999999999</c:v>
                </c:pt>
                <c:pt idx="81">
                  <c:v>1.913</c:v>
                </c:pt>
                <c:pt idx="82">
                  <c:v>1.923</c:v>
                </c:pt>
                <c:pt idx="83">
                  <c:v>1.9390000000000001</c:v>
                </c:pt>
                <c:pt idx="84">
                  <c:v>1.966</c:v>
                </c:pt>
                <c:pt idx="85">
                  <c:v>1.986</c:v>
                </c:pt>
                <c:pt idx="86">
                  <c:v>1.9790000000000001</c:v>
                </c:pt>
                <c:pt idx="87">
                  <c:v>1.982</c:v>
                </c:pt>
                <c:pt idx="88">
                  <c:v>1.978</c:v>
                </c:pt>
                <c:pt idx="89">
                  <c:v>1.962</c:v>
                </c:pt>
                <c:pt idx="90">
                  <c:v>1.9159999999999999</c:v>
                </c:pt>
                <c:pt idx="91">
                  <c:v>1.901</c:v>
                </c:pt>
                <c:pt idx="92">
                  <c:v>1.891</c:v>
                </c:pt>
                <c:pt idx="93">
                  <c:v>1.889</c:v>
                </c:pt>
                <c:pt idx="94">
                  <c:v>1.8839999999999999</c:v>
                </c:pt>
                <c:pt idx="95">
                  <c:v>1.88</c:v>
                </c:pt>
                <c:pt idx="96">
                  <c:v>1.863</c:v>
                </c:pt>
                <c:pt idx="97">
                  <c:v>1.867</c:v>
                </c:pt>
                <c:pt idx="98">
                  <c:v>1.8660000000000001</c:v>
                </c:pt>
                <c:pt idx="99">
                  <c:v>1.8740000000000001</c:v>
                </c:pt>
                <c:pt idx="100">
                  <c:v>1.8759999999999999</c:v>
                </c:pt>
                <c:pt idx="101">
                  <c:v>1.871</c:v>
                </c:pt>
                <c:pt idx="102">
                  <c:v>1.8759999999999999</c:v>
                </c:pt>
                <c:pt idx="103">
                  <c:v>1.8660000000000001</c:v>
                </c:pt>
                <c:pt idx="104">
                  <c:v>1.873</c:v>
                </c:pt>
                <c:pt idx="105">
                  <c:v>1.883</c:v>
                </c:pt>
                <c:pt idx="106">
                  <c:v>1.891</c:v>
                </c:pt>
                <c:pt idx="107">
                  <c:v>1.915</c:v>
                </c:pt>
                <c:pt idx="108">
                  <c:v>1.9180000000000001</c:v>
                </c:pt>
                <c:pt idx="109">
                  <c:v>1.903</c:v>
                </c:pt>
                <c:pt idx="110">
                  <c:v>1.9</c:v>
                </c:pt>
                <c:pt idx="111">
                  <c:v>1.8959999999999999</c:v>
                </c:pt>
                <c:pt idx="112">
                  <c:v>1.897</c:v>
                </c:pt>
                <c:pt idx="113">
                  <c:v>1.9020000000000001</c:v>
                </c:pt>
                <c:pt idx="114">
                  <c:v>1.9060000000000001</c:v>
                </c:pt>
                <c:pt idx="115">
                  <c:v>1.9079999999999999</c:v>
                </c:pt>
                <c:pt idx="116">
                  <c:v>1.9039999999999999</c:v>
                </c:pt>
                <c:pt idx="117">
                  <c:v>1.8860000000000001</c:v>
                </c:pt>
                <c:pt idx="118">
                  <c:v>1.8740000000000001</c:v>
                </c:pt>
                <c:pt idx="119">
                  <c:v>1.8919999999999999</c:v>
                </c:pt>
                <c:pt idx="120">
                  <c:v>1.9060000000000001</c:v>
                </c:pt>
                <c:pt idx="121">
                  <c:v>1.887</c:v>
                </c:pt>
                <c:pt idx="122">
                  <c:v>1.956</c:v>
                </c:pt>
                <c:pt idx="123">
                  <c:v>1.9670000000000001</c:v>
                </c:pt>
                <c:pt idx="124">
                  <c:v>1.976</c:v>
                </c:pt>
                <c:pt idx="125">
                  <c:v>1.9390000000000001</c:v>
                </c:pt>
                <c:pt idx="126">
                  <c:v>1.911</c:v>
                </c:pt>
                <c:pt idx="127">
                  <c:v>1.8959999999999999</c:v>
                </c:pt>
                <c:pt idx="128">
                  <c:v>1.8780000000000001</c:v>
                </c:pt>
                <c:pt idx="129">
                  <c:v>1.8980000000000001</c:v>
                </c:pt>
              </c:numCache>
            </c:numRef>
          </c:val>
          <c:smooth val="0"/>
          <c:extLst>
            <c:ext xmlns:c16="http://schemas.microsoft.com/office/drawing/2014/chart" uri="{C3380CC4-5D6E-409C-BE32-E72D297353CC}">
              <c16:uniqueId val="{00000001-0461-40CE-B09F-3C973AE2B8E2}"/>
            </c:ext>
          </c:extLst>
        </c:ser>
        <c:dLbls>
          <c:showLegendKey val="0"/>
          <c:showVal val="0"/>
          <c:showCatName val="0"/>
          <c:showSerName val="0"/>
          <c:showPercent val="0"/>
          <c:showBubbleSize val="0"/>
        </c:dLbls>
        <c:marker val="1"/>
        <c:smooth val="0"/>
        <c:axId val="1258508208"/>
        <c:axId val="1258507664"/>
      </c:lineChart>
      <c:dateAx>
        <c:axId val="1258522352"/>
        <c:scaling>
          <c:orientation val="minMax"/>
          <c:min val="44286"/>
        </c:scaling>
        <c:delete val="0"/>
        <c:axPos val="b"/>
        <c:numFmt formatCode="dd\/mm\/yy" sourceLinked="1"/>
        <c:majorTickMark val="out"/>
        <c:minorTickMark val="none"/>
        <c:tickLblPos val="nextTo"/>
        <c:txPr>
          <a:bodyPr rot="-2700000"/>
          <a:lstStyle/>
          <a:p>
            <a:pPr>
              <a:defRPr sz="700">
                <a:latin typeface="Calibri" panose="020F0502020204030204" pitchFamily="34" charset="0"/>
              </a:defRPr>
            </a:pPr>
            <a:endParaRPr lang="en-US"/>
          </a:p>
        </c:txPr>
        <c:crossAx val="1258515280"/>
        <c:crosses val="autoZero"/>
        <c:auto val="1"/>
        <c:lblOffset val="100"/>
        <c:baseTimeUnit val="days"/>
        <c:majorUnit val="1"/>
        <c:majorTimeUnit val="months"/>
        <c:minorUnit val="1"/>
        <c:minorTimeUnit val="months"/>
      </c:dateAx>
      <c:valAx>
        <c:axId val="1258515280"/>
        <c:scaling>
          <c:orientation val="minMax"/>
          <c:max val="100"/>
          <c:min val="93"/>
        </c:scaling>
        <c:delete val="0"/>
        <c:axPos val="l"/>
        <c:numFmt formatCode="[$€-1809]#,##0" sourceLinked="0"/>
        <c:majorTickMark val="out"/>
        <c:minorTickMark val="none"/>
        <c:tickLblPos val="nextTo"/>
        <c:txPr>
          <a:bodyPr/>
          <a:lstStyle/>
          <a:p>
            <a:pPr>
              <a:defRPr sz="700">
                <a:latin typeface="+mn-lt"/>
              </a:defRPr>
            </a:pPr>
            <a:endParaRPr lang="en-US"/>
          </a:p>
        </c:txPr>
        <c:crossAx val="1258522352"/>
        <c:crosses val="autoZero"/>
        <c:crossBetween val="between"/>
        <c:majorUnit val="2"/>
      </c:valAx>
      <c:valAx>
        <c:axId val="1258507664"/>
        <c:scaling>
          <c:orientation val="minMax"/>
          <c:max val="3"/>
          <c:min val="1"/>
        </c:scaling>
        <c:delete val="0"/>
        <c:axPos val="r"/>
        <c:numFmt formatCode="#,##0.00" sourceLinked="0"/>
        <c:majorTickMark val="out"/>
        <c:minorTickMark val="none"/>
        <c:tickLblPos val="nextTo"/>
        <c:txPr>
          <a:bodyPr/>
          <a:lstStyle/>
          <a:p>
            <a:pPr>
              <a:defRPr sz="700">
                <a:latin typeface="Calibri" panose="020F0502020204030204" pitchFamily="34" charset="0"/>
              </a:defRPr>
            </a:pPr>
            <a:endParaRPr lang="en-US"/>
          </a:p>
        </c:txPr>
        <c:crossAx val="1258508208"/>
        <c:crosses val="max"/>
        <c:crossBetween val="between"/>
        <c:majorUnit val="0.30000000000000032"/>
      </c:valAx>
      <c:dateAx>
        <c:axId val="1258508208"/>
        <c:scaling>
          <c:orientation val="minMax"/>
        </c:scaling>
        <c:delete val="1"/>
        <c:axPos val="b"/>
        <c:numFmt formatCode="dd\/mm\/yy" sourceLinked="1"/>
        <c:majorTickMark val="out"/>
        <c:minorTickMark val="none"/>
        <c:tickLblPos val="none"/>
        <c:crossAx val="1258507664"/>
        <c:crosses val="autoZero"/>
        <c:auto val="1"/>
        <c:lblOffset val="100"/>
        <c:baseTimeUnit val="days"/>
      </c:dateAx>
    </c:plotArea>
    <c:legend>
      <c:legendPos val="r"/>
      <c:layout>
        <c:manualLayout>
          <c:xMode val="edge"/>
          <c:yMode val="edge"/>
          <c:x val="4.6722525068981759E-2"/>
          <c:y val="0.93693368770544061"/>
          <c:w val="0.95327747493101822"/>
          <c:h val="6.2763605653394283E-2"/>
        </c:manualLayout>
      </c:layout>
      <c:overlay val="0"/>
      <c:txPr>
        <a:bodyPr/>
        <a:lstStyle/>
        <a:p>
          <a:pPr>
            <a:defRPr sz="700">
              <a:latin typeface="Calibri" panose="020F0502020204030204" pitchFamily="34" charset="0"/>
            </a:defRPr>
          </a:pPr>
          <a:endParaRPr lang="en-US"/>
        </a:p>
      </c:txPr>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en-US"/>
    </a:p>
  </c:txPr>
  <c:externalData r:id="rId2">
    <c:autoUpdate val="0"/>
  </c:externalData>
</c:chartSpace>
</file>

<file path=word/charts/chart7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1947013702710755"/>
          <c:y val="0.1159364568431092"/>
          <c:w val="0.7124333482275842"/>
          <c:h val="0.65796894188418298"/>
        </c:manualLayout>
      </c:layout>
      <c:scatterChart>
        <c:scatterStyle val="lineMarker"/>
        <c:varyColors val="0"/>
        <c:ser>
          <c:idx val="0"/>
          <c:order val="0"/>
          <c:tx>
            <c:strRef>
              <c:f>'3Y_OUTPUT'!$C$123</c:f>
              <c:strCache>
                <c:ptCount val="1"/>
                <c:pt idx="0">
                  <c:v>C1</c:v>
                </c:pt>
              </c:strCache>
            </c:strRef>
          </c:tx>
          <c:spPr>
            <a:ln w="25400" cap="flat" cmpd="dbl" algn="ctr">
              <a:solidFill>
                <a:schemeClr val="accent1">
                  <a:alpha val="50000"/>
                </a:schemeClr>
              </a:solidFill>
              <a:round/>
            </a:ln>
            <a:effectLst/>
          </c:spPr>
          <c:marker>
            <c:symbol val="circle"/>
            <c:size val="10"/>
            <c:spPr>
              <a:solidFill>
                <a:srgbClr val="FF0000"/>
              </a:solidFill>
              <a:ln w="9525" cap="flat" cmpd="dbl" algn="ctr">
                <a:solidFill>
                  <a:srgbClr val="FF0000">
                    <a:alpha val="70000"/>
                  </a:srgbClr>
                </a:solidFill>
                <a:round/>
              </a:ln>
              <a:effectLst/>
            </c:spPr>
          </c:marker>
          <c:dLbls>
            <c:spPr>
              <a:noFill/>
              <a:ln>
                <a:noFill/>
              </a:ln>
              <a:effectLst/>
            </c:spPr>
            <c:txPr>
              <a:bodyPr rot="0" vert="horz"/>
              <a:lstStyle/>
              <a:p>
                <a:pPr>
                  <a:defRPr/>
                </a:pPr>
                <a:endParaRPr lang="en-US"/>
              </a:p>
            </c:txPr>
            <c:showLegendKey val="0"/>
            <c:showVal val="0"/>
            <c:showCatName val="0"/>
            <c:showSerName val="1"/>
            <c:showPercent val="0"/>
            <c:showBubbleSize val="0"/>
            <c:showLeaderLines val="0"/>
            <c:extLst>
              <c:ext xmlns:c15="http://schemas.microsoft.com/office/drawing/2012/chart" uri="{CE6537A1-D6FC-4f65-9D91-7224C49458BB}">
                <c15:showLeaderLines val="0"/>
              </c:ext>
            </c:extLst>
          </c:dLbls>
          <c:xVal>
            <c:numRef>
              <c:f>'3Y_OUTPUT'!$C$129</c:f>
              <c:numCache>
                <c:formatCode>0.0</c:formatCode>
                <c:ptCount val="1"/>
                <c:pt idx="0">
                  <c:v>5.2774898492015296</c:v>
                </c:pt>
              </c:numCache>
            </c:numRef>
          </c:xVal>
          <c:yVal>
            <c:numRef>
              <c:f>'3Y_OUTPUT'!$C$124</c:f>
              <c:numCache>
                <c:formatCode>0.0</c:formatCode>
                <c:ptCount val="1"/>
                <c:pt idx="0">
                  <c:v>51.677006757841596</c:v>
                </c:pt>
              </c:numCache>
            </c:numRef>
          </c:yVal>
          <c:smooth val="0"/>
          <c:extLst>
            <c:ext xmlns:c16="http://schemas.microsoft.com/office/drawing/2014/chart" uri="{C3380CC4-5D6E-409C-BE32-E72D297353CC}">
              <c16:uniqueId val="{00000000-7136-4815-81CC-30B79330FC0A}"/>
            </c:ext>
          </c:extLst>
        </c:ser>
        <c:ser>
          <c:idx val="1"/>
          <c:order val="1"/>
          <c:tx>
            <c:strRef>
              <c:f>'3Y_OUTPUT'!$D$123</c:f>
              <c:strCache>
                <c:ptCount val="1"/>
                <c:pt idx="0">
                  <c:v>C2</c:v>
                </c:pt>
              </c:strCache>
            </c:strRef>
          </c:tx>
          <c:spPr>
            <a:ln w="127000" cap="flat" cmpd="dbl" algn="ctr">
              <a:solidFill>
                <a:srgbClr val="00B050">
                  <a:alpha val="50000"/>
                </a:srgbClr>
              </a:solidFill>
              <a:round/>
            </a:ln>
            <a:effectLst/>
          </c:spPr>
          <c:marker>
            <c:symbol val="circle"/>
            <c:size val="10"/>
            <c:spPr>
              <a:solidFill>
                <a:srgbClr val="00B050"/>
              </a:solidFill>
              <a:ln w="9525" cap="flat" cmpd="dbl" algn="ctr">
                <a:solidFill>
                  <a:srgbClr val="00B050">
                    <a:alpha val="70000"/>
                  </a:srgbClr>
                </a:solidFill>
                <a:round/>
              </a:ln>
              <a:effectLst/>
            </c:spPr>
          </c:marker>
          <c:dLbls>
            <c:spPr>
              <a:noFill/>
              <a:ln>
                <a:noFill/>
              </a:ln>
              <a:effectLst/>
            </c:spPr>
            <c:txPr>
              <a:bodyPr rot="0" vert="horz"/>
              <a:lstStyle/>
              <a:p>
                <a:pPr>
                  <a:defRPr/>
                </a:pPr>
                <a:endParaRPr lang="en-US"/>
              </a:p>
            </c:txPr>
            <c:showLegendKey val="0"/>
            <c:showVal val="0"/>
            <c:showCatName val="0"/>
            <c:showSerName val="1"/>
            <c:showPercent val="0"/>
            <c:showBubbleSize val="0"/>
            <c:showLeaderLines val="0"/>
            <c:extLst>
              <c:ext xmlns:c15="http://schemas.microsoft.com/office/drawing/2012/chart" uri="{CE6537A1-D6FC-4f65-9D91-7224C49458BB}">
                <c15:showLeaderLines val="0"/>
              </c:ext>
            </c:extLst>
          </c:dLbls>
          <c:xVal>
            <c:numRef>
              <c:f>'3Y_OUTPUT'!$D$129</c:f>
              <c:numCache>
                <c:formatCode>0.0</c:formatCode>
                <c:ptCount val="1"/>
                <c:pt idx="0">
                  <c:v>5.7765837313473725</c:v>
                </c:pt>
              </c:numCache>
            </c:numRef>
          </c:xVal>
          <c:yVal>
            <c:numRef>
              <c:f>'3Y_OUTPUT'!$D$124</c:f>
              <c:numCache>
                <c:formatCode>0.0</c:formatCode>
                <c:ptCount val="1"/>
                <c:pt idx="0">
                  <c:v>51.964486374769962</c:v>
                </c:pt>
              </c:numCache>
            </c:numRef>
          </c:yVal>
          <c:smooth val="0"/>
          <c:extLst>
            <c:ext xmlns:c16="http://schemas.microsoft.com/office/drawing/2014/chart" uri="{C3380CC4-5D6E-409C-BE32-E72D297353CC}">
              <c16:uniqueId val="{00000001-7136-4815-81CC-30B79330FC0A}"/>
            </c:ext>
          </c:extLst>
        </c:ser>
        <c:ser>
          <c:idx val="2"/>
          <c:order val="2"/>
          <c:tx>
            <c:strRef>
              <c:f>'3Y_OUTPUT'!$E$123</c:f>
              <c:strCache>
                <c:ptCount val="1"/>
                <c:pt idx="0">
                  <c:v>C3</c:v>
                </c:pt>
              </c:strCache>
            </c:strRef>
          </c:tx>
          <c:spPr>
            <a:ln w="127000" cap="flat" cmpd="dbl" algn="ctr">
              <a:solidFill>
                <a:srgbClr val="9BBB59">
                  <a:alpha val="50000"/>
                </a:srgbClr>
              </a:solidFill>
              <a:round/>
            </a:ln>
            <a:effectLst/>
          </c:spPr>
          <c:marker>
            <c:symbol val="circle"/>
            <c:size val="10"/>
            <c:spPr>
              <a:solidFill>
                <a:srgbClr val="7030A0"/>
              </a:solidFill>
              <a:ln w="9525" cap="flat" cmpd="dbl" algn="ctr">
                <a:solidFill>
                  <a:srgbClr val="7030A0">
                    <a:alpha val="70000"/>
                  </a:srgbClr>
                </a:solidFill>
                <a:round/>
              </a:ln>
              <a:effectLst/>
            </c:spPr>
          </c:marker>
          <c:dLbls>
            <c:spPr>
              <a:noFill/>
              <a:ln>
                <a:noFill/>
              </a:ln>
              <a:effectLst/>
            </c:spPr>
            <c:txPr>
              <a:bodyPr rot="0" vert="horz"/>
              <a:lstStyle/>
              <a:p>
                <a:pPr>
                  <a:defRPr/>
                </a:pPr>
                <a:endParaRPr lang="en-US"/>
              </a:p>
            </c:txPr>
            <c:showLegendKey val="0"/>
            <c:showVal val="0"/>
            <c:showCatName val="0"/>
            <c:showSerName val="1"/>
            <c:showPercent val="0"/>
            <c:showBubbleSize val="0"/>
            <c:showLeaderLines val="0"/>
            <c:extLst>
              <c:ext xmlns:c15="http://schemas.microsoft.com/office/drawing/2012/chart" uri="{CE6537A1-D6FC-4f65-9D91-7224C49458BB}">
                <c15:showLeaderLines val="0"/>
              </c:ext>
            </c:extLst>
          </c:dLbls>
          <c:xVal>
            <c:numRef>
              <c:f>'3Y_OUTPUT'!$E$129</c:f>
              <c:numCache>
                <c:formatCode>0.0</c:formatCode>
                <c:ptCount val="1"/>
                <c:pt idx="0">
                  <c:v>5.7431188637045807</c:v>
                </c:pt>
              </c:numCache>
            </c:numRef>
          </c:xVal>
          <c:yVal>
            <c:numRef>
              <c:f>'3Y_OUTPUT'!$E$124</c:f>
              <c:numCache>
                <c:formatCode>0.0</c:formatCode>
                <c:ptCount val="1"/>
                <c:pt idx="0">
                  <c:v>51.804075486857315</c:v>
                </c:pt>
              </c:numCache>
            </c:numRef>
          </c:yVal>
          <c:smooth val="0"/>
          <c:extLst>
            <c:ext xmlns:c16="http://schemas.microsoft.com/office/drawing/2014/chart" uri="{C3380CC4-5D6E-409C-BE32-E72D297353CC}">
              <c16:uniqueId val="{00000002-7136-4815-81CC-30B79330FC0A}"/>
            </c:ext>
          </c:extLst>
        </c:ser>
        <c:ser>
          <c:idx val="3"/>
          <c:order val="3"/>
          <c:tx>
            <c:strRef>
              <c:f>'3Y_OUTPUT'!$F$123</c:f>
              <c:strCache>
                <c:ptCount val="1"/>
                <c:pt idx="0">
                  <c:v>C4</c:v>
                </c:pt>
              </c:strCache>
            </c:strRef>
          </c:tx>
          <c:spPr>
            <a:ln w="25400" cap="flat" cmpd="dbl" algn="ctr">
              <a:noFill/>
              <a:round/>
            </a:ln>
            <a:effectLst/>
          </c:spPr>
          <c:marker>
            <c:symbol val="circle"/>
            <c:size val="10"/>
            <c:spPr>
              <a:solidFill>
                <a:srgbClr val="1F497D">
                  <a:alpha val="98000"/>
                </a:srgbClr>
              </a:solidFill>
              <a:ln w="9525" cap="flat" cmpd="dbl" algn="ctr">
                <a:solidFill>
                  <a:srgbClr val="1F497D">
                    <a:alpha val="70000"/>
                  </a:srgbClr>
                </a:solidFill>
                <a:round/>
              </a:ln>
              <a:effectLst/>
            </c:spPr>
          </c:marker>
          <c:dLbls>
            <c:spPr>
              <a:noFill/>
              <a:ln>
                <a:noFill/>
              </a:ln>
              <a:effectLst/>
            </c:spPr>
            <c:txPr>
              <a:bodyPr rot="0" vert="horz"/>
              <a:lstStyle/>
              <a:p>
                <a:pPr>
                  <a:defRPr/>
                </a:pPr>
                <a:endParaRPr lang="en-US"/>
              </a:p>
            </c:txPr>
            <c:showLegendKey val="0"/>
            <c:showVal val="0"/>
            <c:showCatName val="0"/>
            <c:showSerName val="1"/>
            <c:showPercent val="0"/>
            <c:showBubbleSize val="0"/>
            <c:showLeaderLines val="0"/>
            <c:extLst>
              <c:ext xmlns:c15="http://schemas.microsoft.com/office/drawing/2012/chart" uri="{CE6537A1-D6FC-4f65-9D91-7224C49458BB}">
                <c15:showLeaderLines val="0"/>
              </c:ext>
            </c:extLst>
          </c:dLbls>
          <c:xVal>
            <c:numRef>
              <c:f>'3Y_OUTPUT'!$F$129</c:f>
              <c:numCache>
                <c:formatCode>0.0</c:formatCode>
                <c:ptCount val="1"/>
                <c:pt idx="0">
                  <c:v>4.6240352950705628</c:v>
                </c:pt>
              </c:numCache>
            </c:numRef>
          </c:xVal>
          <c:yVal>
            <c:numRef>
              <c:f>'3Y_OUTPUT'!$F$124</c:f>
              <c:numCache>
                <c:formatCode>0.0</c:formatCode>
                <c:ptCount val="1"/>
                <c:pt idx="0">
                  <c:v>52.10673694219934</c:v>
                </c:pt>
              </c:numCache>
            </c:numRef>
          </c:yVal>
          <c:smooth val="0"/>
          <c:extLst>
            <c:ext xmlns:c16="http://schemas.microsoft.com/office/drawing/2014/chart" uri="{C3380CC4-5D6E-409C-BE32-E72D297353CC}">
              <c16:uniqueId val="{00000003-7136-4815-81CC-30B79330FC0A}"/>
            </c:ext>
          </c:extLst>
        </c:ser>
        <c:dLbls>
          <c:showLegendKey val="0"/>
          <c:showVal val="0"/>
          <c:showCatName val="0"/>
          <c:showSerName val="0"/>
          <c:showPercent val="0"/>
          <c:showBubbleSize val="0"/>
        </c:dLbls>
        <c:axId val="253667200"/>
        <c:axId val="253681664"/>
      </c:scatterChart>
      <c:valAx>
        <c:axId val="253667200"/>
        <c:scaling>
          <c:orientation val="minMax"/>
          <c:max val="6"/>
          <c:min val="4.5"/>
        </c:scaling>
        <c:delete val="0"/>
        <c:axPos val="b"/>
        <c:majorGridlines>
          <c:spPr>
            <a:ln w="9525" cap="flat" cmpd="sng" algn="ctr">
              <a:noFill/>
              <a:round/>
            </a:ln>
            <a:effectLst/>
          </c:spPr>
        </c:majorGridlines>
        <c:minorGridlines>
          <c:spPr>
            <a:ln w="9525" cap="flat" cmpd="sng" algn="ctr">
              <a:noFill/>
              <a:round/>
            </a:ln>
            <a:effectLst/>
          </c:spPr>
        </c:minorGridlines>
        <c:title>
          <c:tx>
            <c:rich>
              <a:bodyPr rot="0" vert="horz"/>
              <a:lstStyle/>
              <a:p>
                <a:pPr>
                  <a:defRPr>
                    <a:solidFill>
                      <a:schemeClr val="accent5">
                        <a:lumMod val="50000"/>
                      </a:schemeClr>
                    </a:solidFill>
                    <a:latin typeface="Calibri" panose="020F0502020204030204" pitchFamily="34" charset="0"/>
                    <a:cs typeface="Calibri" panose="020F0502020204030204" pitchFamily="34" charset="0"/>
                  </a:defRPr>
                </a:pPr>
                <a:r>
                  <a:rPr lang="sr-Cyrl-BA">
                    <a:solidFill>
                      <a:schemeClr val="accent5">
                        <a:lumMod val="50000"/>
                      </a:schemeClr>
                    </a:solidFill>
                    <a:latin typeface="Calibri" panose="020F0502020204030204" pitchFamily="34" charset="0"/>
                    <a:cs typeface="Calibri" panose="020F0502020204030204" pitchFamily="34" charset="0"/>
                  </a:rPr>
                  <a:t>Ризик</a:t>
                </a:r>
              </a:p>
            </c:rich>
          </c:tx>
          <c:layout>
            <c:manualLayout>
              <c:xMode val="edge"/>
              <c:yMode val="edge"/>
              <c:x val="0.4712499835945263"/>
              <c:y val="0.935530611677861"/>
            </c:manualLayout>
          </c:layout>
          <c:overlay val="0"/>
          <c:spPr>
            <a:noFill/>
            <a:ln>
              <a:noFill/>
            </a:ln>
            <a:effectLst/>
          </c:spPr>
        </c:title>
        <c:numFmt formatCode="0.0" sourceLinked="0"/>
        <c:majorTickMark val="none"/>
        <c:minorTickMark val="none"/>
        <c:tickLblPos val="nextTo"/>
        <c:spPr>
          <a:noFill/>
          <a:ln>
            <a:noFill/>
          </a:ln>
          <a:effectLst/>
        </c:spPr>
        <c:txPr>
          <a:bodyPr rot="0"/>
          <a:lstStyle/>
          <a:p>
            <a:pPr>
              <a:defRPr sz="800">
                <a:solidFill>
                  <a:schemeClr val="accent5">
                    <a:lumMod val="50000"/>
                  </a:schemeClr>
                </a:solidFill>
                <a:latin typeface="Calibri" panose="020F0502020204030204" pitchFamily="34" charset="0"/>
                <a:cs typeface="Calibri" panose="020F0502020204030204" pitchFamily="34" charset="0"/>
              </a:defRPr>
            </a:pPr>
            <a:endParaRPr lang="en-US"/>
          </a:p>
        </c:txPr>
        <c:crossAx val="253681664"/>
        <c:crosses val="autoZero"/>
        <c:crossBetween val="midCat"/>
        <c:majorUnit val="0.5"/>
        <c:minorUnit val="0.1"/>
      </c:valAx>
      <c:valAx>
        <c:axId val="253681664"/>
        <c:scaling>
          <c:orientation val="minMax"/>
          <c:max val="52.5"/>
          <c:min val="51.5"/>
        </c:scaling>
        <c:delete val="0"/>
        <c:axPos val="l"/>
        <c:majorGridlines>
          <c:spPr>
            <a:ln w="9525" cap="flat" cmpd="sng" algn="ctr">
              <a:noFill/>
              <a:round/>
            </a:ln>
            <a:effectLst/>
          </c:spPr>
        </c:majorGridlines>
        <c:minorGridlines>
          <c:spPr>
            <a:ln w="9525" cap="flat" cmpd="sng" algn="ctr">
              <a:noFill/>
              <a:round/>
            </a:ln>
            <a:effectLst/>
          </c:spPr>
        </c:minorGridlines>
        <c:title>
          <c:tx>
            <c:rich>
              <a:bodyPr rot="-5400000" vert="horz"/>
              <a:lstStyle/>
              <a:p>
                <a:pPr>
                  <a:defRPr>
                    <a:solidFill>
                      <a:schemeClr val="accent5">
                        <a:lumMod val="50000"/>
                      </a:schemeClr>
                    </a:solidFill>
                    <a:latin typeface="Calibri" panose="020F0502020204030204" pitchFamily="34" charset="0"/>
                    <a:cs typeface="Calibri" panose="020F0502020204030204" pitchFamily="34" charset="0"/>
                  </a:defRPr>
                </a:pPr>
                <a:r>
                  <a:rPr lang="sr-Cyrl-BA">
                    <a:solidFill>
                      <a:schemeClr val="accent5">
                        <a:lumMod val="50000"/>
                      </a:schemeClr>
                    </a:solidFill>
                    <a:latin typeface="Calibri" panose="020F0502020204030204" pitchFamily="34" charset="0"/>
                    <a:cs typeface="Calibri" panose="020F0502020204030204" pitchFamily="34" charset="0"/>
                  </a:rPr>
                  <a:t>Трошкови (%)</a:t>
                </a:r>
              </a:p>
            </c:rich>
          </c:tx>
          <c:layout>
            <c:manualLayout>
              <c:xMode val="edge"/>
              <c:yMode val="edge"/>
              <c:x val="4.2641600474437186E-3"/>
              <c:y val="0.32453201268393489"/>
            </c:manualLayout>
          </c:layout>
          <c:overlay val="0"/>
          <c:spPr>
            <a:noFill/>
            <a:ln>
              <a:noFill/>
            </a:ln>
            <a:effectLst/>
          </c:spPr>
        </c:title>
        <c:numFmt formatCode="0.0" sourceLinked="0"/>
        <c:majorTickMark val="none"/>
        <c:minorTickMark val="none"/>
        <c:tickLblPos val="nextTo"/>
        <c:spPr>
          <a:noFill/>
          <a:ln>
            <a:noFill/>
          </a:ln>
          <a:effectLst/>
        </c:spPr>
        <c:txPr>
          <a:bodyPr rot="0"/>
          <a:lstStyle/>
          <a:p>
            <a:pPr>
              <a:defRPr sz="800">
                <a:solidFill>
                  <a:schemeClr val="accent5">
                    <a:lumMod val="50000"/>
                  </a:schemeClr>
                </a:solidFill>
                <a:latin typeface="Calibri" panose="020F0502020204030204" pitchFamily="34" charset="0"/>
                <a:cs typeface="Calibri" panose="020F0502020204030204" pitchFamily="34" charset="0"/>
              </a:defRPr>
            </a:pPr>
            <a:endParaRPr lang="en-US"/>
          </a:p>
        </c:txPr>
        <c:crossAx val="253667200"/>
        <c:crosses val="autoZero"/>
        <c:crossBetween val="midCat"/>
        <c:majorUnit val="0.5"/>
      </c:valAx>
      <c:spPr>
        <a:solidFill>
          <a:sysClr val="window" lastClr="FFFFFF"/>
        </a:solid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latin typeface="Cambria" panose="02040503050406030204" pitchFamily="18" charset="0"/>
        </a:defRPr>
      </a:pPr>
      <a:endParaRPr lang="en-US"/>
    </a:p>
  </c:txPr>
  <c:externalData r:id="rId2">
    <c:autoUpdate val="0"/>
  </c:externalData>
</c:chartSpace>
</file>

<file path=word/charts/chart7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9632893952934166"/>
          <c:y val="8.3992045285606692E-2"/>
          <c:w val="0.73758452487339898"/>
          <c:h val="0.7112994754411065"/>
        </c:manualLayout>
      </c:layout>
      <c:scatterChart>
        <c:scatterStyle val="lineMarker"/>
        <c:varyColors val="0"/>
        <c:ser>
          <c:idx val="0"/>
          <c:order val="0"/>
          <c:tx>
            <c:strRef>
              <c:f>'3Y_OUTPUT'!$C$133</c:f>
              <c:strCache>
                <c:ptCount val="1"/>
                <c:pt idx="0">
                  <c:v>C1</c:v>
                </c:pt>
              </c:strCache>
            </c:strRef>
          </c:tx>
          <c:spPr>
            <a:ln w="25400" cap="flat" cmpd="dbl" algn="ctr">
              <a:solidFill>
                <a:schemeClr val="accent1">
                  <a:alpha val="50000"/>
                </a:schemeClr>
              </a:solidFill>
              <a:round/>
            </a:ln>
            <a:effectLst/>
          </c:spPr>
          <c:marker>
            <c:symbol val="circle"/>
            <c:size val="10"/>
            <c:spPr>
              <a:solidFill>
                <a:srgbClr val="FF0000"/>
              </a:solidFill>
              <a:ln w="9525" cap="flat" cmpd="dbl" algn="ctr">
                <a:solidFill>
                  <a:srgbClr val="FF0000">
                    <a:alpha val="70000"/>
                  </a:srgbClr>
                </a:solidFill>
                <a:round/>
              </a:ln>
              <a:effectLst/>
            </c:spPr>
          </c:marker>
          <c:dLbls>
            <c:spPr>
              <a:noFill/>
              <a:ln>
                <a:noFill/>
              </a:ln>
              <a:effectLst/>
            </c:spPr>
            <c:txPr>
              <a:bodyPr rot="0" vert="horz"/>
              <a:lstStyle/>
              <a:p>
                <a:pPr>
                  <a:defRPr/>
                </a:pPr>
                <a:endParaRPr lang="en-US"/>
              </a:p>
            </c:txPr>
            <c:showLegendKey val="0"/>
            <c:showVal val="0"/>
            <c:showCatName val="0"/>
            <c:showSerName val="1"/>
            <c:showPercent val="0"/>
            <c:showBubbleSize val="0"/>
            <c:showLeaderLines val="0"/>
            <c:extLst>
              <c:ext xmlns:c15="http://schemas.microsoft.com/office/drawing/2012/chart" uri="{CE6537A1-D6FC-4f65-9D91-7224C49458BB}">
                <c15:showLeaderLines val="0"/>
              </c:ext>
            </c:extLst>
          </c:dLbls>
          <c:xVal>
            <c:numRef>
              <c:f>'3Y_OUTPUT'!$C$139</c:f>
              <c:numCache>
                <c:formatCode>0.0</c:formatCode>
                <c:ptCount val="1"/>
                <c:pt idx="0">
                  <c:v>0.46247547260265853</c:v>
                </c:pt>
              </c:numCache>
            </c:numRef>
          </c:xVal>
          <c:yVal>
            <c:numRef>
              <c:f>'3Y_OUTPUT'!$C$134</c:f>
              <c:numCache>
                <c:formatCode>0.0</c:formatCode>
                <c:ptCount val="1"/>
                <c:pt idx="0">
                  <c:v>1.157104422057512</c:v>
                </c:pt>
              </c:numCache>
            </c:numRef>
          </c:yVal>
          <c:smooth val="0"/>
          <c:extLst>
            <c:ext xmlns:c16="http://schemas.microsoft.com/office/drawing/2014/chart" uri="{C3380CC4-5D6E-409C-BE32-E72D297353CC}">
              <c16:uniqueId val="{00000000-10C4-4D71-847E-6D67B19816D4}"/>
            </c:ext>
          </c:extLst>
        </c:ser>
        <c:ser>
          <c:idx val="1"/>
          <c:order val="1"/>
          <c:tx>
            <c:strRef>
              <c:f>'3Y_OUTPUT'!$D$133</c:f>
              <c:strCache>
                <c:ptCount val="1"/>
                <c:pt idx="0">
                  <c:v>C2</c:v>
                </c:pt>
              </c:strCache>
            </c:strRef>
          </c:tx>
          <c:spPr>
            <a:ln w="25400" cap="flat" cmpd="dbl" algn="ctr">
              <a:noFill/>
              <a:round/>
            </a:ln>
            <a:effectLst/>
          </c:spPr>
          <c:marker>
            <c:symbol val="circle"/>
            <c:size val="10"/>
            <c:spPr>
              <a:solidFill>
                <a:srgbClr val="00B050"/>
              </a:solidFill>
              <a:ln w="34925" cap="flat" cmpd="dbl" algn="ctr">
                <a:noFill/>
                <a:round/>
              </a:ln>
              <a:effectLst/>
            </c:spPr>
          </c:marker>
          <c:dLbls>
            <c:spPr>
              <a:noFill/>
              <a:ln>
                <a:noFill/>
              </a:ln>
              <a:effectLst/>
            </c:spPr>
            <c:txPr>
              <a:bodyPr rot="0" vert="horz"/>
              <a:lstStyle/>
              <a:p>
                <a:pPr>
                  <a:defRPr/>
                </a:pPr>
                <a:endParaRPr lang="en-US"/>
              </a:p>
            </c:txPr>
            <c:showLegendKey val="0"/>
            <c:showVal val="0"/>
            <c:showCatName val="0"/>
            <c:showSerName val="1"/>
            <c:showPercent val="0"/>
            <c:showBubbleSize val="0"/>
            <c:showLeaderLines val="0"/>
            <c:extLst>
              <c:ext xmlns:c15="http://schemas.microsoft.com/office/drawing/2012/chart" uri="{CE6537A1-D6FC-4f65-9D91-7224C49458BB}">
                <c15:showLeaderLines val="0"/>
              </c:ext>
            </c:extLst>
          </c:dLbls>
          <c:xVal>
            <c:numRef>
              <c:f>'3Y_OUTPUT'!$D$139</c:f>
              <c:numCache>
                <c:formatCode>0.0</c:formatCode>
                <c:ptCount val="1"/>
                <c:pt idx="0">
                  <c:v>0.56996023009280394</c:v>
                </c:pt>
              </c:numCache>
            </c:numRef>
          </c:xVal>
          <c:yVal>
            <c:numRef>
              <c:f>'3Y_OUTPUT'!$D$134</c:f>
              <c:numCache>
                <c:formatCode>0.0</c:formatCode>
                <c:ptCount val="1"/>
                <c:pt idx="0">
                  <c:v>1.4079567642713393</c:v>
                </c:pt>
              </c:numCache>
            </c:numRef>
          </c:yVal>
          <c:smooth val="0"/>
          <c:extLst>
            <c:ext xmlns:c16="http://schemas.microsoft.com/office/drawing/2014/chart" uri="{C3380CC4-5D6E-409C-BE32-E72D297353CC}">
              <c16:uniqueId val="{00000001-10C4-4D71-847E-6D67B19816D4}"/>
            </c:ext>
          </c:extLst>
        </c:ser>
        <c:ser>
          <c:idx val="2"/>
          <c:order val="2"/>
          <c:tx>
            <c:strRef>
              <c:f>'3Y_OUTPUT'!$E$133</c:f>
              <c:strCache>
                <c:ptCount val="1"/>
                <c:pt idx="0">
                  <c:v>C3</c:v>
                </c:pt>
              </c:strCache>
            </c:strRef>
          </c:tx>
          <c:spPr>
            <a:ln w="25400" cap="flat" cmpd="dbl" algn="ctr">
              <a:solidFill>
                <a:schemeClr val="accent3">
                  <a:alpha val="50000"/>
                </a:schemeClr>
              </a:solidFill>
              <a:round/>
            </a:ln>
            <a:effectLst/>
          </c:spPr>
          <c:marker>
            <c:symbol val="circle"/>
            <c:size val="10"/>
            <c:spPr>
              <a:solidFill>
                <a:srgbClr val="7030A0"/>
              </a:solidFill>
              <a:ln w="9525" cap="flat" cmpd="dbl" algn="ctr">
                <a:solidFill>
                  <a:srgbClr val="7030A0">
                    <a:alpha val="70000"/>
                  </a:srgbClr>
                </a:solidFill>
                <a:round/>
              </a:ln>
              <a:effectLst/>
            </c:spPr>
          </c:marker>
          <c:dLbls>
            <c:spPr>
              <a:noFill/>
              <a:ln>
                <a:noFill/>
              </a:ln>
              <a:effectLst/>
            </c:spPr>
            <c:txPr>
              <a:bodyPr rot="0" vert="horz"/>
              <a:lstStyle/>
              <a:p>
                <a:pPr>
                  <a:defRPr/>
                </a:pPr>
                <a:endParaRPr lang="en-US"/>
              </a:p>
            </c:txPr>
            <c:showLegendKey val="0"/>
            <c:showVal val="0"/>
            <c:showCatName val="0"/>
            <c:showSerName val="1"/>
            <c:showPercent val="0"/>
            <c:showBubbleSize val="0"/>
            <c:showLeaderLines val="0"/>
            <c:extLst>
              <c:ext xmlns:c15="http://schemas.microsoft.com/office/drawing/2012/chart" uri="{CE6537A1-D6FC-4f65-9D91-7224C49458BB}">
                <c15:showLeaderLines val="0"/>
              </c:ext>
            </c:extLst>
          </c:dLbls>
          <c:xVal>
            <c:numRef>
              <c:f>'3Y_OUTPUT'!$E$139</c:f>
              <c:numCache>
                <c:formatCode>0.0</c:formatCode>
                <c:ptCount val="1"/>
                <c:pt idx="0">
                  <c:v>0.5669593591800155</c:v>
                </c:pt>
              </c:numCache>
            </c:numRef>
          </c:xVal>
          <c:yVal>
            <c:numRef>
              <c:f>'3Y_OUTPUT'!$E$134</c:f>
              <c:numCache>
                <c:formatCode>0.0</c:formatCode>
                <c:ptCount val="1"/>
                <c:pt idx="0">
                  <c:v>1.1546032420039498</c:v>
                </c:pt>
              </c:numCache>
            </c:numRef>
          </c:yVal>
          <c:smooth val="0"/>
          <c:extLst>
            <c:ext xmlns:c16="http://schemas.microsoft.com/office/drawing/2014/chart" uri="{C3380CC4-5D6E-409C-BE32-E72D297353CC}">
              <c16:uniqueId val="{00000002-10C4-4D71-847E-6D67B19816D4}"/>
            </c:ext>
          </c:extLst>
        </c:ser>
        <c:ser>
          <c:idx val="3"/>
          <c:order val="3"/>
          <c:tx>
            <c:strRef>
              <c:f>'3Y_OUTPUT'!$F$133</c:f>
              <c:strCache>
                <c:ptCount val="1"/>
                <c:pt idx="0">
                  <c:v>C4</c:v>
                </c:pt>
              </c:strCache>
            </c:strRef>
          </c:tx>
          <c:spPr>
            <a:ln w="25400" cap="flat" cmpd="dbl" algn="ctr">
              <a:solidFill>
                <a:schemeClr val="accent4">
                  <a:alpha val="50000"/>
                </a:schemeClr>
              </a:solidFill>
              <a:round/>
            </a:ln>
            <a:effectLst/>
          </c:spPr>
          <c:marker>
            <c:symbol val="circle"/>
            <c:size val="10"/>
            <c:spPr>
              <a:solidFill>
                <a:srgbClr val="0070C0"/>
              </a:solidFill>
              <a:ln w="9525" cap="flat" cmpd="dbl" algn="ctr">
                <a:solidFill>
                  <a:srgbClr val="0070C0">
                    <a:alpha val="70000"/>
                  </a:srgbClr>
                </a:solidFill>
                <a:round/>
              </a:ln>
              <a:effectLst/>
            </c:spPr>
          </c:marker>
          <c:dLbls>
            <c:spPr>
              <a:noFill/>
              <a:ln>
                <a:noFill/>
              </a:ln>
              <a:effectLst/>
            </c:spPr>
            <c:txPr>
              <a:bodyPr rot="0" vert="horz"/>
              <a:lstStyle/>
              <a:p>
                <a:pPr>
                  <a:defRPr/>
                </a:pPr>
                <a:endParaRPr lang="en-US"/>
              </a:p>
            </c:txPr>
            <c:showLegendKey val="0"/>
            <c:showVal val="0"/>
            <c:showCatName val="0"/>
            <c:showSerName val="1"/>
            <c:showPercent val="0"/>
            <c:showBubbleSize val="0"/>
            <c:showLeaderLines val="0"/>
            <c:extLst>
              <c:ext xmlns:c15="http://schemas.microsoft.com/office/drawing/2012/chart" uri="{CE6537A1-D6FC-4f65-9D91-7224C49458BB}">
                <c15:showLeaderLines val="0"/>
              </c:ext>
            </c:extLst>
          </c:dLbls>
          <c:xVal>
            <c:numRef>
              <c:f>'3Y_OUTPUT'!$F$139</c:f>
              <c:numCache>
                <c:formatCode>0.0</c:formatCode>
                <c:ptCount val="1"/>
                <c:pt idx="0">
                  <c:v>0.7276729347642652</c:v>
                </c:pt>
              </c:numCache>
            </c:numRef>
          </c:xVal>
          <c:yVal>
            <c:numRef>
              <c:f>'3Y_OUTPUT'!$F$134</c:f>
              <c:numCache>
                <c:formatCode>0.0</c:formatCode>
                <c:ptCount val="1"/>
                <c:pt idx="0">
                  <c:v>1.5037175470977941</c:v>
                </c:pt>
              </c:numCache>
            </c:numRef>
          </c:yVal>
          <c:smooth val="0"/>
          <c:extLst>
            <c:ext xmlns:c16="http://schemas.microsoft.com/office/drawing/2014/chart" uri="{C3380CC4-5D6E-409C-BE32-E72D297353CC}">
              <c16:uniqueId val="{00000003-10C4-4D71-847E-6D67B19816D4}"/>
            </c:ext>
          </c:extLst>
        </c:ser>
        <c:dLbls>
          <c:showLegendKey val="0"/>
          <c:showVal val="0"/>
          <c:showCatName val="0"/>
          <c:showSerName val="0"/>
          <c:showPercent val="0"/>
          <c:showBubbleSize val="0"/>
        </c:dLbls>
        <c:axId val="253612416"/>
        <c:axId val="253614336"/>
      </c:scatterChart>
      <c:valAx>
        <c:axId val="253612416"/>
        <c:scaling>
          <c:orientation val="minMax"/>
          <c:max val="0.75000000000000011"/>
          <c:min val="0.4"/>
        </c:scaling>
        <c:delete val="0"/>
        <c:axPos val="b"/>
        <c:majorGridlines>
          <c:spPr>
            <a:ln w="9525" cap="flat" cmpd="sng" algn="ctr">
              <a:noFill/>
              <a:prstDash val="dash"/>
              <a:round/>
            </a:ln>
            <a:effectLst/>
          </c:spPr>
        </c:majorGridlines>
        <c:minorGridlines>
          <c:spPr>
            <a:ln w="9525" cap="flat" cmpd="sng" algn="ctr">
              <a:solidFill>
                <a:sysClr val="window" lastClr="FFFFFF"/>
              </a:solidFill>
              <a:round/>
            </a:ln>
            <a:effectLst/>
          </c:spPr>
        </c:minorGridlines>
        <c:title>
          <c:tx>
            <c:rich>
              <a:bodyPr rot="0" vert="horz"/>
              <a:lstStyle/>
              <a:p>
                <a:pPr>
                  <a:defRPr>
                    <a:solidFill>
                      <a:schemeClr val="accent5">
                        <a:lumMod val="50000"/>
                      </a:schemeClr>
                    </a:solidFill>
                  </a:defRPr>
                </a:pPr>
                <a:r>
                  <a:rPr lang="sr-Cyrl-RS">
                    <a:solidFill>
                      <a:schemeClr val="accent5">
                        <a:lumMod val="50000"/>
                      </a:schemeClr>
                    </a:solidFill>
                  </a:rPr>
                  <a:t>Ризик</a:t>
                </a:r>
              </a:p>
            </c:rich>
          </c:tx>
          <c:layout>
            <c:manualLayout>
              <c:xMode val="edge"/>
              <c:yMode val="edge"/>
              <c:x val="0.47124973398595482"/>
              <c:y val="0.92970168612191961"/>
            </c:manualLayout>
          </c:layout>
          <c:overlay val="0"/>
          <c:spPr>
            <a:noFill/>
            <a:ln>
              <a:noFill/>
            </a:ln>
            <a:effectLst/>
          </c:spPr>
        </c:title>
        <c:numFmt formatCode="0.00" sourceLinked="0"/>
        <c:majorTickMark val="none"/>
        <c:minorTickMark val="none"/>
        <c:tickLblPos val="nextTo"/>
        <c:spPr>
          <a:noFill/>
          <a:ln>
            <a:noFill/>
          </a:ln>
          <a:effectLst/>
        </c:spPr>
        <c:txPr>
          <a:bodyPr rot="0"/>
          <a:lstStyle/>
          <a:p>
            <a:pPr>
              <a:defRPr sz="800">
                <a:solidFill>
                  <a:schemeClr val="accent5">
                    <a:lumMod val="50000"/>
                  </a:schemeClr>
                </a:solidFill>
              </a:defRPr>
            </a:pPr>
            <a:endParaRPr lang="en-US"/>
          </a:p>
        </c:txPr>
        <c:crossAx val="253614336"/>
        <c:crosses val="autoZero"/>
        <c:crossBetween val="midCat"/>
      </c:valAx>
      <c:valAx>
        <c:axId val="253614336"/>
        <c:scaling>
          <c:orientation val="minMax"/>
          <c:max val="1.6"/>
          <c:min val="1"/>
        </c:scaling>
        <c:delete val="0"/>
        <c:axPos val="l"/>
        <c:majorGridlines>
          <c:spPr>
            <a:ln w="9525" cap="flat" cmpd="sng" algn="ctr">
              <a:noFill/>
              <a:prstDash val="dash"/>
              <a:round/>
            </a:ln>
            <a:effectLst/>
          </c:spPr>
        </c:majorGridlines>
        <c:minorGridlines>
          <c:spPr>
            <a:ln w="9525" cap="flat" cmpd="sng" algn="ctr">
              <a:noFill/>
              <a:round/>
            </a:ln>
            <a:effectLst/>
          </c:spPr>
        </c:minorGridlines>
        <c:title>
          <c:tx>
            <c:rich>
              <a:bodyPr rot="-5400000" vert="horz"/>
              <a:lstStyle/>
              <a:p>
                <a:pPr>
                  <a:defRPr>
                    <a:solidFill>
                      <a:schemeClr val="accent5">
                        <a:lumMod val="50000"/>
                      </a:schemeClr>
                    </a:solidFill>
                  </a:defRPr>
                </a:pPr>
                <a:r>
                  <a:rPr lang="sr-Cyrl-CS">
                    <a:solidFill>
                      <a:schemeClr val="accent5">
                        <a:lumMod val="50000"/>
                      </a:schemeClr>
                    </a:solidFill>
                  </a:rPr>
                  <a:t>Трошкови (%)</a:t>
                </a:r>
              </a:p>
            </c:rich>
          </c:tx>
          <c:layout>
            <c:manualLayout>
              <c:xMode val="edge"/>
              <c:yMode val="edge"/>
              <c:x val="5.5101280905570449E-3"/>
              <c:y val="0.26999821173104432"/>
            </c:manualLayout>
          </c:layout>
          <c:overlay val="0"/>
          <c:spPr>
            <a:noFill/>
            <a:ln>
              <a:noFill/>
            </a:ln>
            <a:effectLst/>
          </c:spPr>
        </c:title>
        <c:numFmt formatCode="0.00" sourceLinked="0"/>
        <c:majorTickMark val="none"/>
        <c:minorTickMark val="none"/>
        <c:tickLblPos val="nextTo"/>
        <c:spPr>
          <a:noFill/>
          <a:ln>
            <a:noFill/>
          </a:ln>
          <a:effectLst/>
        </c:spPr>
        <c:txPr>
          <a:bodyPr rot="0"/>
          <a:lstStyle/>
          <a:p>
            <a:pPr>
              <a:defRPr sz="800">
                <a:solidFill>
                  <a:schemeClr val="accent5">
                    <a:lumMod val="50000"/>
                  </a:schemeClr>
                </a:solidFill>
              </a:defRPr>
            </a:pPr>
            <a:endParaRPr lang="en-US"/>
          </a:p>
        </c:txPr>
        <c:crossAx val="253612416"/>
        <c:crosses val="autoZero"/>
        <c:crossBetween val="midCat"/>
        <c:majorUnit val="0.2"/>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latin typeface="Calibri" panose="020F0502020204030204" pitchFamily="34" charset="0"/>
          <a:cs typeface="Calibri" panose="020F0502020204030204" pitchFamily="34" charset="0"/>
        </a:defRPr>
      </a:pPr>
      <a:endParaRPr lang="en-US"/>
    </a:p>
  </c:txPr>
  <c:externalData r:id="rId1">
    <c:autoUpdate val="0"/>
  </c:externalData>
</c:chartSpace>
</file>

<file path=word/charts/chart7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0"/>
    <c:plotArea>
      <c:layout>
        <c:manualLayout>
          <c:layoutTarget val="inner"/>
          <c:xMode val="edge"/>
          <c:yMode val="edge"/>
          <c:x val="6.7368051268925991E-2"/>
          <c:y val="2.4498269896193772E-2"/>
          <c:w val="0.9372012977727866"/>
          <c:h val="0.90122138542350005"/>
        </c:manualLayout>
      </c:layout>
      <c:lineChart>
        <c:grouping val="standard"/>
        <c:varyColors val="0"/>
        <c:ser>
          <c:idx val="0"/>
          <c:order val="0"/>
          <c:spPr>
            <a:ln w="28575" cap="rnd" cmpd="sng" algn="ctr">
              <a:solidFill>
                <a:schemeClr val="accent1">
                  <a:shade val="40000"/>
                  <a:shade val="95000"/>
                  <a:satMod val="105000"/>
                </a:schemeClr>
              </a:solidFill>
              <a:prstDash val="solid"/>
              <a:round/>
            </a:ln>
            <a:effectLst/>
          </c:spPr>
          <c:marker>
            <c:spPr>
              <a:solidFill>
                <a:schemeClr val="accent1">
                  <a:shade val="38000"/>
                </a:schemeClr>
              </a:solidFill>
              <a:ln w="9525" cap="flat" cmpd="sng" algn="ctr">
                <a:solidFill>
                  <a:schemeClr val="accent1">
                    <a:shade val="38000"/>
                    <a:shade val="95000"/>
                    <a:satMod val="105000"/>
                  </a:schemeClr>
                </a:solidFill>
                <a:prstDash val="solid"/>
                <a:round/>
              </a:ln>
              <a:effectLst/>
            </c:spPr>
          </c:marker>
          <c:dLbls>
            <c:numFmt formatCode="#,##0.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mn-lt"/>
                    <a:ea typeface="+mn-ea"/>
                    <a:cs typeface="+mn-cs"/>
                  </a:defRPr>
                </a:pPr>
                <a:endParaRPr lang="en-US"/>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'uticaj promene kursa'!$H$56:$P$56</c:f>
              <c:numCache>
                <c:formatCode>General</c:formatCode>
                <c:ptCount val="9"/>
                <c:pt idx="0">
                  <c:v>2016</c:v>
                </c:pt>
                <c:pt idx="1">
                  <c:v>2017</c:v>
                </c:pt>
                <c:pt idx="2">
                  <c:v>2018</c:v>
                </c:pt>
                <c:pt idx="3">
                  <c:v>2019</c:v>
                </c:pt>
                <c:pt idx="4">
                  <c:v>2020</c:v>
                </c:pt>
                <c:pt idx="5">
                  <c:v>2021</c:v>
                </c:pt>
                <c:pt idx="6">
                  <c:v>2022</c:v>
                </c:pt>
                <c:pt idx="7">
                  <c:v>2023</c:v>
                </c:pt>
                <c:pt idx="8">
                  <c:v>2024</c:v>
                </c:pt>
              </c:numCache>
            </c:numRef>
          </c:cat>
          <c:val>
            <c:numRef>
              <c:f>'uticaj promene kursa'!$H$56:$P$56</c:f>
              <c:numCache>
                <c:formatCode>General</c:formatCode>
                <c:ptCount val="9"/>
                <c:pt idx="0">
                  <c:v>2016</c:v>
                </c:pt>
                <c:pt idx="1">
                  <c:v>2017</c:v>
                </c:pt>
                <c:pt idx="2">
                  <c:v>2018</c:v>
                </c:pt>
                <c:pt idx="3">
                  <c:v>2019</c:v>
                </c:pt>
                <c:pt idx="4">
                  <c:v>2020</c:v>
                </c:pt>
                <c:pt idx="5">
                  <c:v>2021</c:v>
                </c:pt>
                <c:pt idx="6">
                  <c:v>2022</c:v>
                </c:pt>
                <c:pt idx="7">
                  <c:v>2023</c:v>
                </c:pt>
                <c:pt idx="8">
                  <c:v>2024</c:v>
                </c:pt>
              </c:numCache>
            </c:numRef>
          </c:val>
          <c:smooth val="0"/>
          <c:extLst>
            <c:ext xmlns:c16="http://schemas.microsoft.com/office/drawing/2014/chart" uri="{C3380CC4-5D6E-409C-BE32-E72D297353CC}">
              <c16:uniqueId val="{00000000-5B2B-4909-B24F-DCFE0AFBE6F8}"/>
            </c:ext>
          </c:extLst>
        </c:ser>
        <c:ser>
          <c:idx val="1"/>
          <c:order val="1"/>
          <c:spPr>
            <a:ln w="28575" cap="rnd" cmpd="sng" algn="ctr">
              <a:solidFill>
                <a:schemeClr val="accent1">
                  <a:shade val="51000"/>
                  <a:shade val="95000"/>
                  <a:satMod val="105000"/>
                </a:schemeClr>
              </a:solidFill>
              <a:prstDash val="solid"/>
              <a:round/>
            </a:ln>
            <a:effectLst/>
          </c:spPr>
          <c:marker>
            <c:symbol val="diamond"/>
            <c:size val="10"/>
            <c:spPr>
              <a:solidFill>
                <a:schemeClr val="accent1">
                  <a:shade val="45000"/>
                </a:schemeClr>
              </a:solidFill>
              <a:ln w="9525" cap="flat" cmpd="sng" algn="ctr">
                <a:solidFill>
                  <a:schemeClr val="accent1">
                    <a:shade val="45000"/>
                    <a:shade val="95000"/>
                    <a:satMod val="105000"/>
                  </a:schemeClr>
                </a:solidFill>
                <a:prstDash val="solid"/>
                <a:round/>
              </a:ln>
              <a:effectLst/>
            </c:spPr>
          </c:marker>
          <c:dLbls>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mn-lt"/>
                    <a:ea typeface="+mn-ea"/>
                    <a:cs typeface="+mn-cs"/>
                  </a:defRPr>
                </a:pPr>
                <a:endParaRPr lang="en-US"/>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numRef>
              <c:f>'uticaj promene kursa'!$H$56:$P$56</c:f>
              <c:numCache>
                <c:formatCode>General</c:formatCode>
                <c:ptCount val="9"/>
                <c:pt idx="0">
                  <c:v>2016</c:v>
                </c:pt>
                <c:pt idx="1">
                  <c:v>2017</c:v>
                </c:pt>
                <c:pt idx="2">
                  <c:v>2018</c:v>
                </c:pt>
                <c:pt idx="3">
                  <c:v>2019</c:v>
                </c:pt>
                <c:pt idx="4">
                  <c:v>2020</c:v>
                </c:pt>
                <c:pt idx="5">
                  <c:v>2021</c:v>
                </c:pt>
                <c:pt idx="6">
                  <c:v>2022</c:v>
                </c:pt>
                <c:pt idx="7">
                  <c:v>2023</c:v>
                </c:pt>
                <c:pt idx="8">
                  <c:v>2024</c:v>
                </c:pt>
              </c:numCache>
            </c:numRef>
          </c:cat>
          <c:val>
            <c:numRef>
              <c:f>'uticaj promene kursa'!$H$57:$P$57</c:f>
              <c:numCache>
                <c:formatCode>#,##0.0</c:formatCode>
                <c:ptCount val="9"/>
                <c:pt idx="0">
                  <c:v>67.678479463063553</c:v>
                </c:pt>
                <c:pt idx="1">
                  <c:v>57.788223811969416</c:v>
                </c:pt>
                <c:pt idx="2">
                  <c:v>53.621882530067857</c:v>
                </c:pt>
                <c:pt idx="3">
                  <c:v>51.9</c:v>
                </c:pt>
                <c:pt idx="4">
                  <c:v>57</c:v>
                </c:pt>
                <c:pt idx="5">
                  <c:v>57.3</c:v>
                </c:pt>
                <c:pt idx="6">
                  <c:v>55.5</c:v>
                </c:pt>
                <c:pt idx="7">
                  <c:v>54.3</c:v>
                </c:pt>
                <c:pt idx="8">
                  <c:v>52.7</c:v>
                </c:pt>
              </c:numCache>
            </c:numRef>
          </c:val>
          <c:smooth val="0"/>
          <c:extLst>
            <c:ext xmlns:c16="http://schemas.microsoft.com/office/drawing/2014/chart" uri="{C3380CC4-5D6E-409C-BE32-E72D297353CC}">
              <c16:uniqueId val="{00000001-5B2B-4909-B24F-DCFE0AFBE6F8}"/>
            </c:ext>
          </c:extLst>
        </c:ser>
        <c:ser>
          <c:idx val="2"/>
          <c:order val="2"/>
          <c:spPr>
            <a:ln w="28575" cap="rnd" cmpd="sng" algn="ctr">
              <a:solidFill>
                <a:schemeClr val="accent1">
                  <a:shade val="62000"/>
                  <a:shade val="95000"/>
                  <a:satMod val="105000"/>
                </a:schemeClr>
              </a:solidFill>
              <a:prstDash val="solid"/>
              <a:round/>
            </a:ln>
            <a:effectLst/>
          </c:spPr>
          <c:marker>
            <c:symbol val="none"/>
          </c:marker>
          <c:cat>
            <c:numRef>
              <c:f>'uticaj promene kursa'!$H$56:$P$56</c:f>
              <c:numCache>
                <c:formatCode>General</c:formatCode>
                <c:ptCount val="9"/>
                <c:pt idx="0">
                  <c:v>2016</c:v>
                </c:pt>
                <c:pt idx="1">
                  <c:v>2017</c:v>
                </c:pt>
                <c:pt idx="2">
                  <c:v>2018</c:v>
                </c:pt>
                <c:pt idx="3">
                  <c:v>2019</c:v>
                </c:pt>
                <c:pt idx="4">
                  <c:v>2020</c:v>
                </c:pt>
                <c:pt idx="5">
                  <c:v>2021</c:v>
                </c:pt>
                <c:pt idx="6">
                  <c:v>2022</c:v>
                </c:pt>
                <c:pt idx="7">
                  <c:v>2023</c:v>
                </c:pt>
                <c:pt idx="8">
                  <c:v>2024</c:v>
                </c:pt>
              </c:numCache>
            </c:numRef>
          </c:cat>
          <c:val>
            <c:numRef>
              <c:f>'uticaj promene kursa'!$H$58:$P$58</c:f>
              <c:numCache>
                <c:formatCode>#,##0.0</c:formatCode>
                <c:ptCount val="9"/>
                <c:pt idx="0">
                  <c:v>67.678479463063553</c:v>
                </c:pt>
                <c:pt idx="1">
                  <c:v>57.788223811969416</c:v>
                </c:pt>
                <c:pt idx="2">
                  <c:v>53.621882530067857</c:v>
                </c:pt>
                <c:pt idx="3">
                  <c:v>51.9</c:v>
                </c:pt>
                <c:pt idx="4">
                  <c:v>57</c:v>
                </c:pt>
                <c:pt idx="5">
                  <c:v>58.077861824681129</c:v>
                </c:pt>
                <c:pt idx="6">
                  <c:v>56.221303342628836</c:v>
                </c:pt>
                <c:pt idx="7">
                  <c:v>54.997639798502476</c:v>
                </c:pt>
                <c:pt idx="8">
                  <c:v>53.444383425003991</c:v>
                </c:pt>
              </c:numCache>
            </c:numRef>
          </c:val>
          <c:smooth val="0"/>
          <c:extLst>
            <c:ext xmlns:c16="http://schemas.microsoft.com/office/drawing/2014/chart" uri="{C3380CC4-5D6E-409C-BE32-E72D297353CC}">
              <c16:uniqueId val="{00000002-5B2B-4909-B24F-DCFE0AFBE6F8}"/>
            </c:ext>
          </c:extLst>
        </c:ser>
        <c:ser>
          <c:idx val="3"/>
          <c:order val="3"/>
          <c:spPr>
            <a:ln w="28575" cap="rnd" cmpd="sng" algn="ctr">
              <a:solidFill>
                <a:schemeClr val="accent1">
                  <a:shade val="73000"/>
                  <a:shade val="95000"/>
                  <a:satMod val="105000"/>
                </a:schemeClr>
              </a:solidFill>
              <a:prstDash val="solid"/>
              <a:round/>
            </a:ln>
            <a:effectLst/>
          </c:spPr>
          <c:marker>
            <c:symbol val="none"/>
          </c:marker>
          <c:cat>
            <c:numRef>
              <c:f>'uticaj promene kursa'!$H$56:$P$56</c:f>
              <c:numCache>
                <c:formatCode>General</c:formatCode>
                <c:ptCount val="9"/>
                <c:pt idx="0">
                  <c:v>2016</c:v>
                </c:pt>
                <c:pt idx="1">
                  <c:v>2017</c:v>
                </c:pt>
                <c:pt idx="2">
                  <c:v>2018</c:v>
                </c:pt>
                <c:pt idx="3">
                  <c:v>2019</c:v>
                </c:pt>
                <c:pt idx="4">
                  <c:v>2020</c:v>
                </c:pt>
                <c:pt idx="5">
                  <c:v>2021</c:v>
                </c:pt>
                <c:pt idx="6">
                  <c:v>2022</c:v>
                </c:pt>
                <c:pt idx="7">
                  <c:v>2023</c:v>
                </c:pt>
                <c:pt idx="8">
                  <c:v>2024</c:v>
                </c:pt>
              </c:numCache>
            </c:numRef>
          </c:cat>
          <c:val>
            <c:numRef>
              <c:f>'uticaj promene kursa'!$H$59:$P$59</c:f>
              <c:numCache>
                <c:formatCode>#,##0.0</c:formatCode>
                <c:ptCount val="9"/>
                <c:pt idx="0">
                  <c:v>67.678479463063553</c:v>
                </c:pt>
                <c:pt idx="1">
                  <c:v>57.788223811969416</c:v>
                </c:pt>
                <c:pt idx="2">
                  <c:v>53.621882530067857</c:v>
                </c:pt>
                <c:pt idx="3">
                  <c:v>51.9</c:v>
                </c:pt>
                <c:pt idx="4">
                  <c:v>57</c:v>
                </c:pt>
                <c:pt idx="5">
                  <c:v>58.87972579464715</c:v>
                </c:pt>
                <c:pt idx="6">
                  <c:v>56.97565390050152</c:v>
                </c:pt>
                <c:pt idx="7">
                  <c:v>55.73557182421245</c:v>
                </c:pt>
                <c:pt idx="8">
                  <c:v>54.161474599609413</c:v>
                </c:pt>
              </c:numCache>
            </c:numRef>
          </c:val>
          <c:smooth val="0"/>
          <c:extLst>
            <c:ext xmlns:c16="http://schemas.microsoft.com/office/drawing/2014/chart" uri="{C3380CC4-5D6E-409C-BE32-E72D297353CC}">
              <c16:uniqueId val="{00000003-5B2B-4909-B24F-DCFE0AFBE6F8}"/>
            </c:ext>
          </c:extLst>
        </c:ser>
        <c:ser>
          <c:idx val="4"/>
          <c:order val="4"/>
          <c:spPr>
            <a:ln w="28575" cap="rnd" cmpd="sng" algn="ctr">
              <a:solidFill>
                <a:schemeClr val="accent1">
                  <a:shade val="83000"/>
                  <a:shade val="95000"/>
                  <a:satMod val="105000"/>
                </a:schemeClr>
              </a:solidFill>
              <a:prstDash val="solid"/>
              <a:round/>
            </a:ln>
            <a:effectLst/>
          </c:spPr>
          <c:marker>
            <c:symbol val="none"/>
          </c:marker>
          <c:cat>
            <c:numRef>
              <c:f>'uticaj promene kursa'!$H$56:$P$56</c:f>
              <c:numCache>
                <c:formatCode>General</c:formatCode>
                <c:ptCount val="9"/>
                <c:pt idx="0">
                  <c:v>2016</c:v>
                </c:pt>
                <c:pt idx="1">
                  <c:v>2017</c:v>
                </c:pt>
                <c:pt idx="2">
                  <c:v>2018</c:v>
                </c:pt>
                <c:pt idx="3">
                  <c:v>2019</c:v>
                </c:pt>
                <c:pt idx="4">
                  <c:v>2020</c:v>
                </c:pt>
                <c:pt idx="5">
                  <c:v>2021</c:v>
                </c:pt>
                <c:pt idx="6">
                  <c:v>2022</c:v>
                </c:pt>
                <c:pt idx="7">
                  <c:v>2023</c:v>
                </c:pt>
                <c:pt idx="8">
                  <c:v>2024</c:v>
                </c:pt>
              </c:numCache>
            </c:numRef>
          </c:cat>
          <c:val>
            <c:numRef>
              <c:f>'uticaj promene kursa'!$H$60:$P$60</c:f>
              <c:numCache>
                <c:formatCode>#,##0.0</c:formatCode>
                <c:ptCount val="9"/>
                <c:pt idx="0">
                  <c:v>67.678479463063553</c:v>
                </c:pt>
                <c:pt idx="1">
                  <c:v>57.788223811969416</c:v>
                </c:pt>
                <c:pt idx="2">
                  <c:v>53.621882530067857</c:v>
                </c:pt>
                <c:pt idx="3">
                  <c:v>51.9</c:v>
                </c:pt>
                <c:pt idx="4">
                  <c:v>57</c:v>
                </c:pt>
                <c:pt idx="5">
                  <c:v>59.681589764613165</c:v>
                </c:pt>
                <c:pt idx="6">
                  <c:v>57.730004458374204</c:v>
                </c:pt>
                <c:pt idx="7">
                  <c:v>56.473503849922423</c:v>
                </c:pt>
                <c:pt idx="8">
                  <c:v>54.878565774214835</c:v>
                </c:pt>
              </c:numCache>
            </c:numRef>
          </c:val>
          <c:smooth val="0"/>
          <c:extLst>
            <c:ext xmlns:c16="http://schemas.microsoft.com/office/drawing/2014/chart" uri="{C3380CC4-5D6E-409C-BE32-E72D297353CC}">
              <c16:uniqueId val="{00000004-5B2B-4909-B24F-DCFE0AFBE6F8}"/>
            </c:ext>
          </c:extLst>
        </c:ser>
        <c:ser>
          <c:idx val="5"/>
          <c:order val="5"/>
          <c:spPr>
            <a:ln w="28575" cap="rnd" cmpd="sng" algn="ctr">
              <a:solidFill>
                <a:schemeClr val="accent1">
                  <a:shade val="94000"/>
                  <a:shade val="95000"/>
                  <a:satMod val="105000"/>
                </a:schemeClr>
              </a:solidFill>
              <a:prstDash val="solid"/>
              <a:round/>
            </a:ln>
            <a:effectLst/>
          </c:spPr>
          <c:marker>
            <c:symbol val="none"/>
          </c:marker>
          <c:cat>
            <c:numRef>
              <c:f>'uticaj promene kursa'!$H$56:$P$56</c:f>
              <c:numCache>
                <c:formatCode>General</c:formatCode>
                <c:ptCount val="9"/>
                <c:pt idx="0">
                  <c:v>2016</c:v>
                </c:pt>
                <c:pt idx="1">
                  <c:v>2017</c:v>
                </c:pt>
                <c:pt idx="2">
                  <c:v>2018</c:v>
                </c:pt>
                <c:pt idx="3">
                  <c:v>2019</c:v>
                </c:pt>
                <c:pt idx="4">
                  <c:v>2020</c:v>
                </c:pt>
                <c:pt idx="5">
                  <c:v>2021</c:v>
                </c:pt>
                <c:pt idx="6">
                  <c:v>2022</c:v>
                </c:pt>
                <c:pt idx="7">
                  <c:v>2023</c:v>
                </c:pt>
                <c:pt idx="8">
                  <c:v>2024</c:v>
                </c:pt>
              </c:numCache>
            </c:numRef>
          </c:cat>
          <c:val>
            <c:numRef>
              <c:f>'uticaj promene kursa'!$H$61:$P$61</c:f>
              <c:numCache>
                <c:formatCode>#,##0.0</c:formatCode>
                <c:ptCount val="9"/>
                <c:pt idx="0">
                  <c:v>67.678479463063553</c:v>
                </c:pt>
                <c:pt idx="1">
                  <c:v>57.788223811969416</c:v>
                </c:pt>
                <c:pt idx="2">
                  <c:v>53.621882530067857</c:v>
                </c:pt>
                <c:pt idx="3">
                  <c:v>51.9</c:v>
                </c:pt>
                <c:pt idx="4">
                  <c:v>57</c:v>
                </c:pt>
                <c:pt idx="5">
                  <c:v>60.483453734579172</c:v>
                </c:pt>
                <c:pt idx="6">
                  <c:v>58.484355016246894</c:v>
                </c:pt>
                <c:pt idx="7">
                  <c:v>57.211435875632411</c:v>
                </c:pt>
                <c:pt idx="8">
                  <c:v>55.595656948820263</c:v>
                </c:pt>
              </c:numCache>
            </c:numRef>
          </c:val>
          <c:smooth val="0"/>
          <c:extLst>
            <c:ext xmlns:c16="http://schemas.microsoft.com/office/drawing/2014/chart" uri="{C3380CC4-5D6E-409C-BE32-E72D297353CC}">
              <c16:uniqueId val="{00000005-5B2B-4909-B24F-DCFE0AFBE6F8}"/>
            </c:ext>
          </c:extLst>
        </c:ser>
        <c:ser>
          <c:idx val="6"/>
          <c:order val="6"/>
          <c:spPr>
            <a:ln w="28575" cap="rnd" cmpd="sng" algn="ctr">
              <a:solidFill>
                <a:schemeClr val="accent1">
                  <a:tint val="95000"/>
                  <a:shade val="95000"/>
                  <a:satMod val="105000"/>
                </a:schemeClr>
              </a:solidFill>
              <a:prstDash val="solid"/>
              <a:round/>
            </a:ln>
            <a:effectLst/>
          </c:spPr>
          <c:marker>
            <c:symbol val="none"/>
          </c:marker>
          <c:dLbls>
            <c:dLbl>
              <c:idx val="0"/>
              <c:delete val="1"/>
              <c:extLst>
                <c:ext xmlns:c15="http://schemas.microsoft.com/office/drawing/2012/chart" uri="{CE6537A1-D6FC-4f65-9D91-7224C49458BB}"/>
                <c:ext xmlns:c16="http://schemas.microsoft.com/office/drawing/2014/chart" uri="{C3380CC4-5D6E-409C-BE32-E72D297353CC}">
                  <c16:uniqueId val="{00000006-5B2B-4909-B24F-DCFE0AFBE6F8}"/>
                </c:ext>
              </c:extLst>
            </c:dLbl>
            <c:dLbl>
              <c:idx val="1"/>
              <c:delete val="1"/>
              <c:extLst>
                <c:ext xmlns:c15="http://schemas.microsoft.com/office/drawing/2012/chart" uri="{CE6537A1-D6FC-4f65-9D91-7224C49458BB}"/>
                <c:ext xmlns:c16="http://schemas.microsoft.com/office/drawing/2014/chart" uri="{C3380CC4-5D6E-409C-BE32-E72D297353CC}">
                  <c16:uniqueId val="{00000007-5B2B-4909-B24F-DCFE0AFBE6F8}"/>
                </c:ext>
              </c:extLst>
            </c:dLbl>
            <c:dLbl>
              <c:idx val="2"/>
              <c:delete val="1"/>
              <c:extLst>
                <c:ext xmlns:c15="http://schemas.microsoft.com/office/drawing/2012/chart" uri="{CE6537A1-D6FC-4f65-9D91-7224C49458BB}"/>
                <c:ext xmlns:c16="http://schemas.microsoft.com/office/drawing/2014/chart" uri="{C3380CC4-5D6E-409C-BE32-E72D297353CC}">
                  <c16:uniqueId val="{00000008-5B2B-4909-B24F-DCFE0AFBE6F8}"/>
                </c:ext>
              </c:extLst>
            </c:dLbl>
            <c:dLbl>
              <c:idx val="3"/>
              <c:delete val="1"/>
              <c:extLst>
                <c:ext xmlns:c15="http://schemas.microsoft.com/office/drawing/2012/chart" uri="{CE6537A1-D6FC-4f65-9D91-7224C49458BB}"/>
                <c:ext xmlns:c16="http://schemas.microsoft.com/office/drawing/2014/chart" uri="{C3380CC4-5D6E-409C-BE32-E72D297353CC}">
                  <c16:uniqueId val="{00000009-5B2B-4909-B24F-DCFE0AFBE6F8}"/>
                </c:ext>
              </c:extLst>
            </c:dLbl>
            <c:dLbl>
              <c:idx val="4"/>
              <c:delete val="1"/>
              <c:extLst>
                <c:ext xmlns:c15="http://schemas.microsoft.com/office/drawing/2012/chart" uri="{CE6537A1-D6FC-4f65-9D91-7224C49458BB}"/>
                <c:ext xmlns:c16="http://schemas.microsoft.com/office/drawing/2014/chart" uri="{C3380CC4-5D6E-409C-BE32-E72D297353CC}">
                  <c16:uniqueId val="{0000000A-5B2B-4909-B24F-DCFE0AFBE6F8}"/>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mn-lt"/>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numRef>
              <c:f>'uticaj promene kursa'!$H$56:$P$56</c:f>
              <c:numCache>
                <c:formatCode>General</c:formatCode>
                <c:ptCount val="9"/>
                <c:pt idx="0">
                  <c:v>2016</c:v>
                </c:pt>
                <c:pt idx="1">
                  <c:v>2017</c:v>
                </c:pt>
                <c:pt idx="2">
                  <c:v>2018</c:v>
                </c:pt>
                <c:pt idx="3">
                  <c:v>2019</c:v>
                </c:pt>
                <c:pt idx="4">
                  <c:v>2020</c:v>
                </c:pt>
                <c:pt idx="5">
                  <c:v>2021</c:v>
                </c:pt>
                <c:pt idx="6">
                  <c:v>2022</c:v>
                </c:pt>
                <c:pt idx="7">
                  <c:v>2023</c:v>
                </c:pt>
                <c:pt idx="8">
                  <c:v>2024</c:v>
                </c:pt>
              </c:numCache>
            </c:numRef>
          </c:cat>
          <c:val>
            <c:numRef>
              <c:f>'uticaj promene kursa'!$H$62:$P$62</c:f>
              <c:numCache>
                <c:formatCode>#,##0.0</c:formatCode>
                <c:ptCount val="9"/>
                <c:pt idx="0">
                  <c:v>67.678479463063553</c:v>
                </c:pt>
                <c:pt idx="1">
                  <c:v>57.788223811969416</c:v>
                </c:pt>
                <c:pt idx="2">
                  <c:v>53.621882530067857</c:v>
                </c:pt>
                <c:pt idx="3">
                  <c:v>51.9</c:v>
                </c:pt>
                <c:pt idx="4">
                  <c:v>57</c:v>
                </c:pt>
                <c:pt idx="5">
                  <c:v>61.285317704545186</c:v>
                </c:pt>
                <c:pt idx="6">
                  <c:v>59.238705574119578</c:v>
                </c:pt>
                <c:pt idx="7">
                  <c:v>57.949367901342384</c:v>
                </c:pt>
                <c:pt idx="8">
                  <c:v>56.312748123425685</c:v>
                </c:pt>
              </c:numCache>
            </c:numRef>
          </c:val>
          <c:smooth val="0"/>
          <c:extLst>
            <c:ext xmlns:c16="http://schemas.microsoft.com/office/drawing/2014/chart" uri="{C3380CC4-5D6E-409C-BE32-E72D297353CC}">
              <c16:uniqueId val="{0000000B-5B2B-4909-B24F-DCFE0AFBE6F8}"/>
            </c:ext>
          </c:extLst>
        </c:ser>
        <c:ser>
          <c:idx val="7"/>
          <c:order val="7"/>
          <c:spPr>
            <a:ln w="28575" cap="rnd" cmpd="sng" algn="ctr">
              <a:solidFill>
                <a:schemeClr val="accent1">
                  <a:tint val="84000"/>
                  <a:shade val="95000"/>
                  <a:satMod val="105000"/>
                </a:schemeClr>
              </a:solidFill>
              <a:prstDash val="solid"/>
              <a:round/>
            </a:ln>
            <a:effectLst/>
          </c:spPr>
          <c:marker>
            <c:symbol val="none"/>
          </c:marker>
          <c:cat>
            <c:numRef>
              <c:f>'uticaj promene kursa'!$H$56:$P$56</c:f>
              <c:numCache>
                <c:formatCode>General</c:formatCode>
                <c:ptCount val="9"/>
                <c:pt idx="0">
                  <c:v>2016</c:v>
                </c:pt>
                <c:pt idx="1">
                  <c:v>2017</c:v>
                </c:pt>
                <c:pt idx="2">
                  <c:v>2018</c:v>
                </c:pt>
                <c:pt idx="3">
                  <c:v>2019</c:v>
                </c:pt>
                <c:pt idx="4">
                  <c:v>2020</c:v>
                </c:pt>
                <c:pt idx="5">
                  <c:v>2021</c:v>
                </c:pt>
                <c:pt idx="6">
                  <c:v>2022</c:v>
                </c:pt>
                <c:pt idx="7">
                  <c:v>2023</c:v>
                </c:pt>
                <c:pt idx="8">
                  <c:v>2024</c:v>
                </c:pt>
              </c:numCache>
            </c:numRef>
          </c:cat>
          <c:val>
            <c:numRef>
              <c:f>'uticaj promene kursa'!$H$63:$P$63</c:f>
              <c:numCache>
                <c:formatCode>#,##0.0</c:formatCode>
                <c:ptCount val="9"/>
                <c:pt idx="0">
                  <c:v>67.678479463063553</c:v>
                </c:pt>
                <c:pt idx="1">
                  <c:v>57.788223811969416</c:v>
                </c:pt>
                <c:pt idx="2">
                  <c:v>53.621882530067857</c:v>
                </c:pt>
                <c:pt idx="3">
                  <c:v>51.9</c:v>
                </c:pt>
                <c:pt idx="4">
                  <c:v>57</c:v>
                </c:pt>
                <c:pt idx="5">
                  <c:v>56.474133884749108</c:v>
                </c:pt>
                <c:pt idx="6">
                  <c:v>54.712602226883469</c:v>
                </c:pt>
                <c:pt idx="7">
                  <c:v>53.521775747082515</c:v>
                </c:pt>
                <c:pt idx="8">
                  <c:v>52.010201075793148</c:v>
                </c:pt>
              </c:numCache>
            </c:numRef>
          </c:val>
          <c:smooth val="0"/>
          <c:extLst>
            <c:ext xmlns:c16="http://schemas.microsoft.com/office/drawing/2014/chart" uri="{C3380CC4-5D6E-409C-BE32-E72D297353CC}">
              <c16:uniqueId val="{0000000C-5B2B-4909-B24F-DCFE0AFBE6F8}"/>
            </c:ext>
          </c:extLst>
        </c:ser>
        <c:ser>
          <c:idx val="8"/>
          <c:order val="8"/>
          <c:spPr>
            <a:ln w="28575" cap="rnd" cmpd="sng" algn="ctr">
              <a:solidFill>
                <a:schemeClr val="accent1">
                  <a:tint val="74000"/>
                  <a:shade val="95000"/>
                  <a:satMod val="105000"/>
                </a:schemeClr>
              </a:solidFill>
              <a:prstDash val="solid"/>
              <a:round/>
            </a:ln>
            <a:effectLst/>
          </c:spPr>
          <c:marker>
            <c:symbol val="none"/>
          </c:marker>
          <c:cat>
            <c:numRef>
              <c:f>'uticaj promene kursa'!$H$56:$P$56</c:f>
              <c:numCache>
                <c:formatCode>General</c:formatCode>
                <c:ptCount val="9"/>
                <c:pt idx="0">
                  <c:v>2016</c:v>
                </c:pt>
                <c:pt idx="1">
                  <c:v>2017</c:v>
                </c:pt>
                <c:pt idx="2">
                  <c:v>2018</c:v>
                </c:pt>
                <c:pt idx="3">
                  <c:v>2019</c:v>
                </c:pt>
                <c:pt idx="4">
                  <c:v>2020</c:v>
                </c:pt>
                <c:pt idx="5">
                  <c:v>2021</c:v>
                </c:pt>
                <c:pt idx="6">
                  <c:v>2022</c:v>
                </c:pt>
                <c:pt idx="7">
                  <c:v>2023</c:v>
                </c:pt>
                <c:pt idx="8">
                  <c:v>2024</c:v>
                </c:pt>
              </c:numCache>
            </c:numRef>
          </c:cat>
          <c:val>
            <c:numRef>
              <c:f>'uticaj promene kursa'!$H$64:$P$64</c:f>
              <c:numCache>
                <c:formatCode>#,##0.0</c:formatCode>
                <c:ptCount val="9"/>
                <c:pt idx="0">
                  <c:v>67.678479463063553</c:v>
                </c:pt>
                <c:pt idx="1">
                  <c:v>57.788223811969416</c:v>
                </c:pt>
                <c:pt idx="2">
                  <c:v>53.621882530067857</c:v>
                </c:pt>
                <c:pt idx="3">
                  <c:v>51.9</c:v>
                </c:pt>
                <c:pt idx="4">
                  <c:v>57</c:v>
                </c:pt>
                <c:pt idx="5">
                  <c:v>55.672269914783087</c:v>
                </c:pt>
                <c:pt idx="6">
                  <c:v>53.958251669010778</c:v>
                </c:pt>
                <c:pt idx="7">
                  <c:v>52.783843721372534</c:v>
                </c:pt>
                <c:pt idx="8">
                  <c:v>51.293109901187727</c:v>
                </c:pt>
              </c:numCache>
            </c:numRef>
          </c:val>
          <c:smooth val="0"/>
          <c:extLst>
            <c:ext xmlns:c16="http://schemas.microsoft.com/office/drawing/2014/chart" uri="{C3380CC4-5D6E-409C-BE32-E72D297353CC}">
              <c16:uniqueId val="{0000000D-5B2B-4909-B24F-DCFE0AFBE6F8}"/>
            </c:ext>
          </c:extLst>
        </c:ser>
        <c:ser>
          <c:idx val="9"/>
          <c:order val="9"/>
          <c:spPr>
            <a:ln w="28575" cap="rnd" cmpd="sng" algn="ctr">
              <a:solidFill>
                <a:schemeClr val="accent1">
                  <a:tint val="63000"/>
                  <a:shade val="95000"/>
                  <a:satMod val="105000"/>
                </a:schemeClr>
              </a:solidFill>
              <a:prstDash val="solid"/>
              <a:round/>
            </a:ln>
            <a:effectLst/>
          </c:spPr>
          <c:marker>
            <c:symbol val="none"/>
          </c:marker>
          <c:cat>
            <c:numRef>
              <c:f>'uticaj promene kursa'!$H$56:$P$56</c:f>
              <c:numCache>
                <c:formatCode>General</c:formatCode>
                <c:ptCount val="9"/>
                <c:pt idx="0">
                  <c:v>2016</c:v>
                </c:pt>
                <c:pt idx="1">
                  <c:v>2017</c:v>
                </c:pt>
                <c:pt idx="2">
                  <c:v>2018</c:v>
                </c:pt>
                <c:pt idx="3">
                  <c:v>2019</c:v>
                </c:pt>
                <c:pt idx="4">
                  <c:v>2020</c:v>
                </c:pt>
                <c:pt idx="5">
                  <c:v>2021</c:v>
                </c:pt>
                <c:pt idx="6">
                  <c:v>2022</c:v>
                </c:pt>
                <c:pt idx="7">
                  <c:v>2023</c:v>
                </c:pt>
                <c:pt idx="8">
                  <c:v>2024</c:v>
                </c:pt>
              </c:numCache>
            </c:numRef>
          </c:cat>
          <c:val>
            <c:numRef>
              <c:f>'uticaj promene kursa'!$H$65:$P$65</c:f>
              <c:numCache>
                <c:formatCode>#,##0.0</c:formatCode>
                <c:ptCount val="9"/>
                <c:pt idx="0">
                  <c:v>67.678479463063553</c:v>
                </c:pt>
                <c:pt idx="1">
                  <c:v>57.788223811969416</c:v>
                </c:pt>
                <c:pt idx="2">
                  <c:v>53.621882530067857</c:v>
                </c:pt>
                <c:pt idx="3">
                  <c:v>51.9</c:v>
                </c:pt>
                <c:pt idx="4">
                  <c:v>57</c:v>
                </c:pt>
                <c:pt idx="5">
                  <c:v>54.87040594481708</c:v>
                </c:pt>
                <c:pt idx="6">
                  <c:v>53.203901111138094</c:v>
                </c:pt>
                <c:pt idx="7">
                  <c:v>52.045911695662554</c:v>
                </c:pt>
                <c:pt idx="8">
                  <c:v>50.576018726582305</c:v>
                </c:pt>
              </c:numCache>
            </c:numRef>
          </c:val>
          <c:smooth val="0"/>
          <c:extLst>
            <c:ext xmlns:c16="http://schemas.microsoft.com/office/drawing/2014/chart" uri="{C3380CC4-5D6E-409C-BE32-E72D297353CC}">
              <c16:uniqueId val="{0000000E-5B2B-4909-B24F-DCFE0AFBE6F8}"/>
            </c:ext>
          </c:extLst>
        </c:ser>
        <c:ser>
          <c:idx val="10"/>
          <c:order val="10"/>
          <c:spPr>
            <a:ln w="28575" cap="rnd" cmpd="sng" algn="ctr">
              <a:solidFill>
                <a:schemeClr val="accent1">
                  <a:tint val="52000"/>
                  <a:shade val="95000"/>
                  <a:satMod val="105000"/>
                </a:schemeClr>
              </a:solidFill>
              <a:prstDash val="solid"/>
              <a:round/>
            </a:ln>
            <a:effectLst/>
          </c:spPr>
          <c:marker>
            <c:symbol val="none"/>
          </c:marker>
          <c:cat>
            <c:numRef>
              <c:f>'uticaj promene kursa'!$H$56:$P$56</c:f>
              <c:numCache>
                <c:formatCode>General</c:formatCode>
                <c:ptCount val="9"/>
                <c:pt idx="0">
                  <c:v>2016</c:v>
                </c:pt>
                <c:pt idx="1">
                  <c:v>2017</c:v>
                </c:pt>
                <c:pt idx="2">
                  <c:v>2018</c:v>
                </c:pt>
                <c:pt idx="3">
                  <c:v>2019</c:v>
                </c:pt>
                <c:pt idx="4">
                  <c:v>2020</c:v>
                </c:pt>
                <c:pt idx="5">
                  <c:v>2021</c:v>
                </c:pt>
                <c:pt idx="6">
                  <c:v>2022</c:v>
                </c:pt>
                <c:pt idx="7">
                  <c:v>2023</c:v>
                </c:pt>
                <c:pt idx="8">
                  <c:v>2024</c:v>
                </c:pt>
              </c:numCache>
            </c:numRef>
          </c:cat>
          <c:val>
            <c:numRef>
              <c:f>'uticaj promene kursa'!$H$66:$P$66</c:f>
              <c:numCache>
                <c:formatCode>#,##0.0</c:formatCode>
                <c:ptCount val="9"/>
                <c:pt idx="0">
                  <c:v>67.678479463063553</c:v>
                </c:pt>
                <c:pt idx="1">
                  <c:v>57.788223811969416</c:v>
                </c:pt>
                <c:pt idx="2">
                  <c:v>53.621882530067857</c:v>
                </c:pt>
                <c:pt idx="3">
                  <c:v>51.9</c:v>
                </c:pt>
                <c:pt idx="4">
                  <c:v>57</c:v>
                </c:pt>
                <c:pt idx="5">
                  <c:v>54.068541974851072</c:v>
                </c:pt>
                <c:pt idx="6">
                  <c:v>52.449550553265425</c:v>
                </c:pt>
                <c:pt idx="7">
                  <c:v>51.307979669952587</c:v>
                </c:pt>
                <c:pt idx="8">
                  <c:v>49.85892755197689</c:v>
                </c:pt>
              </c:numCache>
            </c:numRef>
          </c:val>
          <c:smooth val="0"/>
          <c:extLst>
            <c:ext xmlns:c16="http://schemas.microsoft.com/office/drawing/2014/chart" uri="{C3380CC4-5D6E-409C-BE32-E72D297353CC}">
              <c16:uniqueId val="{0000000F-5B2B-4909-B24F-DCFE0AFBE6F8}"/>
            </c:ext>
          </c:extLst>
        </c:ser>
        <c:ser>
          <c:idx val="11"/>
          <c:order val="11"/>
          <c:spPr>
            <a:ln w="28575" cap="rnd" cmpd="sng" algn="ctr">
              <a:solidFill>
                <a:schemeClr val="accent1">
                  <a:tint val="41000"/>
                  <a:shade val="95000"/>
                  <a:satMod val="105000"/>
                </a:schemeClr>
              </a:solidFill>
              <a:prstDash val="solid"/>
              <a:round/>
            </a:ln>
            <a:effectLst/>
          </c:spPr>
          <c:marker>
            <c:symbol val="none"/>
          </c:marker>
          <c:dLbls>
            <c:dLbl>
              <c:idx val="0"/>
              <c:delete val="1"/>
              <c:extLst>
                <c:ext xmlns:c15="http://schemas.microsoft.com/office/drawing/2012/chart" uri="{CE6537A1-D6FC-4f65-9D91-7224C49458BB}"/>
                <c:ext xmlns:c16="http://schemas.microsoft.com/office/drawing/2014/chart" uri="{C3380CC4-5D6E-409C-BE32-E72D297353CC}">
                  <c16:uniqueId val="{00000010-5B2B-4909-B24F-DCFE0AFBE6F8}"/>
                </c:ext>
              </c:extLst>
            </c:dLbl>
            <c:dLbl>
              <c:idx val="1"/>
              <c:delete val="1"/>
              <c:extLst>
                <c:ext xmlns:c15="http://schemas.microsoft.com/office/drawing/2012/chart" uri="{CE6537A1-D6FC-4f65-9D91-7224C49458BB}"/>
                <c:ext xmlns:c16="http://schemas.microsoft.com/office/drawing/2014/chart" uri="{C3380CC4-5D6E-409C-BE32-E72D297353CC}">
                  <c16:uniqueId val="{00000011-5B2B-4909-B24F-DCFE0AFBE6F8}"/>
                </c:ext>
              </c:extLst>
            </c:dLbl>
            <c:dLbl>
              <c:idx val="2"/>
              <c:delete val="1"/>
              <c:extLst>
                <c:ext xmlns:c15="http://schemas.microsoft.com/office/drawing/2012/chart" uri="{CE6537A1-D6FC-4f65-9D91-7224C49458BB}"/>
                <c:ext xmlns:c16="http://schemas.microsoft.com/office/drawing/2014/chart" uri="{C3380CC4-5D6E-409C-BE32-E72D297353CC}">
                  <c16:uniqueId val="{00000012-5B2B-4909-B24F-DCFE0AFBE6F8}"/>
                </c:ext>
              </c:extLst>
            </c:dLbl>
            <c:dLbl>
              <c:idx val="3"/>
              <c:delete val="1"/>
              <c:extLst>
                <c:ext xmlns:c15="http://schemas.microsoft.com/office/drawing/2012/chart" uri="{CE6537A1-D6FC-4f65-9D91-7224C49458BB}"/>
                <c:ext xmlns:c16="http://schemas.microsoft.com/office/drawing/2014/chart" uri="{C3380CC4-5D6E-409C-BE32-E72D297353CC}">
                  <c16:uniqueId val="{00000013-5B2B-4909-B24F-DCFE0AFBE6F8}"/>
                </c:ext>
              </c:extLst>
            </c:dLbl>
            <c:dLbl>
              <c:idx val="4"/>
              <c:delete val="1"/>
              <c:extLst>
                <c:ext xmlns:c15="http://schemas.microsoft.com/office/drawing/2012/chart" uri="{CE6537A1-D6FC-4f65-9D91-7224C49458BB}"/>
                <c:ext xmlns:c16="http://schemas.microsoft.com/office/drawing/2014/chart" uri="{C3380CC4-5D6E-409C-BE32-E72D297353CC}">
                  <c16:uniqueId val="{00000014-5B2B-4909-B24F-DCFE0AFBE6F8}"/>
                </c:ext>
              </c:extLst>
            </c:dLbl>
            <c:dLbl>
              <c:idx val="8"/>
              <c:layout>
                <c:manualLayout>
                  <c:x val="-1.1695417616883329E-2"/>
                  <c:y val="1.512055587794623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5B2B-4909-B24F-DCFE0AFBE6F8}"/>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mn-lt"/>
                    <a:ea typeface="+mn-ea"/>
                    <a:cs typeface="+mn-cs"/>
                  </a:defRPr>
                </a:pPr>
                <a:endParaRPr lang="en-US"/>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numRef>
              <c:f>'uticaj promene kursa'!$H$56:$P$56</c:f>
              <c:numCache>
                <c:formatCode>General</c:formatCode>
                <c:ptCount val="9"/>
                <c:pt idx="0">
                  <c:v>2016</c:v>
                </c:pt>
                <c:pt idx="1">
                  <c:v>2017</c:v>
                </c:pt>
                <c:pt idx="2">
                  <c:v>2018</c:v>
                </c:pt>
                <c:pt idx="3">
                  <c:v>2019</c:v>
                </c:pt>
                <c:pt idx="4">
                  <c:v>2020</c:v>
                </c:pt>
                <c:pt idx="5">
                  <c:v>2021</c:v>
                </c:pt>
                <c:pt idx="6">
                  <c:v>2022</c:v>
                </c:pt>
                <c:pt idx="7">
                  <c:v>2023</c:v>
                </c:pt>
                <c:pt idx="8">
                  <c:v>2024</c:v>
                </c:pt>
              </c:numCache>
            </c:numRef>
          </c:cat>
          <c:val>
            <c:numRef>
              <c:f>'uticaj promene kursa'!$H$67:$P$67</c:f>
              <c:numCache>
                <c:formatCode>#,##0.0</c:formatCode>
                <c:ptCount val="9"/>
                <c:pt idx="0">
                  <c:v>67.678479463063553</c:v>
                </c:pt>
                <c:pt idx="1">
                  <c:v>57.788223811969416</c:v>
                </c:pt>
                <c:pt idx="2">
                  <c:v>53.621882530067857</c:v>
                </c:pt>
                <c:pt idx="3">
                  <c:v>51.9</c:v>
                </c:pt>
                <c:pt idx="4">
                  <c:v>57</c:v>
                </c:pt>
                <c:pt idx="5">
                  <c:v>53.266678004885058</c:v>
                </c:pt>
                <c:pt idx="6">
                  <c:v>51.695199995392741</c:v>
                </c:pt>
                <c:pt idx="7">
                  <c:v>50.570047644242599</c:v>
                </c:pt>
                <c:pt idx="8">
                  <c:v>49.141836377371469</c:v>
                </c:pt>
              </c:numCache>
            </c:numRef>
          </c:val>
          <c:smooth val="0"/>
          <c:extLst>
            <c:ext xmlns:c16="http://schemas.microsoft.com/office/drawing/2014/chart" uri="{C3380CC4-5D6E-409C-BE32-E72D297353CC}">
              <c16:uniqueId val="{00000016-5B2B-4909-B24F-DCFE0AFBE6F8}"/>
            </c:ext>
          </c:extLst>
        </c:ser>
        <c:dLbls>
          <c:showLegendKey val="0"/>
          <c:showVal val="0"/>
          <c:showCatName val="0"/>
          <c:showSerName val="0"/>
          <c:showPercent val="0"/>
          <c:showBubbleSize val="0"/>
        </c:dLbls>
        <c:marker val="1"/>
        <c:smooth val="0"/>
        <c:axId val="75069312"/>
        <c:axId val="75070848"/>
      </c:lineChart>
      <c:catAx>
        <c:axId val="75069312"/>
        <c:scaling>
          <c:orientation val="minMax"/>
        </c:scaling>
        <c:delete val="0"/>
        <c:axPos val="b"/>
        <c:majorGridlines>
          <c:spPr>
            <a:ln w="9525" cap="flat" cmpd="sng" algn="ctr">
              <a:noFill/>
              <a:prstDash val="solid"/>
              <a:round/>
            </a:ln>
            <a:effectLst/>
          </c:spPr>
        </c:majorGridlines>
        <c:minorGridlines>
          <c:spPr>
            <a:ln w="9525" cap="flat" cmpd="sng" algn="ctr">
              <a:noFill/>
              <a:prstDash val="solid"/>
              <a:round/>
            </a:ln>
            <a:effectLst/>
          </c:spPr>
        </c:minorGridlines>
        <c:numFmt formatCode="General" sourceLinked="1"/>
        <c:majorTickMark val="none"/>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800" b="0" i="0" u="none" strike="noStrike" kern="1200" baseline="0">
                <a:solidFill>
                  <a:schemeClr val="tx1"/>
                </a:solidFill>
                <a:latin typeface="+mn-lt"/>
                <a:ea typeface="+mn-ea"/>
                <a:cs typeface="+mn-cs"/>
              </a:defRPr>
            </a:pPr>
            <a:endParaRPr lang="en-US"/>
          </a:p>
        </c:txPr>
        <c:crossAx val="75070848"/>
        <c:crosses val="autoZero"/>
        <c:auto val="0"/>
        <c:lblAlgn val="ctr"/>
        <c:lblOffset val="100"/>
        <c:noMultiLvlLbl val="0"/>
      </c:catAx>
      <c:valAx>
        <c:axId val="75070848"/>
        <c:scaling>
          <c:orientation val="minMax"/>
          <c:max val="70"/>
          <c:min val="45"/>
        </c:scaling>
        <c:delete val="0"/>
        <c:axPos val="l"/>
        <c:majorGridlines>
          <c:spPr>
            <a:ln w="9525" cap="flat" cmpd="sng" algn="ctr">
              <a:noFill/>
              <a:prstDash val="solid"/>
              <a:round/>
            </a:ln>
            <a:effectLst/>
          </c:spPr>
        </c:majorGridlines>
        <c:numFmt formatCode="#,##0.0" sourceLinked="0"/>
        <c:majorTickMark val="none"/>
        <c:minorTickMark val="none"/>
        <c:tickLblPos val="nextTo"/>
        <c:spPr>
          <a:noFill/>
          <a:ln w="9525" cap="flat" cmpd="sng" algn="ctr">
            <a:noFill/>
            <a:prstDash val="solid"/>
            <a:round/>
          </a:ln>
          <a:effectLst/>
        </c:spPr>
        <c:txPr>
          <a:bodyPr rot="-60000000" spcFirstLastPara="1" vertOverflow="ellipsis" vert="horz" wrap="square" anchor="ctr" anchorCtr="1"/>
          <a:lstStyle/>
          <a:p>
            <a:pPr>
              <a:defRPr sz="800" b="0" i="0" u="none" strike="noStrike" kern="1200" baseline="0">
                <a:solidFill>
                  <a:schemeClr val="tx1"/>
                </a:solidFill>
                <a:latin typeface="+mn-lt"/>
                <a:ea typeface="+mn-ea"/>
                <a:cs typeface="+mn-cs"/>
              </a:defRPr>
            </a:pPr>
            <a:endParaRPr lang="en-US"/>
          </a:p>
        </c:txPr>
        <c:crossAx val="75069312"/>
        <c:crosses val="autoZero"/>
        <c:crossBetween val="between"/>
        <c:majorUnit val="10"/>
        <c:minorUnit val="2"/>
      </c:valAx>
      <c:spPr>
        <a:noFill/>
        <a:ln>
          <a:noFill/>
        </a:ln>
        <a:effectLst/>
      </c:spPr>
    </c:plotArea>
    <c:plotVisOnly val="1"/>
    <c:dispBlanksAs val="gap"/>
    <c:showDLblsOverMax val="0"/>
  </c:chart>
  <c:spPr>
    <a:solidFill>
      <a:schemeClr val="bg1"/>
    </a:solidFill>
    <a:ln w="9525" cap="flat" cmpd="sng" algn="ctr">
      <a:noFill/>
      <a:prstDash val="solid"/>
      <a:round/>
    </a:ln>
    <a:effectLst/>
  </c:spPr>
  <c:txPr>
    <a:bodyPr/>
    <a:lstStyle/>
    <a:p>
      <a:pPr>
        <a:defRPr/>
      </a:pPr>
      <a:endParaRPr lang="en-US"/>
    </a:p>
  </c:txPr>
  <c:externalData r:id="rId3">
    <c:autoUpdate val="0"/>
  </c:externalData>
</c:chartSpace>
</file>

<file path=word/charts/chart7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226683248905174"/>
          <c:y val="2.5495286851048279E-2"/>
          <c:w val="0.88712953744844747"/>
          <c:h val="0.59891423710277447"/>
        </c:manualLayout>
      </c:layout>
      <c:lineChart>
        <c:grouping val="standard"/>
        <c:varyColors val="0"/>
        <c:ser>
          <c:idx val="2"/>
          <c:order val="2"/>
          <c:tx>
            <c:strRef>
              <c:f>'Benchmark stope na sekundarnom'!$D$2</c:f>
              <c:strCache>
                <c:ptCount val="1"/>
                <c:pt idx="0">
                  <c:v>7Г 2019  RSMFRSD89592</c:v>
                </c:pt>
              </c:strCache>
            </c:strRef>
          </c:tx>
          <c:marker>
            <c:symbol val="none"/>
          </c:marker>
          <c:cat>
            <c:strRef>
              <c:f>'Benchmark stope na sekundarnom'!$A$3:$A$44</c:f>
              <c:strCache>
                <c:ptCount val="32"/>
                <c:pt idx="0">
                  <c:v>јануар 2019</c:v>
                </c:pt>
                <c:pt idx="1">
                  <c:v>фебруар 2019</c:v>
                </c:pt>
                <c:pt idx="2">
                  <c:v>март 2019</c:v>
                </c:pt>
                <c:pt idx="3">
                  <c:v>април 2019</c:v>
                </c:pt>
                <c:pt idx="4">
                  <c:v>мај 2019</c:v>
                </c:pt>
                <c:pt idx="5">
                  <c:v>јун 2019</c:v>
                </c:pt>
                <c:pt idx="6">
                  <c:v>јул 2019</c:v>
                </c:pt>
                <c:pt idx="7">
                  <c:v>август 2019</c:v>
                </c:pt>
                <c:pt idx="8">
                  <c:v>септембар 2019</c:v>
                </c:pt>
                <c:pt idx="9">
                  <c:v>октобар 2019</c:v>
                </c:pt>
                <c:pt idx="10">
                  <c:v>новембар 2019</c:v>
                </c:pt>
                <c:pt idx="11">
                  <c:v>децембар 2019</c:v>
                </c:pt>
                <c:pt idx="12">
                  <c:v>јануар 2020</c:v>
                </c:pt>
                <c:pt idx="13">
                  <c:v>фебруар 2020</c:v>
                </c:pt>
                <c:pt idx="14">
                  <c:v>март 2020</c:v>
                </c:pt>
                <c:pt idx="15">
                  <c:v>април 2020</c:v>
                </c:pt>
                <c:pt idx="16">
                  <c:v>мај 2020</c:v>
                </c:pt>
                <c:pt idx="17">
                  <c:v>јун 2020</c:v>
                </c:pt>
                <c:pt idx="18">
                  <c:v>јул 2020</c:v>
                </c:pt>
                <c:pt idx="19">
                  <c:v>август 2020</c:v>
                </c:pt>
                <c:pt idx="20">
                  <c:v>септембар 2020</c:v>
                </c:pt>
                <c:pt idx="21">
                  <c:v>октобар 2020</c:v>
                </c:pt>
                <c:pt idx="22">
                  <c:v>новембар 2020</c:v>
                </c:pt>
                <c:pt idx="23">
                  <c:v>децембар 2020</c:v>
                </c:pt>
                <c:pt idx="24">
                  <c:v>јануар 2021</c:v>
                </c:pt>
                <c:pt idx="25">
                  <c:v>фебруар 2021</c:v>
                </c:pt>
                <c:pt idx="26">
                  <c:v>март 2021</c:v>
                </c:pt>
                <c:pt idx="27">
                  <c:v>април 2021</c:v>
                </c:pt>
                <c:pt idx="28">
                  <c:v>мај 2021</c:v>
                </c:pt>
                <c:pt idx="29">
                  <c:v>јун 2021</c:v>
                </c:pt>
                <c:pt idx="30">
                  <c:v>јул 2021</c:v>
                </c:pt>
                <c:pt idx="31">
                  <c:v>август 2021</c:v>
                </c:pt>
              </c:strCache>
            </c:strRef>
          </c:cat>
          <c:val>
            <c:numRef>
              <c:f>'Benchmark stope na sekundarnom'!$D$3:$D$44</c:f>
              <c:numCache>
                <c:formatCode>0.00%</c:formatCode>
                <c:ptCount val="32"/>
                <c:pt idx="0">
                  <c:v>4.5400000000000003E-2</c:v>
                </c:pt>
                <c:pt idx="1">
                  <c:v>4.4999999999999998E-2</c:v>
                </c:pt>
                <c:pt idx="2">
                  <c:v>4.5400000000000003E-2</c:v>
                </c:pt>
                <c:pt idx="3">
                  <c:v>4.4900000000000002E-2</c:v>
                </c:pt>
                <c:pt idx="4">
                  <c:v>4.2000000000000003E-2</c:v>
                </c:pt>
                <c:pt idx="5">
                  <c:v>0.04</c:v>
                </c:pt>
                <c:pt idx="6">
                  <c:v>3.5999999999999997E-2</c:v>
                </c:pt>
                <c:pt idx="7">
                  <c:v>3.5000000000000003E-2</c:v>
                </c:pt>
                <c:pt idx="8">
                  <c:v>3.4000000000000002E-2</c:v>
                </c:pt>
                <c:pt idx="9">
                  <c:v>3.2000000000000001E-2</c:v>
                </c:pt>
                <c:pt idx="10">
                  <c:v>2.8500000000000001E-2</c:v>
                </c:pt>
                <c:pt idx="11">
                  <c:v>2.8299999999999999E-2</c:v>
                </c:pt>
                <c:pt idx="12">
                  <c:v>2.9000000000000001E-2</c:v>
                </c:pt>
                <c:pt idx="13">
                  <c:v>2.81E-2</c:v>
                </c:pt>
                <c:pt idx="14">
                  <c:v>2.6800000000000001E-2</c:v>
                </c:pt>
                <c:pt idx="15">
                  <c:v>3.2800000000000003E-2</c:v>
                </c:pt>
                <c:pt idx="16">
                  <c:v>3.2099999999999997E-2</c:v>
                </c:pt>
                <c:pt idx="17">
                  <c:v>2.8400000000000002E-2</c:v>
                </c:pt>
                <c:pt idx="18">
                  <c:v>2.8000000000000001E-2</c:v>
                </c:pt>
                <c:pt idx="19">
                  <c:v>2.8000000000000001E-2</c:v>
                </c:pt>
                <c:pt idx="20">
                  <c:v>2.7199999999999998E-2</c:v>
                </c:pt>
                <c:pt idx="21">
                  <c:v>2.8500000000000001E-2</c:v>
                </c:pt>
                <c:pt idx="22">
                  <c:v>2.8400000000000002E-2</c:v>
                </c:pt>
                <c:pt idx="23">
                  <c:v>2.63E-2</c:v>
                </c:pt>
                <c:pt idx="24">
                  <c:v>2.7300000000000001E-2</c:v>
                </c:pt>
                <c:pt idx="25">
                  <c:v>2.1999999999999999E-2</c:v>
                </c:pt>
                <c:pt idx="26">
                  <c:v>2.29E-2</c:v>
                </c:pt>
                <c:pt idx="27">
                  <c:v>2.3300000000000001E-2</c:v>
                </c:pt>
                <c:pt idx="28">
                  <c:v>2.4799999999999999E-2</c:v>
                </c:pt>
                <c:pt idx="29">
                  <c:v>2.4E-2</c:v>
                </c:pt>
                <c:pt idx="30">
                  <c:v>2.1700000000000001E-2</c:v>
                </c:pt>
                <c:pt idx="31">
                  <c:v>2.2224666666666667E-2</c:v>
                </c:pt>
              </c:numCache>
            </c:numRef>
          </c:val>
          <c:smooth val="0"/>
          <c:extLst>
            <c:ext xmlns:c16="http://schemas.microsoft.com/office/drawing/2014/chart" uri="{C3380CC4-5D6E-409C-BE32-E72D297353CC}">
              <c16:uniqueId val="{00000000-826E-4EEE-9B3C-576BA1B2B047}"/>
            </c:ext>
          </c:extLst>
        </c:ser>
        <c:ser>
          <c:idx val="4"/>
          <c:order val="3"/>
          <c:tx>
            <c:strRef>
              <c:f>'Benchmark stope na sekundarnom'!$E$2</c:f>
              <c:strCache>
                <c:ptCount val="1"/>
                <c:pt idx="0">
                  <c:v>10Г 2018 RSMFRSD55940</c:v>
                </c:pt>
              </c:strCache>
            </c:strRef>
          </c:tx>
          <c:spPr>
            <a:ln>
              <a:solidFill>
                <a:srgbClr val="00B0F0"/>
              </a:solidFill>
            </a:ln>
          </c:spPr>
          <c:marker>
            <c:symbol val="none"/>
          </c:marker>
          <c:cat>
            <c:strRef>
              <c:f>'Benchmark stope na sekundarnom'!$A$3:$A$44</c:f>
              <c:strCache>
                <c:ptCount val="32"/>
                <c:pt idx="0">
                  <c:v>јануар 2019</c:v>
                </c:pt>
                <c:pt idx="1">
                  <c:v>фебруар 2019</c:v>
                </c:pt>
                <c:pt idx="2">
                  <c:v>март 2019</c:v>
                </c:pt>
                <c:pt idx="3">
                  <c:v>април 2019</c:v>
                </c:pt>
                <c:pt idx="4">
                  <c:v>мај 2019</c:v>
                </c:pt>
                <c:pt idx="5">
                  <c:v>јун 2019</c:v>
                </c:pt>
                <c:pt idx="6">
                  <c:v>јул 2019</c:v>
                </c:pt>
                <c:pt idx="7">
                  <c:v>август 2019</c:v>
                </c:pt>
                <c:pt idx="8">
                  <c:v>септембар 2019</c:v>
                </c:pt>
                <c:pt idx="9">
                  <c:v>октобар 2019</c:v>
                </c:pt>
                <c:pt idx="10">
                  <c:v>новембар 2019</c:v>
                </c:pt>
                <c:pt idx="11">
                  <c:v>децембар 2019</c:v>
                </c:pt>
                <c:pt idx="12">
                  <c:v>јануар 2020</c:v>
                </c:pt>
                <c:pt idx="13">
                  <c:v>фебруар 2020</c:v>
                </c:pt>
                <c:pt idx="14">
                  <c:v>март 2020</c:v>
                </c:pt>
                <c:pt idx="15">
                  <c:v>април 2020</c:v>
                </c:pt>
                <c:pt idx="16">
                  <c:v>мај 2020</c:v>
                </c:pt>
                <c:pt idx="17">
                  <c:v>јун 2020</c:v>
                </c:pt>
                <c:pt idx="18">
                  <c:v>јул 2020</c:v>
                </c:pt>
                <c:pt idx="19">
                  <c:v>август 2020</c:v>
                </c:pt>
                <c:pt idx="20">
                  <c:v>септембар 2020</c:v>
                </c:pt>
                <c:pt idx="21">
                  <c:v>октобар 2020</c:v>
                </c:pt>
                <c:pt idx="22">
                  <c:v>новембар 2020</c:v>
                </c:pt>
                <c:pt idx="23">
                  <c:v>децембар 2020</c:v>
                </c:pt>
                <c:pt idx="24">
                  <c:v>јануар 2021</c:v>
                </c:pt>
                <c:pt idx="25">
                  <c:v>фебруар 2021</c:v>
                </c:pt>
                <c:pt idx="26">
                  <c:v>март 2021</c:v>
                </c:pt>
                <c:pt idx="27">
                  <c:v>април 2021</c:v>
                </c:pt>
                <c:pt idx="28">
                  <c:v>мај 2021</c:v>
                </c:pt>
                <c:pt idx="29">
                  <c:v>јун 2021</c:v>
                </c:pt>
                <c:pt idx="30">
                  <c:v>јул 2021</c:v>
                </c:pt>
                <c:pt idx="31">
                  <c:v>август 2021</c:v>
                </c:pt>
              </c:strCache>
            </c:strRef>
          </c:cat>
          <c:val>
            <c:numRef>
              <c:f>'Benchmark stope na sekundarnom'!$E$3:$E$44</c:f>
              <c:numCache>
                <c:formatCode>0.00%</c:formatCode>
                <c:ptCount val="32"/>
                <c:pt idx="0">
                  <c:v>4.87E-2</c:v>
                </c:pt>
                <c:pt idx="1">
                  <c:v>4.87E-2</c:v>
                </c:pt>
                <c:pt idx="2">
                  <c:v>4.8300000000000003E-2</c:v>
                </c:pt>
                <c:pt idx="3">
                  <c:v>4.8000000000000001E-2</c:v>
                </c:pt>
                <c:pt idx="4">
                  <c:v>4.8000000000000001E-2</c:v>
                </c:pt>
                <c:pt idx="5">
                  <c:v>4.5999999999999999E-2</c:v>
                </c:pt>
                <c:pt idx="6">
                  <c:v>3.7499999999999999E-2</c:v>
                </c:pt>
                <c:pt idx="7">
                  <c:v>3.3500000000000002E-2</c:v>
                </c:pt>
                <c:pt idx="8">
                  <c:v>3.4000000000000002E-2</c:v>
                </c:pt>
                <c:pt idx="9">
                  <c:v>3.3000000000000002E-2</c:v>
                </c:pt>
                <c:pt idx="10">
                  <c:v>2.9000000000000001E-2</c:v>
                </c:pt>
                <c:pt idx="11">
                  <c:v>2.9600000000000001E-2</c:v>
                </c:pt>
                <c:pt idx="12">
                  <c:v>3.0200000000000001E-2</c:v>
                </c:pt>
                <c:pt idx="13">
                  <c:v>0.03</c:v>
                </c:pt>
                <c:pt idx="14">
                  <c:v>2.9000000000000001E-2</c:v>
                </c:pt>
                <c:pt idx="15">
                  <c:v>0.03</c:v>
                </c:pt>
                <c:pt idx="16">
                  <c:v>3.4000000000000002E-2</c:v>
                </c:pt>
                <c:pt idx="17">
                  <c:v>3.2800000000000003E-2</c:v>
                </c:pt>
                <c:pt idx="18">
                  <c:v>3.2500000000000001E-2</c:v>
                </c:pt>
                <c:pt idx="19">
                  <c:v>3.3000000000000002E-2</c:v>
                </c:pt>
                <c:pt idx="20">
                  <c:v>3.3000000000000002E-2</c:v>
                </c:pt>
                <c:pt idx="21">
                  <c:v>3.3500000000000002E-2</c:v>
                </c:pt>
                <c:pt idx="22">
                  <c:v>3.2300000000000002E-2</c:v>
                </c:pt>
                <c:pt idx="23">
                  <c:v>2.9700000000000001E-2</c:v>
                </c:pt>
                <c:pt idx="24">
                  <c:v>2.76E-2</c:v>
                </c:pt>
                <c:pt idx="25">
                  <c:v>2.4400000000000002E-2</c:v>
                </c:pt>
                <c:pt idx="26">
                  <c:v>2.4799999999999999E-2</c:v>
                </c:pt>
                <c:pt idx="27">
                  <c:v>2.5256333333333332E-2</c:v>
                </c:pt>
                <c:pt idx="28">
                  <c:v>2.7000263157894732E-2</c:v>
                </c:pt>
                <c:pt idx="29">
                  <c:v>2.6588397435897464E-2</c:v>
                </c:pt>
                <c:pt idx="30">
                  <c:v>2.3875935828876992E-2</c:v>
                </c:pt>
                <c:pt idx="31">
                  <c:v>2.404166666666667E-2</c:v>
                </c:pt>
              </c:numCache>
            </c:numRef>
          </c:val>
          <c:smooth val="0"/>
          <c:extLst>
            <c:ext xmlns:c16="http://schemas.microsoft.com/office/drawing/2014/chart" uri="{C3380CC4-5D6E-409C-BE32-E72D297353CC}">
              <c16:uniqueId val="{00000001-826E-4EEE-9B3C-576BA1B2B047}"/>
            </c:ext>
          </c:extLst>
        </c:ser>
        <c:ser>
          <c:idx val="3"/>
          <c:order val="4"/>
          <c:tx>
            <c:strRef>
              <c:f>'Benchmark stope na sekundarnom'!$F$2</c:f>
              <c:strCache>
                <c:ptCount val="1"/>
                <c:pt idx="0">
                  <c:v>12,5Г 2020 RSMFRSD86176</c:v>
                </c:pt>
              </c:strCache>
            </c:strRef>
          </c:tx>
          <c:marker>
            <c:symbol val="none"/>
          </c:marker>
          <c:cat>
            <c:strRef>
              <c:f>'Benchmark stope na sekundarnom'!$A$3:$A$44</c:f>
              <c:strCache>
                <c:ptCount val="32"/>
                <c:pt idx="0">
                  <c:v>јануар 2019</c:v>
                </c:pt>
                <c:pt idx="1">
                  <c:v>фебруар 2019</c:v>
                </c:pt>
                <c:pt idx="2">
                  <c:v>март 2019</c:v>
                </c:pt>
                <c:pt idx="3">
                  <c:v>април 2019</c:v>
                </c:pt>
                <c:pt idx="4">
                  <c:v>мај 2019</c:v>
                </c:pt>
                <c:pt idx="5">
                  <c:v>јун 2019</c:v>
                </c:pt>
                <c:pt idx="6">
                  <c:v>јул 2019</c:v>
                </c:pt>
                <c:pt idx="7">
                  <c:v>август 2019</c:v>
                </c:pt>
                <c:pt idx="8">
                  <c:v>септембар 2019</c:v>
                </c:pt>
                <c:pt idx="9">
                  <c:v>октобар 2019</c:v>
                </c:pt>
                <c:pt idx="10">
                  <c:v>новембар 2019</c:v>
                </c:pt>
                <c:pt idx="11">
                  <c:v>децембар 2019</c:v>
                </c:pt>
                <c:pt idx="12">
                  <c:v>јануар 2020</c:v>
                </c:pt>
                <c:pt idx="13">
                  <c:v>фебруар 2020</c:v>
                </c:pt>
                <c:pt idx="14">
                  <c:v>март 2020</c:v>
                </c:pt>
                <c:pt idx="15">
                  <c:v>април 2020</c:v>
                </c:pt>
                <c:pt idx="16">
                  <c:v>мај 2020</c:v>
                </c:pt>
                <c:pt idx="17">
                  <c:v>јун 2020</c:v>
                </c:pt>
                <c:pt idx="18">
                  <c:v>јул 2020</c:v>
                </c:pt>
                <c:pt idx="19">
                  <c:v>август 2020</c:v>
                </c:pt>
                <c:pt idx="20">
                  <c:v>септембар 2020</c:v>
                </c:pt>
                <c:pt idx="21">
                  <c:v>октобар 2020</c:v>
                </c:pt>
                <c:pt idx="22">
                  <c:v>новембар 2020</c:v>
                </c:pt>
                <c:pt idx="23">
                  <c:v>децембар 2020</c:v>
                </c:pt>
                <c:pt idx="24">
                  <c:v>јануар 2021</c:v>
                </c:pt>
                <c:pt idx="25">
                  <c:v>фебруар 2021</c:v>
                </c:pt>
                <c:pt idx="26">
                  <c:v>март 2021</c:v>
                </c:pt>
                <c:pt idx="27">
                  <c:v>април 2021</c:v>
                </c:pt>
                <c:pt idx="28">
                  <c:v>мај 2021</c:v>
                </c:pt>
                <c:pt idx="29">
                  <c:v>јун 2021</c:v>
                </c:pt>
                <c:pt idx="30">
                  <c:v>јул 2021</c:v>
                </c:pt>
                <c:pt idx="31">
                  <c:v>август 2021</c:v>
                </c:pt>
              </c:strCache>
            </c:strRef>
          </c:cat>
          <c:val>
            <c:numRef>
              <c:f>'Benchmark stope na sekundarnom'!$F$3:$F$44</c:f>
              <c:numCache>
                <c:formatCode>General</c:formatCode>
                <c:ptCount val="32"/>
                <c:pt idx="13" formatCode="0.00%">
                  <c:v>3.3399999999999999E-2</c:v>
                </c:pt>
                <c:pt idx="14" formatCode="0.00%">
                  <c:v>3.3300000000000003E-2</c:v>
                </c:pt>
                <c:pt idx="15" formatCode="0.00%">
                  <c:v>3.5400000000000001E-2</c:v>
                </c:pt>
                <c:pt idx="16" formatCode="0.00%">
                  <c:v>3.6700000000000003E-2</c:v>
                </c:pt>
                <c:pt idx="17" formatCode="0.00%">
                  <c:v>3.73E-2</c:v>
                </c:pt>
                <c:pt idx="18" formatCode="0.00%">
                  <c:v>3.8899999999999997E-2</c:v>
                </c:pt>
                <c:pt idx="19" formatCode="0.00%">
                  <c:v>3.8800000000000001E-2</c:v>
                </c:pt>
                <c:pt idx="20" formatCode="0.00%">
                  <c:v>3.9199999999999999E-2</c:v>
                </c:pt>
                <c:pt idx="21" formatCode="0.00%">
                  <c:v>4.2500000000000003E-2</c:v>
                </c:pt>
                <c:pt idx="22" formatCode="0.00%">
                  <c:v>4.07E-2</c:v>
                </c:pt>
                <c:pt idx="23" formatCode="0.00%">
                  <c:v>3.7100000000000001E-2</c:v>
                </c:pt>
                <c:pt idx="24" formatCode="0.00%">
                  <c:v>3.44E-2</c:v>
                </c:pt>
                <c:pt idx="25" formatCode="0.00%">
                  <c:v>3.3000000000000002E-2</c:v>
                </c:pt>
                <c:pt idx="26" formatCode="0.00%">
                  <c:v>3.44E-2</c:v>
                </c:pt>
                <c:pt idx="27" formatCode="0.00%">
                  <c:v>3.3971854838709702E-2</c:v>
                </c:pt>
                <c:pt idx="28" formatCode="0.00%">
                  <c:v>3.5000000000000003E-2</c:v>
                </c:pt>
                <c:pt idx="29" formatCode="0.00%">
                  <c:v>3.5099999999999999E-2</c:v>
                </c:pt>
                <c:pt idx="30" formatCode="0.00%">
                  <c:v>3.32E-2</c:v>
                </c:pt>
                <c:pt idx="31" formatCode="0.00%">
                  <c:v>3.3500000000000002E-2</c:v>
                </c:pt>
              </c:numCache>
            </c:numRef>
          </c:val>
          <c:smooth val="0"/>
          <c:extLst>
            <c:ext xmlns:c16="http://schemas.microsoft.com/office/drawing/2014/chart" uri="{C3380CC4-5D6E-409C-BE32-E72D297353CC}">
              <c16:uniqueId val="{00000002-826E-4EEE-9B3C-576BA1B2B047}"/>
            </c:ext>
          </c:extLst>
        </c:ser>
        <c:ser>
          <c:idx val="5"/>
          <c:order val="5"/>
          <c:tx>
            <c:strRef>
              <c:f>'Benchmark stope na sekundarnom'!$G$2</c:f>
              <c:strCache>
                <c:ptCount val="1"/>
                <c:pt idx="0">
                  <c:v>Референтна КС НБС</c:v>
                </c:pt>
              </c:strCache>
            </c:strRef>
          </c:tx>
          <c:marker>
            <c:symbol val="none"/>
          </c:marker>
          <c:cat>
            <c:strRef>
              <c:f>'Benchmark stope na sekundarnom'!$A$3:$A$44</c:f>
              <c:strCache>
                <c:ptCount val="32"/>
                <c:pt idx="0">
                  <c:v>јануар 2019</c:v>
                </c:pt>
                <c:pt idx="1">
                  <c:v>фебруар 2019</c:v>
                </c:pt>
                <c:pt idx="2">
                  <c:v>март 2019</c:v>
                </c:pt>
                <c:pt idx="3">
                  <c:v>април 2019</c:v>
                </c:pt>
                <c:pt idx="4">
                  <c:v>мај 2019</c:v>
                </c:pt>
                <c:pt idx="5">
                  <c:v>јун 2019</c:v>
                </c:pt>
                <c:pt idx="6">
                  <c:v>јул 2019</c:v>
                </c:pt>
                <c:pt idx="7">
                  <c:v>август 2019</c:v>
                </c:pt>
                <c:pt idx="8">
                  <c:v>септембар 2019</c:v>
                </c:pt>
                <c:pt idx="9">
                  <c:v>октобар 2019</c:v>
                </c:pt>
                <c:pt idx="10">
                  <c:v>новембар 2019</c:v>
                </c:pt>
                <c:pt idx="11">
                  <c:v>децембар 2019</c:v>
                </c:pt>
                <c:pt idx="12">
                  <c:v>јануар 2020</c:v>
                </c:pt>
                <c:pt idx="13">
                  <c:v>фебруар 2020</c:v>
                </c:pt>
                <c:pt idx="14">
                  <c:v>март 2020</c:v>
                </c:pt>
                <c:pt idx="15">
                  <c:v>април 2020</c:v>
                </c:pt>
                <c:pt idx="16">
                  <c:v>мај 2020</c:v>
                </c:pt>
                <c:pt idx="17">
                  <c:v>јун 2020</c:v>
                </c:pt>
                <c:pt idx="18">
                  <c:v>јул 2020</c:v>
                </c:pt>
                <c:pt idx="19">
                  <c:v>август 2020</c:v>
                </c:pt>
                <c:pt idx="20">
                  <c:v>септембар 2020</c:v>
                </c:pt>
                <c:pt idx="21">
                  <c:v>октобар 2020</c:v>
                </c:pt>
                <c:pt idx="22">
                  <c:v>новембар 2020</c:v>
                </c:pt>
                <c:pt idx="23">
                  <c:v>децембар 2020</c:v>
                </c:pt>
                <c:pt idx="24">
                  <c:v>јануар 2021</c:v>
                </c:pt>
                <c:pt idx="25">
                  <c:v>фебруар 2021</c:v>
                </c:pt>
                <c:pt idx="26">
                  <c:v>март 2021</c:v>
                </c:pt>
                <c:pt idx="27">
                  <c:v>април 2021</c:v>
                </c:pt>
                <c:pt idx="28">
                  <c:v>мај 2021</c:v>
                </c:pt>
                <c:pt idx="29">
                  <c:v>јун 2021</c:v>
                </c:pt>
                <c:pt idx="30">
                  <c:v>јул 2021</c:v>
                </c:pt>
                <c:pt idx="31">
                  <c:v>август 2021</c:v>
                </c:pt>
              </c:strCache>
            </c:strRef>
          </c:cat>
          <c:val>
            <c:numRef>
              <c:f>'Benchmark stope na sekundarnom'!$G$3:$G$44</c:f>
              <c:numCache>
                <c:formatCode>0.00%</c:formatCode>
                <c:ptCount val="32"/>
                <c:pt idx="0">
                  <c:v>0.03</c:v>
                </c:pt>
                <c:pt idx="1">
                  <c:v>0.03</c:v>
                </c:pt>
                <c:pt idx="2">
                  <c:v>0.03</c:v>
                </c:pt>
                <c:pt idx="3">
                  <c:v>2.75E-2</c:v>
                </c:pt>
                <c:pt idx="4">
                  <c:v>2.75E-2</c:v>
                </c:pt>
                <c:pt idx="5">
                  <c:v>2.75E-2</c:v>
                </c:pt>
                <c:pt idx="6">
                  <c:v>2.75E-2</c:v>
                </c:pt>
                <c:pt idx="7">
                  <c:v>2.5000000000000001E-2</c:v>
                </c:pt>
                <c:pt idx="8">
                  <c:v>2.5000000000000001E-2</c:v>
                </c:pt>
                <c:pt idx="9">
                  <c:v>2.5000000000000001E-2</c:v>
                </c:pt>
                <c:pt idx="10">
                  <c:v>2.2499999999999999E-2</c:v>
                </c:pt>
                <c:pt idx="11">
                  <c:v>2.2499999999999999E-2</c:v>
                </c:pt>
                <c:pt idx="12">
                  <c:v>2.2499999999999999E-2</c:v>
                </c:pt>
                <c:pt idx="13">
                  <c:v>2.2499999999999999E-2</c:v>
                </c:pt>
                <c:pt idx="14">
                  <c:v>1.7500000000000002E-2</c:v>
                </c:pt>
                <c:pt idx="15">
                  <c:v>1.7500000000000002E-2</c:v>
                </c:pt>
                <c:pt idx="16">
                  <c:v>1.4999999999999999E-2</c:v>
                </c:pt>
                <c:pt idx="17">
                  <c:v>1.2500000000000001E-2</c:v>
                </c:pt>
                <c:pt idx="18">
                  <c:v>1.2500000000000001E-2</c:v>
                </c:pt>
                <c:pt idx="19">
                  <c:v>1.2500000000000001E-2</c:v>
                </c:pt>
                <c:pt idx="20">
                  <c:v>1.2500000000000001E-2</c:v>
                </c:pt>
                <c:pt idx="21">
                  <c:v>1.2500000000000001E-2</c:v>
                </c:pt>
                <c:pt idx="22">
                  <c:v>1.2500000000000001E-2</c:v>
                </c:pt>
                <c:pt idx="23">
                  <c:v>0.01</c:v>
                </c:pt>
                <c:pt idx="24">
                  <c:v>0.01</c:v>
                </c:pt>
                <c:pt idx="25">
                  <c:v>0.01</c:v>
                </c:pt>
                <c:pt idx="26">
                  <c:v>0.01</c:v>
                </c:pt>
                <c:pt idx="27">
                  <c:v>0.01</c:v>
                </c:pt>
                <c:pt idx="28">
                  <c:v>0.01</c:v>
                </c:pt>
                <c:pt idx="29">
                  <c:v>0.01</c:v>
                </c:pt>
                <c:pt idx="30">
                  <c:v>0.01</c:v>
                </c:pt>
                <c:pt idx="31">
                  <c:v>0.01</c:v>
                </c:pt>
              </c:numCache>
            </c:numRef>
          </c:val>
          <c:smooth val="0"/>
          <c:extLst>
            <c:ext xmlns:c16="http://schemas.microsoft.com/office/drawing/2014/chart" uri="{C3380CC4-5D6E-409C-BE32-E72D297353CC}">
              <c16:uniqueId val="{00000003-826E-4EEE-9B3C-576BA1B2B047}"/>
            </c:ext>
          </c:extLst>
        </c:ser>
        <c:dLbls>
          <c:showLegendKey val="0"/>
          <c:showVal val="0"/>
          <c:showCatName val="0"/>
          <c:showSerName val="0"/>
          <c:showPercent val="0"/>
          <c:showBubbleSize val="0"/>
        </c:dLbls>
        <c:smooth val="0"/>
        <c:axId val="254869232"/>
        <c:axId val="254869624"/>
        <c:extLst>
          <c:ext xmlns:c15="http://schemas.microsoft.com/office/drawing/2012/chart" uri="{02D57815-91ED-43cb-92C2-25804820EDAC}">
            <c15:filteredLineSeries>
              <c15:ser>
                <c:idx val="0"/>
                <c:order val="0"/>
                <c:tx>
                  <c:strRef>
                    <c:extLst>
                      <c:ext uri="{02D57815-91ED-43cb-92C2-25804820EDAC}">
                        <c15:formulaRef>
                          <c15:sqref>'Benchmark stope na sekundarnom'!$B$2</c15:sqref>
                        </c15:formulaRef>
                      </c:ext>
                    </c:extLst>
                    <c:strCache>
                      <c:ptCount val="1"/>
                      <c:pt idx="0">
                        <c:v>5Г 2018</c:v>
                      </c:pt>
                    </c:strCache>
                  </c:strRef>
                </c:tx>
                <c:marker>
                  <c:symbol val="none"/>
                </c:marker>
                <c:cat>
                  <c:strRef>
                    <c:extLst>
                      <c:ext uri="{02D57815-91ED-43cb-92C2-25804820EDAC}">
                        <c15:formulaRef>
                          <c15:sqref>'Benchmark stope na sekundarnom'!$A$3:$A$44</c15:sqref>
                        </c15:formulaRef>
                      </c:ext>
                    </c:extLst>
                    <c:strCache>
                      <c:ptCount val="32"/>
                      <c:pt idx="0">
                        <c:v>јануар 2019</c:v>
                      </c:pt>
                      <c:pt idx="1">
                        <c:v>фебруар 2019</c:v>
                      </c:pt>
                      <c:pt idx="2">
                        <c:v>март 2019</c:v>
                      </c:pt>
                      <c:pt idx="3">
                        <c:v>април 2019</c:v>
                      </c:pt>
                      <c:pt idx="4">
                        <c:v>мај 2019</c:v>
                      </c:pt>
                      <c:pt idx="5">
                        <c:v>јун 2019</c:v>
                      </c:pt>
                      <c:pt idx="6">
                        <c:v>јул 2019</c:v>
                      </c:pt>
                      <c:pt idx="7">
                        <c:v>август 2019</c:v>
                      </c:pt>
                      <c:pt idx="8">
                        <c:v>септембар 2019</c:v>
                      </c:pt>
                      <c:pt idx="9">
                        <c:v>октобар 2019</c:v>
                      </c:pt>
                      <c:pt idx="10">
                        <c:v>новембар 2019</c:v>
                      </c:pt>
                      <c:pt idx="11">
                        <c:v>децембар 2019</c:v>
                      </c:pt>
                      <c:pt idx="12">
                        <c:v>јануар 2020</c:v>
                      </c:pt>
                      <c:pt idx="13">
                        <c:v>фебруар 2020</c:v>
                      </c:pt>
                      <c:pt idx="14">
                        <c:v>март 2020</c:v>
                      </c:pt>
                      <c:pt idx="15">
                        <c:v>април 2020</c:v>
                      </c:pt>
                      <c:pt idx="16">
                        <c:v>мај 2020</c:v>
                      </c:pt>
                      <c:pt idx="17">
                        <c:v>јун 2020</c:v>
                      </c:pt>
                      <c:pt idx="18">
                        <c:v>јул 2020</c:v>
                      </c:pt>
                      <c:pt idx="19">
                        <c:v>август 2020</c:v>
                      </c:pt>
                      <c:pt idx="20">
                        <c:v>септембар 2020</c:v>
                      </c:pt>
                      <c:pt idx="21">
                        <c:v>октобар 2020</c:v>
                      </c:pt>
                      <c:pt idx="22">
                        <c:v>новембар 2020</c:v>
                      </c:pt>
                      <c:pt idx="23">
                        <c:v>децембар 2020</c:v>
                      </c:pt>
                      <c:pt idx="24">
                        <c:v>јануар 2021</c:v>
                      </c:pt>
                      <c:pt idx="25">
                        <c:v>фебруар 2021</c:v>
                      </c:pt>
                      <c:pt idx="26">
                        <c:v>март 2021</c:v>
                      </c:pt>
                      <c:pt idx="27">
                        <c:v>април 2021</c:v>
                      </c:pt>
                      <c:pt idx="28">
                        <c:v>мај 2021</c:v>
                      </c:pt>
                      <c:pt idx="29">
                        <c:v>јун 2021</c:v>
                      </c:pt>
                      <c:pt idx="30">
                        <c:v>јул 2021</c:v>
                      </c:pt>
                      <c:pt idx="31">
                        <c:v>август 2021</c:v>
                      </c:pt>
                    </c:strCache>
                  </c:strRef>
                </c:cat>
                <c:val>
                  <c:numRef>
                    <c:extLst>
                      <c:ext uri="{02D57815-91ED-43cb-92C2-25804820EDAC}">
                        <c15:formulaRef>
                          <c15:sqref>'Benchmark stope na sekundarnom'!$B$3:$B$39</c15:sqref>
                        </c15:formulaRef>
                      </c:ext>
                    </c:extLst>
                    <c:numCache>
                      <c:formatCode>0.00%</c:formatCode>
                      <c:ptCount val="27"/>
                      <c:pt idx="0">
                        <c:v>3.6200000000000003E-2</c:v>
                      </c:pt>
                      <c:pt idx="1">
                        <c:v>3.7999999999999999E-2</c:v>
                      </c:pt>
                      <c:pt idx="2">
                        <c:v>3.7999999999999999E-2</c:v>
                      </c:pt>
                      <c:pt idx="3">
                        <c:v>3.7699999999999997E-2</c:v>
                      </c:pt>
                      <c:pt idx="4">
                        <c:v>3.85E-2</c:v>
                      </c:pt>
                      <c:pt idx="5">
                        <c:v>2.8500000000000001E-2</c:v>
                      </c:pt>
                      <c:pt idx="6">
                        <c:v>2.5499999999999998E-2</c:v>
                      </c:pt>
                      <c:pt idx="7">
                        <c:v>2.4E-2</c:v>
                      </c:pt>
                      <c:pt idx="8">
                        <c:v>2.4E-2</c:v>
                      </c:pt>
                      <c:pt idx="9">
                        <c:v>2.4E-2</c:v>
                      </c:pt>
                      <c:pt idx="10">
                        <c:v>2.3E-2</c:v>
                      </c:pt>
                      <c:pt idx="11">
                        <c:v>2.3E-2</c:v>
                      </c:pt>
                      <c:pt idx="12">
                        <c:v>2.3E-2</c:v>
                      </c:pt>
                      <c:pt idx="13">
                        <c:v>2.3E-2</c:v>
                      </c:pt>
                      <c:pt idx="14">
                        <c:v>2.2700000000000001E-2</c:v>
                      </c:pt>
                      <c:pt idx="15">
                        <c:v>2.3599999999999999E-2</c:v>
                      </c:pt>
                      <c:pt idx="16">
                        <c:v>2.3E-2</c:v>
                      </c:pt>
                      <c:pt idx="17">
                        <c:v>2.23E-2</c:v>
                      </c:pt>
                      <c:pt idx="18">
                        <c:v>2.1999999999999999E-2</c:v>
                      </c:pt>
                      <c:pt idx="19">
                        <c:v>2.1499999999999998E-2</c:v>
                      </c:pt>
                      <c:pt idx="20">
                        <c:v>2.12E-2</c:v>
                      </c:pt>
                      <c:pt idx="22">
                        <c:v>2.2099999999999998E-2</c:v>
                      </c:pt>
                      <c:pt idx="23">
                        <c:v>2.0199999999999999E-2</c:v>
                      </c:pt>
                      <c:pt idx="24">
                        <c:v>1.8200000000000001E-2</c:v>
                      </c:pt>
                      <c:pt idx="25">
                        <c:v>1.7299999999999999E-2</c:v>
                      </c:pt>
                      <c:pt idx="26">
                        <c:v>1.67E-2</c:v>
                      </c:pt>
                    </c:numCache>
                  </c:numRef>
                </c:val>
                <c:smooth val="0"/>
                <c:extLst>
                  <c:ext xmlns:c16="http://schemas.microsoft.com/office/drawing/2014/chart" uri="{C3380CC4-5D6E-409C-BE32-E72D297353CC}">
                    <c16:uniqueId val="{00000004-826E-4EEE-9B3C-576BA1B2B047}"/>
                  </c:ext>
                </c:extLst>
              </c15:ser>
            </c15:filteredLineSeries>
            <c15:filteredLineSeries>
              <c15:ser>
                <c:idx val="1"/>
                <c:order val="1"/>
                <c:tx>
                  <c:strRef>
                    <c:extLst xmlns:c15="http://schemas.microsoft.com/office/drawing/2012/chart">
                      <c:ext xmlns:c15="http://schemas.microsoft.com/office/drawing/2012/chart" uri="{02D57815-91ED-43cb-92C2-25804820EDAC}">
                        <c15:formulaRef>
                          <c15:sqref>'Benchmark stope na sekundarnom'!$D$2</c15:sqref>
                        </c15:formulaRef>
                      </c:ext>
                    </c:extLst>
                    <c:strCache>
                      <c:ptCount val="1"/>
                      <c:pt idx="0">
                        <c:v>7Г 2019  RSMFRSD89592</c:v>
                      </c:pt>
                    </c:strCache>
                  </c:strRef>
                </c:tx>
                <c:marker>
                  <c:symbol val="none"/>
                </c:marker>
                <c:dPt>
                  <c:idx val="0"/>
                  <c:bubble3D val="0"/>
                  <c:spPr>
                    <a:ln>
                      <a:solidFill>
                        <a:srgbClr val="A4B002"/>
                      </a:solidFill>
                    </a:ln>
                  </c:spPr>
                  <c:extLst xmlns:c15="http://schemas.microsoft.com/office/drawing/2012/chart">
                    <c:ext xmlns:c16="http://schemas.microsoft.com/office/drawing/2014/chart" uri="{C3380CC4-5D6E-409C-BE32-E72D297353CC}">
                      <c16:uniqueId val="{00000006-826E-4EEE-9B3C-576BA1B2B047}"/>
                    </c:ext>
                  </c:extLst>
                </c:dPt>
                <c:cat>
                  <c:strRef>
                    <c:extLst xmlns:c15="http://schemas.microsoft.com/office/drawing/2012/chart">
                      <c:ext xmlns:c15="http://schemas.microsoft.com/office/drawing/2012/chart" uri="{02D57815-91ED-43cb-92C2-25804820EDAC}">
                        <c15:formulaRef>
                          <c15:sqref>'Benchmark stope na sekundarnom'!$A$3:$A$44</c15:sqref>
                        </c15:formulaRef>
                      </c:ext>
                    </c:extLst>
                    <c:strCache>
                      <c:ptCount val="32"/>
                      <c:pt idx="0">
                        <c:v>јануар 2019</c:v>
                      </c:pt>
                      <c:pt idx="1">
                        <c:v>фебруар 2019</c:v>
                      </c:pt>
                      <c:pt idx="2">
                        <c:v>март 2019</c:v>
                      </c:pt>
                      <c:pt idx="3">
                        <c:v>април 2019</c:v>
                      </c:pt>
                      <c:pt idx="4">
                        <c:v>мај 2019</c:v>
                      </c:pt>
                      <c:pt idx="5">
                        <c:v>јун 2019</c:v>
                      </c:pt>
                      <c:pt idx="6">
                        <c:v>јул 2019</c:v>
                      </c:pt>
                      <c:pt idx="7">
                        <c:v>август 2019</c:v>
                      </c:pt>
                      <c:pt idx="8">
                        <c:v>септембар 2019</c:v>
                      </c:pt>
                      <c:pt idx="9">
                        <c:v>октобар 2019</c:v>
                      </c:pt>
                      <c:pt idx="10">
                        <c:v>новембар 2019</c:v>
                      </c:pt>
                      <c:pt idx="11">
                        <c:v>децембар 2019</c:v>
                      </c:pt>
                      <c:pt idx="12">
                        <c:v>јануар 2020</c:v>
                      </c:pt>
                      <c:pt idx="13">
                        <c:v>фебруар 2020</c:v>
                      </c:pt>
                      <c:pt idx="14">
                        <c:v>март 2020</c:v>
                      </c:pt>
                      <c:pt idx="15">
                        <c:v>април 2020</c:v>
                      </c:pt>
                      <c:pt idx="16">
                        <c:v>мај 2020</c:v>
                      </c:pt>
                      <c:pt idx="17">
                        <c:v>јун 2020</c:v>
                      </c:pt>
                      <c:pt idx="18">
                        <c:v>јул 2020</c:v>
                      </c:pt>
                      <c:pt idx="19">
                        <c:v>август 2020</c:v>
                      </c:pt>
                      <c:pt idx="20">
                        <c:v>септембар 2020</c:v>
                      </c:pt>
                      <c:pt idx="21">
                        <c:v>октобар 2020</c:v>
                      </c:pt>
                      <c:pt idx="22">
                        <c:v>новембар 2020</c:v>
                      </c:pt>
                      <c:pt idx="23">
                        <c:v>децембар 2020</c:v>
                      </c:pt>
                      <c:pt idx="24">
                        <c:v>јануар 2021</c:v>
                      </c:pt>
                      <c:pt idx="25">
                        <c:v>фебруар 2021</c:v>
                      </c:pt>
                      <c:pt idx="26">
                        <c:v>март 2021</c:v>
                      </c:pt>
                      <c:pt idx="27">
                        <c:v>април 2021</c:v>
                      </c:pt>
                      <c:pt idx="28">
                        <c:v>мај 2021</c:v>
                      </c:pt>
                      <c:pt idx="29">
                        <c:v>јун 2021</c:v>
                      </c:pt>
                      <c:pt idx="30">
                        <c:v>јул 2021</c:v>
                      </c:pt>
                      <c:pt idx="31">
                        <c:v>август 2021</c:v>
                      </c:pt>
                    </c:strCache>
                  </c:strRef>
                </c:cat>
                <c:val>
                  <c:numRef>
                    <c:extLst xmlns:c15="http://schemas.microsoft.com/office/drawing/2012/chart">
                      <c:ext xmlns:c15="http://schemas.microsoft.com/office/drawing/2012/chart" uri="{02D57815-91ED-43cb-92C2-25804820EDAC}">
                        <c15:formulaRef>
                          <c15:sqref>'Benchmark stope na sekundarnom'!$D$3:$D$44</c15:sqref>
                        </c15:formulaRef>
                      </c:ext>
                    </c:extLst>
                    <c:numCache>
                      <c:formatCode>0.00%</c:formatCode>
                      <c:ptCount val="32"/>
                      <c:pt idx="0">
                        <c:v>4.5400000000000003E-2</c:v>
                      </c:pt>
                      <c:pt idx="1">
                        <c:v>4.4999999999999998E-2</c:v>
                      </c:pt>
                      <c:pt idx="2">
                        <c:v>4.5400000000000003E-2</c:v>
                      </c:pt>
                      <c:pt idx="3">
                        <c:v>4.4900000000000002E-2</c:v>
                      </c:pt>
                      <c:pt idx="4">
                        <c:v>4.2000000000000003E-2</c:v>
                      </c:pt>
                      <c:pt idx="5">
                        <c:v>0.04</c:v>
                      </c:pt>
                      <c:pt idx="6">
                        <c:v>3.5999999999999997E-2</c:v>
                      </c:pt>
                      <c:pt idx="7">
                        <c:v>3.5000000000000003E-2</c:v>
                      </c:pt>
                      <c:pt idx="8">
                        <c:v>3.4000000000000002E-2</c:v>
                      </c:pt>
                      <c:pt idx="9">
                        <c:v>3.2000000000000001E-2</c:v>
                      </c:pt>
                      <c:pt idx="10">
                        <c:v>2.8500000000000001E-2</c:v>
                      </c:pt>
                      <c:pt idx="11">
                        <c:v>2.8299999999999999E-2</c:v>
                      </c:pt>
                      <c:pt idx="12">
                        <c:v>2.9000000000000001E-2</c:v>
                      </c:pt>
                      <c:pt idx="13">
                        <c:v>2.81E-2</c:v>
                      </c:pt>
                      <c:pt idx="14">
                        <c:v>2.6800000000000001E-2</c:v>
                      </c:pt>
                      <c:pt idx="15">
                        <c:v>3.2800000000000003E-2</c:v>
                      </c:pt>
                      <c:pt idx="16">
                        <c:v>3.2099999999999997E-2</c:v>
                      </c:pt>
                      <c:pt idx="17">
                        <c:v>2.8400000000000002E-2</c:v>
                      </c:pt>
                      <c:pt idx="18">
                        <c:v>2.8000000000000001E-2</c:v>
                      </c:pt>
                      <c:pt idx="19">
                        <c:v>2.8000000000000001E-2</c:v>
                      </c:pt>
                      <c:pt idx="20">
                        <c:v>2.7199999999999998E-2</c:v>
                      </c:pt>
                      <c:pt idx="21">
                        <c:v>2.8500000000000001E-2</c:v>
                      </c:pt>
                      <c:pt idx="22">
                        <c:v>2.8400000000000002E-2</c:v>
                      </c:pt>
                      <c:pt idx="23">
                        <c:v>2.63E-2</c:v>
                      </c:pt>
                      <c:pt idx="24">
                        <c:v>2.7300000000000001E-2</c:v>
                      </c:pt>
                      <c:pt idx="25">
                        <c:v>2.1999999999999999E-2</c:v>
                      </c:pt>
                      <c:pt idx="26">
                        <c:v>2.29E-2</c:v>
                      </c:pt>
                      <c:pt idx="27">
                        <c:v>2.3300000000000001E-2</c:v>
                      </c:pt>
                      <c:pt idx="28">
                        <c:v>2.4799999999999999E-2</c:v>
                      </c:pt>
                      <c:pt idx="29">
                        <c:v>2.4E-2</c:v>
                      </c:pt>
                      <c:pt idx="30">
                        <c:v>2.1700000000000001E-2</c:v>
                      </c:pt>
                      <c:pt idx="31">
                        <c:v>2.2224666666666667E-2</c:v>
                      </c:pt>
                    </c:numCache>
                  </c:numRef>
                </c:val>
                <c:smooth val="0"/>
                <c:extLst xmlns:c15="http://schemas.microsoft.com/office/drawing/2012/chart">
                  <c:ext xmlns:c16="http://schemas.microsoft.com/office/drawing/2014/chart" uri="{C3380CC4-5D6E-409C-BE32-E72D297353CC}">
                    <c16:uniqueId val="{00000007-826E-4EEE-9B3C-576BA1B2B047}"/>
                  </c:ext>
                </c:extLst>
              </c15:ser>
            </c15:filteredLineSeries>
          </c:ext>
        </c:extLst>
      </c:lineChart>
      <c:dateAx>
        <c:axId val="254869232"/>
        <c:scaling>
          <c:orientation val="minMax"/>
        </c:scaling>
        <c:delete val="0"/>
        <c:axPos val="b"/>
        <c:numFmt formatCode="m\/d\/yyyy" sourceLinked="0"/>
        <c:majorTickMark val="out"/>
        <c:minorTickMark val="none"/>
        <c:tickLblPos val="nextTo"/>
        <c:txPr>
          <a:bodyPr/>
          <a:lstStyle/>
          <a:p>
            <a:pPr>
              <a:defRPr sz="500"/>
            </a:pPr>
            <a:endParaRPr lang="en-US"/>
          </a:p>
        </c:txPr>
        <c:crossAx val="254869624"/>
        <c:crosses val="autoZero"/>
        <c:auto val="0"/>
        <c:lblOffset val="100"/>
        <c:baseTimeUnit val="days"/>
        <c:majorUnit val="1"/>
        <c:minorUnit val="3"/>
      </c:dateAx>
      <c:valAx>
        <c:axId val="254869624"/>
        <c:scaling>
          <c:orientation val="minMax"/>
          <c:max val="6.0000000000000012E-2"/>
          <c:min val="0"/>
        </c:scaling>
        <c:delete val="0"/>
        <c:axPos val="l"/>
        <c:numFmt formatCode="0.0%" sourceLinked="0"/>
        <c:majorTickMark val="out"/>
        <c:minorTickMark val="none"/>
        <c:tickLblPos val="nextTo"/>
        <c:crossAx val="254869232"/>
        <c:crossesAt val="1"/>
        <c:crossBetween val="between"/>
      </c:valAx>
      <c:spPr>
        <a:pattFill prst="dotGrid">
          <a:fgClr>
            <a:srgbClr val="000000">
              <a:alpha val="0"/>
            </a:srgbClr>
          </a:fgClr>
          <a:bgClr>
            <a:srgbClr val="FFFFFF"/>
          </a:bgClr>
        </a:pattFill>
        <a:ln w="25400">
          <a:noFill/>
        </a:ln>
      </c:spPr>
    </c:plotArea>
    <c:legend>
      <c:legendPos val="b"/>
      <c:layout>
        <c:manualLayout>
          <c:xMode val="edge"/>
          <c:yMode val="edge"/>
          <c:x val="3.7069672068821335E-2"/>
          <c:y val="0.86580672870436648"/>
          <c:w val="0.91744620492715312"/>
          <c:h val="0.13419327129563352"/>
        </c:manualLayout>
      </c:layout>
      <c:overlay val="0"/>
    </c:legend>
    <c:plotVisOnly val="1"/>
    <c:dispBlanksAs val="gap"/>
    <c:showDLblsOverMax val="0"/>
  </c:chart>
  <c:spPr>
    <a:ln>
      <a:noFill/>
    </a:ln>
  </c:spPr>
  <c:txPr>
    <a:bodyPr/>
    <a:lstStyle/>
    <a:p>
      <a:pPr>
        <a:defRPr sz="600"/>
      </a:pPr>
      <a:endParaRPr lang="en-US"/>
    </a:p>
  </c:txPr>
  <c:externalData r:id="rId2">
    <c:autoUpdate val="0"/>
  </c:externalData>
</c:chartSpace>
</file>

<file path=word/charts/chart7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3.0163560496247181E-2"/>
          <c:y val="7.8703703703703706E-2"/>
          <c:w val="0.84387281673356285"/>
          <c:h val="0.4080426913460462"/>
        </c:manualLayout>
      </c:layout>
      <c:lineChart>
        <c:grouping val="standard"/>
        <c:varyColors val="0"/>
        <c:ser>
          <c:idx val="0"/>
          <c:order val="0"/>
          <c:tx>
            <c:strRef>
              <c:f>ATM!$C$7</c:f>
              <c:strCache>
                <c:ptCount val="1"/>
                <c:pt idx="0">
                  <c:v>Просечно време до доспећа динарских ХоВ</c:v>
                </c:pt>
              </c:strCache>
            </c:strRef>
          </c:tx>
          <c:spPr>
            <a:ln w="28575" cap="rnd">
              <a:solidFill>
                <a:schemeClr val="accent1"/>
              </a:solidFill>
              <a:round/>
            </a:ln>
            <a:effectLst/>
          </c:spPr>
          <c:marker>
            <c:symbol val="none"/>
          </c:marker>
          <c:dLbls>
            <c:dLbl>
              <c:idx val="48"/>
              <c:layout>
                <c:manualLayout>
                  <c:x val="0"/>
                  <c:y val="8.247422680412373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ACC3-46E7-B590-CC027D41FBC8}"/>
                </c:ext>
              </c:extLst>
            </c:dLbl>
            <c:dLbl>
              <c:idx val="55"/>
              <c:layout>
                <c:manualLayout>
                  <c:x val="-4.4150105259180318E-3"/>
                  <c:y val="0.11111111111111116"/>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CC3-46E7-B590-CC027D41FBC8}"/>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ATM!$B$80:$B$128</c:f>
              <c:strCache>
                <c:ptCount val="49"/>
                <c:pt idx="0">
                  <c:v>Јануар 2017</c:v>
                </c:pt>
                <c:pt idx="1">
                  <c:v>Фебруар 2017</c:v>
                </c:pt>
                <c:pt idx="2">
                  <c:v>Март 2017</c:v>
                </c:pt>
                <c:pt idx="3">
                  <c:v>Април 2017</c:v>
                </c:pt>
                <c:pt idx="4">
                  <c:v>Мај 2017</c:v>
                </c:pt>
                <c:pt idx="5">
                  <c:v>Јун 2017</c:v>
                </c:pt>
                <c:pt idx="6">
                  <c:v>Јул 2017</c:v>
                </c:pt>
                <c:pt idx="7">
                  <c:v>Август 2017</c:v>
                </c:pt>
                <c:pt idx="8">
                  <c:v>Септембар 2017</c:v>
                </c:pt>
                <c:pt idx="9">
                  <c:v>Октобар 2017</c:v>
                </c:pt>
                <c:pt idx="10">
                  <c:v>Новембар 2017</c:v>
                </c:pt>
                <c:pt idx="11">
                  <c:v>Децембар 2017</c:v>
                </c:pt>
                <c:pt idx="12">
                  <c:v>Јануар 2018</c:v>
                </c:pt>
                <c:pt idx="13">
                  <c:v>Фебруар 2018</c:v>
                </c:pt>
                <c:pt idx="14">
                  <c:v>Март 2018</c:v>
                </c:pt>
                <c:pt idx="15">
                  <c:v>Април 2018</c:v>
                </c:pt>
                <c:pt idx="16">
                  <c:v>Мај 2018</c:v>
                </c:pt>
                <c:pt idx="17">
                  <c:v>Јун 2018</c:v>
                </c:pt>
                <c:pt idx="18">
                  <c:v>Јул 2018</c:v>
                </c:pt>
                <c:pt idx="19">
                  <c:v>Август 2018</c:v>
                </c:pt>
                <c:pt idx="20">
                  <c:v>Септембар 2018</c:v>
                </c:pt>
                <c:pt idx="21">
                  <c:v>Октобар 2018</c:v>
                </c:pt>
                <c:pt idx="22">
                  <c:v>Новембар 2018</c:v>
                </c:pt>
                <c:pt idx="23">
                  <c:v>Децембар 2018</c:v>
                </c:pt>
                <c:pt idx="24">
                  <c:v>Јануар 2019</c:v>
                </c:pt>
                <c:pt idx="25">
                  <c:v>Фебруар 2019</c:v>
                </c:pt>
                <c:pt idx="26">
                  <c:v>Март 2019</c:v>
                </c:pt>
                <c:pt idx="27">
                  <c:v>Април 2019</c:v>
                </c:pt>
                <c:pt idx="28">
                  <c:v>Мај 2019</c:v>
                </c:pt>
                <c:pt idx="29">
                  <c:v>Јун 2019</c:v>
                </c:pt>
                <c:pt idx="30">
                  <c:v>Јул 2019</c:v>
                </c:pt>
                <c:pt idx="31">
                  <c:v>Август 2019</c:v>
                </c:pt>
                <c:pt idx="32">
                  <c:v>Септембар 2019</c:v>
                </c:pt>
                <c:pt idx="33">
                  <c:v>Октобар 2019</c:v>
                </c:pt>
                <c:pt idx="34">
                  <c:v>Новембар 2019</c:v>
                </c:pt>
                <c:pt idx="35">
                  <c:v>Децембар 2019</c:v>
                </c:pt>
                <c:pt idx="36">
                  <c:v>Август 2020</c:v>
                </c:pt>
                <c:pt idx="37">
                  <c:v>Септембар 2020</c:v>
                </c:pt>
                <c:pt idx="38">
                  <c:v>Октобар 2020</c:v>
                </c:pt>
                <c:pt idx="39">
                  <c:v>Новембар 2020</c:v>
                </c:pt>
                <c:pt idx="40">
                  <c:v>Децембар 2020</c:v>
                </c:pt>
                <c:pt idx="41">
                  <c:v>Јануар 2021</c:v>
                </c:pt>
                <c:pt idx="42">
                  <c:v>Фебруар 2021</c:v>
                </c:pt>
                <c:pt idx="43">
                  <c:v>Март 2021</c:v>
                </c:pt>
                <c:pt idx="44">
                  <c:v>Април 2021</c:v>
                </c:pt>
                <c:pt idx="45">
                  <c:v>Мај 2021</c:v>
                </c:pt>
                <c:pt idx="46">
                  <c:v>Јун 2021</c:v>
                </c:pt>
                <c:pt idx="47">
                  <c:v>Јул 2021</c:v>
                </c:pt>
                <c:pt idx="48">
                  <c:v>Август 2021</c:v>
                </c:pt>
              </c:strCache>
            </c:strRef>
          </c:cat>
          <c:val>
            <c:numRef>
              <c:f>ATM!$C$80:$C$128</c:f>
              <c:numCache>
                <c:formatCode>#,##0.000</c:formatCode>
                <c:ptCount val="49"/>
                <c:pt idx="0">
                  <c:v>2.2744431578203148</c:v>
                </c:pt>
                <c:pt idx="1">
                  <c:v>2.3055766178030832</c:v>
                </c:pt>
                <c:pt idx="2">
                  <c:v>2.2577478731007421</c:v>
                </c:pt>
                <c:pt idx="3">
                  <c:v>2.3322430500000744</c:v>
                </c:pt>
                <c:pt idx="4">
                  <c:v>2.45314292546017</c:v>
                </c:pt>
                <c:pt idx="5">
                  <c:v>2.4297419455911244</c:v>
                </c:pt>
                <c:pt idx="6">
                  <c:v>2.4705658135871453</c:v>
                </c:pt>
                <c:pt idx="7">
                  <c:v>2.4262951515232642</c:v>
                </c:pt>
                <c:pt idx="8">
                  <c:v>2.3846590046212</c:v>
                </c:pt>
                <c:pt idx="9">
                  <c:v>2.4769999999999999</c:v>
                </c:pt>
                <c:pt idx="10">
                  <c:v>2.4459899092751498</c:v>
                </c:pt>
                <c:pt idx="11">
                  <c:v>2.3988621874960829</c:v>
                </c:pt>
                <c:pt idx="12">
                  <c:v>2.3888429254601702</c:v>
                </c:pt>
                <c:pt idx="13">
                  <c:v>2.9749044523125296</c:v>
                </c:pt>
                <c:pt idx="14">
                  <c:v>3.4579408470312272</c:v>
                </c:pt>
                <c:pt idx="15">
                  <c:v>3.5996024262553723</c:v>
                </c:pt>
                <c:pt idx="16">
                  <c:v>3.7459899092751501</c:v>
                </c:pt>
                <c:pt idx="17">
                  <c:v>3.8456126939231798</c:v>
                </c:pt>
                <c:pt idx="18">
                  <c:v>3.91921816133204</c:v>
                </c:pt>
                <c:pt idx="19">
                  <c:v>3.9531429259053499</c:v>
                </c:pt>
                <c:pt idx="20">
                  <c:v>3.5418962713980511</c:v>
                </c:pt>
                <c:pt idx="21">
                  <c:v>3.4569647645487356</c:v>
                </c:pt>
                <c:pt idx="22">
                  <c:v>3.4226839888154408</c:v>
                </c:pt>
                <c:pt idx="23">
                  <c:v>3.3845972032956824</c:v>
                </c:pt>
                <c:pt idx="24">
                  <c:v>3.5019999999999998</c:v>
                </c:pt>
                <c:pt idx="25">
                  <c:v>3.9489999999999998</c:v>
                </c:pt>
                <c:pt idx="26">
                  <c:v>3.871</c:v>
                </c:pt>
                <c:pt idx="27">
                  <c:v>3.8358191367510268</c:v>
                </c:pt>
                <c:pt idx="28">
                  <c:v>3.908687907298674</c:v>
                </c:pt>
                <c:pt idx="29">
                  <c:v>3.9534817092905126</c:v>
                </c:pt>
                <c:pt idx="30">
                  <c:v>3.9447309159295449</c:v>
                </c:pt>
                <c:pt idx="31">
                  <c:v>3.9282126458596296</c:v>
                </c:pt>
                <c:pt idx="32">
                  <c:v>3.8690069319821903</c:v>
                </c:pt>
                <c:pt idx="33">
                  <c:v>3.9349961244927654</c:v>
                </c:pt>
                <c:pt idx="34">
                  <c:v>3.8636732823398314</c:v>
                </c:pt>
                <c:pt idx="35">
                  <c:v>3.8444332330566096</c:v>
                </c:pt>
                <c:pt idx="36">
                  <c:v>3.7396182566764304</c:v>
                </c:pt>
                <c:pt idx="37" formatCode="#,##0.0">
                  <c:v>3.7396182566764304</c:v>
                </c:pt>
                <c:pt idx="38">
                  <c:v>3.88</c:v>
                </c:pt>
                <c:pt idx="39">
                  <c:v>3.94</c:v>
                </c:pt>
                <c:pt idx="40">
                  <c:v>3.92</c:v>
                </c:pt>
                <c:pt idx="41">
                  <c:v>4.05</c:v>
                </c:pt>
                <c:pt idx="42">
                  <c:v>4.01</c:v>
                </c:pt>
                <c:pt idx="43" formatCode="#,##0.00">
                  <c:v>3.98</c:v>
                </c:pt>
                <c:pt idx="44" formatCode="General">
                  <c:v>4.09</c:v>
                </c:pt>
                <c:pt idx="45" formatCode="General">
                  <c:v>3.97</c:v>
                </c:pt>
                <c:pt idx="46" formatCode="General">
                  <c:v>4.0199999999999996</c:v>
                </c:pt>
                <c:pt idx="47" formatCode="General">
                  <c:v>3.93</c:v>
                </c:pt>
                <c:pt idx="48" formatCode="General">
                  <c:v>3.95</c:v>
                </c:pt>
              </c:numCache>
            </c:numRef>
          </c:val>
          <c:smooth val="0"/>
          <c:extLst>
            <c:ext xmlns:c16="http://schemas.microsoft.com/office/drawing/2014/chart" uri="{C3380CC4-5D6E-409C-BE32-E72D297353CC}">
              <c16:uniqueId val="{00000002-ACC3-46E7-B590-CC027D41FBC8}"/>
            </c:ext>
          </c:extLst>
        </c:ser>
        <c:ser>
          <c:idx val="1"/>
          <c:order val="1"/>
          <c:tx>
            <c:strRef>
              <c:f>ATM!$D$7</c:f>
              <c:strCache>
                <c:ptCount val="1"/>
                <c:pt idx="0">
                  <c:v>Просечно време до доспећа евро ХоВ</c:v>
                </c:pt>
              </c:strCache>
            </c:strRef>
          </c:tx>
          <c:spPr>
            <a:ln w="28575" cap="rnd">
              <a:solidFill>
                <a:schemeClr val="accent2"/>
              </a:solidFill>
              <a:round/>
            </a:ln>
            <a:effectLst/>
          </c:spPr>
          <c:marker>
            <c:symbol val="none"/>
          </c:marker>
          <c:dLbls>
            <c:dLbl>
              <c:idx val="48"/>
              <c:layout>
                <c:manualLayout>
                  <c:x val="-1.6563146997929608E-2"/>
                  <c:y val="-5.498281786941580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CC3-46E7-B590-CC027D41FBC8}"/>
                </c:ext>
              </c:extLst>
            </c:dLbl>
            <c:dLbl>
              <c:idx val="55"/>
              <c:layout>
                <c:manualLayout>
                  <c:x val="-1.4716701753060466E-3"/>
                  <c:y val="-5.555555555555556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ACC3-46E7-B590-CC027D41FBC8}"/>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ATM!$B$80:$B$128</c:f>
              <c:strCache>
                <c:ptCount val="49"/>
                <c:pt idx="0">
                  <c:v>Јануар 2017</c:v>
                </c:pt>
                <c:pt idx="1">
                  <c:v>Фебруар 2017</c:v>
                </c:pt>
                <c:pt idx="2">
                  <c:v>Март 2017</c:v>
                </c:pt>
                <c:pt idx="3">
                  <c:v>Април 2017</c:v>
                </c:pt>
                <c:pt idx="4">
                  <c:v>Мај 2017</c:v>
                </c:pt>
                <c:pt idx="5">
                  <c:v>Јун 2017</c:v>
                </c:pt>
                <c:pt idx="6">
                  <c:v>Јул 2017</c:v>
                </c:pt>
                <c:pt idx="7">
                  <c:v>Август 2017</c:v>
                </c:pt>
                <c:pt idx="8">
                  <c:v>Септембар 2017</c:v>
                </c:pt>
                <c:pt idx="9">
                  <c:v>Октобар 2017</c:v>
                </c:pt>
                <c:pt idx="10">
                  <c:v>Новембар 2017</c:v>
                </c:pt>
                <c:pt idx="11">
                  <c:v>Децембар 2017</c:v>
                </c:pt>
                <c:pt idx="12">
                  <c:v>Јануар 2018</c:v>
                </c:pt>
                <c:pt idx="13">
                  <c:v>Фебруар 2018</c:v>
                </c:pt>
                <c:pt idx="14">
                  <c:v>Март 2018</c:v>
                </c:pt>
                <c:pt idx="15">
                  <c:v>Април 2018</c:v>
                </c:pt>
                <c:pt idx="16">
                  <c:v>Мај 2018</c:v>
                </c:pt>
                <c:pt idx="17">
                  <c:v>Јун 2018</c:v>
                </c:pt>
                <c:pt idx="18">
                  <c:v>Јул 2018</c:v>
                </c:pt>
                <c:pt idx="19">
                  <c:v>Август 2018</c:v>
                </c:pt>
                <c:pt idx="20">
                  <c:v>Септембар 2018</c:v>
                </c:pt>
                <c:pt idx="21">
                  <c:v>Октобар 2018</c:v>
                </c:pt>
                <c:pt idx="22">
                  <c:v>Новембар 2018</c:v>
                </c:pt>
                <c:pt idx="23">
                  <c:v>Децембар 2018</c:v>
                </c:pt>
                <c:pt idx="24">
                  <c:v>Јануар 2019</c:v>
                </c:pt>
                <c:pt idx="25">
                  <c:v>Фебруар 2019</c:v>
                </c:pt>
                <c:pt idx="26">
                  <c:v>Март 2019</c:v>
                </c:pt>
                <c:pt idx="27">
                  <c:v>Април 2019</c:v>
                </c:pt>
                <c:pt idx="28">
                  <c:v>Мај 2019</c:v>
                </c:pt>
                <c:pt idx="29">
                  <c:v>Јун 2019</c:v>
                </c:pt>
                <c:pt idx="30">
                  <c:v>Јул 2019</c:v>
                </c:pt>
                <c:pt idx="31">
                  <c:v>Август 2019</c:v>
                </c:pt>
                <c:pt idx="32">
                  <c:v>Септембар 2019</c:v>
                </c:pt>
                <c:pt idx="33">
                  <c:v>Октобар 2019</c:v>
                </c:pt>
                <c:pt idx="34">
                  <c:v>Новембар 2019</c:v>
                </c:pt>
                <c:pt idx="35">
                  <c:v>Децембар 2019</c:v>
                </c:pt>
                <c:pt idx="36">
                  <c:v>Август 2020</c:v>
                </c:pt>
                <c:pt idx="37">
                  <c:v>Септембар 2020</c:v>
                </c:pt>
                <c:pt idx="38">
                  <c:v>Октобар 2020</c:v>
                </c:pt>
                <c:pt idx="39">
                  <c:v>Новембар 2020</c:v>
                </c:pt>
                <c:pt idx="40">
                  <c:v>Децембар 2020</c:v>
                </c:pt>
                <c:pt idx="41">
                  <c:v>Јануар 2021</c:v>
                </c:pt>
                <c:pt idx="42">
                  <c:v>Фебруар 2021</c:v>
                </c:pt>
                <c:pt idx="43">
                  <c:v>Март 2021</c:v>
                </c:pt>
                <c:pt idx="44">
                  <c:v>Април 2021</c:v>
                </c:pt>
                <c:pt idx="45">
                  <c:v>Мај 2021</c:v>
                </c:pt>
                <c:pt idx="46">
                  <c:v>Јун 2021</c:v>
                </c:pt>
                <c:pt idx="47">
                  <c:v>Јул 2021</c:v>
                </c:pt>
                <c:pt idx="48">
                  <c:v>Август 2021</c:v>
                </c:pt>
              </c:strCache>
            </c:strRef>
          </c:cat>
          <c:val>
            <c:numRef>
              <c:f>ATM!$D$80:$D$128</c:f>
              <c:numCache>
                <c:formatCode>#,##0.000</c:formatCode>
                <c:ptCount val="49"/>
                <c:pt idx="0">
                  <c:v>3.0767465391094229</c:v>
                </c:pt>
                <c:pt idx="1">
                  <c:v>3.1861380112999025</c:v>
                </c:pt>
                <c:pt idx="2">
                  <c:v>3.3145522287372806</c:v>
                </c:pt>
                <c:pt idx="3">
                  <c:v>3.2252300220400598</c:v>
                </c:pt>
                <c:pt idx="4">
                  <c:v>3.1921816133204102</c:v>
                </c:pt>
                <c:pt idx="5">
                  <c:v>3.2939564229036766</c:v>
                </c:pt>
                <c:pt idx="6">
                  <c:v>3.3782294788810399</c:v>
                </c:pt>
                <c:pt idx="7">
                  <c:v>3.2610251959053498</c:v>
                </c:pt>
                <c:pt idx="8">
                  <c:v>3.4808718754728201</c:v>
                </c:pt>
                <c:pt idx="9">
                  <c:v>3.44</c:v>
                </c:pt>
                <c:pt idx="10">
                  <c:v>3.4263128678108856</c:v>
                </c:pt>
                <c:pt idx="11">
                  <c:v>3.4050078312651766</c:v>
                </c:pt>
                <c:pt idx="12">
                  <c:v>3.3850251959053499</c:v>
                </c:pt>
                <c:pt idx="13">
                  <c:v>3.4768906815133001</c:v>
                </c:pt>
                <c:pt idx="14">
                  <c:v>3.6421450414399521</c:v>
                </c:pt>
                <c:pt idx="15">
                  <c:v>3.6610010970593514</c:v>
                </c:pt>
                <c:pt idx="16">
                  <c:v>3.6768906815132998</c:v>
                </c:pt>
                <c:pt idx="17">
                  <c:v>3.6939659391674602</c:v>
                </c:pt>
                <c:pt idx="18">
                  <c:v>3.7145641398248901</c:v>
                </c:pt>
                <c:pt idx="19">
                  <c:v>3.7508718497823201</c:v>
                </c:pt>
                <c:pt idx="20">
                  <c:v>3.7250000000000001</c:v>
                </c:pt>
                <c:pt idx="21">
                  <c:v>3.639666374694055</c:v>
                </c:pt>
                <c:pt idx="22">
                  <c:v>3.5569999999999999</c:v>
                </c:pt>
                <c:pt idx="23">
                  <c:v>3.532</c:v>
                </c:pt>
                <c:pt idx="24">
                  <c:v>3.9140000000000001</c:v>
                </c:pt>
                <c:pt idx="25">
                  <c:v>4.0759999999999996</c:v>
                </c:pt>
                <c:pt idx="26">
                  <c:v>3.9870000000000001</c:v>
                </c:pt>
                <c:pt idx="27">
                  <c:v>3.9697855596679679</c:v>
                </c:pt>
                <c:pt idx="28">
                  <c:v>3.9725148540982271</c:v>
                </c:pt>
                <c:pt idx="29">
                  <c:v>4.2471234195046668</c:v>
                </c:pt>
                <c:pt idx="30">
                  <c:v>4.1749257654509879</c:v>
                </c:pt>
                <c:pt idx="31">
                  <c:v>4.167188937210339</c:v>
                </c:pt>
                <c:pt idx="32">
                  <c:v>4.125897801213652</c:v>
                </c:pt>
                <c:pt idx="33">
                  <c:v>4.0601012479141136</c:v>
                </c:pt>
                <c:pt idx="34">
                  <c:v>3.9779094670921955</c:v>
                </c:pt>
                <c:pt idx="35">
                  <c:v>3.8942668177798891</c:v>
                </c:pt>
                <c:pt idx="36">
                  <c:v>4.7373563507009235</c:v>
                </c:pt>
                <c:pt idx="37" formatCode="#,##0.0">
                  <c:v>4.7373563507009235</c:v>
                </c:pt>
                <c:pt idx="38">
                  <c:v>4.74</c:v>
                </c:pt>
                <c:pt idx="39">
                  <c:v>4.7</c:v>
                </c:pt>
                <c:pt idx="40">
                  <c:v>4.71</c:v>
                </c:pt>
                <c:pt idx="41">
                  <c:v>4.62</c:v>
                </c:pt>
                <c:pt idx="42">
                  <c:v>5.09</c:v>
                </c:pt>
                <c:pt idx="43" formatCode="#,##0.00">
                  <c:v>5.34</c:v>
                </c:pt>
                <c:pt idx="44" formatCode="General">
                  <c:v>5.32</c:v>
                </c:pt>
                <c:pt idx="45" formatCode="General">
                  <c:v>5.57</c:v>
                </c:pt>
                <c:pt idx="46" formatCode="General">
                  <c:v>5.49</c:v>
                </c:pt>
                <c:pt idx="47" formatCode="General">
                  <c:v>5.43</c:v>
                </c:pt>
                <c:pt idx="48" formatCode="General">
                  <c:v>5.34</c:v>
                </c:pt>
              </c:numCache>
            </c:numRef>
          </c:val>
          <c:smooth val="0"/>
          <c:extLst>
            <c:ext xmlns:c16="http://schemas.microsoft.com/office/drawing/2014/chart" uri="{C3380CC4-5D6E-409C-BE32-E72D297353CC}">
              <c16:uniqueId val="{00000005-ACC3-46E7-B590-CC027D41FBC8}"/>
            </c:ext>
          </c:extLst>
        </c:ser>
        <c:dLbls>
          <c:showLegendKey val="0"/>
          <c:showVal val="0"/>
          <c:showCatName val="0"/>
          <c:showSerName val="0"/>
          <c:showPercent val="0"/>
          <c:showBubbleSize val="0"/>
        </c:dLbls>
        <c:smooth val="0"/>
        <c:axId val="272849056"/>
        <c:axId val="272849448"/>
      </c:lineChart>
      <c:catAx>
        <c:axId val="2728490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en-US"/>
          </a:p>
        </c:txPr>
        <c:crossAx val="272849448"/>
        <c:crosses val="autoZero"/>
        <c:auto val="0"/>
        <c:lblAlgn val="ctr"/>
        <c:lblOffset val="100"/>
        <c:tickLblSkip val="4"/>
        <c:noMultiLvlLbl val="0"/>
      </c:catAx>
      <c:valAx>
        <c:axId val="272849448"/>
        <c:scaling>
          <c:orientation val="minMax"/>
          <c:max val="6"/>
          <c:min val="0"/>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crossAx val="272849056"/>
        <c:crossesAt val="1"/>
        <c:crossBetween val="between"/>
      </c:valAx>
      <c:spPr>
        <a:noFill/>
        <a:ln>
          <a:noFill/>
        </a:ln>
        <a:effectLst/>
      </c:spPr>
    </c:plotArea>
    <c:legend>
      <c:legendPos val="b"/>
      <c:layout>
        <c:manualLayout>
          <c:xMode val="edge"/>
          <c:yMode val="edge"/>
          <c:x val="6.6228279538712048E-2"/>
          <c:y val="0.77604111986001745"/>
          <c:w val="0.81668012461615103"/>
          <c:h val="0.17534776902887136"/>
        </c:manualLayout>
      </c:layout>
      <c:overlay val="0"/>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3.8138138138138135E-2"/>
          <c:y val="8.867129629629629E-2"/>
          <c:w val="0.91418918918918923"/>
          <c:h val="0.72349849849849845"/>
        </c:manualLayout>
      </c:layout>
      <c:barChart>
        <c:barDir val="col"/>
        <c:grouping val="clustered"/>
        <c:varyColors val="0"/>
        <c:ser>
          <c:idx val="0"/>
          <c:order val="0"/>
          <c:tx>
            <c:strRef>
              <c:f>'Osn. makroekon. agregati'!$B$7</c:f>
              <c:strCache>
                <c:ptCount val="1"/>
                <c:pt idx="0">
                  <c:v>Инфлација, %</c:v>
                </c:pt>
              </c:strCache>
            </c:strRef>
          </c:tx>
          <c:spPr>
            <a:solidFill>
              <a:schemeClr val="accent1"/>
            </a:solidFill>
            <a:ln>
              <a:noFill/>
            </a:ln>
            <a:effectLst/>
          </c:spPr>
          <c:invertIfNegative val="0"/>
          <c:dPt>
            <c:idx val="0"/>
            <c:invertIfNegative val="0"/>
            <c:bubble3D val="0"/>
            <c:spPr>
              <a:solidFill>
                <a:srgbClr val="29489A"/>
              </a:solidFill>
              <a:ln>
                <a:noFill/>
              </a:ln>
              <a:effectLst/>
            </c:spPr>
            <c:extLst>
              <c:ext xmlns:c16="http://schemas.microsoft.com/office/drawing/2014/chart" uri="{C3380CC4-5D6E-409C-BE32-E72D297353CC}">
                <c16:uniqueId val="{00000001-C435-4409-AA4A-2E120C6ED426}"/>
              </c:ext>
            </c:extLst>
          </c:dPt>
          <c:dPt>
            <c:idx val="1"/>
            <c:invertIfNegative val="0"/>
            <c:bubble3D val="0"/>
            <c:spPr>
              <a:solidFill>
                <a:srgbClr val="ED1C24"/>
              </a:solidFill>
              <a:ln>
                <a:noFill/>
              </a:ln>
              <a:effectLst/>
            </c:spPr>
            <c:extLst>
              <c:ext xmlns:c16="http://schemas.microsoft.com/office/drawing/2014/chart" uri="{C3380CC4-5D6E-409C-BE32-E72D297353CC}">
                <c16:uniqueId val="{00000003-C435-4409-AA4A-2E120C6ED426}"/>
              </c:ext>
            </c:extLst>
          </c:dPt>
          <c:dLbls>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rgbClr val="29489A"/>
                      </a:solidFill>
                      <a:latin typeface="+mn-lt"/>
                      <a:ea typeface="+mn-ea"/>
                      <a:cs typeface="+mn-cs"/>
                    </a:defRPr>
                  </a:pPr>
                  <a:endParaRPr lang="en-US"/>
                </a:p>
              </c:txPr>
              <c:showLegendKey val="0"/>
              <c:showVal val="1"/>
              <c:showCatName val="0"/>
              <c:showSerName val="0"/>
              <c:showPercent val="0"/>
              <c:showBubbleSize val="0"/>
              <c:extLst>
                <c:ext xmlns:c16="http://schemas.microsoft.com/office/drawing/2014/chart" uri="{C3380CC4-5D6E-409C-BE32-E72D297353CC}">
                  <c16:uniqueId val="{00000001-C435-4409-AA4A-2E120C6ED426}"/>
                </c:ext>
              </c:extLst>
            </c:dLbl>
            <c:dLbl>
              <c:idx val="1"/>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rgbClr val="ED1C24"/>
                      </a:solidFill>
                      <a:latin typeface="+mn-lt"/>
                      <a:ea typeface="+mn-ea"/>
                      <a:cs typeface="+mn-cs"/>
                    </a:defRPr>
                  </a:pPr>
                  <a:endParaRPr lang="en-US"/>
                </a:p>
              </c:txPr>
              <c:showLegendKey val="0"/>
              <c:showVal val="1"/>
              <c:showCatName val="0"/>
              <c:showSerName val="0"/>
              <c:showPercent val="0"/>
              <c:showBubbleSize val="0"/>
              <c:extLst>
                <c:ext xmlns:c16="http://schemas.microsoft.com/office/drawing/2014/chart" uri="{C3380CC4-5D6E-409C-BE32-E72D297353CC}">
                  <c16:uniqueId val="{00000003-C435-4409-AA4A-2E120C6ED426}"/>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('Osn. makroekon. agregati'!$C$7,'Osn. makroekon. agregati'!$D$7)</c:f>
              <c:numCache>
                <c:formatCode>0.0</c:formatCode>
                <c:ptCount val="2"/>
                <c:pt idx="0">
                  <c:v>2.6</c:v>
                </c:pt>
                <c:pt idx="1">
                  <c:v>3.7</c:v>
                </c:pt>
              </c:numCache>
            </c:numRef>
          </c:val>
          <c:extLst>
            <c:ext xmlns:c16="http://schemas.microsoft.com/office/drawing/2014/chart" uri="{C3380CC4-5D6E-409C-BE32-E72D297353CC}">
              <c16:uniqueId val="{00000004-C435-4409-AA4A-2E120C6ED426}"/>
            </c:ext>
          </c:extLst>
        </c:ser>
        <c:dLbls>
          <c:showLegendKey val="0"/>
          <c:showVal val="0"/>
          <c:showCatName val="0"/>
          <c:showSerName val="0"/>
          <c:showPercent val="0"/>
          <c:showBubbleSize val="0"/>
        </c:dLbls>
        <c:gapWidth val="15"/>
        <c:axId val="1768831680"/>
        <c:axId val="1768853440"/>
      </c:barChart>
      <c:catAx>
        <c:axId val="1768831680"/>
        <c:scaling>
          <c:orientation val="minMax"/>
        </c:scaling>
        <c:delete val="0"/>
        <c:axPos val="b"/>
        <c:title>
          <c:tx>
            <c:rich>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r>
                  <a:rPr lang="en-US" b="1"/>
                  <a:t>2021</a:t>
                </a:r>
              </a:p>
            </c:rich>
          </c:tx>
          <c:overlay val="0"/>
          <c:spPr>
            <a:noFill/>
            <a:ln>
              <a:noFill/>
            </a:ln>
            <a:effectLst/>
          </c:spPr>
          <c:txPr>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en-US"/>
            </a:p>
          </c:txPr>
        </c:title>
        <c:majorTickMark val="none"/>
        <c:minorTickMark val="none"/>
        <c:tickLblPos val="none"/>
        <c:spPr>
          <a:noFill/>
          <a:ln w="12700" cap="flat" cmpd="sng" algn="ctr">
            <a:solidFill>
              <a:srgbClr val="898989"/>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68853440"/>
        <c:crossesAt val="0"/>
        <c:auto val="1"/>
        <c:lblAlgn val="ctr"/>
        <c:lblOffset val="100"/>
        <c:noMultiLvlLbl val="0"/>
      </c:catAx>
      <c:valAx>
        <c:axId val="1768853440"/>
        <c:scaling>
          <c:orientation val="minMax"/>
          <c:max val="6"/>
          <c:min val="0"/>
        </c:scaling>
        <c:delete val="0"/>
        <c:axPos val="l"/>
        <c:numFmt formatCode="0.0" sourceLinked="1"/>
        <c:majorTickMark val="out"/>
        <c:minorTickMark val="none"/>
        <c:tickLblPos val="none"/>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68831680"/>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n-US"/>
    </a:p>
  </c:txPr>
  <c:externalData r:id="rId4">
    <c:autoUpdate val="0"/>
  </c:externalData>
  <c:userShapes r:id="rId5"/>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3.8138138138138135E-2"/>
          <c:y val="8.867129629629629E-2"/>
          <c:w val="0.91418918918918923"/>
          <c:h val="0.72349849849849845"/>
        </c:manualLayout>
      </c:layout>
      <c:barChart>
        <c:barDir val="col"/>
        <c:grouping val="clustered"/>
        <c:varyColors val="0"/>
        <c:ser>
          <c:idx val="0"/>
          <c:order val="0"/>
          <c:tx>
            <c:strRef>
              <c:f>'Osn. makroekon. agregati'!$B$7</c:f>
              <c:strCache>
                <c:ptCount val="1"/>
                <c:pt idx="0">
                  <c:v>Инфлација, %</c:v>
                </c:pt>
              </c:strCache>
            </c:strRef>
          </c:tx>
          <c:spPr>
            <a:solidFill>
              <a:schemeClr val="accent1"/>
            </a:solidFill>
            <a:ln>
              <a:noFill/>
            </a:ln>
            <a:effectLst/>
          </c:spPr>
          <c:invertIfNegative val="0"/>
          <c:dPt>
            <c:idx val="0"/>
            <c:invertIfNegative val="0"/>
            <c:bubble3D val="0"/>
            <c:spPr>
              <a:solidFill>
                <a:srgbClr val="29489A"/>
              </a:solidFill>
              <a:ln>
                <a:noFill/>
              </a:ln>
              <a:effectLst/>
            </c:spPr>
            <c:extLst>
              <c:ext xmlns:c16="http://schemas.microsoft.com/office/drawing/2014/chart" uri="{C3380CC4-5D6E-409C-BE32-E72D297353CC}">
                <c16:uniqueId val="{00000001-7EF8-4462-8D0C-2FF059E31FB2}"/>
              </c:ext>
            </c:extLst>
          </c:dPt>
          <c:dPt>
            <c:idx val="1"/>
            <c:invertIfNegative val="0"/>
            <c:bubble3D val="0"/>
            <c:spPr>
              <a:solidFill>
                <a:srgbClr val="ED1C24"/>
              </a:solidFill>
              <a:ln>
                <a:noFill/>
              </a:ln>
              <a:effectLst/>
            </c:spPr>
            <c:extLst>
              <c:ext xmlns:c16="http://schemas.microsoft.com/office/drawing/2014/chart" uri="{C3380CC4-5D6E-409C-BE32-E72D297353CC}">
                <c16:uniqueId val="{00000003-7EF8-4462-8D0C-2FF059E31FB2}"/>
              </c:ext>
            </c:extLst>
          </c:dPt>
          <c:dLbls>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rgbClr val="29489A"/>
                      </a:solidFill>
                      <a:latin typeface="+mn-lt"/>
                      <a:ea typeface="+mn-ea"/>
                      <a:cs typeface="+mn-cs"/>
                    </a:defRPr>
                  </a:pPr>
                  <a:endParaRPr lang="en-US"/>
                </a:p>
              </c:txPr>
              <c:showLegendKey val="0"/>
              <c:showVal val="1"/>
              <c:showCatName val="0"/>
              <c:showSerName val="0"/>
              <c:showPercent val="0"/>
              <c:showBubbleSize val="0"/>
              <c:extLst>
                <c:ext xmlns:c16="http://schemas.microsoft.com/office/drawing/2014/chart" uri="{C3380CC4-5D6E-409C-BE32-E72D297353CC}">
                  <c16:uniqueId val="{00000001-7EF8-4462-8D0C-2FF059E31FB2}"/>
                </c:ext>
              </c:extLst>
            </c:dLbl>
            <c:dLbl>
              <c:idx val="1"/>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rgbClr val="ED1C24"/>
                      </a:solidFill>
                      <a:latin typeface="+mn-lt"/>
                      <a:ea typeface="+mn-ea"/>
                      <a:cs typeface="+mn-cs"/>
                    </a:defRPr>
                  </a:pPr>
                  <a:endParaRPr lang="en-US"/>
                </a:p>
              </c:txPr>
              <c:showLegendKey val="0"/>
              <c:showVal val="1"/>
              <c:showCatName val="0"/>
              <c:showSerName val="0"/>
              <c:showPercent val="0"/>
              <c:showBubbleSize val="0"/>
              <c:extLst>
                <c:ext xmlns:c16="http://schemas.microsoft.com/office/drawing/2014/chart" uri="{C3380CC4-5D6E-409C-BE32-E72D297353CC}">
                  <c16:uniqueId val="{00000003-7EF8-4462-8D0C-2FF059E31FB2}"/>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('Osn. makroekon. agregati'!$E$7,'Osn. makroekon. agregati'!$F$7)</c:f>
              <c:numCache>
                <c:formatCode>0.0</c:formatCode>
                <c:ptCount val="2"/>
                <c:pt idx="0">
                  <c:v>2.5</c:v>
                </c:pt>
                <c:pt idx="1">
                  <c:v>3.7</c:v>
                </c:pt>
              </c:numCache>
            </c:numRef>
          </c:val>
          <c:extLst>
            <c:ext xmlns:c16="http://schemas.microsoft.com/office/drawing/2014/chart" uri="{C3380CC4-5D6E-409C-BE32-E72D297353CC}">
              <c16:uniqueId val="{00000004-7EF8-4462-8D0C-2FF059E31FB2}"/>
            </c:ext>
          </c:extLst>
        </c:ser>
        <c:dLbls>
          <c:showLegendKey val="0"/>
          <c:showVal val="0"/>
          <c:showCatName val="0"/>
          <c:showSerName val="0"/>
          <c:showPercent val="0"/>
          <c:showBubbleSize val="0"/>
        </c:dLbls>
        <c:gapWidth val="15"/>
        <c:axId val="1768831680"/>
        <c:axId val="1768853440"/>
      </c:barChart>
      <c:catAx>
        <c:axId val="1768831680"/>
        <c:scaling>
          <c:orientation val="minMax"/>
        </c:scaling>
        <c:delete val="0"/>
        <c:axPos val="b"/>
        <c:title>
          <c:tx>
            <c:rich>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r>
                  <a:rPr lang="en-US" b="1"/>
                  <a:t>2022</a:t>
                </a:r>
              </a:p>
            </c:rich>
          </c:tx>
          <c:overlay val="0"/>
          <c:spPr>
            <a:noFill/>
            <a:ln>
              <a:noFill/>
            </a:ln>
            <a:effectLst/>
          </c:spPr>
          <c:txPr>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en-US"/>
            </a:p>
          </c:txPr>
        </c:title>
        <c:majorTickMark val="none"/>
        <c:minorTickMark val="none"/>
        <c:tickLblPos val="none"/>
        <c:spPr>
          <a:noFill/>
          <a:ln w="12700" cap="flat" cmpd="sng" algn="ctr">
            <a:solidFill>
              <a:srgbClr val="898989"/>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68853440"/>
        <c:crossesAt val="0"/>
        <c:auto val="1"/>
        <c:lblAlgn val="ctr"/>
        <c:lblOffset val="100"/>
        <c:noMultiLvlLbl val="0"/>
      </c:catAx>
      <c:valAx>
        <c:axId val="1768853440"/>
        <c:scaling>
          <c:orientation val="minMax"/>
          <c:max val="6"/>
          <c:min val="0"/>
        </c:scaling>
        <c:delete val="0"/>
        <c:axPos val="l"/>
        <c:numFmt formatCode="0.0" sourceLinked="1"/>
        <c:majorTickMark val="out"/>
        <c:minorTickMark val="none"/>
        <c:tickLblPos val="none"/>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68831680"/>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n-US"/>
    </a:p>
  </c:txPr>
  <c:externalData r:id="rId4">
    <c:autoUpdate val="0"/>
  </c:externalData>
  <c:userShapes r:id="rId5"/>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7.xml><?xml version="1.0" encoding="utf-8"?>
<cs:colorStyle xmlns:cs="http://schemas.microsoft.com/office/drawing/2012/chartStyle" xmlns:a="http://schemas.openxmlformats.org/drawingml/2006/main" meth="withinLinear" id="14">
  <a:schemeClr val="accent1"/>
</cs:colorStyle>
</file>

<file path=word/charts/colors4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1.xml><?xml version="1.0" encoding="utf-8"?>
<cs:colorStyle xmlns:cs="http://schemas.microsoft.com/office/drawing/2012/chartStyle" xmlns:a="http://schemas.openxmlformats.org/drawingml/2006/main" meth="withinLinear" id="16">
  <a:schemeClr val="accent3"/>
</cs:colorStyle>
</file>

<file path=word/charts/colors52.xml><?xml version="1.0" encoding="utf-8"?>
<cs:colorStyle xmlns:cs="http://schemas.microsoft.com/office/drawing/2012/chartStyle" xmlns:a="http://schemas.openxmlformats.org/drawingml/2006/main" meth="withinLinear" id="16">
  <a:schemeClr val="accent3"/>
</cs:colorStyle>
</file>

<file path=word/charts/colors53.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7.xml><?xml version="1.0" encoding="utf-8"?>
<cs:colorStyle xmlns:cs="http://schemas.microsoft.com/office/drawing/2012/chartStyle" xmlns:a="http://schemas.openxmlformats.org/drawingml/2006/main" meth="withinLinear" id="14">
  <a:schemeClr val="accent1"/>
</cs:colorStyle>
</file>

<file path=word/charts/colors5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5.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6.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7.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9.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0.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4.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5.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7.xml><?xml version="1.0" encoding="utf-8"?>
<cs:chartStyle xmlns:cs="http://schemas.microsoft.com/office/drawing/2012/chartStyle" xmlns:a="http://schemas.openxmlformats.org/drawingml/2006/main" id="27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ln w="9525" cap="flat" cmpd="sng" algn="ctr">
        <a:solidFill>
          <a:schemeClr val="tx1">
            <a:lumMod val="15000"/>
            <a:lumOff val="85000"/>
          </a:schemeClr>
        </a:solidFill>
        <a:round/>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9.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0.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1.xml><?xml version="1.0" encoding="utf-8"?>
<cs:chartStyle xmlns:cs="http://schemas.microsoft.com/office/drawing/2012/chartStyle" xmlns:a="http://schemas.openxmlformats.org/drawingml/2006/main" id="136">
  <cs:axisTitle>
    <cs:lnRef idx="0"/>
    <cs:fillRef idx="0"/>
    <cs:effectRef idx="0"/>
    <cs:fontRef idx="minor">
      <a:schemeClr val="dk1"/>
    </cs:fontRef>
    <cs:defRPr sz="1000" b="1" kern="1200"/>
  </cs:axisTitle>
  <cs:categoryAxis>
    <cs:lnRef idx="1">
      <a:schemeClr val="dk1">
        <a:tint val="75000"/>
      </a:schemeClr>
    </cs:lnRef>
    <cs:fillRef idx="0"/>
    <cs:effectRef idx="0"/>
    <cs:fontRef idx="minor">
      <a:schemeClr val="dk1"/>
    </cs:fontRef>
    <cs:spPr>
      <a:ln>
        <a:round/>
      </a:ln>
    </cs:spPr>
    <cs:defRPr sz="1000" kern="1200"/>
  </cs:categoryAxis>
  <cs:chartArea>
    <cs:lnRef idx="1">
      <a:schemeClr val="dk1">
        <a:tint val="75000"/>
      </a:schemeClr>
    </cs:lnRef>
    <cs:fillRef idx="1">
      <a:schemeClr val="lt1"/>
    </cs:fillRef>
    <cs:effectRef idx="0"/>
    <cs:fontRef idx="minor">
      <a:schemeClr val="dk1"/>
    </cs:fontRef>
    <cs:spPr>
      <a:ln>
        <a:round/>
      </a:ln>
    </cs:spPr>
    <cs:defRPr sz="1000" kern="1200"/>
  </cs:chartArea>
  <cs:dataLabel>
    <cs:lnRef idx="0"/>
    <cs:fillRef idx="0"/>
    <cs:effectRef idx="0"/>
    <cs:fontRef idx="minor">
      <a:schemeClr val="dk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1" mods="ignoreCSTransforms">
      <cs:styleClr val="0">
        <a:shade val="50000"/>
      </cs:styleClr>
    </cs:lnRef>
    <cs:fillRef idx="1">
      <cs:styleClr val="auto"/>
    </cs:fillRef>
    <cs:effectRef idx="0"/>
    <cs:fontRef idx="minor">
      <a:schemeClr val="dk1"/>
    </cs:fontRef>
    <cs:spPr>
      <a:ln>
        <a:round/>
      </a:ln>
    </cs:spPr>
  </cs:dataPoint>
  <cs:dataPoint3D>
    <cs:lnRef idx="1" mods="ignoreCSTransforms">
      <cs:styleClr val="0">
        <a:shade val="50000"/>
      </cs:styleClr>
    </cs:lnRef>
    <cs:fillRef idx="1">
      <cs:styleClr val="auto"/>
    </cs:fillRef>
    <cs:effectRef idx="0"/>
    <cs:fontRef idx="minor">
      <a:schemeClr val="dk1"/>
    </cs:fontRef>
    <cs:spPr>
      <a:ln>
        <a:round/>
      </a:ln>
    </cs:spPr>
  </cs:dataPoint3D>
  <cs:dataPointLine>
    <cs:lnRef idx="1">
      <cs:styleClr val="auto"/>
    </cs:lnRef>
    <cs:lineWidthScale>5</cs:lineWidthScale>
    <cs:fillRef idx="0"/>
    <cs:effectRef idx="0"/>
    <cs:fontRef idx="minor">
      <a:schemeClr val="dk1"/>
    </cs:fontRef>
    <cs:spPr>
      <a:ln cap="rnd">
        <a:round/>
      </a:ln>
    </cs:spPr>
  </cs:dataPointLine>
  <cs:dataPointMarker>
    <cs:lnRef idx="1">
      <cs:styleClr val="auto"/>
    </cs:lnRef>
    <cs:fillRef idx="1">
      <cs:styleClr val="auto"/>
    </cs:fillRef>
    <cs:effectRef idx="0"/>
    <cs:fontRef idx="minor">
      <a:schemeClr val="dk1"/>
    </cs:fontRef>
    <cs:spPr>
      <a:ln>
        <a:round/>
      </a:ln>
    </cs:spPr>
  </cs:dataPointMarker>
  <cs:dataPointMarkerLayout/>
  <cs:dataPointWireframe>
    <cs:lnRef idx="1">
      <cs:styleClr val="auto"/>
    </cs:lnRef>
    <cs:fillRef idx="0"/>
    <cs:effectRef idx="0"/>
    <cs:fontRef idx="minor">
      <a:schemeClr val="dk1"/>
    </cs:fontRef>
    <cs:spPr>
      <a:ln>
        <a:round/>
      </a:ln>
    </cs:spPr>
  </cs:dataPointWireframe>
  <cs:dataTable>
    <cs:lnRef idx="1">
      <a:schemeClr val="dk1">
        <a:tint val="75000"/>
      </a:schemeClr>
    </cs:lnRef>
    <cs:fillRef idx="0"/>
    <cs:effectRef idx="0"/>
    <cs:fontRef idx="minor">
      <a:schemeClr val="dk1"/>
    </cs:fontRef>
    <cs:spPr>
      <a:ln>
        <a:round/>
      </a:ln>
    </cs:spPr>
    <cs:defRPr sz="1000" kern="1200"/>
  </cs:dataTable>
  <cs:downBar>
    <cs:lnRef idx="1" mods="ignoreCSTransforms">
      <cs:styleClr val="0">
        <a:shade val="25000"/>
      </cs:styleClr>
    </cs:lnRef>
    <cs:fillRef idx="1" mods="ignoreCSTransforms">
      <cs:styleClr val="0">
        <a:shade val="25000"/>
      </cs:styleClr>
    </cs:fillRef>
    <cs:effectRef idx="0"/>
    <cs:fontRef idx="minor">
      <a:schemeClr val="dk1"/>
    </cs:fontRef>
    <cs:spPr>
      <a:ln>
        <a:round/>
      </a:ln>
    </cs:spPr>
  </cs:downBar>
  <cs:dropLine>
    <cs:lnRef idx="1">
      <a:schemeClr val="dk1"/>
    </cs:lnRef>
    <cs:fillRef idx="0"/>
    <cs:effectRef idx="0"/>
    <cs:fontRef idx="minor">
      <a:schemeClr val="dk1"/>
    </cs:fontRef>
    <cs:spPr>
      <a:ln>
        <a:round/>
      </a:ln>
    </cs:spPr>
  </cs:dropLine>
  <cs:errorBar>
    <cs:lnRef idx="1">
      <a:schemeClr val="dk1"/>
    </cs:lnRef>
    <cs:fillRef idx="1">
      <a:schemeClr val="dk1"/>
    </cs:fillRef>
    <cs:effectRef idx="0"/>
    <cs:fontRef idx="minor">
      <a:schemeClr val="dk1"/>
    </cs:fontRef>
    <cs:spPr>
      <a:ln>
        <a:round/>
      </a:ln>
    </cs:spPr>
  </cs:errorBar>
  <cs:floor>
    <cs:lnRef idx="1">
      <a:schemeClr val="dk1">
        <a:tint val="75000"/>
      </a:schemeClr>
    </cs:lnRef>
    <cs:fillRef idx="1" mods="ignoreCSTransforms">
      <cs:styleClr val="0">
        <a:tint val="20000"/>
      </cs:styleClr>
    </cs:fillRef>
    <cs:effectRef idx="0"/>
    <cs:fontRef idx="minor">
      <a:schemeClr val="dk1"/>
    </cs:fontRef>
    <cs:spPr>
      <a:ln>
        <a:round/>
      </a:ln>
    </cs:spPr>
  </cs:floor>
  <cs:gridlineMajor>
    <cs:lnRef idx="1">
      <a:schemeClr val="dk1">
        <a:tint val="75000"/>
      </a:schemeClr>
    </cs:lnRef>
    <cs:fillRef idx="0"/>
    <cs:effectRef idx="0"/>
    <cs:fontRef idx="minor">
      <a:schemeClr val="dk1"/>
    </cs:fontRef>
    <cs:spPr>
      <a:ln>
        <a:round/>
      </a:ln>
    </cs:spPr>
  </cs:gridlineMajor>
  <cs:gridlineMinor>
    <cs:lnRef idx="1">
      <a:schemeClr val="dk1">
        <a:tint val="50000"/>
      </a:schemeClr>
    </cs:lnRef>
    <cs:fillRef idx="0"/>
    <cs:effectRef idx="0"/>
    <cs:fontRef idx="minor">
      <a:schemeClr val="dk1"/>
    </cs:fontRef>
    <cs:spPr>
      <a:ln>
        <a:round/>
      </a:ln>
    </cs:spPr>
  </cs:gridlineMinor>
  <cs:hiLoLine>
    <cs:lnRef idx="1">
      <a:schemeClr val="dk1"/>
    </cs:lnRef>
    <cs:fillRef idx="0"/>
    <cs:effectRef idx="0"/>
    <cs:fontRef idx="minor">
      <a:schemeClr val="dk1"/>
    </cs:fontRef>
    <cs:spPr>
      <a:ln>
        <a:round/>
      </a:ln>
    </cs:spPr>
  </cs:hiLoLine>
  <cs:leaderLine>
    <cs:lnRef idx="1">
      <a:schemeClr val="dk1"/>
    </cs:lnRef>
    <cs:fillRef idx="0"/>
    <cs:effectRef idx="0"/>
    <cs:fontRef idx="minor">
      <a:schemeClr val="dk1"/>
    </cs:fontRef>
    <cs:spPr>
      <a:ln>
        <a:round/>
      </a:ln>
    </cs:spPr>
  </cs:leaderLine>
  <cs:legend>
    <cs:lnRef idx="0"/>
    <cs:fillRef idx="0"/>
    <cs:effectRef idx="0"/>
    <cs:fontRef idx="minor">
      <a:schemeClr val="dk1"/>
    </cs:fontRef>
    <cs:defRPr sz="1000" kern="1200"/>
  </cs:legend>
  <cs:plotArea>
    <cs:lnRef idx="0"/>
    <cs:fillRef idx="1" mods="ignoreCSTransforms">
      <cs:styleClr val="0">
        <a:tint val="20000"/>
      </cs:styleClr>
    </cs:fillRef>
    <cs:effectRef idx="0"/>
    <cs:fontRef idx="minor">
      <a:schemeClr val="dk1"/>
    </cs:fontRef>
  </cs:plotArea>
  <cs:plotArea3D>
    <cs:lnRef idx="0"/>
    <cs:fillRef idx="0"/>
    <cs:effectRef idx="0"/>
    <cs:fontRef idx="minor">
      <a:schemeClr val="dk1"/>
    </cs:fontRef>
  </cs:plotArea3D>
  <cs:seriesAxis>
    <cs:lnRef idx="1">
      <a:schemeClr val="dk1">
        <a:tint val="75000"/>
      </a:schemeClr>
    </cs:lnRef>
    <cs:fillRef idx="0"/>
    <cs:effectRef idx="0"/>
    <cs:fontRef idx="minor">
      <a:schemeClr val="dk1"/>
    </cs:fontRef>
    <cs:spPr>
      <a:ln>
        <a:round/>
      </a:ln>
    </cs:spPr>
    <cs:defRPr sz="1000" kern="1200"/>
  </cs:seriesAxis>
  <cs:seriesLine>
    <cs:lnRef idx="1">
      <a:schemeClr val="dk1"/>
    </cs:lnRef>
    <cs:fillRef idx="0"/>
    <cs:effectRef idx="0"/>
    <cs:fontRef idx="minor">
      <a:schemeClr val="dk1"/>
    </cs:fontRef>
    <cs:spPr>
      <a:ln>
        <a:round/>
      </a:ln>
    </cs:spPr>
  </cs:seriesLine>
  <cs:title>
    <cs:lnRef idx="0"/>
    <cs:fillRef idx="0"/>
    <cs:effectRef idx="0"/>
    <cs:fontRef idx="minor">
      <a:schemeClr val="dk1"/>
    </cs:fontRef>
    <cs:defRPr sz="1800" b="1" kern="1200"/>
  </cs:title>
  <cs:trendline>
    <cs:lnRef idx="1">
      <a:schemeClr val="dk1"/>
    </cs:lnRef>
    <cs:fillRef idx="0"/>
    <cs:effectRef idx="0"/>
    <cs:fontRef idx="minor">
      <a:schemeClr val="dk1"/>
    </cs:fontRef>
    <cs:spPr>
      <a:ln cap="rnd">
        <a:round/>
      </a:ln>
    </cs:spPr>
  </cs:trendline>
  <cs:trendlineLabel>
    <cs:lnRef idx="0"/>
    <cs:fillRef idx="0"/>
    <cs:effectRef idx="0"/>
    <cs:fontRef idx="minor">
      <a:schemeClr val="dk1"/>
    </cs:fontRef>
    <cs:defRPr sz="1000" kern="1200"/>
  </cs:trendlineLabel>
  <cs:upBar>
    <cs:lnRef idx="1" mods="ignoreCSTransforms">
      <cs:styleClr val="0">
        <a:shade val="25000"/>
      </cs:styleClr>
    </cs:lnRef>
    <cs:fillRef idx="1">
      <a:schemeClr val="lt1"/>
    </cs:fillRef>
    <cs:effectRef idx="0"/>
    <cs:fontRef idx="minor">
      <a:schemeClr val="dk1"/>
    </cs:fontRef>
    <cs:spPr>
      <a:ln>
        <a:round/>
      </a:ln>
    </cs:spPr>
  </cs:upBar>
  <cs:valueAxis>
    <cs:lnRef idx="1">
      <a:schemeClr val="dk1">
        <a:tint val="75000"/>
      </a:schemeClr>
    </cs:lnRef>
    <cs:fillRef idx="0"/>
    <cs:effectRef idx="0"/>
    <cs:fontRef idx="minor">
      <a:schemeClr val="dk1"/>
    </cs:fontRef>
    <cs:spPr>
      <a:ln>
        <a:round/>
      </a:ln>
    </cs:spPr>
    <cs:defRPr sz="1000" kern="1200"/>
  </cs:valueAxis>
  <cs:wall>
    <cs:lnRef idx="0"/>
    <cs:fillRef idx="1" mods="ignoreCSTransforms">
      <cs:styleClr val="0">
        <a:tint val="20000"/>
      </cs:styleClr>
    </cs:fillRef>
    <cs:effectRef idx="0"/>
    <cs:fontRef idx="minor">
      <a:schemeClr val="dk1"/>
    </cs:fontRef>
  </cs:wall>
</cs:chartStyle>
</file>

<file path=word/charts/style52.xml><?xml version="1.0" encoding="utf-8"?>
<cs:chartStyle xmlns:cs="http://schemas.microsoft.com/office/drawing/2012/chartStyle" xmlns:a="http://schemas.openxmlformats.org/drawingml/2006/main" id="136">
  <cs:axisTitle>
    <cs:lnRef idx="0"/>
    <cs:fillRef idx="0"/>
    <cs:effectRef idx="0"/>
    <cs:fontRef idx="minor">
      <a:schemeClr val="dk1"/>
    </cs:fontRef>
    <cs:defRPr sz="1000" b="1" kern="1200"/>
  </cs:axisTitle>
  <cs:categoryAxis>
    <cs:lnRef idx="1">
      <a:schemeClr val="dk1">
        <a:tint val="75000"/>
      </a:schemeClr>
    </cs:lnRef>
    <cs:fillRef idx="0"/>
    <cs:effectRef idx="0"/>
    <cs:fontRef idx="minor">
      <a:schemeClr val="dk1"/>
    </cs:fontRef>
    <cs:spPr>
      <a:ln>
        <a:round/>
      </a:ln>
    </cs:spPr>
    <cs:defRPr sz="1000" kern="1200"/>
  </cs:categoryAxis>
  <cs:chartArea>
    <cs:lnRef idx="1">
      <a:schemeClr val="dk1">
        <a:tint val="75000"/>
      </a:schemeClr>
    </cs:lnRef>
    <cs:fillRef idx="1">
      <a:schemeClr val="lt1"/>
    </cs:fillRef>
    <cs:effectRef idx="0"/>
    <cs:fontRef idx="minor">
      <a:schemeClr val="dk1"/>
    </cs:fontRef>
    <cs:spPr>
      <a:ln>
        <a:round/>
      </a:ln>
    </cs:spPr>
    <cs:defRPr sz="1000" kern="1200"/>
  </cs:chartArea>
  <cs:dataLabel>
    <cs:lnRef idx="0"/>
    <cs:fillRef idx="0"/>
    <cs:effectRef idx="0"/>
    <cs:fontRef idx="minor">
      <a:schemeClr val="dk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1" mods="ignoreCSTransforms">
      <cs:styleClr val="0">
        <a:shade val="50000"/>
      </cs:styleClr>
    </cs:lnRef>
    <cs:fillRef idx="1">
      <cs:styleClr val="auto"/>
    </cs:fillRef>
    <cs:effectRef idx="0"/>
    <cs:fontRef idx="minor">
      <a:schemeClr val="dk1"/>
    </cs:fontRef>
    <cs:spPr>
      <a:ln>
        <a:round/>
      </a:ln>
    </cs:spPr>
  </cs:dataPoint>
  <cs:dataPoint3D>
    <cs:lnRef idx="1" mods="ignoreCSTransforms">
      <cs:styleClr val="0">
        <a:shade val="50000"/>
      </cs:styleClr>
    </cs:lnRef>
    <cs:fillRef idx="1">
      <cs:styleClr val="auto"/>
    </cs:fillRef>
    <cs:effectRef idx="0"/>
    <cs:fontRef idx="minor">
      <a:schemeClr val="dk1"/>
    </cs:fontRef>
    <cs:spPr>
      <a:ln>
        <a:round/>
      </a:ln>
    </cs:spPr>
  </cs:dataPoint3D>
  <cs:dataPointLine>
    <cs:lnRef idx="1">
      <cs:styleClr val="auto"/>
    </cs:lnRef>
    <cs:lineWidthScale>5</cs:lineWidthScale>
    <cs:fillRef idx="0"/>
    <cs:effectRef idx="0"/>
    <cs:fontRef idx="minor">
      <a:schemeClr val="dk1"/>
    </cs:fontRef>
    <cs:spPr>
      <a:ln cap="rnd">
        <a:round/>
      </a:ln>
    </cs:spPr>
  </cs:dataPointLine>
  <cs:dataPointMarker>
    <cs:lnRef idx="1">
      <cs:styleClr val="auto"/>
    </cs:lnRef>
    <cs:fillRef idx="1">
      <cs:styleClr val="auto"/>
    </cs:fillRef>
    <cs:effectRef idx="0"/>
    <cs:fontRef idx="minor">
      <a:schemeClr val="dk1"/>
    </cs:fontRef>
    <cs:spPr>
      <a:ln>
        <a:round/>
      </a:ln>
    </cs:spPr>
  </cs:dataPointMarker>
  <cs:dataPointMarkerLayout/>
  <cs:dataPointWireframe>
    <cs:lnRef idx="1">
      <cs:styleClr val="auto"/>
    </cs:lnRef>
    <cs:fillRef idx="0"/>
    <cs:effectRef idx="0"/>
    <cs:fontRef idx="minor">
      <a:schemeClr val="dk1"/>
    </cs:fontRef>
    <cs:spPr>
      <a:ln>
        <a:round/>
      </a:ln>
    </cs:spPr>
  </cs:dataPointWireframe>
  <cs:dataTable>
    <cs:lnRef idx="1">
      <a:schemeClr val="dk1">
        <a:tint val="75000"/>
      </a:schemeClr>
    </cs:lnRef>
    <cs:fillRef idx="0"/>
    <cs:effectRef idx="0"/>
    <cs:fontRef idx="minor">
      <a:schemeClr val="dk1"/>
    </cs:fontRef>
    <cs:spPr>
      <a:ln>
        <a:round/>
      </a:ln>
    </cs:spPr>
    <cs:defRPr sz="1000" kern="1200"/>
  </cs:dataTable>
  <cs:downBar>
    <cs:lnRef idx="1" mods="ignoreCSTransforms">
      <cs:styleClr val="0">
        <a:shade val="25000"/>
      </cs:styleClr>
    </cs:lnRef>
    <cs:fillRef idx="1" mods="ignoreCSTransforms">
      <cs:styleClr val="0">
        <a:shade val="25000"/>
      </cs:styleClr>
    </cs:fillRef>
    <cs:effectRef idx="0"/>
    <cs:fontRef idx="minor">
      <a:schemeClr val="dk1"/>
    </cs:fontRef>
    <cs:spPr>
      <a:ln>
        <a:round/>
      </a:ln>
    </cs:spPr>
  </cs:downBar>
  <cs:dropLine>
    <cs:lnRef idx="1">
      <a:schemeClr val="dk1"/>
    </cs:lnRef>
    <cs:fillRef idx="0"/>
    <cs:effectRef idx="0"/>
    <cs:fontRef idx="minor">
      <a:schemeClr val="dk1"/>
    </cs:fontRef>
    <cs:spPr>
      <a:ln>
        <a:round/>
      </a:ln>
    </cs:spPr>
  </cs:dropLine>
  <cs:errorBar>
    <cs:lnRef idx="1">
      <a:schemeClr val="dk1"/>
    </cs:lnRef>
    <cs:fillRef idx="1">
      <a:schemeClr val="dk1"/>
    </cs:fillRef>
    <cs:effectRef idx="0"/>
    <cs:fontRef idx="minor">
      <a:schemeClr val="dk1"/>
    </cs:fontRef>
    <cs:spPr>
      <a:ln>
        <a:round/>
      </a:ln>
    </cs:spPr>
  </cs:errorBar>
  <cs:floor>
    <cs:lnRef idx="1">
      <a:schemeClr val="dk1">
        <a:tint val="75000"/>
      </a:schemeClr>
    </cs:lnRef>
    <cs:fillRef idx="1" mods="ignoreCSTransforms">
      <cs:styleClr val="0">
        <a:tint val="20000"/>
      </cs:styleClr>
    </cs:fillRef>
    <cs:effectRef idx="0"/>
    <cs:fontRef idx="minor">
      <a:schemeClr val="dk1"/>
    </cs:fontRef>
    <cs:spPr>
      <a:ln>
        <a:round/>
      </a:ln>
    </cs:spPr>
  </cs:floor>
  <cs:gridlineMajor>
    <cs:lnRef idx="1">
      <a:schemeClr val="dk1">
        <a:tint val="75000"/>
      </a:schemeClr>
    </cs:lnRef>
    <cs:fillRef idx="0"/>
    <cs:effectRef idx="0"/>
    <cs:fontRef idx="minor">
      <a:schemeClr val="dk1"/>
    </cs:fontRef>
    <cs:spPr>
      <a:ln>
        <a:round/>
      </a:ln>
    </cs:spPr>
  </cs:gridlineMajor>
  <cs:gridlineMinor>
    <cs:lnRef idx="1">
      <a:schemeClr val="dk1">
        <a:tint val="50000"/>
      </a:schemeClr>
    </cs:lnRef>
    <cs:fillRef idx="0"/>
    <cs:effectRef idx="0"/>
    <cs:fontRef idx="minor">
      <a:schemeClr val="dk1"/>
    </cs:fontRef>
    <cs:spPr>
      <a:ln>
        <a:round/>
      </a:ln>
    </cs:spPr>
  </cs:gridlineMinor>
  <cs:hiLoLine>
    <cs:lnRef idx="1">
      <a:schemeClr val="dk1"/>
    </cs:lnRef>
    <cs:fillRef idx="0"/>
    <cs:effectRef idx="0"/>
    <cs:fontRef idx="minor">
      <a:schemeClr val="dk1"/>
    </cs:fontRef>
    <cs:spPr>
      <a:ln>
        <a:round/>
      </a:ln>
    </cs:spPr>
  </cs:hiLoLine>
  <cs:leaderLine>
    <cs:lnRef idx="1">
      <a:schemeClr val="dk1"/>
    </cs:lnRef>
    <cs:fillRef idx="0"/>
    <cs:effectRef idx="0"/>
    <cs:fontRef idx="minor">
      <a:schemeClr val="dk1"/>
    </cs:fontRef>
    <cs:spPr>
      <a:ln>
        <a:round/>
      </a:ln>
    </cs:spPr>
  </cs:leaderLine>
  <cs:legend>
    <cs:lnRef idx="0"/>
    <cs:fillRef idx="0"/>
    <cs:effectRef idx="0"/>
    <cs:fontRef idx="minor">
      <a:schemeClr val="dk1"/>
    </cs:fontRef>
    <cs:defRPr sz="1000" kern="1200"/>
  </cs:legend>
  <cs:plotArea>
    <cs:lnRef idx="0"/>
    <cs:fillRef idx="1" mods="ignoreCSTransforms">
      <cs:styleClr val="0">
        <a:tint val="20000"/>
      </cs:styleClr>
    </cs:fillRef>
    <cs:effectRef idx="0"/>
    <cs:fontRef idx="minor">
      <a:schemeClr val="dk1"/>
    </cs:fontRef>
  </cs:plotArea>
  <cs:plotArea3D>
    <cs:lnRef idx="0"/>
    <cs:fillRef idx="0"/>
    <cs:effectRef idx="0"/>
    <cs:fontRef idx="minor">
      <a:schemeClr val="dk1"/>
    </cs:fontRef>
  </cs:plotArea3D>
  <cs:seriesAxis>
    <cs:lnRef idx="1">
      <a:schemeClr val="dk1">
        <a:tint val="75000"/>
      </a:schemeClr>
    </cs:lnRef>
    <cs:fillRef idx="0"/>
    <cs:effectRef idx="0"/>
    <cs:fontRef idx="minor">
      <a:schemeClr val="dk1"/>
    </cs:fontRef>
    <cs:spPr>
      <a:ln>
        <a:round/>
      </a:ln>
    </cs:spPr>
    <cs:defRPr sz="1000" kern="1200"/>
  </cs:seriesAxis>
  <cs:seriesLine>
    <cs:lnRef idx="1">
      <a:schemeClr val="dk1"/>
    </cs:lnRef>
    <cs:fillRef idx="0"/>
    <cs:effectRef idx="0"/>
    <cs:fontRef idx="minor">
      <a:schemeClr val="dk1"/>
    </cs:fontRef>
    <cs:spPr>
      <a:ln>
        <a:round/>
      </a:ln>
    </cs:spPr>
  </cs:seriesLine>
  <cs:title>
    <cs:lnRef idx="0"/>
    <cs:fillRef idx="0"/>
    <cs:effectRef idx="0"/>
    <cs:fontRef idx="minor">
      <a:schemeClr val="dk1"/>
    </cs:fontRef>
    <cs:defRPr sz="1800" b="1" kern="1200"/>
  </cs:title>
  <cs:trendline>
    <cs:lnRef idx="1">
      <a:schemeClr val="dk1"/>
    </cs:lnRef>
    <cs:fillRef idx="0"/>
    <cs:effectRef idx="0"/>
    <cs:fontRef idx="minor">
      <a:schemeClr val="dk1"/>
    </cs:fontRef>
    <cs:spPr>
      <a:ln cap="rnd">
        <a:round/>
      </a:ln>
    </cs:spPr>
  </cs:trendline>
  <cs:trendlineLabel>
    <cs:lnRef idx="0"/>
    <cs:fillRef idx="0"/>
    <cs:effectRef idx="0"/>
    <cs:fontRef idx="minor">
      <a:schemeClr val="dk1"/>
    </cs:fontRef>
    <cs:defRPr sz="1000" kern="1200"/>
  </cs:trendlineLabel>
  <cs:upBar>
    <cs:lnRef idx="1" mods="ignoreCSTransforms">
      <cs:styleClr val="0">
        <a:shade val="25000"/>
      </cs:styleClr>
    </cs:lnRef>
    <cs:fillRef idx="1">
      <a:schemeClr val="lt1"/>
    </cs:fillRef>
    <cs:effectRef idx="0"/>
    <cs:fontRef idx="minor">
      <a:schemeClr val="dk1"/>
    </cs:fontRef>
    <cs:spPr>
      <a:ln>
        <a:round/>
      </a:ln>
    </cs:spPr>
  </cs:upBar>
  <cs:valueAxis>
    <cs:lnRef idx="1">
      <a:schemeClr val="dk1">
        <a:tint val="75000"/>
      </a:schemeClr>
    </cs:lnRef>
    <cs:fillRef idx="0"/>
    <cs:effectRef idx="0"/>
    <cs:fontRef idx="minor">
      <a:schemeClr val="dk1"/>
    </cs:fontRef>
    <cs:spPr>
      <a:ln>
        <a:round/>
      </a:ln>
    </cs:spPr>
    <cs:defRPr sz="1000" kern="1200"/>
  </cs:valueAxis>
  <cs:wall>
    <cs:lnRef idx="0"/>
    <cs:fillRef idx="1" mods="ignoreCSTransforms">
      <cs:styleClr val="0">
        <a:tint val="20000"/>
      </cs:styleClr>
    </cs:fillRef>
    <cs:effectRef idx="0"/>
    <cs:fontRef idx="minor">
      <a:schemeClr val="dk1"/>
    </cs:fontRef>
  </cs:wall>
</cs:chartStyle>
</file>

<file path=word/charts/style53.xml><?xml version="1.0" encoding="utf-8"?>
<cs:chartStyle xmlns:cs="http://schemas.microsoft.com/office/drawing/2012/chartStyle" xmlns:a="http://schemas.openxmlformats.org/drawingml/2006/main" id="343">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9525" cap="rnd">
        <a:solidFill>
          <a:schemeClr val="phClr"/>
        </a:solidFill>
        <a:round/>
      </a:ln>
    </cs:spPr>
  </cs:dataPointLine>
  <cs:dataPointMarker>
    <cs:lnRef idx="0">
      <cs:styleClr val="auto"/>
    </cs:lnRef>
    <cs:fillRef idx="3">
      <cs:styleClr val="auto"/>
    </cs:fillRef>
    <cs:effectRef idx="3"/>
    <cs:fontRef idx="minor">
      <a:schemeClr val="tx1"/>
    </cs:fontRef>
    <cs:spPr>
      <a:ln w="9525" cap="rnd">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5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5.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6.xml><?xml version="1.0" encoding="utf-8"?>
<cs:chartStyle xmlns:cs="http://schemas.microsoft.com/office/drawing/2012/chartStyle" xmlns:a="http://schemas.openxmlformats.org/drawingml/2006/main" id="342">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57.xml><?xml version="1.0" encoding="utf-8"?>
<cs:chartStyle xmlns:cs="http://schemas.microsoft.com/office/drawing/2012/chartStyle" xmlns:a="http://schemas.openxmlformats.org/drawingml/2006/main" id="105">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mods="ignoreCSTransforms">
      <cs:styleClr val="0">
        <a:shade val="25000"/>
      </cs:styl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mods="ignoreCSTransforms">
      <cs:styleClr val="0">
        <a:tint val="25000"/>
      </cs:styl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58.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0.08102</cdr:x>
      <cdr:y>0.76088</cdr:y>
    </cdr:from>
    <cdr:to>
      <cdr:x>0.90625</cdr:x>
      <cdr:y>0.97807</cdr:y>
    </cdr:to>
    <cdr:grpSp>
      <cdr:nvGrpSpPr>
        <cdr:cNvPr id="9" name="Group 8">
          <a:extLst xmlns:a="http://schemas.openxmlformats.org/drawingml/2006/main">
            <a:ext uri="{FF2B5EF4-FFF2-40B4-BE49-F238E27FC236}">
              <a16:creationId xmlns:a16="http://schemas.microsoft.com/office/drawing/2014/main" id="{D826C8D3-8C33-4439-AE96-2E607EE03160}"/>
            </a:ext>
          </a:extLst>
        </cdr:cNvPr>
        <cdr:cNvGrpSpPr/>
      </cdr:nvGrpSpPr>
      <cdr:grpSpPr>
        <a:xfrm xmlns:a="http://schemas.openxmlformats.org/drawingml/2006/main">
          <a:off x="222254" y="1652403"/>
          <a:ext cx="2263771" cy="471672"/>
          <a:chOff x="-19080" y="-213509"/>
          <a:chExt cx="2267555" cy="556713"/>
        </a:xfrm>
      </cdr:grpSpPr>
      <cdr:grpSp>
        <cdr:nvGrpSpPr>
          <cdr:cNvPr id="10" name="Group 9">
            <a:extLst xmlns:a="http://schemas.openxmlformats.org/drawingml/2006/main">
              <a:ext uri="{FF2B5EF4-FFF2-40B4-BE49-F238E27FC236}">
                <a16:creationId xmlns:a16="http://schemas.microsoft.com/office/drawing/2014/main" id="{7907F2C1-0652-4BF0-87FC-B9FFA921F61E}"/>
              </a:ext>
            </a:extLst>
          </cdr:cNvPr>
          <cdr:cNvGrpSpPr/>
        </cdr:nvGrpSpPr>
        <cdr:grpSpPr>
          <a:xfrm xmlns:a="http://schemas.openxmlformats.org/drawingml/2006/main">
            <a:off x="683767" y="-213509"/>
            <a:ext cx="1564708" cy="295284"/>
            <a:chOff x="682627" y="-213502"/>
            <a:chExt cx="1562100" cy="295273"/>
          </a:xfrm>
        </cdr:grpSpPr>
        <cdr:sp macro="" textlink="">
          <cdr:nvSpPr>
            <cdr:cNvPr id="13" name="TextBox 5"/>
            <cdr:cNvSpPr txBox="1"/>
          </cdr:nvSpPr>
          <cdr:spPr>
            <a:xfrm xmlns:a="http://schemas.openxmlformats.org/drawingml/2006/main">
              <a:off x="682627" y="-156096"/>
              <a:ext cx="469049" cy="180462"/>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00" b="0">
                  <a:solidFill>
                    <a:srgbClr val="00A651"/>
                  </a:solidFill>
                </a:rPr>
                <a:t>Храна</a:t>
              </a:r>
              <a:endParaRPr lang="en-GB" sz="700" b="0">
                <a:solidFill>
                  <a:srgbClr val="00A651"/>
                </a:solidFill>
              </a:endParaRPr>
            </a:p>
          </cdr:txBody>
        </cdr:sp>
        <cdr:sp macro="" textlink="">
          <cdr:nvSpPr>
            <cdr:cNvPr id="14" name="TextBox 1"/>
            <cdr:cNvSpPr txBox="1"/>
          </cdr:nvSpPr>
          <cdr:spPr>
            <a:xfrm xmlns:a="http://schemas.openxmlformats.org/drawingml/2006/main">
              <a:off x="1128485" y="-174156"/>
              <a:ext cx="576965" cy="216581"/>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00" b="0">
                  <a:solidFill>
                    <a:srgbClr val="EC008C"/>
                  </a:solidFill>
                </a:rPr>
                <a:t>Метали</a:t>
              </a:r>
              <a:endParaRPr lang="en-GB" sz="700" b="0">
                <a:solidFill>
                  <a:srgbClr val="EC008C"/>
                </a:solidFill>
              </a:endParaRPr>
            </a:p>
          </cdr:txBody>
        </cdr:sp>
        <cdr:sp macro="" textlink="">
          <cdr:nvSpPr>
            <cdr:cNvPr id="15" name="TextBox 1"/>
            <cdr:cNvSpPr txBox="1"/>
          </cdr:nvSpPr>
          <cdr:spPr>
            <a:xfrm xmlns:a="http://schemas.openxmlformats.org/drawingml/2006/main">
              <a:off x="1622678" y="-213502"/>
              <a:ext cx="622049" cy="295273"/>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00" b="0">
                  <a:solidFill>
                    <a:srgbClr val="003891"/>
                  </a:solidFill>
                </a:rPr>
                <a:t>Просечна цена нафте</a:t>
              </a:r>
              <a:endParaRPr lang="en-GB" sz="700" b="0">
                <a:solidFill>
                  <a:srgbClr val="003891"/>
                </a:solidFill>
              </a:endParaRPr>
            </a:p>
          </cdr:txBody>
        </cdr:sp>
      </cdr:grpSp>
      <cdr:sp macro="" textlink="">
        <cdr:nvSpPr>
          <cdr:cNvPr id="11" name="TextBox 1"/>
          <cdr:cNvSpPr txBox="1"/>
        </cdr:nvSpPr>
        <cdr:spPr>
          <a:xfrm xmlns:a="http://schemas.openxmlformats.org/drawingml/2006/main">
            <a:off x="-19080" y="20467"/>
            <a:ext cx="794653" cy="166090"/>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GB" sz="700" b="0">
                <a:solidFill>
                  <a:schemeClr val="tx2"/>
                </a:solidFill>
              </a:rPr>
              <a:t>WEO, </a:t>
            </a:r>
            <a:r>
              <a:rPr lang="sr-Cyrl-RS" sz="700" b="0">
                <a:solidFill>
                  <a:schemeClr val="tx2"/>
                </a:solidFill>
              </a:rPr>
              <a:t>апр.</a:t>
            </a:r>
            <a:r>
              <a:rPr lang="sr-Cyrl-RS" sz="700" b="0" baseline="0">
                <a:solidFill>
                  <a:schemeClr val="tx2"/>
                </a:solidFill>
              </a:rPr>
              <a:t> 2021.</a:t>
            </a:r>
            <a:endParaRPr lang="en-GB" sz="700" b="0">
              <a:solidFill>
                <a:schemeClr val="tx2"/>
              </a:solidFill>
            </a:endParaRPr>
          </a:p>
        </cdr:txBody>
      </cdr:sp>
      <cdr:sp macro="" textlink="">
        <cdr:nvSpPr>
          <cdr:cNvPr id="12" name="TextBox 1"/>
          <cdr:cNvSpPr txBox="1"/>
        </cdr:nvSpPr>
        <cdr:spPr>
          <a:xfrm xmlns:a="http://schemas.openxmlformats.org/drawingml/2006/main">
            <a:off x="-19080" y="179742"/>
            <a:ext cx="794653" cy="163462"/>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GB" sz="700" b="0">
                <a:solidFill>
                  <a:schemeClr val="tx2"/>
                </a:solidFill>
              </a:rPr>
              <a:t>WEO, </a:t>
            </a:r>
            <a:r>
              <a:rPr lang="sr-Cyrl-RS" sz="700" b="0">
                <a:solidFill>
                  <a:schemeClr val="tx2"/>
                </a:solidFill>
              </a:rPr>
              <a:t>окт.</a:t>
            </a:r>
            <a:r>
              <a:rPr lang="sr-Cyrl-RS" sz="700" b="0" baseline="0">
                <a:solidFill>
                  <a:schemeClr val="tx2"/>
                </a:solidFill>
              </a:rPr>
              <a:t> 202</a:t>
            </a:r>
            <a:r>
              <a:rPr lang="en-GB" sz="700" b="0" baseline="0">
                <a:solidFill>
                  <a:schemeClr val="tx2"/>
                </a:solidFill>
              </a:rPr>
              <a:t>1</a:t>
            </a:r>
            <a:r>
              <a:rPr lang="sr-Cyrl-RS" sz="700" b="0" baseline="0">
                <a:solidFill>
                  <a:schemeClr val="tx2"/>
                </a:solidFill>
              </a:rPr>
              <a:t>.</a:t>
            </a:r>
            <a:endParaRPr lang="en-GB" sz="700" b="0">
              <a:solidFill>
                <a:schemeClr val="tx2"/>
              </a:solidFill>
            </a:endParaRPr>
          </a:p>
        </cdr:txBody>
      </cdr:sp>
    </cdr:grpSp>
  </cdr:relSizeAnchor>
</c:userShapes>
</file>

<file path=word/drawings/drawing10.xml><?xml version="1.0" encoding="utf-8"?>
<c:userShapes xmlns:c="http://schemas.openxmlformats.org/drawingml/2006/chart">
  <cdr:relSizeAnchor xmlns:cdr="http://schemas.openxmlformats.org/drawingml/2006/chartDrawing">
    <cdr:from>
      <cdr:x>0.05959</cdr:x>
      <cdr:y>0.63166</cdr:y>
    </cdr:from>
    <cdr:to>
      <cdr:x>0.46719</cdr:x>
      <cdr:y>0.86764</cdr:y>
    </cdr:to>
    <cdr:sp macro="" textlink="">
      <cdr:nvSpPr>
        <cdr:cNvPr id="2" name="TextBox 1"/>
        <cdr:cNvSpPr txBox="1"/>
      </cdr:nvSpPr>
      <cdr:spPr>
        <a:xfrm xmlns:a="http://schemas.openxmlformats.org/drawingml/2006/main">
          <a:off x="79374" y="841372"/>
          <a:ext cx="542923" cy="314325"/>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chemeClr val="bg1"/>
              </a:solidFill>
            </a:rPr>
            <a:t>Претходна пројекција</a:t>
          </a:r>
          <a:endParaRPr lang="en-GB" sz="750" b="1">
            <a:solidFill>
              <a:schemeClr val="bg1"/>
            </a:solidFill>
          </a:endParaRPr>
        </a:p>
      </cdr:txBody>
    </cdr:sp>
  </cdr:relSizeAnchor>
  <cdr:relSizeAnchor xmlns:cdr="http://schemas.openxmlformats.org/drawingml/2006/chartDrawing">
    <cdr:from>
      <cdr:x>0.5244</cdr:x>
      <cdr:y>0.62451</cdr:y>
    </cdr:from>
    <cdr:to>
      <cdr:x>0.93199</cdr:x>
      <cdr:y>0.86049</cdr:y>
    </cdr:to>
    <cdr:sp macro="" textlink="">
      <cdr:nvSpPr>
        <cdr:cNvPr id="3" name="TextBox 1"/>
        <cdr:cNvSpPr txBox="1"/>
      </cdr:nvSpPr>
      <cdr:spPr>
        <a:xfrm xmlns:a="http://schemas.openxmlformats.org/drawingml/2006/main">
          <a:off x="698503" y="831847"/>
          <a:ext cx="542910" cy="314325"/>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chemeClr val="bg1"/>
              </a:solidFill>
            </a:rPr>
            <a:t>Нова</a:t>
          </a:r>
        </a:p>
        <a:p xmlns:a="http://schemas.openxmlformats.org/drawingml/2006/main">
          <a:pPr algn="ctr"/>
          <a:r>
            <a:rPr lang="sr-Cyrl-RS" sz="750" b="1">
              <a:solidFill>
                <a:schemeClr val="bg1"/>
              </a:solidFill>
            </a:rPr>
            <a:t>пројекција</a:t>
          </a:r>
        </a:p>
      </cdr:txBody>
    </cdr:sp>
  </cdr:relSizeAnchor>
</c:userShapes>
</file>

<file path=word/drawings/drawing11.xml><?xml version="1.0" encoding="utf-8"?>
<c:userShapes xmlns:c="http://schemas.openxmlformats.org/drawingml/2006/chart">
  <cdr:relSizeAnchor xmlns:cdr="http://schemas.openxmlformats.org/drawingml/2006/chartDrawing">
    <cdr:from>
      <cdr:x>0.05959</cdr:x>
      <cdr:y>0.63166</cdr:y>
    </cdr:from>
    <cdr:to>
      <cdr:x>0.46719</cdr:x>
      <cdr:y>0.86764</cdr:y>
    </cdr:to>
    <cdr:sp macro="" textlink="">
      <cdr:nvSpPr>
        <cdr:cNvPr id="2" name="TextBox 1"/>
        <cdr:cNvSpPr txBox="1"/>
      </cdr:nvSpPr>
      <cdr:spPr>
        <a:xfrm xmlns:a="http://schemas.openxmlformats.org/drawingml/2006/main">
          <a:off x="79374" y="841372"/>
          <a:ext cx="542923" cy="314325"/>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chemeClr val="bg1"/>
              </a:solidFill>
            </a:rPr>
            <a:t>Претходна пројекција</a:t>
          </a:r>
          <a:endParaRPr lang="en-GB" sz="750" b="1">
            <a:solidFill>
              <a:schemeClr val="bg1"/>
            </a:solidFill>
          </a:endParaRPr>
        </a:p>
      </cdr:txBody>
    </cdr:sp>
  </cdr:relSizeAnchor>
  <cdr:relSizeAnchor xmlns:cdr="http://schemas.openxmlformats.org/drawingml/2006/chartDrawing">
    <cdr:from>
      <cdr:x>0.5244</cdr:x>
      <cdr:y>0.62451</cdr:y>
    </cdr:from>
    <cdr:to>
      <cdr:x>0.93199</cdr:x>
      <cdr:y>0.86049</cdr:y>
    </cdr:to>
    <cdr:sp macro="" textlink="">
      <cdr:nvSpPr>
        <cdr:cNvPr id="3" name="TextBox 1"/>
        <cdr:cNvSpPr txBox="1"/>
      </cdr:nvSpPr>
      <cdr:spPr>
        <a:xfrm xmlns:a="http://schemas.openxmlformats.org/drawingml/2006/main">
          <a:off x="700568" y="796933"/>
          <a:ext cx="544517" cy="301133"/>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chemeClr val="bg1"/>
              </a:solidFill>
            </a:rPr>
            <a:t>Нова</a:t>
          </a:r>
        </a:p>
        <a:p xmlns:a="http://schemas.openxmlformats.org/drawingml/2006/main">
          <a:pPr algn="ctr"/>
          <a:r>
            <a:rPr lang="sr-Cyrl-RS" sz="750" b="1">
              <a:solidFill>
                <a:schemeClr val="bg1"/>
              </a:solidFill>
            </a:rPr>
            <a:t>пројекција</a:t>
          </a:r>
        </a:p>
      </cdr:txBody>
    </cdr:sp>
  </cdr:relSizeAnchor>
</c:userShapes>
</file>

<file path=word/drawings/drawing12.xml><?xml version="1.0" encoding="utf-8"?>
<c:userShapes xmlns:c="http://schemas.openxmlformats.org/drawingml/2006/chart">
  <cdr:relSizeAnchor xmlns:cdr="http://schemas.openxmlformats.org/drawingml/2006/chartDrawing">
    <cdr:from>
      <cdr:x>0.12393</cdr:x>
      <cdr:y>0.80659</cdr:y>
    </cdr:from>
    <cdr:to>
      <cdr:x>0.92922</cdr:x>
      <cdr:y>0.91012</cdr:y>
    </cdr:to>
    <cdr:sp macro="" textlink="">
      <cdr:nvSpPr>
        <cdr:cNvPr id="2" name="Rectangle 1"/>
        <cdr:cNvSpPr/>
      </cdr:nvSpPr>
      <cdr:spPr>
        <a:xfrm xmlns:a="http://schemas.openxmlformats.org/drawingml/2006/main">
          <a:off x="339969" y="2439114"/>
          <a:ext cx="2209067" cy="313100"/>
        </a:xfrm>
        <a:prstGeom xmlns:a="http://schemas.openxmlformats.org/drawingml/2006/main" prst="rect">
          <a:avLst/>
        </a:prstGeom>
        <a:solidFill xmlns:a="http://schemas.openxmlformats.org/drawingml/2006/main">
          <a:schemeClr val="accent5">
            <a:alpha val="10000"/>
          </a:schemeClr>
        </a:solidFill>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en-US"/>
        </a:p>
      </cdr:txBody>
    </cdr:sp>
  </cdr:relSizeAnchor>
</c:userShapes>
</file>

<file path=word/drawings/drawing13.xml><?xml version="1.0" encoding="utf-8"?>
<c:userShapes xmlns:c="http://schemas.openxmlformats.org/drawingml/2006/chart">
  <cdr:relSizeAnchor xmlns:cdr="http://schemas.openxmlformats.org/drawingml/2006/chartDrawing">
    <cdr:from>
      <cdr:x>0.59388</cdr:x>
      <cdr:y>0</cdr:y>
    </cdr:from>
    <cdr:to>
      <cdr:x>0.98231</cdr:x>
      <cdr:y>0.73936</cdr:y>
    </cdr:to>
    <cdr:sp macro="" textlink="">
      <cdr:nvSpPr>
        <cdr:cNvPr id="3" name="TextBox 2"/>
        <cdr:cNvSpPr txBox="1"/>
      </cdr:nvSpPr>
      <cdr:spPr>
        <a:xfrm xmlns:a="http://schemas.openxmlformats.org/drawingml/2006/main">
          <a:off x="1632252" y="0"/>
          <a:ext cx="1067593" cy="1549458"/>
        </a:xfrm>
        <a:prstGeom xmlns:a="http://schemas.openxmlformats.org/drawingml/2006/main" prst="rect">
          <a:avLst/>
        </a:prstGeom>
        <a:solidFill xmlns:a="http://schemas.openxmlformats.org/drawingml/2006/main">
          <a:schemeClr val="accent5">
            <a:alpha val="10000"/>
          </a:schemeClr>
        </a:solidFill>
      </cdr:spPr>
      <cdr:txBody>
        <a:bodyPr xmlns:a="http://schemas.openxmlformats.org/drawingml/2006/main" vertOverflow="clip" wrap="square" rtlCol="0" anchor="t"/>
        <a:lstStyle xmlns:a="http://schemas.openxmlformats.org/drawingml/2006/main"/>
        <a:p xmlns:a="http://schemas.openxmlformats.org/drawingml/2006/main">
          <a:pPr algn="ctr"/>
          <a:r>
            <a:rPr lang="sr-Cyrl-RS" sz="750" b="1">
              <a:solidFill>
                <a:schemeClr val="tx2"/>
              </a:solidFill>
              <a:latin typeface="+mn-lt"/>
              <a:cs typeface="Arial" panose="020B0604020202020204" pitchFamily="34" charset="0"/>
            </a:rPr>
            <a:t>ПРОЈЕКЦИЈА</a:t>
          </a:r>
          <a:endParaRPr lang="en-GB" sz="750" b="1">
            <a:solidFill>
              <a:schemeClr val="tx2"/>
            </a:solidFill>
            <a:latin typeface="+mn-lt"/>
            <a:cs typeface="Arial" panose="020B0604020202020204" pitchFamily="34" charset="0"/>
          </a:endParaRPr>
        </a:p>
      </cdr:txBody>
    </cdr:sp>
  </cdr:relSizeAnchor>
</c:userShapes>
</file>

<file path=word/drawings/drawing14.xml><?xml version="1.0" encoding="utf-8"?>
<c:userShapes xmlns:c="http://schemas.openxmlformats.org/drawingml/2006/chart">
  <cdr:relSizeAnchor xmlns:cdr="http://schemas.openxmlformats.org/drawingml/2006/chartDrawing">
    <cdr:from>
      <cdr:x>0.58495</cdr:x>
      <cdr:y>0</cdr:y>
    </cdr:from>
    <cdr:to>
      <cdr:x>0.97222</cdr:x>
      <cdr:y>0.73863</cdr:y>
    </cdr:to>
    <cdr:sp macro="" textlink="">
      <cdr:nvSpPr>
        <cdr:cNvPr id="3" name="TextBox 2"/>
        <cdr:cNvSpPr txBox="1"/>
      </cdr:nvSpPr>
      <cdr:spPr>
        <a:xfrm xmlns:a="http://schemas.openxmlformats.org/drawingml/2006/main">
          <a:off x="1680064" y="0"/>
          <a:ext cx="1112302" cy="1530566"/>
        </a:xfrm>
        <a:prstGeom xmlns:a="http://schemas.openxmlformats.org/drawingml/2006/main" prst="rect">
          <a:avLst/>
        </a:prstGeom>
        <a:solidFill xmlns:a="http://schemas.openxmlformats.org/drawingml/2006/main">
          <a:schemeClr val="accent5">
            <a:alpha val="10000"/>
          </a:schemeClr>
        </a:solidFill>
      </cdr:spPr>
      <cdr:txBody>
        <a:bodyPr xmlns:a="http://schemas.openxmlformats.org/drawingml/2006/main" vertOverflow="clip" wrap="square" rtlCol="0" anchor="t"/>
        <a:lstStyle xmlns:a="http://schemas.openxmlformats.org/drawingml/2006/main"/>
        <a:p xmlns:a="http://schemas.openxmlformats.org/drawingml/2006/main">
          <a:pPr algn="ctr"/>
          <a:r>
            <a:rPr lang="sr-Cyrl-RS" sz="750" b="1">
              <a:solidFill>
                <a:schemeClr val="tx2"/>
              </a:solidFill>
              <a:latin typeface="+mn-lt"/>
              <a:cs typeface="Arial" panose="020B0604020202020204" pitchFamily="34" charset="0"/>
            </a:rPr>
            <a:t>ПРОЈЕКЦИЈА</a:t>
          </a:r>
          <a:endParaRPr lang="en-GB" sz="750" b="1">
            <a:solidFill>
              <a:schemeClr val="tx2"/>
            </a:solidFill>
            <a:latin typeface="+mn-lt"/>
            <a:cs typeface="Arial" panose="020B0604020202020204" pitchFamily="34" charset="0"/>
          </a:endParaRPr>
        </a:p>
      </cdr:txBody>
    </cdr:sp>
  </cdr:relSizeAnchor>
</c:userShapes>
</file>

<file path=word/drawings/drawing15.xml><?xml version="1.0" encoding="utf-8"?>
<c:userShapes xmlns:c="http://schemas.openxmlformats.org/drawingml/2006/chart">
  <cdr:relSizeAnchor xmlns:cdr="http://schemas.openxmlformats.org/drawingml/2006/chartDrawing">
    <cdr:from>
      <cdr:x>0.51307</cdr:x>
      <cdr:y>0.00827</cdr:y>
    </cdr:from>
    <cdr:to>
      <cdr:x>0.96515</cdr:x>
      <cdr:y>0.76895</cdr:y>
    </cdr:to>
    <cdr:sp macro="" textlink="">
      <cdr:nvSpPr>
        <cdr:cNvPr id="3" name="TextBox 2"/>
        <cdr:cNvSpPr txBox="1"/>
      </cdr:nvSpPr>
      <cdr:spPr>
        <a:xfrm xmlns:a="http://schemas.openxmlformats.org/drawingml/2006/main">
          <a:off x="1407455" y="19051"/>
          <a:ext cx="1240145" cy="1752600"/>
        </a:xfrm>
        <a:prstGeom xmlns:a="http://schemas.openxmlformats.org/drawingml/2006/main" prst="rect">
          <a:avLst/>
        </a:prstGeom>
        <a:solidFill xmlns:a="http://schemas.openxmlformats.org/drawingml/2006/main">
          <a:schemeClr val="accent5">
            <a:alpha val="10000"/>
          </a:schemeClr>
        </a:solidFill>
      </cdr:spPr>
      <cdr:txBody>
        <a:bodyPr xmlns:a="http://schemas.openxmlformats.org/drawingml/2006/main" vertOverflow="clip" wrap="square" rtlCol="0" anchor="t"/>
        <a:lstStyle xmlns:a="http://schemas.openxmlformats.org/drawingml/2006/main"/>
        <a:p xmlns:a="http://schemas.openxmlformats.org/drawingml/2006/main">
          <a:pPr algn="ctr"/>
          <a:r>
            <a:rPr lang="sr-Cyrl-RS" sz="750" b="1">
              <a:solidFill>
                <a:schemeClr val="tx2"/>
              </a:solidFill>
              <a:latin typeface="+mn-lt"/>
              <a:cs typeface="Arial" panose="020B0604020202020204" pitchFamily="34" charset="0"/>
            </a:rPr>
            <a:t>ПРОЈЕКЦИЈА</a:t>
          </a:r>
          <a:endParaRPr lang="en-GB" sz="750" b="1">
            <a:solidFill>
              <a:schemeClr val="tx2"/>
            </a:solidFill>
            <a:latin typeface="+mn-lt"/>
            <a:cs typeface="Arial" panose="020B0604020202020204" pitchFamily="34" charset="0"/>
          </a:endParaRPr>
        </a:p>
      </cdr:txBody>
    </cdr:sp>
  </cdr:relSizeAnchor>
</c:userShapes>
</file>

<file path=word/drawings/drawing16.xml><?xml version="1.0" encoding="utf-8"?>
<c:userShapes xmlns:c="http://schemas.openxmlformats.org/drawingml/2006/chart">
  <cdr:relSizeAnchor xmlns:cdr="http://schemas.openxmlformats.org/drawingml/2006/chartDrawing">
    <cdr:from>
      <cdr:x>0.05793</cdr:x>
      <cdr:y>0.85649</cdr:y>
    </cdr:from>
    <cdr:to>
      <cdr:x>0.35061</cdr:x>
      <cdr:y>0.98363</cdr:y>
    </cdr:to>
    <cdr:sp macro="" textlink="">
      <cdr:nvSpPr>
        <cdr:cNvPr id="2" name="TextBox 1"/>
        <cdr:cNvSpPr txBox="1"/>
      </cdr:nvSpPr>
      <cdr:spPr>
        <a:xfrm xmlns:a="http://schemas.openxmlformats.org/drawingml/2006/main">
          <a:off x="180975" y="1495425"/>
          <a:ext cx="914400" cy="221999"/>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en-GB" sz="1100"/>
        </a:p>
      </cdr:txBody>
    </cdr:sp>
  </cdr:relSizeAnchor>
  <cdr:relSizeAnchor xmlns:cdr="http://schemas.openxmlformats.org/drawingml/2006/chartDrawing">
    <cdr:from>
      <cdr:x>0.05036</cdr:x>
      <cdr:y>0.81848</cdr:y>
    </cdr:from>
    <cdr:to>
      <cdr:x>0.93059</cdr:x>
      <cdr:y>0.97722</cdr:y>
    </cdr:to>
    <cdr:grpSp>
      <cdr:nvGrpSpPr>
        <cdr:cNvPr id="14" name="Group 13">
          <a:extLst xmlns:a="http://schemas.openxmlformats.org/drawingml/2006/main">
            <a:ext uri="{FF2B5EF4-FFF2-40B4-BE49-F238E27FC236}">
              <a16:creationId xmlns:a16="http://schemas.microsoft.com/office/drawing/2014/main" id="{E5DF6495-1465-4ED1-B2B5-3FD50C725FC0}"/>
            </a:ext>
          </a:extLst>
        </cdr:cNvPr>
        <cdr:cNvGrpSpPr/>
      </cdr:nvGrpSpPr>
      <cdr:grpSpPr>
        <a:xfrm xmlns:a="http://schemas.openxmlformats.org/drawingml/2006/main">
          <a:off x="138161" y="1376032"/>
          <a:ext cx="2414646" cy="266870"/>
          <a:chOff x="138171" y="1387178"/>
          <a:chExt cx="2414641" cy="269020"/>
        </a:xfrm>
      </cdr:grpSpPr>
      <cdr:grpSp>
        <cdr:nvGrpSpPr>
          <cdr:cNvPr id="11" name="Group 10">
            <a:extLst xmlns:a="http://schemas.openxmlformats.org/drawingml/2006/main">
              <a:ext uri="{FF2B5EF4-FFF2-40B4-BE49-F238E27FC236}">
                <a16:creationId xmlns:a16="http://schemas.microsoft.com/office/drawing/2014/main" id="{84A6910A-4076-44B1-B308-51212BC89DFE}"/>
              </a:ext>
            </a:extLst>
          </cdr:cNvPr>
          <cdr:cNvGrpSpPr/>
        </cdr:nvGrpSpPr>
        <cdr:grpSpPr>
          <a:xfrm xmlns:a="http://schemas.openxmlformats.org/drawingml/2006/main">
            <a:off x="138171" y="1387178"/>
            <a:ext cx="2414641" cy="269020"/>
            <a:chOff x="219088" y="1552247"/>
            <a:chExt cx="2749984" cy="303910"/>
          </a:xfrm>
        </cdr:grpSpPr>
        <cdr:grpSp>
          <cdr:nvGrpSpPr>
            <cdr:cNvPr id="6" name="Group 5">
              <a:extLst xmlns:a="http://schemas.openxmlformats.org/drawingml/2006/main">
                <a:ext uri="{FF2B5EF4-FFF2-40B4-BE49-F238E27FC236}">
                  <a16:creationId xmlns:a16="http://schemas.microsoft.com/office/drawing/2014/main" id="{6280970F-1A39-45CB-A80B-A0C7080ABCF5}"/>
                </a:ext>
              </a:extLst>
            </cdr:cNvPr>
            <cdr:cNvGrpSpPr/>
          </cdr:nvGrpSpPr>
          <cdr:grpSpPr>
            <a:xfrm xmlns:a="http://schemas.openxmlformats.org/drawingml/2006/main">
              <a:off x="219088" y="1658610"/>
              <a:ext cx="2749984" cy="197547"/>
              <a:chOff x="219075" y="1404327"/>
              <a:chExt cx="2749986" cy="337411"/>
            </a:xfrm>
          </cdr:grpSpPr>
          <cdr:sp macro="" textlink="">
            <cdr:nvSpPr>
              <cdr:cNvPr id="3" name="TextBox 2"/>
              <cdr:cNvSpPr txBox="1"/>
            </cdr:nvSpPr>
            <cdr:spPr>
              <a:xfrm xmlns:a="http://schemas.openxmlformats.org/drawingml/2006/main">
                <a:off x="219075" y="1404327"/>
                <a:ext cx="742950" cy="337411"/>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sr-Latn-RS" sz="750" b="1" baseline="0">
                    <a:solidFill>
                      <a:srgbClr val="29489A"/>
                    </a:solidFill>
                  </a:rPr>
                  <a:t>20</a:t>
                </a:r>
                <a:r>
                  <a:rPr lang="en-US" sz="750" b="1" baseline="0">
                    <a:solidFill>
                      <a:srgbClr val="29489A"/>
                    </a:solidFill>
                  </a:rPr>
                  <a:t>20</a:t>
                </a:r>
                <a:r>
                  <a:rPr lang="sr-Latn-RS" sz="750" baseline="0">
                    <a:solidFill>
                      <a:schemeClr val="tx2"/>
                    </a:solidFill>
                  </a:rPr>
                  <a:t>     </a:t>
                </a:r>
                <a:r>
                  <a:rPr lang="en-GB" sz="750" baseline="0">
                    <a:solidFill>
                      <a:schemeClr val="tx2"/>
                    </a:solidFill>
                  </a:rPr>
                  <a:t>    </a:t>
                </a:r>
                <a:r>
                  <a:rPr lang="sr-Latn-RS" sz="750" b="1" baseline="0">
                    <a:solidFill>
                      <a:srgbClr val="FF0000"/>
                    </a:solidFill>
                  </a:rPr>
                  <a:t>20</a:t>
                </a:r>
                <a:r>
                  <a:rPr lang="sr-Cyrl-RS" sz="750" b="1" baseline="0">
                    <a:solidFill>
                      <a:srgbClr val="FF0000"/>
                    </a:solidFill>
                  </a:rPr>
                  <a:t>2</a:t>
                </a:r>
                <a:r>
                  <a:rPr lang="en-US" sz="750" b="1" baseline="0">
                    <a:solidFill>
                      <a:srgbClr val="FF0000"/>
                    </a:solidFill>
                  </a:rPr>
                  <a:t>1</a:t>
                </a:r>
                <a:endParaRPr lang="en-GB" sz="750" b="1">
                  <a:solidFill>
                    <a:srgbClr val="FF0000"/>
                  </a:solidFill>
                </a:endParaRPr>
              </a:p>
            </cdr:txBody>
          </cdr:sp>
          <cdr:sp macro="" textlink="">
            <cdr:nvSpPr>
              <cdr:cNvPr id="4" name="TextBox 1"/>
              <cdr:cNvSpPr txBox="1"/>
            </cdr:nvSpPr>
            <cdr:spPr>
              <a:xfrm xmlns:a="http://schemas.openxmlformats.org/drawingml/2006/main">
                <a:off x="1216569" y="1404329"/>
                <a:ext cx="742950" cy="26010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sr-Latn-RS" sz="750" b="1" baseline="0">
                    <a:solidFill>
                      <a:srgbClr val="29489A"/>
                    </a:solidFill>
                  </a:rPr>
                  <a:t>20</a:t>
                </a:r>
                <a:r>
                  <a:rPr lang="en-US" sz="750" b="1" baseline="0">
                    <a:solidFill>
                      <a:srgbClr val="29489A"/>
                    </a:solidFill>
                  </a:rPr>
                  <a:t>20</a:t>
                </a:r>
                <a:r>
                  <a:rPr lang="en-GB" sz="750" baseline="0">
                    <a:solidFill>
                      <a:schemeClr val="tx2"/>
                    </a:solidFill>
                  </a:rPr>
                  <a:t>   </a:t>
                </a:r>
                <a:r>
                  <a:rPr lang="sr-Latn-RS" sz="750" baseline="0">
                    <a:solidFill>
                      <a:schemeClr val="tx2"/>
                    </a:solidFill>
                  </a:rPr>
                  <a:t>    </a:t>
                </a:r>
                <a:r>
                  <a:rPr lang="en-GB" sz="750" baseline="0">
                    <a:solidFill>
                      <a:schemeClr val="tx2"/>
                    </a:solidFill>
                  </a:rPr>
                  <a:t>  </a:t>
                </a:r>
                <a:r>
                  <a:rPr lang="sr-Latn-RS" sz="750" b="1" baseline="0">
                    <a:solidFill>
                      <a:srgbClr val="FF0000"/>
                    </a:solidFill>
                  </a:rPr>
                  <a:t>20</a:t>
                </a:r>
                <a:r>
                  <a:rPr lang="sr-Cyrl-RS" sz="750" b="1" baseline="0">
                    <a:solidFill>
                      <a:srgbClr val="FF0000"/>
                    </a:solidFill>
                  </a:rPr>
                  <a:t>2</a:t>
                </a:r>
                <a:r>
                  <a:rPr lang="en-US" sz="750" b="1" baseline="0">
                    <a:solidFill>
                      <a:srgbClr val="FF0000"/>
                    </a:solidFill>
                  </a:rPr>
                  <a:t>1</a:t>
                </a:r>
                <a:endParaRPr lang="en-GB" sz="750" b="1">
                  <a:solidFill>
                    <a:srgbClr val="FF0000"/>
                  </a:solidFill>
                </a:endParaRPr>
              </a:p>
            </cdr:txBody>
          </cdr:sp>
          <cdr:sp macro="" textlink="">
            <cdr:nvSpPr>
              <cdr:cNvPr id="5" name="TextBox 1"/>
              <cdr:cNvSpPr txBox="1"/>
            </cdr:nvSpPr>
            <cdr:spPr>
              <a:xfrm xmlns:a="http://schemas.openxmlformats.org/drawingml/2006/main">
                <a:off x="2226111" y="1404329"/>
                <a:ext cx="742950" cy="26010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sr-Latn-RS" sz="750" b="1" baseline="0">
                    <a:solidFill>
                      <a:srgbClr val="29489A"/>
                    </a:solidFill>
                  </a:rPr>
                  <a:t>20</a:t>
                </a:r>
                <a:r>
                  <a:rPr lang="en-US" sz="750" b="1" baseline="0">
                    <a:solidFill>
                      <a:srgbClr val="29489A"/>
                    </a:solidFill>
                  </a:rPr>
                  <a:t>20</a:t>
                </a:r>
                <a:r>
                  <a:rPr lang="sr-Latn-RS" sz="750" b="1" baseline="0">
                    <a:solidFill>
                      <a:srgbClr val="29489A"/>
                    </a:solidFill>
                  </a:rPr>
                  <a:t> </a:t>
                </a:r>
                <a:r>
                  <a:rPr lang="en-GB" sz="750" baseline="0">
                    <a:solidFill>
                      <a:schemeClr val="tx2"/>
                    </a:solidFill>
                  </a:rPr>
                  <a:t>   </a:t>
                </a:r>
                <a:r>
                  <a:rPr lang="sr-Latn-RS" sz="750" baseline="0">
                    <a:solidFill>
                      <a:schemeClr val="tx2"/>
                    </a:solidFill>
                  </a:rPr>
                  <a:t>    </a:t>
                </a:r>
                <a:r>
                  <a:rPr lang="en-GB" sz="750" baseline="0">
                    <a:solidFill>
                      <a:schemeClr val="tx2"/>
                    </a:solidFill>
                  </a:rPr>
                  <a:t> </a:t>
                </a:r>
                <a:r>
                  <a:rPr lang="sr-Latn-RS" sz="750" b="1" baseline="0">
                    <a:solidFill>
                      <a:srgbClr val="FF0000"/>
                    </a:solidFill>
                  </a:rPr>
                  <a:t>20</a:t>
                </a:r>
                <a:r>
                  <a:rPr lang="sr-Cyrl-RS" sz="750" b="1" baseline="0">
                    <a:solidFill>
                      <a:srgbClr val="FF0000"/>
                    </a:solidFill>
                  </a:rPr>
                  <a:t>2</a:t>
                </a:r>
                <a:r>
                  <a:rPr lang="en-US" sz="750" b="1" baseline="0">
                    <a:solidFill>
                      <a:srgbClr val="FF0000"/>
                    </a:solidFill>
                  </a:rPr>
                  <a:t>1</a:t>
                </a:r>
                <a:endParaRPr lang="en-GB" sz="750" b="1">
                  <a:solidFill>
                    <a:srgbClr val="FF0000"/>
                  </a:solidFill>
                </a:endParaRPr>
              </a:p>
            </cdr:txBody>
          </cdr:sp>
        </cdr:grpSp>
        <cdr:grpSp>
          <cdr:nvGrpSpPr>
            <cdr:cNvPr id="10" name="Group 9">
              <a:extLst xmlns:a="http://schemas.openxmlformats.org/drawingml/2006/main">
                <a:ext uri="{FF2B5EF4-FFF2-40B4-BE49-F238E27FC236}">
                  <a16:creationId xmlns:a16="http://schemas.microsoft.com/office/drawing/2014/main" id="{FDD8E321-9B79-4B6B-94D1-514E0516EA68}"/>
                </a:ext>
              </a:extLst>
            </cdr:cNvPr>
            <cdr:cNvGrpSpPr/>
          </cdr:nvGrpSpPr>
          <cdr:grpSpPr>
            <a:xfrm xmlns:a="http://schemas.openxmlformats.org/drawingml/2006/main">
              <a:off x="222390" y="1552247"/>
              <a:ext cx="951704" cy="205405"/>
              <a:chOff x="222390" y="1552247"/>
              <a:chExt cx="951704" cy="205406"/>
            </a:xfrm>
          </cdr:grpSpPr>
          <cdr:sp macro="" textlink="">
            <cdr:nvSpPr>
              <cdr:cNvPr id="7" name="TextBox 1"/>
              <cdr:cNvSpPr txBox="1"/>
            </cdr:nvSpPr>
            <cdr:spPr>
              <a:xfrm xmlns:a="http://schemas.openxmlformats.org/drawingml/2006/main">
                <a:off x="222390" y="1552247"/>
                <a:ext cx="951704" cy="20540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GB" sz="750" b="1" baseline="0">
                    <a:solidFill>
                      <a:srgbClr val="29489A"/>
                    </a:solidFill>
                  </a:rPr>
                  <a:t>I</a:t>
                </a:r>
                <a:r>
                  <a:rPr lang="sr-Latn-RS" sz="750" b="1" baseline="0">
                    <a:solidFill>
                      <a:schemeClr val="tx2"/>
                    </a:solidFill>
                  </a:rPr>
                  <a:t>  </a:t>
                </a:r>
                <a:r>
                  <a:rPr lang="en-US" sz="750" b="1" baseline="0">
                    <a:solidFill>
                      <a:schemeClr val="tx2"/>
                    </a:solidFill>
                  </a:rPr>
                  <a:t>   </a:t>
                </a:r>
                <a:r>
                  <a:rPr lang="sr-Latn-RS" sz="750" b="1" baseline="0">
                    <a:solidFill>
                      <a:schemeClr val="tx2"/>
                    </a:solidFill>
                  </a:rPr>
                  <a:t> </a:t>
                </a:r>
                <a:r>
                  <a:rPr lang="en-GB" sz="750" b="1" baseline="0">
                    <a:solidFill>
                      <a:schemeClr val="tx2"/>
                    </a:solidFill>
                  </a:rPr>
                  <a:t>II        </a:t>
                </a:r>
                <a:r>
                  <a:rPr lang="en-GB" sz="750" b="1" baseline="0">
                    <a:solidFill>
                      <a:srgbClr val="FF0000"/>
                    </a:solidFill>
                  </a:rPr>
                  <a:t>I    </a:t>
                </a:r>
                <a:r>
                  <a:rPr lang="en-GB" sz="750" b="1" baseline="0">
                    <a:solidFill>
                      <a:schemeClr val="tx2"/>
                    </a:solidFill>
                  </a:rPr>
                  <a:t>  </a:t>
                </a:r>
                <a:r>
                  <a:rPr lang="en-GB" sz="750" b="1" baseline="0">
                    <a:solidFill>
                      <a:srgbClr val="FF0000"/>
                    </a:solidFill>
                  </a:rPr>
                  <a:t>II </a:t>
                </a:r>
                <a:endParaRPr lang="en-GB" sz="750" b="1">
                  <a:solidFill>
                    <a:srgbClr val="FF0000"/>
                  </a:solidFill>
                </a:endParaRPr>
              </a:p>
            </cdr:txBody>
          </cdr:sp>
        </cdr:grpSp>
      </cdr:grpSp>
    </cdr:grpSp>
  </cdr:relSizeAnchor>
  <cdr:relSizeAnchor xmlns:cdr="http://schemas.openxmlformats.org/drawingml/2006/chartDrawing">
    <cdr:from>
      <cdr:x>0.37269</cdr:x>
      <cdr:y>0.81773</cdr:y>
    </cdr:from>
    <cdr:to>
      <cdr:x>0.67731</cdr:x>
      <cdr:y>0.92502</cdr:y>
    </cdr:to>
    <cdr:sp macro="" textlink="">
      <cdr:nvSpPr>
        <cdr:cNvPr id="15" name="TextBox 1"/>
        <cdr:cNvSpPr txBox="1"/>
      </cdr:nvSpPr>
      <cdr:spPr>
        <a:xfrm xmlns:a="http://schemas.openxmlformats.org/drawingml/2006/main">
          <a:off x="1022350" y="1374775"/>
          <a:ext cx="835652" cy="180371"/>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GB" sz="750" b="1" baseline="0">
              <a:solidFill>
                <a:srgbClr val="29489A"/>
              </a:solidFill>
            </a:rPr>
            <a:t>I</a:t>
          </a:r>
          <a:r>
            <a:rPr lang="sr-Latn-RS" sz="750" b="1" baseline="0">
              <a:solidFill>
                <a:schemeClr val="tx2"/>
              </a:solidFill>
            </a:rPr>
            <a:t>  </a:t>
          </a:r>
          <a:r>
            <a:rPr lang="en-US" sz="750" b="1" baseline="0">
              <a:solidFill>
                <a:schemeClr val="tx2"/>
              </a:solidFill>
            </a:rPr>
            <a:t>   </a:t>
          </a:r>
          <a:r>
            <a:rPr lang="sr-Latn-RS" sz="750" b="1" baseline="0">
              <a:solidFill>
                <a:schemeClr val="tx2"/>
              </a:solidFill>
            </a:rPr>
            <a:t> </a:t>
          </a:r>
          <a:r>
            <a:rPr lang="en-GB" sz="750" b="1" baseline="0">
              <a:solidFill>
                <a:schemeClr val="tx2"/>
              </a:solidFill>
            </a:rPr>
            <a:t>II        </a:t>
          </a:r>
          <a:r>
            <a:rPr lang="en-GB" sz="750" b="1" baseline="0">
              <a:solidFill>
                <a:srgbClr val="FF0000"/>
              </a:solidFill>
            </a:rPr>
            <a:t>I    </a:t>
          </a:r>
          <a:r>
            <a:rPr lang="en-GB" sz="750" b="1" baseline="0">
              <a:solidFill>
                <a:schemeClr val="tx2"/>
              </a:solidFill>
            </a:rPr>
            <a:t>  </a:t>
          </a:r>
          <a:r>
            <a:rPr lang="en-GB" sz="750" b="1" baseline="0">
              <a:solidFill>
                <a:srgbClr val="FF0000"/>
              </a:solidFill>
            </a:rPr>
            <a:t>II </a:t>
          </a:r>
          <a:endParaRPr lang="en-GB" sz="750" b="1">
            <a:solidFill>
              <a:srgbClr val="FF0000"/>
            </a:solidFill>
          </a:endParaRPr>
        </a:p>
      </cdr:txBody>
    </cdr:sp>
  </cdr:relSizeAnchor>
  <cdr:relSizeAnchor xmlns:cdr="http://schemas.openxmlformats.org/drawingml/2006/chartDrawing">
    <cdr:from>
      <cdr:x>0.69537</cdr:x>
      <cdr:y>0.8112</cdr:y>
    </cdr:from>
    <cdr:to>
      <cdr:x>1</cdr:x>
      <cdr:y>0.91851</cdr:y>
    </cdr:to>
    <cdr:sp macro="" textlink="">
      <cdr:nvSpPr>
        <cdr:cNvPr id="12" name="TextBox 1"/>
        <cdr:cNvSpPr txBox="1"/>
      </cdr:nvSpPr>
      <cdr:spPr>
        <a:xfrm xmlns:a="http://schemas.openxmlformats.org/drawingml/2006/main">
          <a:off x="1907548" y="1363497"/>
          <a:ext cx="835652" cy="180371"/>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GB" sz="750" b="1" baseline="0">
              <a:solidFill>
                <a:srgbClr val="29489A"/>
              </a:solidFill>
            </a:rPr>
            <a:t>I</a:t>
          </a:r>
          <a:r>
            <a:rPr lang="sr-Latn-RS" sz="750" b="1" baseline="0">
              <a:solidFill>
                <a:schemeClr val="tx2"/>
              </a:solidFill>
            </a:rPr>
            <a:t>  </a:t>
          </a:r>
          <a:r>
            <a:rPr lang="en-US" sz="750" b="1" baseline="0">
              <a:solidFill>
                <a:schemeClr val="tx2"/>
              </a:solidFill>
            </a:rPr>
            <a:t>   </a:t>
          </a:r>
          <a:r>
            <a:rPr lang="sr-Latn-RS" sz="750" b="1" baseline="0">
              <a:solidFill>
                <a:schemeClr val="tx2"/>
              </a:solidFill>
            </a:rPr>
            <a:t> </a:t>
          </a:r>
          <a:r>
            <a:rPr lang="en-GB" sz="750" b="1" baseline="0">
              <a:solidFill>
                <a:schemeClr val="tx2"/>
              </a:solidFill>
            </a:rPr>
            <a:t>II        </a:t>
          </a:r>
          <a:r>
            <a:rPr lang="en-GB" sz="750" b="1" baseline="0">
              <a:solidFill>
                <a:srgbClr val="FF0000"/>
              </a:solidFill>
            </a:rPr>
            <a:t>I    </a:t>
          </a:r>
          <a:r>
            <a:rPr lang="en-GB" sz="750" b="1" baseline="0">
              <a:solidFill>
                <a:schemeClr val="tx2"/>
              </a:solidFill>
            </a:rPr>
            <a:t>  </a:t>
          </a:r>
          <a:r>
            <a:rPr lang="en-GB" sz="750" b="1" baseline="0">
              <a:solidFill>
                <a:srgbClr val="FF0000"/>
              </a:solidFill>
            </a:rPr>
            <a:t>II </a:t>
          </a:r>
          <a:endParaRPr lang="en-GB" sz="750" b="1">
            <a:solidFill>
              <a:srgbClr val="FF0000"/>
            </a:solidFill>
          </a:endParaRPr>
        </a:p>
      </cdr:txBody>
    </cdr:sp>
  </cdr:relSizeAnchor>
</c:userShapes>
</file>

<file path=word/drawings/drawing17.xml><?xml version="1.0" encoding="utf-8"?>
<c:userShapes xmlns:c="http://schemas.openxmlformats.org/drawingml/2006/chart">
  <cdr:relSizeAnchor xmlns:cdr="http://schemas.openxmlformats.org/drawingml/2006/chartDrawing">
    <cdr:from>
      <cdr:x>0.0878</cdr:x>
      <cdr:y>0.72193</cdr:y>
    </cdr:from>
    <cdr:to>
      <cdr:x>0.95377</cdr:x>
      <cdr:y>0.72193</cdr:y>
    </cdr:to>
    <cdr:cxnSp macro="">
      <cdr:nvCxnSpPr>
        <cdr:cNvPr id="3" name="Straight Connector 2">
          <a:extLst xmlns:a="http://schemas.openxmlformats.org/drawingml/2006/main">
            <a:ext uri="{FF2B5EF4-FFF2-40B4-BE49-F238E27FC236}">
              <a16:creationId xmlns:a16="http://schemas.microsoft.com/office/drawing/2014/main" id="{92170C42-51AD-40FC-A279-09E604F64C1D}"/>
            </a:ext>
          </a:extLst>
        </cdr:cNvPr>
        <cdr:cNvCxnSpPr/>
      </cdr:nvCxnSpPr>
      <cdr:spPr>
        <a:xfrm xmlns:a="http://schemas.openxmlformats.org/drawingml/2006/main" flipV="1">
          <a:off x="240520" y="1305002"/>
          <a:ext cx="2372307" cy="0"/>
        </a:xfrm>
        <a:prstGeom xmlns:a="http://schemas.openxmlformats.org/drawingml/2006/main" prst="line">
          <a:avLst/>
        </a:prstGeom>
        <a:ln xmlns:a="http://schemas.openxmlformats.org/drawingml/2006/main" w="31750">
          <a:solidFill>
            <a:schemeClr val="bg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drawings/drawing18.xml><?xml version="1.0" encoding="utf-8"?>
<c:userShapes xmlns:c="http://schemas.openxmlformats.org/drawingml/2006/chart">
  <cdr:relSizeAnchor xmlns:cdr="http://schemas.openxmlformats.org/drawingml/2006/chartDrawing">
    <cdr:from>
      <cdr:x>0.78601</cdr:x>
      <cdr:y>0.00888</cdr:y>
    </cdr:from>
    <cdr:to>
      <cdr:x>0.95267</cdr:x>
      <cdr:y>0.69978</cdr:y>
    </cdr:to>
    <cdr:sp macro="" textlink="">
      <cdr:nvSpPr>
        <cdr:cNvPr id="2" name="TextBox 1"/>
        <cdr:cNvSpPr txBox="1"/>
      </cdr:nvSpPr>
      <cdr:spPr>
        <a:xfrm xmlns:a="http://schemas.openxmlformats.org/drawingml/2006/main">
          <a:off x="2205851" y="15413"/>
          <a:ext cx="467701" cy="1199171"/>
        </a:xfrm>
        <a:prstGeom xmlns:a="http://schemas.openxmlformats.org/drawingml/2006/main" prst="rect">
          <a:avLst/>
        </a:prstGeom>
        <a:solidFill xmlns:a="http://schemas.openxmlformats.org/drawingml/2006/main">
          <a:schemeClr val="accent5">
            <a:alpha val="10000"/>
          </a:schemeClr>
        </a:solidFill>
      </cdr:spPr>
      <cdr:txBody>
        <a:bodyPr xmlns:a="http://schemas.openxmlformats.org/drawingml/2006/main" wrap="square" lIns="0" rIns="0" rtlCol="0" anchor="t"/>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600" b="1">
              <a:solidFill>
                <a:schemeClr val="tx2"/>
              </a:solidFill>
              <a:latin typeface="+mn-lt"/>
              <a:cs typeface="Arial" panose="020B0604020202020204" pitchFamily="34" charset="0"/>
            </a:rPr>
            <a:t>ПРОЈЕКЦИЈА</a:t>
          </a:r>
        </a:p>
      </cdr:txBody>
    </cdr:sp>
  </cdr:relSizeAnchor>
</c:userShapes>
</file>

<file path=word/drawings/drawing19.xml><?xml version="1.0" encoding="utf-8"?>
<c:userShapes xmlns:c="http://schemas.openxmlformats.org/drawingml/2006/chart">
  <cdr:relSizeAnchor xmlns:cdr="http://schemas.openxmlformats.org/drawingml/2006/chartDrawing">
    <cdr:from>
      <cdr:x>0.59869</cdr:x>
      <cdr:y>0</cdr:y>
    </cdr:from>
    <cdr:to>
      <cdr:x>0.9881</cdr:x>
      <cdr:y>0.76585</cdr:y>
    </cdr:to>
    <cdr:sp macro="" textlink="">
      <cdr:nvSpPr>
        <cdr:cNvPr id="2" name="TextBox 1"/>
        <cdr:cNvSpPr txBox="1"/>
      </cdr:nvSpPr>
      <cdr:spPr>
        <a:xfrm xmlns:a="http://schemas.openxmlformats.org/drawingml/2006/main">
          <a:off x="1648327" y="0"/>
          <a:ext cx="1072136" cy="1639263"/>
        </a:xfrm>
        <a:prstGeom xmlns:a="http://schemas.openxmlformats.org/drawingml/2006/main" prst="rect">
          <a:avLst/>
        </a:prstGeom>
        <a:solidFill xmlns:a="http://schemas.openxmlformats.org/drawingml/2006/main">
          <a:schemeClr val="accent5">
            <a:alpha val="10000"/>
          </a:schemeClr>
        </a:solidFill>
      </cdr:spPr>
      <cdr:txBody>
        <a:bodyPr xmlns:a="http://schemas.openxmlformats.org/drawingml/2006/main" wrap="square" lIns="0" rIns="0" rtlCol="0" anchor="t"/>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chemeClr val="tx2"/>
              </a:solidFill>
              <a:latin typeface="+mn-lt"/>
              <a:cs typeface="Arial" panose="020B0604020202020204" pitchFamily="34" charset="0"/>
            </a:rPr>
            <a:t>ПРОЈЕКЦИЈА</a:t>
          </a:r>
        </a:p>
      </cdr:txBody>
    </cdr:sp>
  </cdr:relSizeAnchor>
</c:userShapes>
</file>

<file path=word/drawings/drawing2.xml><?xml version="1.0" encoding="utf-8"?>
<c:userShapes xmlns:c="http://schemas.openxmlformats.org/drawingml/2006/chart">
  <cdr:relSizeAnchor xmlns:cdr="http://schemas.openxmlformats.org/drawingml/2006/chartDrawing">
    <cdr:from>
      <cdr:x>0.05959</cdr:x>
      <cdr:y>0.61594</cdr:y>
    </cdr:from>
    <cdr:to>
      <cdr:x>0.46719</cdr:x>
      <cdr:y>0.85192</cdr:y>
    </cdr:to>
    <cdr:sp macro="" textlink="">
      <cdr:nvSpPr>
        <cdr:cNvPr id="2" name="TextBox 1"/>
        <cdr:cNvSpPr txBox="1"/>
      </cdr:nvSpPr>
      <cdr:spPr>
        <a:xfrm xmlns:a="http://schemas.openxmlformats.org/drawingml/2006/main">
          <a:off x="79373" y="753914"/>
          <a:ext cx="542923" cy="288840"/>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chemeClr val="bg1"/>
              </a:solidFill>
            </a:rPr>
            <a:t>Претходна пројекција</a:t>
          </a:r>
          <a:endParaRPr lang="en-GB" sz="750" b="1">
            <a:solidFill>
              <a:schemeClr val="bg1"/>
            </a:solidFill>
          </a:endParaRPr>
        </a:p>
      </cdr:txBody>
    </cdr:sp>
  </cdr:relSizeAnchor>
  <cdr:relSizeAnchor xmlns:cdr="http://schemas.openxmlformats.org/drawingml/2006/chartDrawing">
    <cdr:from>
      <cdr:x>0.5101</cdr:x>
      <cdr:y>0.60816</cdr:y>
    </cdr:from>
    <cdr:to>
      <cdr:x>0.91769</cdr:x>
      <cdr:y>0.84414</cdr:y>
    </cdr:to>
    <cdr:sp macro="" textlink="">
      <cdr:nvSpPr>
        <cdr:cNvPr id="3" name="TextBox 1"/>
        <cdr:cNvSpPr txBox="1"/>
      </cdr:nvSpPr>
      <cdr:spPr>
        <a:xfrm xmlns:a="http://schemas.openxmlformats.org/drawingml/2006/main">
          <a:off x="679452" y="744389"/>
          <a:ext cx="542910" cy="288840"/>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chemeClr val="bg1"/>
              </a:solidFill>
            </a:rPr>
            <a:t>Нова</a:t>
          </a:r>
        </a:p>
        <a:p xmlns:a="http://schemas.openxmlformats.org/drawingml/2006/main">
          <a:pPr algn="ctr"/>
          <a:r>
            <a:rPr lang="sr-Cyrl-RS" sz="750" b="1">
              <a:solidFill>
                <a:schemeClr val="bg1"/>
              </a:solidFill>
            </a:rPr>
            <a:t>пројекција</a:t>
          </a:r>
        </a:p>
      </cdr:txBody>
    </cdr:sp>
  </cdr:relSizeAnchor>
</c:userShapes>
</file>

<file path=word/drawings/drawing20.xml><?xml version="1.0" encoding="utf-8"?>
<c:userShapes xmlns:c="http://schemas.openxmlformats.org/drawingml/2006/chart">
  <cdr:relSizeAnchor xmlns:cdr="http://schemas.openxmlformats.org/drawingml/2006/chartDrawing">
    <cdr:from>
      <cdr:x>0.63371</cdr:x>
      <cdr:y>0.01417</cdr:y>
    </cdr:from>
    <cdr:to>
      <cdr:x>0.98264</cdr:x>
      <cdr:y>0.75123</cdr:y>
    </cdr:to>
    <cdr:sp macro="" textlink="">
      <cdr:nvSpPr>
        <cdr:cNvPr id="2" name="TextBox 1"/>
        <cdr:cNvSpPr txBox="1"/>
      </cdr:nvSpPr>
      <cdr:spPr>
        <a:xfrm xmlns:a="http://schemas.openxmlformats.org/drawingml/2006/main">
          <a:off x="1738396" y="28890"/>
          <a:ext cx="957180" cy="1502763"/>
        </a:xfrm>
        <a:prstGeom xmlns:a="http://schemas.openxmlformats.org/drawingml/2006/main" prst="rect">
          <a:avLst/>
        </a:prstGeom>
        <a:solidFill xmlns:a="http://schemas.openxmlformats.org/drawingml/2006/main">
          <a:schemeClr val="accent5">
            <a:alpha val="10000"/>
          </a:schemeClr>
        </a:solidFill>
      </cdr:spPr>
      <cdr:txBody>
        <a:bodyPr xmlns:a="http://schemas.openxmlformats.org/drawingml/2006/main" wrap="square" lIns="0" rIns="0" rtlCol="0" anchor="t"/>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chemeClr val="tx2"/>
              </a:solidFill>
              <a:latin typeface="+mn-lt"/>
              <a:cs typeface="Arial" panose="020B0604020202020204" pitchFamily="34" charset="0"/>
            </a:rPr>
            <a:t>ПРОЈЕКЦИЈА</a:t>
          </a:r>
        </a:p>
      </cdr:txBody>
    </cdr:sp>
  </cdr:relSizeAnchor>
</c:userShapes>
</file>

<file path=word/drawings/drawing21.xml><?xml version="1.0" encoding="utf-8"?>
<c:userShapes xmlns:c="http://schemas.openxmlformats.org/drawingml/2006/chart">
  <cdr:relSizeAnchor xmlns:cdr="http://schemas.openxmlformats.org/drawingml/2006/chartDrawing">
    <cdr:from>
      <cdr:x>0.5994</cdr:x>
      <cdr:y>0.31197</cdr:y>
    </cdr:from>
    <cdr:to>
      <cdr:x>0.5994</cdr:x>
      <cdr:y>0.34818</cdr:y>
    </cdr:to>
    <cdr:cxnSp macro="">
      <cdr:nvCxnSpPr>
        <cdr:cNvPr id="3" name="Straight Arrow Connector 2"/>
        <cdr:cNvCxnSpPr/>
      </cdr:nvCxnSpPr>
      <cdr:spPr>
        <a:xfrm xmlns:a="http://schemas.openxmlformats.org/drawingml/2006/main" flipV="1">
          <a:off x="3927978" y="1066789"/>
          <a:ext cx="0" cy="123819"/>
        </a:xfrm>
        <a:prstGeom xmlns:a="http://schemas.openxmlformats.org/drawingml/2006/main" prst="straightConnector1">
          <a:avLst/>
        </a:prstGeom>
        <a:ln xmlns:a="http://schemas.openxmlformats.org/drawingml/2006/main">
          <a:solidFill>
            <a:schemeClr val="tx1"/>
          </a:solidFill>
          <a:tailEnd type="triangle"/>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drawings/drawing22.xml><?xml version="1.0" encoding="utf-8"?>
<c:userShapes xmlns:c="http://schemas.openxmlformats.org/drawingml/2006/chart">
  <cdr:relSizeAnchor xmlns:cdr="http://schemas.openxmlformats.org/drawingml/2006/chartDrawing">
    <cdr:from>
      <cdr:x>0.37333</cdr:x>
      <cdr:y>0.14579</cdr:y>
    </cdr:from>
    <cdr:to>
      <cdr:x>0.37667</cdr:x>
      <cdr:y>0.84738</cdr:y>
    </cdr:to>
    <cdr:cxnSp macro="">
      <cdr:nvCxnSpPr>
        <cdr:cNvPr id="3" name="Straight Connector 2"/>
        <cdr:cNvCxnSpPr/>
      </cdr:nvCxnSpPr>
      <cdr:spPr>
        <a:xfrm xmlns:a="http://schemas.openxmlformats.org/drawingml/2006/main">
          <a:off x="1066800" y="609600"/>
          <a:ext cx="9525" cy="2933700"/>
        </a:xfrm>
        <a:prstGeom xmlns:a="http://schemas.openxmlformats.org/drawingml/2006/main" prst="line">
          <a:avLst/>
        </a:prstGeom>
        <a:ln xmlns:a="http://schemas.openxmlformats.org/drawingml/2006/main" w="12700">
          <a:solidFill>
            <a:srgbClr val="7030A0"/>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0.14468</cdr:x>
      <cdr:y>0.36653</cdr:y>
    </cdr:from>
    <cdr:to>
      <cdr:x>0.98114</cdr:x>
      <cdr:y>0.36791</cdr:y>
    </cdr:to>
    <cdr:cxnSp macro="">
      <cdr:nvCxnSpPr>
        <cdr:cNvPr id="7" name="Straight Connector 6"/>
        <cdr:cNvCxnSpPr/>
      </cdr:nvCxnSpPr>
      <cdr:spPr>
        <a:xfrm xmlns:a="http://schemas.openxmlformats.org/drawingml/2006/main" flipV="1">
          <a:off x="413414" y="1532634"/>
          <a:ext cx="2390184" cy="5770"/>
        </a:xfrm>
        <a:prstGeom xmlns:a="http://schemas.openxmlformats.org/drawingml/2006/main" prst="line">
          <a:avLst/>
        </a:prstGeom>
        <a:ln xmlns:a="http://schemas.openxmlformats.org/drawingml/2006/main" w="12700">
          <a:solidFill>
            <a:srgbClr val="7030A0"/>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drawings/drawing23.xml><?xml version="1.0" encoding="utf-8"?>
<c:userShapes xmlns:c="http://schemas.openxmlformats.org/drawingml/2006/chart">
  <cdr:relSizeAnchor xmlns:cdr="http://schemas.openxmlformats.org/drawingml/2006/chartDrawing">
    <cdr:from>
      <cdr:x>0.83237</cdr:x>
      <cdr:y>0.04452</cdr:y>
    </cdr:from>
    <cdr:to>
      <cdr:x>0.96904</cdr:x>
      <cdr:y>0.10408</cdr:y>
    </cdr:to>
    <cdr:sp macro="" textlink="">
      <cdr:nvSpPr>
        <cdr:cNvPr id="2" name="TextBox 1"/>
        <cdr:cNvSpPr txBox="1"/>
      </cdr:nvSpPr>
      <cdr:spPr>
        <a:xfrm xmlns:a="http://schemas.openxmlformats.org/drawingml/2006/main">
          <a:off x="5378606" y="170300"/>
          <a:ext cx="883129" cy="227845"/>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en-US" sz="1100">
            <a:latin typeface="+mj-lt"/>
          </a:endParaRPr>
        </a:p>
      </cdr:txBody>
    </cdr:sp>
  </cdr:relSizeAnchor>
</c:userShapes>
</file>

<file path=word/drawings/drawing24.xml><?xml version="1.0" encoding="utf-8"?>
<c:userShapes xmlns:c="http://schemas.openxmlformats.org/drawingml/2006/chart">
  <cdr:relSizeAnchor xmlns:cdr="http://schemas.openxmlformats.org/drawingml/2006/chartDrawing">
    <cdr:from>
      <cdr:x>0.86328</cdr:x>
      <cdr:y>0.09401</cdr:y>
    </cdr:from>
    <cdr:to>
      <cdr:x>0.86454</cdr:x>
      <cdr:y>0.91861</cdr:y>
    </cdr:to>
    <cdr:cxnSp macro="">
      <cdr:nvCxnSpPr>
        <cdr:cNvPr id="3" name="Straight Connector 2"/>
        <cdr:cNvCxnSpPr/>
      </cdr:nvCxnSpPr>
      <cdr:spPr>
        <a:xfrm xmlns:a="http://schemas.openxmlformats.org/drawingml/2006/main">
          <a:off x="6196120" y="397363"/>
          <a:ext cx="9043" cy="3485606"/>
        </a:xfrm>
        <a:prstGeom xmlns:a="http://schemas.openxmlformats.org/drawingml/2006/main" prst="line">
          <a:avLst/>
        </a:prstGeom>
        <a:ln xmlns:a="http://schemas.openxmlformats.org/drawingml/2006/main">
          <a:prstDash val="dash"/>
        </a:ln>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userShapes>
</file>

<file path=word/drawings/drawing25.xml><?xml version="1.0" encoding="utf-8"?>
<c:userShapes xmlns:c="http://schemas.openxmlformats.org/drawingml/2006/chart">
  <cdr:relSizeAnchor xmlns:cdr="http://schemas.openxmlformats.org/drawingml/2006/chartDrawing">
    <cdr:from>
      <cdr:x>0.11452</cdr:x>
      <cdr:y>0.17764</cdr:y>
    </cdr:from>
    <cdr:to>
      <cdr:x>0.24585</cdr:x>
      <cdr:y>0.5815</cdr:y>
    </cdr:to>
    <cdr:sp macro="" textlink="">
      <cdr:nvSpPr>
        <cdr:cNvPr id="11" name="Oval 10"/>
        <cdr:cNvSpPr/>
      </cdr:nvSpPr>
      <cdr:spPr>
        <a:xfrm xmlns:a="http://schemas.openxmlformats.org/drawingml/2006/main">
          <a:off x="765771" y="768601"/>
          <a:ext cx="878186" cy="1747319"/>
        </a:xfrm>
        <a:prstGeom xmlns:a="http://schemas.openxmlformats.org/drawingml/2006/main" prst="ellipse">
          <a:avLst/>
        </a:prstGeom>
        <a:solidFill xmlns:a="http://schemas.openxmlformats.org/drawingml/2006/main">
          <a:srgbClr val="51BBE7">
            <a:alpha val="16000"/>
          </a:srgbClr>
        </a:solidFill>
        <a:ln xmlns:a="http://schemas.openxmlformats.org/drawingml/2006/main">
          <a:solidFill>
            <a:srgbClr val="29489A">
              <a:alpha val="50000"/>
            </a:srgbClr>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en-US"/>
        </a:p>
      </cdr:txBody>
    </cdr:sp>
  </cdr:relSizeAnchor>
  <cdr:relSizeAnchor xmlns:cdr="http://schemas.openxmlformats.org/drawingml/2006/chartDrawing">
    <cdr:from>
      <cdr:x>0.19839</cdr:x>
      <cdr:y>0.18226</cdr:y>
    </cdr:from>
    <cdr:to>
      <cdr:x>0.26439</cdr:x>
      <cdr:y>0.36468</cdr:y>
    </cdr:to>
    <cdr:sp macro="" textlink="">
      <cdr:nvSpPr>
        <cdr:cNvPr id="5" name="Straight Arrow Connector 4"/>
        <cdr:cNvSpPr/>
      </cdr:nvSpPr>
      <cdr:spPr>
        <a:xfrm xmlns:a="http://schemas.openxmlformats.org/drawingml/2006/main" flipV="1">
          <a:off x="1326550" y="788569"/>
          <a:ext cx="441325" cy="789261"/>
        </a:xfrm>
        <a:prstGeom xmlns:a="http://schemas.openxmlformats.org/drawingml/2006/main" prst="straightConnector1">
          <a:avLst/>
        </a:prstGeom>
        <a:ln xmlns:a="http://schemas.openxmlformats.org/drawingml/2006/main">
          <a:solidFill>
            <a:schemeClr val="dk1">
              <a:alpha val="54000"/>
            </a:schemeClr>
          </a:solidFill>
          <a:tailEnd type="arrow"/>
        </a:ln>
      </cdr:spPr>
      <cdr:style>
        <a:lnRef xmlns:a="http://schemas.openxmlformats.org/drawingml/2006/main" idx="2">
          <a:schemeClr val="dk1"/>
        </a:lnRef>
        <a:fillRef xmlns:a="http://schemas.openxmlformats.org/drawingml/2006/main" idx="0">
          <a:schemeClr val="dk1"/>
        </a:fillRef>
        <a:effectRef xmlns:a="http://schemas.openxmlformats.org/drawingml/2006/main" idx="1">
          <a:schemeClr val="dk1"/>
        </a:effectRef>
        <a:fontRef xmlns:a="http://schemas.openxmlformats.org/drawingml/2006/main" idx="minor">
          <a:schemeClr val="tx1"/>
        </a:fontRef>
      </cdr:style>
      <cdr:txBody>
        <a:bodyPr xmlns:a="http://schemas.openxmlformats.org/drawingml/2006/main" vertOverflow="clip"/>
        <a:lstStyle xmlns:a="http://schemas.openxmlformats.org/drawingml/2006/main"/>
        <a:p xmlns:a="http://schemas.openxmlformats.org/drawingml/2006/main">
          <a:endParaRPr lang="en-US"/>
        </a:p>
      </cdr:txBody>
    </cdr:sp>
  </cdr:relSizeAnchor>
  <cdr:relSizeAnchor xmlns:cdr="http://schemas.openxmlformats.org/drawingml/2006/chartDrawing">
    <cdr:from>
      <cdr:x>0.22207</cdr:x>
      <cdr:y>0.12824</cdr:y>
    </cdr:from>
    <cdr:to>
      <cdr:x>0.48914</cdr:x>
      <cdr:y>0.19398</cdr:y>
    </cdr:to>
    <cdr:sp macro="" textlink="">
      <cdr:nvSpPr>
        <cdr:cNvPr id="6" name="TextBox 5"/>
        <cdr:cNvSpPr txBox="1"/>
      </cdr:nvSpPr>
      <cdr:spPr>
        <a:xfrm xmlns:a="http://schemas.openxmlformats.org/drawingml/2006/main">
          <a:off x="612426" y="383058"/>
          <a:ext cx="736540" cy="196364"/>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sr-Cyrl-RS" sz="600" b="1" i="0" u="none" strike="noStrike" kern="1200" baseline="0">
              <a:solidFill>
                <a:srgbClr val="44546A"/>
              </a:solidFill>
              <a:effectLst/>
              <a:latin typeface="+mn-lt"/>
              <a:ea typeface="+mn-ea"/>
              <a:cs typeface="+mn-cs"/>
            </a:rPr>
            <a:t>Експанзивна</a:t>
          </a:r>
          <a:r>
            <a:rPr lang="en-US" sz="600" baseline="0">
              <a:latin typeface="+mn-lt"/>
            </a:rPr>
            <a:t> </a:t>
          </a:r>
        </a:p>
      </cdr:txBody>
    </cdr:sp>
  </cdr:relSizeAnchor>
  <cdr:relSizeAnchor xmlns:cdr="http://schemas.openxmlformats.org/drawingml/2006/chartDrawing">
    <cdr:from>
      <cdr:x>0.45632</cdr:x>
      <cdr:y>0.57661</cdr:y>
    </cdr:from>
    <cdr:to>
      <cdr:x>0.72551</cdr:x>
      <cdr:y>0.62134</cdr:y>
    </cdr:to>
    <cdr:sp macro="" textlink="">
      <cdr:nvSpPr>
        <cdr:cNvPr id="7" name="TextBox 6"/>
        <cdr:cNvSpPr txBox="1"/>
      </cdr:nvSpPr>
      <cdr:spPr>
        <a:xfrm xmlns:a="http://schemas.openxmlformats.org/drawingml/2006/main">
          <a:off x="1258431" y="1722344"/>
          <a:ext cx="742384" cy="133618"/>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sr-Cyrl-RS" sz="600" b="1" baseline="0">
              <a:solidFill>
                <a:srgbClr val="44546A"/>
              </a:solidFill>
              <a:latin typeface="+mn-lt"/>
              <a:cs typeface="Times New Roman" pitchFamily="18" charset="0"/>
            </a:rPr>
            <a:t>Рестриктивна</a:t>
          </a:r>
          <a:endParaRPr lang="en-US" sz="600" b="1" baseline="0">
            <a:solidFill>
              <a:srgbClr val="44546A"/>
            </a:solidFill>
            <a:latin typeface="+mn-lt"/>
            <a:cs typeface="Times New Roman" pitchFamily="18" charset="0"/>
          </a:endParaRPr>
        </a:p>
      </cdr:txBody>
    </cdr:sp>
  </cdr:relSizeAnchor>
  <cdr:relSizeAnchor xmlns:cdr="http://schemas.openxmlformats.org/drawingml/2006/chartDrawing">
    <cdr:from>
      <cdr:x>0.36229</cdr:x>
      <cdr:y>0.24444</cdr:y>
    </cdr:from>
    <cdr:to>
      <cdr:x>0.50581</cdr:x>
      <cdr:y>0.61707</cdr:y>
    </cdr:to>
    <cdr:sp macro="" textlink="">
      <cdr:nvSpPr>
        <cdr:cNvPr id="12" name="Oval 11"/>
        <cdr:cNvSpPr/>
      </cdr:nvSpPr>
      <cdr:spPr>
        <a:xfrm xmlns:a="http://schemas.openxmlformats.org/drawingml/2006/main">
          <a:off x="2422554" y="1057597"/>
          <a:ext cx="959667" cy="1612226"/>
        </a:xfrm>
        <a:prstGeom xmlns:a="http://schemas.openxmlformats.org/drawingml/2006/main" prst="ellipse">
          <a:avLst/>
        </a:prstGeom>
        <a:solidFill xmlns:a="http://schemas.openxmlformats.org/drawingml/2006/main">
          <a:schemeClr val="accent3">
            <a:lumMod val="40000"/>
            <a:lumOff val="60000"/>
            <a:alpha val="15000"/>
          </a:schemeClr>
        </a:solidFill>
        <a:ln xmlns:a="http://schemas.openxmlformats.org/drawingml/2006/main">
          <a:solidFill>
            <a:schemeClr val="accent3">
              <a:alpha val="50000"/>
            </a:schemeClr>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en-US">
            <a:latin typeface="Cambria" pitchFamily="18" charset="0"/>
          </a:endParaRPr>
        </a:p>
      </cdr:txBody>
    </cdr:sp>
  </cdr:relSizeAnchor>
  <cdr:relSizeAnchor xmlns:cdr="http://schemas.openxmlformats.org/drawingml/2006/chartDrawing">
    <cdr:from>
      <cdr:x>0.56041</cdr:x>
      <cdr:y>0.13825</cdr:y>
    </cdr:from>
    <cdr:to>
      <cdr:x>0.72635</cdr:x>
      <cdr:y>0.19124</cdr:y>
    </cdr:to>
    <cdr:sp macro="" textlink="">
      <cdr:nvSpPr>
        <cdr:cNvPr id="17" name="TextBox 16"/>
        <cdr:cNvSpPr txBox="1"/>
      </cdr:nvSpPr>
      <cdr:spPr>
        <a:xfrm xmlns:a="http://schemas.openxmlformats.org/drawingml/2006/main">
          <a:off x="3667126" y="571500"/>
          <a:ext cx="1085850" cy="21907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en-US" sz="1100"/>
        </a:p>
      </cdr:txBody>
    </cdr:sp>
  </cdr:relSizeAnchor>
  <cdr:relSizeAnchor xmlns:cdr="http://schemas.openxmlformats.org/drawingml/2006/chartDrawing">
    <cdr:from>
      <cdr:x>0.06022</cdr:x>
      <cdr:y>0.20859</cdr:y>
    </cdr:from>
    <cdr:to>
      <cdr:x>0.32172</cdr:x>
      <cdr:y>0.27278</cdr:y>
    </cdr:to>
    <cdr:sp macro="" textlink="">
      <cdr:nvSpPr>
        <cdr:cNvPr id="18" name="TextBox 17"/>
        <cdr:cNvSpPr txBox="1"/>
      </cdr:nvSpPr>
      <cdr:spPr>
        <a:xfrm xmlns:a="http://schemas.openxmlformats.org/drawingml/2006/main">
          <a:off x="166068" y="623064"/>
          <a:ext cx="721172" cy="191749"/>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sr-Cyrl-RS" sz="600" b="1" baseline="0">
              <a:solidFill>
                <a:srgbClr val="44546A"/>
              </a:solidFill>
              <a:latin typeface="+mn-lt"/>
              <a:cs typeface="Times New Roman" pitchFamily="18" charset="0"/>
            </a:rPr>
            <a:t>Проциклична</a:t>
          </a:r>
          <a:endParaRPr lang="en-US" sz="600" b="1" baseline="0">
            <a:solidFill>
              <a:srgbClr val="44546A"/>
            </a:solidFill>
            <a:latin typeface="+mn-lt"/>
            <a:cs typeface="Times New Roman" pitchFamily="18" charset="0"/>
          </a:endParaRPr>
        </a:p>
      </cdr:txBody>
    </cdr:sp>
  </cdr:relSizeAnchor>
  <cdr:relSizeAnchor xmlns:cdr="http://schemas.openxmlformats.org/drawingml/2006/chartDrawing">
    <cdr:from>
      <cdr:x>0.29874</cdr:x>
      <cdr:y>0.30006</cdr:y>
    </cdr:from>
    <cdr:to>
      <cdr:x>0.58106</cdr:x>
      <cdr:y>0.36705</cdr:y>
    </cdr:to>
    <cdr:sp macro="" textlink="">
      <cdr:nvSpPr>
        <cdr:cNvPr id="19" name="TextBox 18"/>
        <cdr:cNvSpPr txBox="1"/>
      </cdr:nvSpPr>
      <cdr:spPr>
        <a:xfrm xmlns:a="http://schemas.openxmlformats.org/drawingml/2006/main">
          <a:off x="823865" y="896292"/>
          <a:ext cx="778597" cy="200103"/>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sr-Cyrl-RS" sz="600" b="1" baseline="0">
              <a:solidFill>
                <a:srgbClr val="44546A"/>
              </a:solidFill>
              <a:latin typeface="+mn-lt"/>
              <a:cs typeface="Times New Roman" pitchFamily="18" charset="0"/>
            </a:rPr>
            <a:t>Контрациклична</a:t>
          </a:r>
          <a:endParaRPr lang="en-US" sz="600" b="1" baseline="0">
            <a:solidFill>
              <a:srgbClr val="44546A"/>
            </a:solidFill>
            <a:latin typeface="+mn-lt"/>
            <a:cs typeface="Times New Roman" pitchFamily="18" charset="0"/>
          </a:endParaRPr>
        </a:p>
      </cdr:txBody>
    </cdr:sp>
  </cdr:relSizeAnchor>
  <cdr:relSizeAnchor xmlns:cdr="http://schemas.openxmlformats.org/drawingml/2006/chartDrawing">
    <cdr:from>
      <cdr:x>0.64256</cdr:x>
      <cdr:y>0.1902</cdr:y>
    </cdr:from>
    <cdr:to>
      <cdr:x>0.75494</cdr:x>
      <cdr:y>0.7217</cdr:y>
    </cdr:to>
    <cdr:sp macro="" textlink="">
      <cdr:nvSpPr>
        <cdr:cNvPr id="10" name="Oval 9"/>
        <cdr:cNvSpPr/>
      </cdr:nvSpPr>
      <cdr:spPr>
        <a:xfrm xmlns:a="http://schemas.openxmlformats.org/drawingml/2006/main">
          <a:off x="4296621" y="822922"/>
          <a:ext cx="751438" cy="2299595"/>
        </a:xfrm>
        <a:prstGeom xmlns:a="http://schemas.openxmlformats.org/drawingml/2006/main" prst="ellipse">
          <a:avLst/>
        </a:prstGeom>
        <a:solidFill xmlns:a="http://schemas.openxmlformats.org/drawingml/2006/main">
          <a:srgbClr val="51BBE7">
            <a:alpha val="15000"/>
          </a:srgbClr>
        </a:solidFill>
        <a:ln xmlns:a="http://schemas.openxmlformats.org/drawingml/2006/main">
          <a:solidFill>
            <a:schemeClr val="accent1">
              <a:shade val="50000"/>
              <a:alpha val="50000"/>
            </a:schemeClr>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en-US"/>
        </a:p>
      </cdr:txBody>
    </cdr:sp>
  </cdr:relSizeAnchor>
  <cdr:relSizeAnchor xmlns:cdr="http://schemas.openxmlformats.org/drawingml/2006/chartDrawing">
    <cdr:from>
      <cdr:x>0.54495</cdr:x>
      <cdr:y>0.23338</cdr:y>
    </cdr:from>
    <cdr:to>
      <cdr:x>0.77931</cdr:x>
      <cdr:y>0.33458</cdr:y>
    </cdr:to>
    <cdr:sp macro="" textlink="">
      <cdr:nvSpPr>
        <cdr:cNvPr id="13" name="TextBox 12"/>
        <cdr:cNvSpPr txBox="1"/>
      </cdr:nvSpPr>
      <cdr:spPr>
        <a:xfrm xmlns:a="http://schemas.openxmlformats.org/drawingml/2006/main">
          <a:off x="1502875" y="697117"/>
          <a:ext cx="646311" cy="302287"/>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sr-Cyrl-CS" sz="600" b="1" baseline="0">
              <a:solidFill>
                <a:srgbClr val="44546A"/>
              </a:solidFill>
              <a:latin typeface="+mn-lt"/>
            </a:rPr>
            <a:t>Проциклична</a:t>
          </a:r>
          <a:endParaRPr lang="en-US" sz="600" b="1" baseline="0">
            <a:solidFill>
              <a:srgbClr val="44546A"/>
            </a:solidFill>
            <a:latin typeface="+mn-lt"/>
          </a:endParaRPr>
        </a:p>
      </cdr:txBody>
    </cdr:sp>
  </cdr:relSizeAnchor>
  <cdr:relSizeAnchor xmlns:cdr="http://schemas.openxmlformats.org/drawingml/2006/chartDrawing">
    <cdr:from>
      <cdr:x>0.60404</cdr:x>
      <cdr:y>0.4122</cdr:y>
    </cdr:from>
    <cdr:to>
      <cdr:x>0.86996</cdr:x>
      <cdr:y>0.52132</cdr:y>
    </cdr:to>
    <cdr:sp macro="" textlink="">
      <cdr:nvSpPr>
        <cdr:cNvPr id="15" name="TextBox 1"/>
        <cdr:cNvSpPr txBox="1"/>
      </cdr:nvSpPr>
      <cdr:spPr>
        <a:xfrm xmlns:a="http://schemas.openxmlformats.org/drawingml/2006/main">
          <a:off x="1665838" y="1231272"/>
          <a:ext cx="733330" cy="325924"/>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sr-Cyrl-RS" sz="600" b="1" i="0" u="none" strike="noStrike" kern="1200" baseline="0">
              <a:solidFill>
                <a:srgbClr val="44546A"/>
              </a:solidFill>
              <a:effectLst/>
              <a:latin typeface="+mn-lt"/>
              <a:ea typeface="+mn-ea"/>
              <a:cs typeface="+mn-cs"/>
            </a:rPr>
            <a:t>Експанзивна</a:t>
          </a:r>
          <a:r>
            <a:rPr lang="en-US" sz="600" baseline="0">
              <a:latin typeface="+mn-lt"/>
            </a:rPr>
            <a:t> </a:t>
          </a:r>
        </a:p>
      </cdr:txBody>
    </cdr:sp>
  </cdr:relSizeAnchor>
  <cdr:relSizeAnchor xmlns:cdr="http://schemas.openxmlformats.org/drawingml/2006/chartDrawing">
    <cdr:from>
      <cdr:x>0.71784</cdr:x>
      <cdr:y>0.06718</cdr:y>
    </cdr:from>
    <cdr:to>
      <cdr:x>0.79773</cdr:x>
      <cdr:y>0.72841</cdr:y>
    </cdr:to>
    <cdr:sp macro="" textlink="">
      <cdr:nvSpPr>
        <cdr:cNvPr id="16" name="Oval 15"/>
        <cdr:cNvSpPr/>
      </cdr:nvSpPr>
      <cdr:spPr>
        <a:xfrm xmlns:a="http://schemas.openxmlformats.org/drawingml/2006/main">
          <a:off x="1979656" y="200658"/>
          <a:ext cx="220336" cy="1975121"/>
        </a:xfrm>
        <a:prstGeom xmlns:a="http://schemas.openxmlformats.org/drawingml/2006/main" prst="ellipse">
          <a:avLst/>
        </a:prstGeom>
        <a:solidFill xmlns:a="http://schemas.openxmlformats.org/drawingml/2006/main">
          <a:schemeClr val="accent3">
            <a:lumMod val="40000"/>
            <a:lumOff val="60000"/>
            <a:alpha val="15000"/>
          </a:schemeClr>
        </a:solidFill>
        <a:ln xmlns:a="http://schemas.openxmlformats.org/drawingml/2006/main">
          <a:solidFill>
            <a:schemeClr val="accent3">
              <a:alpha val="50000"/>
            </a:schemeClr>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effectLst/>
          </a:endParaRPr>
        </a:p>
      </cdr:txBody>
    </cdr:sp>
  </cdr:relSizeAnchor>
  <cdr:relSizeAnchor xmlns:cdr="http://schemas.openxmlformats.org/drawingml/2006/chartDrawing">
    <cdr:from>
      <cdr:x>0.65</cdr:x>
      <cdr:y>0.70317</cdr:y>
    </cdr:from>
    <cdr:to>
      <cdr:x>0.92449</cdr:x>
      <cdr:y>0.80878</cdr:y>
    </cdr:to>
    <cdr:sp macro="" textlink="">
      <cdr:nvSpPr>
        <cdr:cNvPr id="20" name="TextBox 1"/>
        <cdr:cNvSpPr txBox="1"/>
      </cdr:nvSpPr>
      <cdr:spPr>
        <a:xfrm xmlns:a="http://schemas.openxmlformats.org/drawingml/2006/main">
          <a:off x="1792587" y="2100406"/>
          <a:ext cx="756989" cy="315462"/>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sr-Cyrl-RS" sz="600" b="1" baseline="0">
              <a:solidFill>
                <a:srgbClr val="44546A"/>
              </a:solidFill>
              <a:latin typeface="+mn-lt"/>
              <a:cs typeface="Times New Roman" pitchFamily="18" charset="0"/>
            </a:rPr>
            <a:t>Контрациклична</a:t>
          </a:r>
          <a:endParaRPr lang="en-US" sz="600" b="1" baseline="0">
            <a:solidFill>
              <a:srgbClr val="44546A"/>
            </a:solidFill>
            <a:latin typeface="+mn-lt"/>
            <a:cs typeface="Times New Roman" pitchFamily="18" charset="0"/>
          </a:endParaRPr>
        </a:p>
      </cdr:txBody>
    </cdr:sp>
  </cdr:relSizeAnchor>
</c:userShapes>
</file>

<file path=word/drawings/drawing26.xml><?xml version="1.0" encoding="utf-8"?>
<c:userShapes xmlns:c="http://schemas.openxmlformats.org/drawingml/2006/chart">
  <cdr:relSizeAnchor xmlns:cdr="http://schemas.openxmlformats.org/drawingml/2006/chartDrawing">
    <cdr:from>
      <cdr:x>0.04375</cdr:x>
      <cdr:y>0.88368</cdr:y>
    </cdr:from>
    <cdr:to>
      <cdr:x>0.16667</cdr:x>
      <cdr:y>0.93576</cdr:y>
    </cdr:to>
    <cdr:sp macro="" textlink="">
      <cdr:nvSpPr>
        <cdr:cNvPr id="2" name="TextBox 1"/>
        <cdr:cNvSpPr txBox="1"/>
      </cdr:nvSpPr>
      <cdr:spPr>
        <a:xfrm xmlns:a="http://schemas.openxmlformats.org/drawingml/2006/main">
          <a:off x="200025" y="2424113"/>
          <a:ext cx="561975" cy="14287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sr-Cyrl-CS" sz="1100"/>
        </a:p>
      </cdr:txBody>
    </cdr:sp>
  </cdr:relSizeAnchor>
  <cdr:relSizeAnchor xmlns:cdr="http://schemas.openxmlformats.org/drawingml/2006/chartDrawing">
    <cdr:from>
      <cdr:x>0.04792</cdr:x>
      <cdr:y>0.73785</cdr:y>
    </cdr:from>
    <cdr:to>
      <cdr:x>0.24167</cdr:x>
      <cdr:y>0.86979</cdr:y>
    </cdr:to>
    <cdr:sp macro="" textlink="">
      <cdr:nvSpPr>
        <cdr:cNvPr id="3" name="TextBox 2"/>
        <cdr:cNvSpPr txBox="1"/>
      </cdr:nvSpPr>
      <cdr:spPr>
        <a:xfrm xmlns:a="http://schemas.openxmlformats.org/drawingml/2006/main">
          <a:off x="228061" y="2482144"/>
          <a:ext cx="922095" cy="443849"/>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sr-Cyrl-CS" sz="800">
            <a:latin typeface="+mj-lt"/>
          </a:endParaRPr>
        </a:p>
      </cdr:txBody>
    </cdr:sp>
  </cdr:relSizeAnchor>
  <cdr:relSizeAnchor xmlns:cdr="http://schemas.openxmlformats.org/drawingml/2006/chartDrawing">
    <cdr:from>
      <cdr:x>0.66875</cdr:x>
      <cdr:y>0.74826</cdr:y>
    </cdr:from>
    <cdr:to>
      <cdr:x>0.9125</cdr:x>
      <cdr:y>0.84549</cdr:y>
    </cdr:to>
    <cdr:sp macro="" textlink="">
      <cdr:nvSpPr>
        <cdr:cNvPr id="4" name="TextBox 3"/>
        <cdr:cNvSpPr txBox="1"/>
      </cdr:nvSpPr>
      <cdr:spPr>
        <a:xfrm xmlns:a="http://schemas.openxmlformats.org/drawingml/2006/main">
          <a:off x="3057525" y="2052638"/>
          <a:ext cx="1114425" cy="26670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sr-Cyrl-CS" sz="1100"/>
        </a:p>
      </cdr:txBody>
    </cdr:sp>
  </cdr:relSizeAnchor>
  <cdr:relSizeAnchor xmlns:cdr="http://schemas.openxmlformats.org/drawingml/2006/chartDrawing">
    <cdr:from>
      <cdr:x>0.76703</cdr:x>
      <cdr:y>0.16819</cdr:y>
    </cdr:from>
    <cdr:to>
      <cdr:x>0.98856</cdr:x>
      <cdr:y>0.2903</cdr:y>
    </cdr:to>
    <cdr:sp macro="" textlink="">
      <cdr:nvSpPr>
        <cdr:cNvPr id="5" name="TextBox 1"/>
        <cdr:cNvSpPr txBox="1"/>
      </cdr:nvSpPr>
      <cdr:spPr>
        <a:xfrm xmlns:a="http://schemas.openxmlformats.org/drawingml/2006/main">
          <a:off x="3650440" y="565780"/>
          <a:ext cx="1054306" cy="410781"/>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endParaRPr lang="sr-Cyrl-CS" sz="800">
            <a:latin typeface="+mj-lt"/>
          </a:endParaRPr>
        </a:p>
      </cdr:txBody>
    </cdr:sp>
  </cdr:relSizeAnchor>
  <cdr:relSizeAnchor xmlns:cdr="http://schemas.openxmlformats.org/drawingml/2006/chartDrawing">
    <cdr:from>
      <cdr:x>0.73125</cdr:x>
      <cdr:y>0.8206</cdr:y>
    </cdr:from>
    <cdr:to>
      <cdr:x>0.95417</cdr:x>
      <cdr:y>0.94271</cdr:y>
    </cdr:to>
    <cdr:sp macro="" textlink="">
      <cdr:nvSpPr>
        <cdr:cNvPr id="6" name="TextBox 1"/>
        <cdr:cNvSpPr txBox="1"/>
      </cdr:nvSpPr>
      <cdr:spPr>
        <a:xfrm xmlns:a="http://schemas.openxmlformats.org/drawingml/2006/main">
          <a:off x="3480164" y="2760516"/>
          <a:ext cx="1060921" cy="410781"/>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endParaRPr lang="sr-Cyrl-CS" sz="800">
            <a:latin typeface="+mj-lt"/>
          </a:endParaRPr>
        </a:p>
      </cdr:txBody>
    </cdr:sp>
  </cdr:relSizeAnchor>
  <cdr:relSizeAnchor xmlns:cdr="http://schemas.openxmlformats.org/drawingml/2006/chartDrawing">
    <cdr:from>
      <cdr:x>0.04928</cdr:x>
      <cdr:y>0.22036</cdr:y>
    </cdr:from>
    <cdr:to>
      <cdr:x>0.27219</cdr:x>
      <cdr:y>0.34247</cdr:y>
    </cdr:to>
    <cdr:sp macro="" textlink="">
      <cdr:nvSpPr>
        <cdr:cNvPr id="7" name="TextBox 1"/>
        <cdr:cNvSpPr txBox="1"/>
      </cdr:nvSpPr>
      <cdr:spPr>
        <a:xfrm xmlns:a="http://schemas.openxmlformats.org/drawingml/2006/main">
          <a:off x="234530" y="741312"/>
          <a:ext cx="1060873" cy="410780"/>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endParaRPr lang="sr-Cyrl-CS" sz="800">
            <a:latin typeface="Cambria" panose="02040503050406030204" pitchFamily="18" charset="0"/>
          </a:endParaRPr>
        </a:p>
      </cdr:txBody>
    </cdr:sp>
  </cdr:relSizeAnchor>
  <cdr:relSizeAnchor xmlns:cdr="http://schemas.openxmlformats.org/drawingml/2006/chartDrawing">
    <cdr:from>
      <cdr:x>0.04375</cdr:x>
      <cdr:y>0.88368</cdr:y>
    </cdr:from>
    <cdr:to>
      <cdr:x>0.16667</cdr:x>
      <cdr:y>0.93576</cdr:y>
    </cdr:to>
    <cdr:sp macro="" textlink="">
      <cdr:nvSpPr>
        <cdr:cNvPr id="14" name="TextBox 1"/>
        <cdr:cNvSpPr txBox="1"/>
      </cdr:nvSpPr>
      <cdr:spPr>
        <a:xfrm xmlns:a="http://schemas.openxmlformats.org/drawingml/2006/main">
          <a:off x="200025" y="2424113"/>
          <a:ext cx="561975" cy="14287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sr-Cyrl-CS" sz="1100"/>
        </a:p>
      </cdr:txBody>
    </cdr:sp>
  </cdr:relSizeAnchor>
  <cdr:relSizeAnchor xmlns:cdr="http://schemas.openxmlformats.org/drawingml/2006/chartDrawing">
    <cdr:from>
      <cdr:x>0.03189</cdr:x>
      <cdr:y>0.82057</cdr:y>
    </cdr:from>
    <cdr:to>
      <cdr:x>0.28889</cdr:x>
      <cdr:y>1</cdr:y>
    </cdr:to>
    <cdr:sp macro="" textlink="">
      <cdr:nvSpPr>
        <cdr:cNvPr id="15" name="TextBox 2"/>
        <cdr:cNvSpPr txBox="1"/>
      </cdr:nvSpPr>
      <cdr:spPr>
        <a:xfrm xmlns:a="http://schemas.openxmlformats.org/drawingml/2006/main">
          <a:off x="87946" y="1665838"/>
          <a:ext cx="708759" cy="364257"/>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sr-Cyrl-CS" sz="600" b="1">
              <a:solidFill>
                <a:srgbClr val="44546A"/>
              </a:solidFill>
              <a:latin typeface="Calibri" panose="020F0502020204030204" pitchFamily="34" charset="0"/>
            </a:rPr>
            <a:t>проциклично</a:t>
          </a:r>
          <a:r>
            <a:rPr lang="sr-Cyrl-CS" sz="600" b="1" baseline="0">
              <a:solidFill>
                <a:srgbClr val="44546A"/>
              </a:solidFill>
              <a:latin typeface="Calibri" panose="020F0502020204030204" pitchFamily="34" charset="0"/>
            </a:rPr>
            <a:t> - рестриктивна</a:t>
          </a:r>
          <a:endParaRPr lang="sr-Cyrl-CS" sz="600" b="1">
            <a:solidFill>
              <a:srgbClr val="44546A"/>
            </a:solidFill>
            <a:latin typeface="Calibri" panose="020F0502020204030204" pitchFamily="34" charset="0"/>
          </a:endParaRPr>
        </a:p>
      </cdr:txBody>
    </cdr:sp>
  </cdr:relSizeAnchor>
  <cdr:relSizeAnchor xmlns:cdr="http://schemas.openxmlformats.org/drawingml/2006/chartDrawing">
    <cdr:from>
      <cdr:x>0.66875</cdr:x>
      <cdr:y>0.74826</cdr:y>
    </cdr:from>
    <cdr:to>
      <cdr:x>0.9125</cdr:x>
      <cdr:y>0.84549</cdr:y>
    </cdr:to>
    <cdr:sp macro="" textlink="">
      <cdr:nvSpPr>
        <cdr:cNvPr id="16" name="TextBox 3"/>
        <cdr:cNvSpPr txBox="1"/>
      </cdr:nvSpPr>
      <cdr:spPr>
        <a:xfrm xmlns:a="http://schemas.openxmlformats.org/drawingml/2006/main">
          <a:off x="3057525" y="2052638"/>
          <a:ext cx="1114425" cy="26670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sr-Cyrl-CS" sz="1100"/>
        </a:p>
      </cdr:txBody>
    </cdr:sp>
  </cdr:relSizeAnchor>
  <cdr:relSizeAnchor xmlns:cdr="http://schemas.openxmlformats.org/drawingml/2006/chartDrawing">
    <cdr:from>
      <cdr:x>0.70581</cdr:x>
      <cdr:y>0.01784</cdr:y>
    </cdr:from>
    <cdr:to>
      <cdr:x>1</cdr:x>
      <cdr:y>0.14717</cdr:y>
    </cdr:to>
    <cdr:sp macro="" textlink="">
      <cdr:nvSpPr>
        <cdr:cNvPr id="17" name="TextBox 1"/>
        <cdr:cNvSpPr txBox="1"/>
      </cdr:nvSpPr>
      <cdr:spPr>
        <a:xfrm xmlns:a="http://schemas.openxmlformats.org/drawingml/2006/main">
          <a:off x="1946496" y="36214"/>
          <a:ext cx="811309" cy="262551"/>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sr-Cyrl-CS" sz="600" b="1">
              <a:solidFill>
                <a:srgbClr val="44546A"/>
              </a:solidFill>
              <a:latin typeface="Calibri" panose="020F0502020204030204" pitchFamily="34" charset="0"/>
            </a:rPr>
            <a:t>проциклично</a:t>
          </a:r>
          <a:r>
            <a:rPr lang="sr-Cyrl-CS" sz="600" b="1" baseline="0">
              <a:solidFill>
                <a:srgbClr val="44546A"/>
              </a:solidFill>
              <a:latin typeface="Calibri" panose="020F0502020204030204" pitchFamily="34" charset="0"/>
            </a:rPr>
            <a:t> - експанзивна</a:t>
          </a:r>
          <a:endParaRPr lang="sr-Cyrl-CS" sz="600" b="1">
            <a:solidFill>
              <a:srgbClr val="44546A"/>
            </a:solidFill>
            <a:latin typeface="Calibri" panose="020F0502020204030204" pitchFamily="34" charset="0"/>
          </a:endParaRPr>
        </a:p>
      </cdr:txBody>
    </cdr:sp>
  </cdr:relSizeAnchor>
  <cdr:relSizeAnchor xmlns:cdr="http://schemas.openxmlformats.org/drawingml/2006/chartDrawing">
    <cdr:from>
      <cdr:x>0.71238</cdr:x>
      <cdr:y>0.84287</cdr:y>
    </cdr:from>
    <cdr:to>
      <cdr:x>1</cdr:x>
      <cdr:y>1</cdr:y>
    </cdr:to>
    <cdr:sp macro="" textlink="">
      <cdr:nvSpPr>
        <cdr:cNvPr id="18" name="TextBox 1"/>
        <cdr:cNvSpPr txBox="1"/>
      </cdr:nvSpPr>
      <cdr:spPr>
        <a:xfrm xmlns:a="http://schemas.openxmlformats.org/drawingml/2006/main">
          <a:off x="1964602" y="1711105"/>
          <a:ext cx="793203" cy="318990"/>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sr-Cyrl-CS" sz="600" b="1">
              <a:solidFill>
                <a:srgbClr val="44546A"/>
              </a:solidFill>
              <a:latin typeface="Calibri" panose="020F0502020204030204" pitchFamily="34" charset="0"/>
            </a:rPr>
            <a:t>контрациклично</a:t>
          </a:r>
          <a:r>
            <a:rPr lang="sr-Cyrl-CS" sz="600" b="1" baseline="0">
              <a:solidFill>
                <a:srgbClr val="44546A"/>
              </a:solidFill>
              <a:latin typeface="Calibri" panose="020F0502020204030204" pitchFamily="34" charset="0"/>
            </a:rPr>
            <a:t> - рестриктивна</a:t>
          </a:r>
          <a:endParaRPr lang="sr-Cyrl-CS" sz="600" b="1">
            <a:solidFill>
              <a:srgbClr val="44546A"/>
            </a:solidFill>
            <a:latin typeface="Calibri" panose="020F0502020204030204" pitchFamily="34" charset="0"/>
          </a:endParaRPr>
        </a:p>
      </cdr:txBody>
    </cdr:sp>
  </cdr:relSizeAnchor>
  <cdr:relSizeAnchor xmlns:cdr="http://schemas.openxmlformats.org/drawingml/2006/chartDrawing">
    <cdr:from>
      <cdr:x>0</cdr:x>
      <cdr:y>4.92588E-7</cdr:y>
    </cdr:from>
    <cdr:to>
      <cdr:x>0.34142</cdr:x>
      <cdr:y>0.10257</cdr:y>
    </cdr:to>
    <cdr:sp macro="" textlink="">
      <cdr:nvSpPr>
        <cdr:cNvPr id="19" name="TextBox 1"/>
        <cdr:cNvSpPr txBox="1"/>
      </cdr:nvSpPr>
      <cdr:spPr>
        <a:xfrm xmlns:a="http://schemas.openxmlformats.org/drawingml/2006/main">
          <a:off x="0" y="1"/>
          <a:ext cx="941560" cy="208230"/>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sr-Cyrl-CS" sz="600" b="1">
              <a:solidFill>
                <a:srgbClr val="44546A"/>
              </a:solidFill>
              <a:latin typeface="Calibri" panose="020F0502020204030204" pitchFamily="34" charset="0"/>
            </a:rPr>
            <a:t>контрациклично</a:t>
          </a:r>
          <a:r>
            <a:rPr lang="sr-Cyrl-CS" sz="600" b="1" baseline="0">
              <a:solidFill>
                <a:srgbClr val="44546A"/>
              </a:solidFill>
              <a:latin typeface="Calibri" panose="020F0502020204030204" pitchFamily="34" charset="0"/>
            </a:rPr>
            <a:t> - експанзивна</a:t>
          </a:r>
          <a:endParaRPr lang="sr-Cyrl-CS" sz="600" b="1">
            <a:solidFill>
              <a:srgbClr val="44546A"/>
            </a:solidFill>
            <a:latin typeface="Calibri" panose="020F0502020204030204" pitchFamily="34" charset="0"/>
          </a:endParaRPr>
        </a:p>
      </cdr:txBody>
    </cdr:sp>
  </cdr:relSizeAnchor>
</c:userShapes>
</file>

<file path=word/drawings/drawing27.xml><?xml version="1.0" encoding="utf-8"?>
<c:userShapes xmlns:c="http://schemas.openxmlformats.org/drawingml/2006/chart">
  <cdr:relSizeAnchor xmlns:cdr="http://schemas.openxmlformats.org/drawingml/2006/chartDrawing">
    <cdr:from>
      <cdr:x>0.07437</cdr:x>
      <cdr:y>0.49645</cdr:y>
    </cdr:from>
    <cdr:to>
      <cdr:x>0.97699</cdr:x>
      <cdr:y>0.49884</cdr:y>
    </cdr:to>
    <cdr:sp macro="" textlink="">
      <cdr:nvSpPr>
        <cdr:cNvPr id="3" name="Straight Connector 2"/>
        <cdr:cNvSpPr/>
      </cdr:nvSpPr>
      <cdr:spPr>
        <a:xfrm xmlns:a="http://schemas.openxmlformats.org/drawingml/2006/main">
          <a:off x="204009" y="831298"/>
          <a:ext cx="2476067" cy="4002"/>
        </a:xfrm>
        <a:prstGeom xmlns:a="http://schemas.openxmlformats.org/drawingml/2006/main" prst="line">
          <a:avLst/>
        </a:prstGeom>
        <a:ln xmlns:a="http://schemas.openxmlformats.org/drawingml/2006/main" w="19050">
          <a:prstDash val="sysDash"/>
        </a:ln>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txBody>
        <a:bodyPr xmlns:a="http://schemas.openxmlformats.org/drawingml/2006/main" vertOverflow="clip"/>
        <a:lstStyle xmlns:a="http://schemas.openxmlformats.org/drawingml/2006/main"/>
        <a:p xmlns:a="http://schemas.openxmlformats.org/drawingml/2006/main">
          <a:endParaRPr lang="en-US"/>
        </a:p>
      </cdr:txBody>
    </cdr:sp>
  </cdr:relSizeAnchor>
  <cdr:relSizeAnchor xmlns:cdr="http://schemas.openxmlformats.org/drawingml/2006/chartDrawing">
    <cdr:from>
      <cdr:x>0.07914</cdr:x>
      <cdr:y>0.13102</cdr:y>
    </cdr:from>
    <cdr:to>
      <cdr:x>0.98344</cdr:x>
      <cdr:y>0.13819</cdr:y>
    </cdr:to>
    <cdr:cxnSp macro="">
      <cdr:nvCxnSpPr>
        <cdr:cNvPr id="4" name="Straight Connector 3"/>
        <cdr:cNvCxnSpPr/>
      </cdr:nvCxnSpPr>
      <cdr:spPr>
        <a:xfrm xmlns:a="http://schemas.openxmlformats.org/drawingml/2006/main" flipV="1">
          <a:off x="471864" y="551172"/>
          <a:ext cx="5391827" cy="30185"/>
        </a:xfrm>
        <a:prstGeom xmlns:a="http://schemas.openxmlformats.org/drawingml/2006/main" prst="line">
          <a:avLst/>
        </a:prstGeom>
        <a:ln xmlns:a="http://schemas.openxmlformats.org/drawingml/2006/main" w="19050">
          <a:prstDash val="sysDash"/>
        </a:ln>
      </cdr:spPr>
      <cdr:style>
        <a:lnRef xmlns:a="http://schemas.openxmlformats.org/drawingml/2006/main" idx="1">
          <a:schemeClr val="accent2"/>
        </a:lnRef>
        <a:fillRef xmlns:a="http://schemas.openxmlformats.org/drawingml/2006/main" idx="0">
          <a:schemeClr val="accent2"/>
        </a:fillRef>
        <a:effectRef xmlns:a="http://schemas.openxmlformats.org/drawingml/2006/main" idx="0">
          <a:schemeClr val="accent2"/>
        </a:effectRef>
        <a:fontRef xmlns:a="http://schemas.openxmlformats.org/drawingml/2006/main" idx="minor">
          <a:schemeClr val="tx1"/>
        </a:fontRef>
      </cdr:style>
    </cdr:cxnSp>
  </cdr:relSizeAnchor>
</c:userShapes>
</file>

<file path=word/drawings/drawing3.xml><?xml version="1.0" encoding="utf-8"?>
<c:userShapes xmlns:c="http://schemas.openxmlformats.org/drawingml/2006/chart">
  <cdr:relSizeAnchor xmlns:cdr="http://schemas.openxmlformats.org/drawingml/2006/chartDrawing">
    <cdr:from>
      <cdr:x>0.06674</cdr:x>
      <cdr:y>0.6149</cdr:y>
    </cdr:from>
    <cdr:to>
      <cdr:x>0.47434</cdr:x>
      <cdr:y>0.85088</cdr:y>
    </cdr:to>
    <cdr:sp macro="" textlink="">
      <cdr:nvSpPr>
        <cdr:cNvPr id="2" name="TextBox 1"/>
        <cdr:cNvSpPr txBox="1"/>
      </cdr:nvSpPr>
      <cdr:spPr>
        <a:xfrm xmlns:a="http://schemas.openxmlformats.org/drawingml/2006/main">
          <a:off x="88899" y="752639"/>
          <a:ext cx="542923" cy="288839"/>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chemeClr val="bg1"/>
              </a:solidFill>
            </a:rPr>
            <a:t>Претходна пројекција</a:t>
          </a:r>
          <a:endParaRPr lang="en-GB" sz="750" b="1">
            <a:solidFill>
              <a:schemeClr val="bg1"/>
            </a:solidFill>
          </a:endParaRPr>
        </a:p>
      </cdr:txBody>
    </cdr:sp>
  </cdr:relSizeAnchor>
  <cdr:relSizeAnchor xmlns:cdr="http://schemas.openxmlformats.org/drawingml/2006/chartDrawing">
    <cdr:from>
      <cdr:x>0.51725</cdr:x>
      <cdr:y>0.61895</cdr:y>
    </cdr:from>
    <cdr:to>
      <cdr:x>0.92484</cdr:x>
      <cdr:y>0.85493</cdr:y>
    </cdr:to>
    <cdr:sp macro="" textlink="">
      <cdr:nvSpPr>
        <cdr:cNvPr id="3" name="TextBox 1"/>
        <cdr:cNvSpPr txBox="1"/>
      </cdr:nvSpPr>
      <cdr:spPr>
        <a:xfrm xmlns:a="http://schemas.openxmlformats.org/drawingml/2006/main">
          <a:off x="688978" y="757596"/>
          <a:ext cx="542910" cy="288840"/>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chemeClr val="bg1"/>
              </a:solidFill>
            </a:rPr>
            <a:t>Нова</a:t>
          </a:r>
        </a:p>
        <a:p xmlns:a="http://schemas.openxmlformats.org/drawingml/2006/main">
          <a:pPr algn="ctr"/>
          <a:r>
            <a:rPr lang="sr-Cyrl-RS" sz="750" b="1">
              <a:solidFill>
                <a:schemeClr val="bg1"/>
              </a:solidFill>
            </a:rPr>
            <a:t>пројекција</a:t>
          </a:r>
        </a:p>
      </cdr:txBody>
    </cdr:sp>
  </cdr:relSizeAnchor>
</c:userShapes>
</file>

<file path=word/drawings/drawing4.xml><?xml version="1.0" encoding="utf-8"?>
<c:userShapes xmlns:c="http://schemas.openxmlformats.org/drawingml/2006/chart">
  <cdr:relSizeAnchor xmlns:cdr="http://schemas.openxmlformats.org/drawingml/2006/chartDrawing">
    <cdr:from>
      <cdr:x>0.05959</cdr:x>
      <cdr:y>0.20976</cdr:y>
    </cdr:from>
    <cdr:to>
      <cdr:x>0.46719</cdr:x>
      <cdr:y>0.44574</cdr:y>
    </cdr:to>
    <cdr:sp macro="" textlink="">
      <cdr:nvSpPr>
        <cdr:cNvPr id="2" name="TextBox 1"/>
        <cdr:cNvSpPr txBox="1"/>
      </cdr:nvSpPr>
      <cdr:spPr>
        <a:xfrm xmlns:a="http://schemas.openxmlformats.org/drawingml/2006/main">
          <a:off x="79374" y="264294"/>
          <a:ext cx="542923" cy="297335"/>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chemeClr val="bg1"/>
              </a:solidFill>
            </a:rPr>
            <a:t>Претходна пројекција</a:t>
          </a:r>
          <a:endParaRPr lang="en-GB" sz="750" b="1">
            <a:solidFill>
              <a:schemeClr val="bg1"/>
            </a:solidFill>
          </a:endParaRPr>
        </a:p>
      </cdr:txBody>
    </cdr:sp>
  </cdr:relSizeAnchor>
  <cdr:relSizeAnchor xmlns:cdr="http://schemas.openxmlformats.org/drawingml/2006/chartDrawing">
    <cdr:from>
      <cdr:x>0.51725</cdr:x>
      <cdr:y>0.20965</cdr:y>
    </cdr:from>
    <cdr:to>
      <cdr:x>0.92484</cdr:x>
      <cdr:y>0.44563</cdr:y>
    </cdr:to>
    <cdr:sp macro="" textlink="">
      <cdr:nvSpPr>
        <cdr:cNvPr id="3" name="TextBox 1"/>
        <cdr:cNvSpPr txBox="1"/>
      </cdr:nvSpPr>
      <cdr:spPr>
        <a:xfrm xmlns:a="http://schemas.openxmlformats.org/drawingml/2006/main">
          <a:off x="690337" y="268009"/>
          <a:ext cx="543981" cy="301675"/>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chemeClr val="bg1"/>
              </a:solidFill>
            </a:rPr>
            <a:t>Нова</a:t>
          </a:r>
        </a:p>
        <a:p xmlns:a="http://schemas.openxmlformats.org/drawingml/2006/main">
          <a:pPr algn="ctr"/>
          <a:r>
            <a:rPr lang="sr-Cyrl-RS" sz="750" b="1">
              <a:solidFill>
                <a:schemeClr val="bg1"/>
              </a:solidFill>
            </a:rPr>
            <a:t>пројекција</a:t>
          </a:r>
        </a:p>
      </cdr:txBody>
    </cdr:sp>
  </cdr:relSizeAnchor>
</c:userShapes>
</file>

<file path=word/drawings/drawing5.xml><?xml version="1.0" encoding="utf-8"?>
<c:userShapes xmlns:c="http://schemas.openxmlformats.org/drawingml/2006/chart">
  <cdr:relSizeAnchor xmlns:cdr="http://schemas.openxmlformats.org/drawingml/2006/chartDrawing">
    <cdr:from>
      <cdr:x>0.05959</cdr:x>
      <cdr:y>0.20976</cdr:y>
    </cdr:from>
    <cdr:to>
      <cdr:x>0.46719</cdr:x>
      <cdr:y>0.44574</cdr:y>
    </cdr:to>
    <cdr:sp macro="" textlink="">
      <cdr:nvSpPr>
        <cdr:cNvPr id="2" name="TextBox 1"/>
        <cdr:cNvSpPr txBox="1"/>
      </cdr:nvSpPr>
      <cdr:spPr>
        <a:xfrm xmlns:a="http://schemas.openxmlformats.org/drawingml/2006/main">
          <a:off x="79374" y="279397"/>
          <a:ext cx="542923" cy="314325"/>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chemeClr val="bg1"/>
              </a:solidFill>
            </a:rPr>
            <a:t>Претходна пројекција</a:t>
          </a:r>
          <a:endParaRPr lang="en-GB" sz="750" b="1">
            <a:solidFill>
              <a:schemeClr val="bg1"/>
            </a:solidFill>
          </a:endParaRPr>
        </a:p>
      </cdr:txBody>
    </cdr:sp>
  </cdr:relSizeAnchor>
  <cdr:relSizeAnchor xmlns:cdr="http://schemas.openxmlformats.org/drawingml/2006/chartDrawing">
    <cdr:from>
      <cdr:x>0.51725</cdr:x>
      <cdr:y>0.21691</cdr:y>
    </cdr:from>
    <cdr:to>
      <cdr:x>0.92484</cdr:x>
      <cdr:y>0.45289</cdr:y>
    </cdr:to>
    <cdr:sp macro="" textlink="">
      <cdr:nvSpPr>
        <cdr:cNvPr id="3" name="TextBox 1"/>
        <cdr:cNvSpPr txBox="1"/>
      </cdr:nvSpPr>
      <cdr:spPr>
        <a:xfrm xmlns:a="http://schemas.openxmlformats.org/drawingml/2006/main">
          <a:off x="688978" y="288922"/>
          <a:ext cx="542910" cy="314325"/>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chemeClr val="bg1"/>
              </a:solidFill>
            </a:rPr>
            <a:t>Нова</a:t>
          </a:r>
        </a:p>
        <a:p xmlns:a="http://schemas.openxmlformats.org/drawingml/2006/main">
          <a:pPr algn="ctr"/>
          <a:r>
            <a:rPr lang="sr-Cyrl-RS" sz="750" b="1">
              <a:solidFill>
                <a:schemeClr val="bg1"/>
              </a:solidFill>
            </a:rPr>
            <a:t>пројекција</a:t>
          </a:r>
        </a:p>
      </cdr:txBody>
    </cdr:sp>
  </cdr:relSizeAnchor>
</c:userShapes>
</file>

<file path=word/drawings/drawing6.xml><?xml version="1.0" encoding="utf-8"?>
<c:userShapes xmlns:c="http://schemas.openxmlformats.org/drawingml/2006/chart">
  <cdr:relSizeAnchor xmlns:cdr="http://schemas.openxmlformats.org/drawingml/2006/chartDrawing">
    <cdr:from>
      <cdr:x>0.06674</cdr:x>
      <cdr:y>0.55531</cdr:y>
    </cdr:from>
    <cdr:to>
      <cdr:x>0.47434</cdr:x>
      <cdr:y>0.79129</cdr:y>
    </cdr:to>
    <cdr:sp macro="" textlink="">
      <cdr:nvSpPr>
        <cdr:cNvPr id="2" name="TextBox 1"/>
        <cdr:cNvSpPr txBox="1"/>
      </cdr:nvSpPr>
      <cdr:spPr>
        <a:xfrm xmlns:a="http://schemas.openxmlformats.org/drawingml/2006/main">
          <a:off x="88899" y="559751"/>
          <a:ext cx="542923" cy="237868"/>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chemeClr val="bg1"/>
              </a:solidFill>
            </a:rPr>
            <a:t>Претходна пројекција</a:t>
          </a:r>
          <a:endParaRPr lang="en-GB" sz="750" b="1">
            <a:solidFill>
              <a:schemeClr val="bg1"/>
            </a:solidFill>
          </a:endParaRPr>
        </a:p>
      </cdr:txBody>
    </cdr:sp>
  </cdr:relSizeAnchor>
  <cdr:relSizeAnchor xmlns:cdr="http://schemas.openxmlformats.org/drawingml/2006/chartDrawing">
    <cdr:from>
      <cdr:x>0.51725</cdr:x>
      <cdr:y>0.54531</cdr:y>
    </cdr:from>
    <cdr:to>
      <cdr:x>0.92484</cdr:x>
      <cdr:y>0.78129</cdr:y>
    </cdr:to>
    <cdr:sp macro="" textlink="">
      <cdr:nvSpPr>
        <cdr:cNvPr id="3" name="TextBox 1"/>
        <cdr:cNvSpPr txBox="1"/>
      </cdr:nvSpPr>
      <cdr:spPr>
        <a:xfrm xmlns:a="http://schemas.openxmlformats.org/drawingml/2006/main">
          <a:off x="688977" y="549672"/>
          <a:ext cx="542910" cy="237868"/>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chemeClr val="bg1"/>
              </a:solidFill>
            </a:rPr>
            <a:t>Нова</a:t>
          </a:r>
        </a:p>
        <a:p xmlns:a="http://schemas.openxmlformats.org/drawingml/2006/main">
          <a:pPr algn="ctr"/>
          <a:r>
            <a:rPr lang="sr-Cyrl-RS" sz="750" b="1">
              <a:solidFill>
                <a:schemeClr val="bg1"/>
              </a:solidFill>
            </a:rPr>
            <a:t>пројекција</a:t>
          </a:r>
        </a:p>
      </cdr:txBody>
    </cdr:sp>
  </cdr:relSizeAnchor>
</c:userShapes>
</file>

<file path=word/drawings/drawing7.xml><?xml version="1.0" encoding="utf-8"?>
<c:userShapes xmlns:c="http://schemas.openxmlformats.org/drawingml/2006/chart">
  <cdr:relSizeAnchor xmlns:cdr="http://schemas.openxmlformats.org/drawingml/2006/chartDrawing">
    <cdr:from>
      <cdr:x>0.05959</cdr:x>
      <cdr:y>0.54585</cdr:y>
    </cdr:from>
    <cdr:to>
      <cdr:x>0.46719</cdr:x>
      <cdr:y>0.78183</cdr:y>
    </cdr:to>
    <cdr:sp macro="" textlink="">
      <cdr:nvSpPr>
        <cdr:cNvPr id="2" name="TextBox 1"/>
        <cdr:cNvSpPr txBox="1"/>
      </cdr:nvSpPr>
      <cdr:spPr>
        <a:xfrm xmlns:a="http://schemas.openxmlformats.org/drawingml/2006/main">
          <a:off x="79373" y="550216"/>
          <a:ext cx="542923" cy="237867"/>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chemeClr val="bg1"/>
              </a:solidFill>
            </a:rPr>
            <a:t>Претходна пројекција</a:t>
          </a:r>
          <a:endParaRPr lang="en-GB" sz="750" b="1">
            <a:solidFill>
              <a:schemeClr val="bg1"/>
            </a:solidFill>
          </a:endParaRPr>
        </a:p>
      </cdr:txBody>
    </cdr:sp>
  </cdr:relSizeAnchor>
  <cdr:relSizeAnchor xmlns:cdr="http://schemas.openxmlformats.org/drawingml/2006/chartDrawing">
    <cdr:from>
      <cdr:x>0.51725</cdr:x>
      <cdr:y>0.54593</cdr:y>
    </cdr:from>
    <cdr:to>
      <cdr:x>0.92484</cdr:x>
      <cdr:y>0.78191</cdr:y>
    </cdr:to>
    <cdr:sp macro="" textlink="">
      <cdr:nvSpPr>
        <cdr:cNvPr id="3" name="TextBox 1"/>
        <cdr:cNvSpPr txBox="1"/>
      </cdr:nvSpPr>
      <cdr:spPr>
        <a:xfrm xmlns:a="http://schemas.openxmlformats.org/drawingml/2006/main">
          <a:off x="688977" y="550296"/>
          <a:ext cx="542910" cy="237868"/>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chemeClr val="bg1"/>
              </a:solidFill>
            </a:rPr>
            <a:t>Нова</a:t>
          </a:r>
        </a:p>
        <a:p xmlns:a="http://schemas.openxmlformats.org/drawingml/2006/main">
          <a:pPr algn="ctr"/>
          <a:r>
            <a:rPr lang="sr-Cyrl-RS" sz="750" b="1">
              <a:solidFill>
                <a:schemeClr val="bg1"/>
              </a:solidFill>
            </a:rPr>
            <a:t>пројекција</a:t>
          </a:r>
        </a:p>
      </cdr:txBody>
    </cdr:sp>
  </cdr:relSizeAnchor>
</c:userShapes>
</file>

<file path=word/drawings/drawing8.xml><?xml version="1.0" encoding="utf-8"?>
<c:userShapes xmlns:c="http://schemas.openxmlformats.org/drawingml/2006/chart">
  <cdr:relSizeAnchor xmlns:cdr="http://schemas.openxmlformats.org/drawingml/2006/chartDrawing">
    <cdr:from>
      <cdr:x>0.05959</cdr:x>
      <cdr:y>0.18683</cdr:y>
    </cdr:from>
    <cdr:to>
      <cdr:x>0.46719</cdr:x>
      <cdr:y>0.42282</cdr:y>
    </cdr:to>
    <cdr:sp macro="" textlink="">
      <cdr:nvSpPr>
        <cdr:cNvPr id="2" name="TextBox 1"/>
        <cdr:cNvSpPr txBox="1"/>
      </cdr:nvSpPr>
      <cdr:spPr>
        <a:xfrm xmlns:a="http://schemas.openxmlformats.org/drawingml/2006/main">
          <a:off x="79373" y="228680"/>
          <a:ext cx="542923" cy="288852"/>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chemeClr val="bg1"/>
              </a:solidFill>
            </a:rPr>
            <a:t>Претходна пројекција</a:t>
          </a:r>
          <a:endParaRPr lang="en-GB" sz="750" b="1">
            <a:solidFill>
              <a:schemeClr val="bg1"/>
            </a:solidFill>
          </a:endParaRPr>
        </a:p>
      </cdr:txBody>
    </cdr:sp>
  </cdr:relSizeAnchor>
  <cdr:relSizeAnchor xmlns:cdr="http://schemas.openxmlformats.org/drawingml/2006/chartDrawing">
    <cdr:from>
      <cdr:x>0.5101</cdr:x>
      <cdr:y>0.18809</cdr:y>
    </cdr:from>
    <cdr:to>
      <cdr:x>0.91769</cdr:x>
      <cdr:y>0.42407</cdr:y>
    </cdr:to>
    <cdr:sp macro="" textlink="">
      <cdr:nvSpPr>
        <cdr:cNvPr id="3" name="TextBox 1"/>
        <cdr:cNvSpPr txBox="1"/>
      </cdr:nvSpPr>
      <cdr:spPr>
        <a:xfrm xmlns:a="http://schemas.openxmlformats.org/drawingml/2006/main">
          <a:off x="679451" y="230227"/>
          <a:ext cx="542910" cy="288839"/>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chemeClr val="bg1"/>
              </a:solidFill>
            </a:rPr>
            <a:t>Нова</a:t>
          </a:r>
        </a:p>
        <a:p xmlns:a="http://schemas.openxmlformats.org/drawingml/2006/main">
          <a:pPr algn="ctr"/>
          <a:r>
            <a:rPr lang="sr-Cyrl-RS" sz="750" b="1">
              <a:solidFill>
                <a:schemeClr val="bg1"/>
              </a:solidFill>
            </a:rPr>
            <a:t>пројекција</a:t>
          </a:r>
        </a:p>
      </cdr:txBody>
    </cdr:sp>
  </cdr:relSizeAnchor>
</c:userShapes>
</file>

<file path=word/drawings/drawing9.xml><?xml version="1.0" encoding="utf-8"?>
<c:userShapes xmlns:c="http://schemas.openxmlformats.org/drawingml/2006/chart">
  <cdr:relSizeAnchor xmlns:cdr="http://schemas.openxmlformats.org/drawingml/2006/chartDrawing">
    <cdr:from>
      <cdr:x>0.06674</cdr:x>
      <cdr:y>0.17843</cdr:y>
    </cdr:from>
    <cdr:to>
      <cdr:x>0.47434</cdr:x>
      <cdr:y>0.41441</cdr:y>
    </cdr:to>
    <cdr:sp macro="" textlink="">
      <cdr:nvSpPr>
        <cdr:cNvPr id="2" name="TextBox 1"/>
        <cdr:cNvSpPr txBox="1"/>
      </cdr:nvSpPr>
      <cdr:spPr>
        <a:xfrm xmlns:a="http://schemas.openxmlformats.org/drawingml/2006/main">
          <a:off x="88871" y="218335"/>
          <a:ext cx="542758" cy="288756"/>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chemeClr val="bg1"/>
              </a:solidFill>
            </a:rPr>
            <a:t>Претходна пројекција</a:t>
          </a:r>
          <a:endParaRPr lang="en-GB" sz="750" b="1">
            <a:solidFill>
              <a:schemeClr val="bg1"/>
            </a:solidFill>
          </a:endParaRPr>
        </a:p>
      </cdr:txBody>
    </cdr:sp>
  </cdr:relSizeAnchor>
  <cdr:relSizeAnchor xmlns:cdr="http://schemas.openxmlformats.org/drawingml/2006/chartDrawing">
    <cdr:from>
      <cdr:x>0.51725</cdr:x>
      <cdr:y>0.17843</cdr:y>
    </cdr:from>
    <cdr:to>
      <cdr:x>0.92484</cdr:x>
      <cdr:y>0.41441</cdr:y>
    </cdr:to>
    <cdr:sp macro="" textlink="">
      <cdr:nvSpPr>
        <cdr:cNvPr id="3" name="TextBox 1"/>
        <cdr:cNvSpPr txBox="1"/>
      </cdr:nvSpPr>
      <cdr:spPr>
        <a:xfrm xmlns:a="http://schemas.openxmlformats.org/drawingml/2006/main">
          <a:off x="688768" y="218335"/>
          <a:ext cx="542744" cy="288756"/>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chemeClr val="bg1"/>
              </a:solidFill>
            </a:rPr>
            <a:t>Нова</a:t>
          </a:r>
        </a:p>
        <a:p xmlns:a="http://schemas.openxmlformats.org/drawingml/2006/main">
          <a:pPr algn="ctr"/>
          <a:r>
            <a:rPr lang="sr-Cyrl-RS" sz="750" b="1">
              <a:solidFill>
                <a:schemeClr val="bg1"/>
              </a:solidFill>
            </a:rPr>
            <a:t>пројекција</a:t>
          </a:r>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5.xml><?xml version="1.0" encoding="utf-8"?>
<a:themeOverride xmlns:a="http://schemas.openxmlformats.org/drawingml/2006/main">
  <a:clrScheme name="Business Set_Red">
    <a:dk1>
      <a:sysClr val="windowText" lastClr="000000"/>
    </a:dk1>
    <a:lt1>
      <a:sysClr val="window" lastClr="FFFFFF"/>
    </a:lt1>
    <a:dk2>
      <a:srgbClr val="000000"/>
    </a:dk2>
    <a:lt2>
      <a:srgbClr val="F8F8F8"/>
    </a:lt2>
    <a:accent1>
      <a:srgbClr val="EF4623"/>
    </a:accent1>
    <a:accent2>
      <a:srgbClr val="B2B2B2"/>
    </a:accent2>
    <a:accent3>
      <a:srgbClr val="969696"/>
    </a:accent3>
    <a:accent4>
      <a:srgbClr val="808080"/>
    </a:accent4>
    <a:accent5>
      <a:srgbClr val="5F5F5F"/>
    </a:accent5>
    <a:accent6>
      <a:srgbClr val="4D4D4D"/>
    </a:accent6>
    <a:hlink>
      <a:srgbClr val="5F5F5F"/>
    </a:hlink>
    <a:folHlink>
      <a:srgbClr val="919191"/>
    </a:folHlink>
  </a:clrScheme>
  <a:fontScheme name="Office Classic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58D5B37-BEBF-4CAF-819E-E7F7FD2011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Pages>
  <Words>40487</Words>
  <Characters>230776</Characters>
  <Application>Microsoft Office Word</Application>
  <DocSecurity>0</DocSecurity>
  <Lines>1923</Lines>
  <Paragraphs>541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270722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Nenad Jevtović</dc:creator>
  <cp:keywords/>
  <dc:description/>
  <cp:lastModifiedBy>Bojan Grgić</cp:lastModifiedBy>
  <cp:revision>2</cp:revision>
  <cp:lastPrinted>2021-10-26T10:24:00Z</cp:lastPrinted>
  <dcterms:created xsi:type="dcterms:W3CDTF">2021-11-04T12:03:00Z</dcterms:created>
  <dcterms:modified xsi:type="dcterms:W3CDTF">2021-11-04T12:03:00Z</dcterms:modified>
</cp:coreProperties>
</file>